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BA7BC" w14:textId="77777777" w:rsidR="002C3A0D" w:rsidRDefault="002C3A0D">
      <w:pPr>
        <w:jc w:val="center"/>
        <w:rPr>
          <w:rFonts w:ascii="Times New Roman" w:hAnsi="Times New Roman"/>
          <w:b/>
          <w:sz w:val="36"/>
        </w:rPr>
      </w:pPr>
    </w:p>
    <w:p w14:paraId="1B3E96EA" w14:textId="77777777" w:rsidR="002C3A0D" w:rsidRDefault="002C3A0D">
      <w:pPr>
        <w:jc w:val="center"/>
        <w:rPr>
          <w:rFonts w:ascii="Times New Roman" w:hAnsi="Times New Roman"/>
          <w:b/>
          <w:sz w:val="36"/>
        </w:rPr>
      </w:pPr>
    </w:p>
    <w:p w14:paraId="4B304AA6" w14:textId="77777777" w:rsidR="002C3A0D" w:rsidRDefault="002C3A0D">
      <w:pPr>
        <w:jc w:val="center"/>
        <w:rPr>
          <w:rFonts w:ascii="Times New Roman" w:hAnsi="Times New Roman"/>
          <w:b/>
          <w:sz w:val="36"/>
        </w:rPr>
      </w:pPr>
    </w:p>
    <w:p w14:paraId="16ACB2A0" w14:textId="77777777" w:rsidR="002C3A0D" w:rsidRDefault="002C3A0D">
      <w:pPr>
        <w:jc w:val="center"/>
        <w:rPr>
          <w:rFonts w:ascii="Times New Roman" w:hAnsi="Times New Roman"/>
          <w:b/>
          <w:sz w:val="36"/>
        </w:rPr>
      </w:pPr>
    </w:p>
    <w:p w14:paraId="7A4D6250" w14:textId="77777777" w:rsidR="002C3A0D" w:rsidRDefault="002C3A0D">
      <w:pPr>
        <w:jc w:val="center"/>
        <w:rPr>
          <w:rFonts w:ascii="Times New Roman" w:hAnsi="Times New Roman"/>
          <w:b/>
          <w:sz w:val="36"/>
        </w:rPr>
      </w:pPr>
    </w:p>
    <w:p w14:paraId="05C18E21" w14:textId="77777777" w:rsidR="002C3A0D" w:rsidRDefault="00000000">
      <w:pPr>
        <w:jc w:val="center"/>
      </w:pPr>
      <w:r>
        <w:rPr>
          <w:rFonts w:ascii="Times New Roman" w:hAnsi="Times New Roman"/>
          <w:b/>
          <w:sz w:val="36"/>
        </w:rPr>
        <w:t>WRITTEN ASSIGNMENT (REFLECTIVE REPORT)</w:t>
      </w:r>
    </w:p>
    <w:p w14:paraId="6D762D3A" w14:textId="7D8F3C03" w:rsidR="002C3A0D" w:rsidRDefault="00000000">
      <w:pPr>
        <w:jc w:val="center"/>
        <w:rPr>
          <w:b/>
        </w:rPr>
      </w:pPr>
      <w:r>
        <w:rPr>
          <w:b/>
        </w:rPr>
        <w:br/>
      </w:r>
    </w:p>
    <w:p w14:paraId="69B1EE79" w14:textId="5E288CDB" w:rsidR="002C3A0D" w:rsidRDefault="00000000">
      <w:pPr>
        <w:jc w:val="center"/>
      </w:pPr>
      <w:r>
        <w:t xml:space="preserve">Student </w:t>
      </w:r>
      <w:r w:rsidR="005F51F4">
        <w:t>Name: Yvonne</w:t>
      </w:r>
      <w:r>
        <w:t xml:space="preserve"> Annan</w:t>
      </w:r>
    </w:p>
    <w:p w14:paraId="6A168114" w14:textId="6C48D276" w:rsidR="002C3A0D" w:rsidRDefault="00000000">
      <w:pPr>
        <w:jc w:val="center"/>
      </w:pPr>
      <w:r>
        <w:t xml:space="preserve">Student ID: </w:t>
      </w:r>
      <w:r w:rsidR="005F51F4">
        <w:t>2406246</w:t>
      </w:r>
    </w:p>
    <w:p w14:paraId="7C62D665" w14:textId="46A145A7" w:rsidR="002C3A0D" w:rsidRDefault="005F51F4">
      <w:pPr>
        <w:jc w:val="center"/>
      </w:pPr>
      <w:r>
        <w:t>Module Name: Principles of Health and Social care</w:t>
      </w:r>
    </w:p>
    <w:p w14:paraId="151D8C23" w14:textId="0BCFA337" w:rsidR="005F51F4" w:rsidRDefault="005F51F4">
      <w:pPr>
        <w:jc w:val="center"/>
      </w:pPr>
      <w:r>
        <w:t>Module Code: BMHP5016</w:t>
      </w:r>
    </w:p>
    <w:p w14:paraId="3D64E795" w14:textId="7EA17E40" w:rsidR="005F51F4" w:rsidRDefault="005F51F4">
      <w:pPr>
        <w:jc w:val="center"/>
      </w:pPr>
      <w:r>
        <w:t>Title: Reflective Report</w:t>
      </w:r>
    </w:p>
    <w:p w14:paraId="756C7E70" w14:textId="4E94E160" w:rsidR="005F51F4" w:rsidRDefault="005F51F4">
      <w:pPr>
        <w:jc w:val="center"/>
      </w:pPr>
      <w:r>
        <w:t>Lecturer Name: Robert Nartowski</w:t>
      </w:r>
    </w:p>
    <w:p w14:paraId="79644541" w14:textId="1C609322" w:rsidR="005F51F4" w:rsidRDefault="005F51F4">
      <w:pPr>
        <w:jc w:val="center"/>
        <w:rPr>
          <w:lang w:val="en-US"/>
        </w:rPr>
      </w:pPr>
      <w:r>
        <w:t>Date: 28/10/2026</w:t>
      </w:r>
    </w:p>
    <w:p w14:paraId="76C7E3BD" w14:textId="77777777" w:rsidR="002C3A0D" w:rsidRDefault="002C3A0D">
      <w:pPr>
        <w:jc w:val="center"/>
        <w:rPr>
          <w:lang w:val="en-US"/>
        </w:rPr>
      </w:pPr>
    </w:p>
    <w:p w14:paraId="6D78BE05" w14:textId="77777777" w:rsidR="002C3A0D" w:rsidRDefault="002C3A0D">
      <w:pPr>
        <w:jc w:val="center"/>
        <w:rPr>
          <w:lang w:val="en-US"/>
        </w:rPr>
      </w:pPr>
    </w:p>
    <w:p w14:paraId="4C1EC977" w14:textId="77777777" w:rsidR="002C3A0D" w:rsidRDefault="002C3A0D">
      <w:pPr>
        <w:jc w:val="center"/>
        <w:rPr>
          <w:lang w:val="en-US"/>
        </w:rPr>
      </w:pPr>
    </w:p>
    <w:p w14:paraId="5423B99D" w14:textId="77777777" w:rsidR="002C3A0D" w:rsidRDefault="002C3A0D">
      <w:pPr>
        <w:jc w:val="center"/>
        <w:rPr>
          <w:lang w:val="en-US"/>
        </w:rPr>
      </w:pPr>
    </w:p>
    <w:p w14:paraId="79949EA3" w14:textId="77777777" w:rsidR="002C3A0D" w:rsidRDefault="002C3A0D">
      <w:pPr>
        <w:jc w:val="center"/>
        <w:rPr>
          <w:lang w:val="en-US"/>
        </w:rPr>
      </w:pPr>
    </w:p>
    <w:p w14:paraId="5596D4EA" w14:textId="77777777" w:rsidR="002C3A0D" w:rsidRDefault="002C3A0D">
      <w:pPr>
        <w:jc w:val="center"/>
        <w:rPr>
          <w:lang w:val="en-US"/>
        </w:rPr>
      </w:pPr>
    </w:p>
    <w:p w14:paraId="1672FF09" w14:textId="77777777" w:rsidR="002C3A0D" w:rsidRDefault="002C3A0D">
      <w:pPr>
        <w:jc w:val="center"/>
        <w:rPr>
          <w:lang w:val="en-US"/>
        </w:rPr>
      </w:pPr>
    </w:p>
    <w:p w14:paraId="54AEB092" w14:textId="77777777" w:rsidR="002C3A0D" w:rsidRDefault="002C3A0D">
      <w:pPr>
        <w:jc w:val="center"/>
        <w:rPr>
          <w:lang w:val="en-US"/>
        </w:rPr>
      </w:pPr>
    </w:p>
    <w:p w14:paraId="4CB8A2A3" w14:textId="77777777" w:rsidR="002C3A0D" w:rsidRDefault="002C3A0D">
      <w:pPr>
        <w:jc w:val="center"/>
        <w:rPr>
          <w:lang w:val="en-US"/>
        </w:rPr>
      </w:pPr>
    </w:p>
    <w:p w14:paraId="624419A2" w14:textId="77777777" w:rsidR="002C3A0D" w:rsidRDefault="002C3A0D">
      <w:pPr>
        <w:jc w:val="center"/>
        <w:rPr>
          <w:lang w:val="en-US"/>
        </w:rPr>
      </w:pPr>
    </w:p>
    <w:p w14:paraId="6998548F" w14:textId="77777777" w:rsidR="002C3A0D" w:rsidRDefault="002C3A0D">
      <w:pPr>
        <w:jc w:val="center"/>
        <w:rPr>
          <w:lang w:val="en-US"/>
        </w:rPr>
      </w:pPr>
    </w:p>
    <w:p w14:paraId="13F0E3B2" w14:textId="77777777" w:rsidR="002C3A0D" w:rsidRDefault="002C3A0D">
      <w:pPr>
        <w:jc w:val="center"/>
        <w:rPr>
          <w:lang w:val="en-US"/>
        </w:rPr>
      </w:pPr>
    </w:p>
    <w:p w14:paraId="1B5BCCCD" w14:textId="77777777" w:rsidR="002C3A0D" w:rsidRDefault="002C3A0D">
      <w:pPr>
        <w:jc w:val="center"/>
        <w:rPr>
          <w:lang w:val="en-US"/>
        </w:rPr>
      </w:pPr>
    </w:p>
    <w:p w14:paraId="2BCCA399" w14:textId="77777777" w:rsidR="002C3A0D" w:rsidRDefault="002C3A0D">
      <w:pPr>
        <w:jc w:val="center"/>
        <w:rPr>
          <w:lang w:val="en-US"/>
        </w:rPr>
      </w:pPr>
    </w:p>
    <w:p w14:paraId="64ACF73A" w14:textId="77777777" w:rsidR="002C3A0D" w:rsidRDefault="002C3A0D">
      <w:pPr>
        <w:jc w:val="both"/>
        <w:rPr>
          <w:lang w:val="en-US"/>
        </w:rPr>
      </w:pPr>
    </w:p>
    <w:p w14:paraId="5A955352" w14:textId="77777777" w:rsidR="002C3A0D" w:rsidRDefault="002C3A0D">
      <w:pPr>
        <w:jc w:val="both"/>
        <w:rPr>
          <w:lang w:val="en-US"/>
        </w:rPr>
      </w:pPr>
    </w:p>
    <w:p w14:paraId="2DAA562B" w14:textId="77777777" w:rsidR="002C3A0D" w:rsidRDefault="002C3A0D">
      <w:pPr>
        <w:jc w:val="both"/>
        <w:rPr>
          <w:lang w:val="en-US"/>
        </w:rPr>
      </w:pPr>
    </w:p>
    <w:p w14:paraId="7AB8803E" w14:textId="77777777" w:rsidR="002C3A0D" w:rsidRDefault="002C3A0D">
      <w:pPr>
        <w:jc w:val="both"/>
        <w:rPr>
          <w:lang w:val="en-US"/>
        </w:rPr>
      </w:pPr>
    </w:p>
    <w:p w14:paraId="131CB573" w14:textId="77777777" w:rsidR="002C3A0D" w:rsidRDefault="00000000">
      <w:pPr>
        <w:jc w:val="center"/>
        <w:rPr>
          <w:rFonts w:ascii="Times New Roman" w:hAnsi="Times New Roman" w:cs="Times New Roman"/>
          <w:b/>
          <w:bCs/>
          <w:sz w:val="32"/>
          <w:szCs w:val="32"/>
        </w:rPr>
      </w:pPr>
      <w:r>
        <w:rPr>
          <w:rFonts w:ascii="Times New Roman" w:hAnsi="Times New Roman" w:cs="Times New Roman"/>
          <w:b/>
          <w:bCs/>
          <w:sz w:val="32"/>
          <w:szCs w:val="32"/>
        </w:rPr>
        <w:t>TABLE OF CONTENT</w:t>
      </w:r>
    </w:p>
    <w:p w14:paraId="4F69B80C" w14:textId="77777777" w:rsidR="002C3A0D" w:rsidRDefault="00000000">
      <w:pPr>
        <w:pStyle w:val="TOC3"/>
        <w:tabs>
          <w:tab w:val="right" w:leader="dot" w:pos="9026"/>
        </w:tabs>
        <w:ind w:left="880"/>
      </w:pPr>
      <w:r>
        <w:fldChar w:fldCharType="begin"/>
      </w:r>
      <w:r>
        <w:instrText xml:space="preserve">TOC \o "1-3" \h \u </w:instrText>
      </w:r>
      <w:r>
        <w:fldChar w:fldCharType="separate"/>
      </w:r>
      <w:hyperlink w:anchor="_Toc13875" w:history="1">
        <w:r>
          <w:rPr>
            <w:rFonts w:ascii="Times New Roman" w:eastAsia="Times New Roman" w:hAnsi="Times New Roman" w:cs="Times New Roman"/>
          </w:rPr>
          <w:t>1. REFLECTION ON THE IMPORTANCE OF PRINCIPLES OF HEALTH AND SOCIAL CARE</w:t>
        </w:r>
        <w:r>
          <w:tab/>
        </w:r>
        <w:r>
          <w:fldChar w:fldCharType="begin"/>
        </w:r>
        <w:r>
          <w:instrText xml:space="preserve"> PAGEREF _Toc13875 \h </w:instrText>
        </w:r>
        <w:r>
          <w:fldChar w:fldCharType="separate"/>
        </w:r>
        <w:r>
          <w:t>1</w:t>
        </w:r>
        <w:r>
          <w:fldChar w:fldCharType="end"/>
        </w:r>
      </w:hyperlink>
    </w:p>
    <w:p w14:paraId="25C671D6" w14:textId="77777777" w:rsidR="002C3A0D" w:rsidRDefault="00000000">
      <w:pPr>
        <w:pStyle w:val="TOC3"/>
        <w:tabs>
          <w:tab w:val="right" w:leader="dot" w:pos="9026"/>
        </w:tabs>
        <w:ind w:left="880"/>
      </w:pPr>
      <w:hyperlink w:anchor="_Toc1542" w:history="1">
        <w:r>
          <w:t>2. Practical Examples of Concepts in Practice</w:t>
        </w:r>
        <w:r>
          <w:tab/>
        </w:r>
        <w:r>
          <w:fldChar w:fldCharType="begin"/>
        </w:r>
        <w:r>
          <w:instrText xml:space="preserve"> PAGEREF _Toc1542 \h </w:instrText>
        </w:r>
        <w:r>
          <w:fldChar w:fldCharType="separate"/>
        </w:r>
        <w:r>
          <w:t>3</w:t>
        </w:r>
        <w:r>
          <w:fldChar w:fldCharType="end"/>
        </w:r>
      </w:hyperlink>
    </w:p>
    <w:p w14:paraId="4909F18A" w14:textId="77777777" w:rsidR="002C3A0D" w:rsidRDefault="00000000">
      <w:pPr>
        <w:pStyle w:val="TOC3"/>
        <w:tabs>
          <w:tab w:val="right" w:leader="dot" w:pos="9026"/>
        </w:tabs>
        <w:ind w:left="880"/>
      </w:pPr>
      <w:hyperlink w:anchor="_Toc28171" w:history="1">
        <w:r>
          <w:rPr>
            <w:rFonts w:ascii="Times New Roman" w:eastAsia="Times New Roman" w:hAnsi="Times New Roman" w:cs="Times New Roman"/>
          </w:rPr>
          <w:t>Evaluation of Person-Centred Care, Partnership Working and Ethical Practice: Alex’s Case</w:t>
        </w:r>
        <w:r>
          <w:tab/>
        </w:r>
        <w:r>
          <w:fldChar w:fldCharType="begin"/>
        </w:r>
        <w:r>
          <w:instrText xml:space="preserve"> PAGEREF _Toc28171 \h </w:instrText>
        </w:r>
        <w:r>
          <w:fldChar w:fldCharType="separate"/>
        </w:r>
        <w:r>
          <w:t>3</w:t>
        </w:r>
        <w:r>
          <w:fldChar w:fldCharType="end"/>
        </w:r>
      </w:hyperlink>
    </w:p>
    <w:p w14:paraId="1D8409F6" w14:textId="77777777" w:rsidR="002C3A0D" w:rsidRDefault="00000000">
      <w:pPr>
        <w:pStyle w:val="TOC3"/>
        <w:tabs>
          <w:tab w:val="right" w:leader="dot" w:pos="9026"/>
        </w:tabs>
        <w:ind w:left="880"/>
      </w:pPr>
      <w:hyperlink w:anchor="_Toc28149" w:history="1">
        <w:r>
          <w:t>3. Self-Reflection as a Health and Social Care Professional</w:t>
        </w:r>
        <w:r>
          <w:tab/>
        </w:r>
        <w:r>
          <w:fldChar w:fldCharType="begin"/>
        </w:r>
        <w:r>
          <w:instrText xml:space="preserve"> PAGEREF _Toc28149 \h </w:instrText>
        </w:r>
        <w:r>
          <w:fldChar w:fldCharType="separate"/>
        </w:r>
        <w:r>
          <w:t>4</w:t>
        </w:r>
        <w:r>
          <w:fldChar w:fldCharType="end"/>
        </w:r>
      </w:hyperlink>
    </w:p>
    <w:p w14:paraId="6D7ED923" w14:textId="77777777" w:rsidR="002C3A0D" w:rsidRDefault="00000000">
      <w:pPr>
        <w:pStyle w:val="TOC2"/>
        <w:tabs>
          <w:tab w:val="right" w:leader="dot" w:pos="9026"/>
        </w:tabs>
        <w:ind w:left="440"/>
      </w:pPr>
      <w:hyperlink w:anchor="_Toc19193" w:history="1">
        <w:r>
          <w:rPr>
            <w:rFonts w:ascii="Times New Roman" w:eastAsia="Times New Roman" w:hAnsi="Times New Roman" w:cs="Times New Roman"/>
            <w:szCs w:val="24"/>
          </w:rPr>
          <w:t>Introduction</w:t>
        </w:r>
        <w:r>
          <w:tab/>
        </w:r>
        <w:r>
          <w:fldChar w:fldCharType="begin"/>
        </w:r>
        <w:r>
          <w:instrText xml:space="preserve"> PAGEREF _Toc19193 \h </w:instrText>
        </w:r>
        <w:r>
          <w:fldChar w:fldCharType="separate"/>
        </w:r>
        <w:r>
          <w:t>4</w:t>
        </w:r>
        <w:r>
          <w:fldChar w:fldCharType="end"/>
        </w:r>
      </w:hyperlink>
    </w:p>
    <w:p w14:paraId="365D0B74" w14:textId="77777777" w:rsidR="002C3A0D" w:rsidRDefault="00000000">
      <w:pPr>
        <w:pStyle w:val="TOC2"/>
        <w:tabs>
          <w:tab w:val="right" w:leader="dot" w:pos="9026"/>
        </w:tabs>
        <w:ind w:left="440"/>
      </w:pPr>
      <w:hyperlink w:anchor="_Toc20370" w:history="1">
        <w:r>
          <w:rPr>
            <w:rFonts w:ascii="Times New Roman" w:eastAsia="Times New Roman" w:hAnsi="Times New Roman" w:cs="Times New Roman"/>
            <w:szCs w:val="24"/>
          </w:rPr>
          <w:t>Person-centred care and Maslow’s hierarchy of needs</w:t>
        </w:r>
        <w:r>
          <w:tab/>
        </w:r>
        <w:r>
          <w:fldChar w:fldCharType="begin"/>
        </w:r>
        <w:r>
          <w:instrText xml:space="preserve"> PAGEREF _Toc20370 \h </w:instrText>
        </w:r>
        <w:r>
          <w:fldChar w:fldCharType="separate"/>
        </w:r>
        <w:r>
          <w:t>5</w:t>
        </w:r>
        <w:r>
          <w:fldChar w:fldCharType="end"/>
        </w:r>
      </w:hyperlink>
    </w:p>
    <w:p w14:paraId="2A8D1ECF" w14:textId="77777777" w:rsidR="002C3A0D" w:rsidRDefault="00000000">
      <w:pPr>
        <w:pStyle w:val="TOC2"/>
        <w:tabs>
          <w:tab w:val="right" w:leader="dot" w:pos="9026"/>
        </w:tabs>
        <w:ind w:left="440"/>
      </w:pPr>
      <w:hyperlink w:anchor="_Toc6410" w:history="1">
        <w:r>
          <w:rPr>
            <w:rFonts w:ascii="Times New Roman" w:eastAsia="Times New Roman" w:hAnsi="Times New Roman" w:cs="Times New Roman"/>
            <w:szCs w:val="24"/>
          </w:rPr>
          <w:t>Partnership working in daily practice</w:t>
        </w:r>
        <w:r>
          <w:tab/>
        </w:r>
        <w:r>
          <w:fldChar w:fldCharType="begin"/>
        </w:r>
        <w:r>
          <w:instrText xml:space="preserve"> PAGEREF _Toc6410 \h </w:instrText>
        </w:r>
        <w:r>
          <w:fldChar w:fldCharType="separate"/>
        </w:r>
        <w:r>
          <w:t>6</w:t>
        </w:r>
        <w:r>
          <w:fldChar w:fldCharType="end"/>
        </w:r>
      </w:hyperlink>
    </w:p>
    <w:p w14:paraId="02E3B17C" w14:textId="77777777" w:rsidR="002C3A0D" w:rsidRDefault="00000000">
      <w:pPr>
        <w:pStyle w:val="TOC2"/>
        <w:tabs>
          <w:tab w:val="right" w:leader="dot" w:pos="9026"/>
        </w:tabs>
        <w:ind w:left="440"/>
      </w:pPr>
      <w:hyperlink w:anchor="_Toc30795" w:history="1">
        <w:r>
          <w:rPr>
            <w:rFonts w:ascii="Times New Roman" w:eastAsia="Times New Roman" w:hAnsi="Times New Roman" w:cs="Times New Roman"/>
            <w:szCs w:val="24"/>
          </w:rPr>
          <w:t>Ethical practice and professional responsibilities</w:t>
        </w:r>
        <w:r>
          <w:tab/>
        </w:r>
        <w:r>
          <w:fldChar w:fldCharType="begin"/>
        </w:r>
        <w:r>
          <w:instrText xml:space="preserve"> PAGEREF _Toc30795 \h </w:instrText>
        </w:r>
        <w:r>
          <w:fldChar w:fldCharType="separate"/>
        </w:r>
        <w:r>
          <w:t>6</w:t>
        </w:r>
        <w:r>
          <w:fldChar w:fldCharType="end"/>
        </w:r>
      </w:hyperlink>
    </w:p>
    <w:p w14:paraId="741CA40E" w14:textId="77777777" w:rsidR="002C3A0D" w:rsidRDefault="00000000">
      <w:pPr>
        <w:pStyle w:val="TOC2"/>
        <w:tabs>
          <w:tab w:val="right" w:leader="dot" w:pos="9026"/>
        </w:tabs>
        <w:ind w:left="440"/>
      </w:pPr>
      <w:hyperlink w:anchor="_Toc9015" w:history="1">
        <w:r>
          <w:rPr>
            <w:rFonts w:ascii="Times New Roman" w:eastAsia="Times New Roman" w:hAnsi="Times New Roman" w:cs="Times New Roman"/>
            <w:szCs w:val="24"/>
          </w:rPr>
          <w:t>Self-reflection: my strengths and areas for improvement</w:t>
        </w:r>
        <w:r>
          <w:tab/>
        </w:r>
        <w:r>
          <w:fldChar w:fldCharType="begin"/>
        </w:r>
        <w:r>
          <w:instrText xml:space="preserve"> PAGEREF _Toc9015 \h </w:instrText>
        </w:r>
        <w:r>
          <w:fldChar w:fldCharType="separate"/>
        </w:r>
        <w:r>
          <w:t>7</w:t>
        </w:r>
        <w:r>
          <w:fldChar w:fldCharType="end"/>
        </w:r>
      </w:hyperlink>
    </w:p>
    <w:p w14:paraId="09CEAE45" w14:textId="77777777" w:rsidR="002C3A0D" w:rsidRDefault="00000000">
      <w:pPr>
        <w:pStyle w:val="TOC2"/>
        <w:tabs>
          <w:tab w:val="right" w:leader="dot" w:pos="9026"/>
        </w:tabs>
        <w:ind w:left="440"/>
      </w:pPr>
      <w:hyperlink w:anchor="_Toc5465" w:history="1">
        <w:r>
          <w:rPr>
            <w:rFonts w:ascii="Times New Roman" w:eastAsia="Times New Roman" w:hAnsi="Times New Roman" w:cs="Times New Roman"/>
            <w:szCs w:val="24"/>
          </w:rPr>
          <w:t>Future development plan</w:t>
        </w:r>
        <w:r>
          <w:tab/>
        </w:r>
        <w:r>
          <w:fldChar w:fldCharType="begin"/>
        </w:r>
        <w:r>
          <w:instrText xml:space="preserve"> PAGEREF _Toc5465 \h </w:instrText>
        </w:r>
        <w:r>
          <w:fldChar w:fldCharType="separate"/>
        </w:r>
        <w:r>
          <w:t>8</w:t>
        </w:r>
        <w:r>
          <w:fldChar w:fldCharType="end"/>
        </w:r>
      </w:hyperlink>
    </w:p>
    <w:p w14:paraId="590036F3" w14:textId="77777777" w:rsidR="002C3A0D" w:rsidRDefault="00000000">
      <w:pPr>
        <w:pStyle w:val="TOC2"/>
        <w:tabs>
          <w:tab w:val="right" w:leader="dot" w:pos="9026"/>
        </w:tabs>
        <w:ind w:left="440"/>
      </w:pPr>
      <w:hyperlink w:anchor="_Toc16245" w:history="1">
        <w:r>
          <w:rPr>
            <w:rFonts w:ascii="Times New Roman" w:eastAsia="Times New Roman" w:hAnsi="Times New Roman" w:cs="Times New Roman"/>
            <w:szCs w:val="24"/>
          </w:rPr>
          <w:t>Conclusion</w:t>
        </w:r>
        <w:r>
          <w:tab/>
        </w:r>
        <w:r>
          <w:fldChar w:fldCharType="begin"/>
        </w:r>
        <w:r>
          <w:instrText xml:space="preserve"> PAGEREF _Toc16245 \h </w:instrText>
        </w:r>
        <w:r>
          <w:fldChar w:fldCharType="separate"/>
        </w:r>
        <w:r>
          <w:t>8</w:t>
        </w:r>
        <w:r>
          <w:fldChar w:fldCharType="end"/>
        </w:r>
      </w:hyperlink>
    </w:p>
    <w:p w14:paraId="7848F6B8" w14:textId="77777777" w:rsidR="002C3A0D" w:rsidRDefault="00000000">
      <w:pPr>
        <w:spacing w:line="360" w:lineRule="auto"/>
      </w:pPr>
      <w:r>
        <w:fldChar w:fldCharType="end"/>
      </w:r>
    </w:p>
    <w:p w14:paraId="222DE702" w14:textId="77777777" w:rsidR="002C3A0D" w:rsidRDefault="002C3A0D">
      <w:pPr>
        <w:spacing w:line="360" w:lineRule="auto"/>
        <w:jc w:val="center"/>
        <w:rPr>
          <w:rFonts w:ascii="Times New Roman" w:hAnsi="Times New Roman" w:cs="Times New Roman"/>
          <w:sz w:val="24"/>
          <w:szCs w:val="24"/>
        </w:rPr>
      </w:pPr>
    </w:p>
    <w:p w14:paraId="5603FC6F" w14:textId="77777777" w:rsidR="002C3A0D" w:rsidRDefault="002C3A0D">
      <w:pPr>
        <w:spacing w:line="360" w:lineRule="auto"/>
        <w:jc w:val="center"/>
        <w:rPr>
          <w:rFonts w:ascii="Times New Roman" w:hAnsi="Times New Roman" w:cs="Times New Roman"/>
          <w:sz w:val="24"/>
          <w:szCs w:val="24"/>
        </w:rPr>
      </w:pPr>
    </w:p>
    <w:p w14:paraId="71F81DD1" w14:textId="77777777" w:rsidR="002C3A0D" w:rsidRDefault="002C3A0D">
      <w:pPr>
        <w:spacing w:line="360" w:lineRule="auto"/>
        <w:jc w:val="center"/>
        <w:rPr>
          <w:rFonts w:ascii="Times New Roman" w:hAnsi="Times New Roman" w:cs="Times New Roman"/>
          <w:sz w:val="24"/>
          <w:szCs w:val="24"/>
        </w:rPr>
      </w:pPr>
    </w:p>
    <w:p w14:paraId="569CBF8E" w14:textId="77777777" w:rsidR="002C3A0D" w:rsidRDefault="002C3A0D">
      <w:pPr>
        <w:spacing w:line="360" w:lineRule="auto"/>
        <w:jc w:val="center"/>
        <w:rPr>
          <w:rFonts w:ascii="Times New Roman" w:hAnsi="Times New Roman" w:cs="Times New Roman"/>
          <w:sz w:val="24"/>
          <w:szCs w:val="24"/>
        </w:rPr>
      </w:pPr>
    </w:p>
    <w:p w14:paraId="566D8253" w14:textId="77777777" w:rsidR="002C3A0D" w:rsidRDefault="002C3A0D">
      <w:pPr>
        <w:spacing w:line="360" w:lineRule="auto"/>
        <w:jc w:val="center"/>
        <w:rPr>
          <w:rFonts w:ascii="Times New Roman" w:hAnsi="Times New Roman" w:cs="Times New Roman"/>
          <w:sz w:val="24"/>
          <w:szCs w:val="24"/>
        </w:rPr>
      </w:pPr>
    </w:p>
    <w:p w14:paraId="422D9EE4" w14:textId="77777777" w:rsidR="002C3A0D" w:rsidRDefault="002C3A0D">
      <w:pPr>
        <w:spacing w:line="360" w:lineRule="auto"/>
        <w:jc w:val="center"/>
        <w:rPr>
          <w:rFonts w:ascii="Times New Roman" w:hAnsi="Times New Roman" w:cs="Times New Roman"/>
          <w:sz w:val="24"/>
          <w:szCs w:val="24"/>
        </w:rPr>
      </w:pPr>
    </w:p>
    <w:p w14:paraId="6B356A84" w14:textId="77777777" w:rsidR="002C3A0D" w:rsidRDefault="002C3A0D">
      <w:pPr>
        <w:spacing w:line="360" w:lineRule="auto"/>
        <w:jc w:val="center"/>
        <w:rPr>
          <w:rFonts w:ascii="Times New Roman" w:hAnsi="Times New Roman" w:cs="Times New Roman"/>
          <w:sz w:val="24"/>
          <w:szCs w:val="24"/>
        </w:rPr>
      </w:pPr>
    </w:p>
    <w:p w14:paraId="7B44340C" w14:textId="77777777" w:rsidR="002C3A0D" w:rsidRDefault="002C3A0D">
      <w:pPr>
        <w:spacing w:line="360" w:lineRule="auto"/>
        <w:jc w:val="center"/>
        <w:rPr>
          <w:rFonts w:ascii="Times New Roman" w:hAnsi="Times New Roman" w:cs="Times New Roman"/>
          <w:sz w:val="24"/>
          <w:szCs w:val="24"/>
        </w:rPr>
      </w:pPr>
    </w:p>
    <w:p w14:paraId="028DB85C" w14:textId="77777777" w:rsidR="002C3A0D" w:rsidRDefault="002C3A0D">
      <w:pPr>
        <w:spacing w:line="360" w:lineRule="auto"/>
        <w:jc w:val="center"/>
        <w:rPr>
          <w:rFonts w:ascii="Times New Roman" w:hAnsi="Times New Roman" w:cs="Times New Roman"/>
          <w:sz w:val="24"/>
          <w:szCs w:val="24"/>
        </w:rPr>
      </w:pPr>
    </w:p>
    <w:p w14:paraId="11E6489D" w14:textId="77777777" w:rsidR="002C3A0D" w:rsidRDefault="002C3A0D">
      <w:pPr>
        <w:spacing w:line="360" w:lineRule="auto"/>
        <w:jc w:val="center"/>
        <w:rPr>
          <w:rFonts w:ascii="Times New Roman" w:hAnsi="Times New Roman" w:cs="Times New Roman"/>
          <w:sz w:val="24"/>
          <w:szCs w:val="24"/>
        </w:rPr>
      </w:pPr>
    </w:p>
    <w:p w14:paraId="4A7C6270" w14:textId="77777777" w:rsidR="002C3A0D" w:rsidRDefault="002C3A0D">
      <w:pPr>
        <w:spacing w:line="360" w:lineRule="auto"/>
        <w:jc w:val="center"/>
        <w:rPr>
          <w:rFonts w:ascii="Times New Roman" w:hAnsi="Times New Roman" w:cs="Times New Roman"/>
          <w:sz w:val="24"/>
          <w:szCs w:val="24"/>
        </w:rPr>
      </w:pPr>
    </w:p>
    <w:p w14:paraId="20D94465" w14:textId="77777777" w:rsidR="002C3A0D" w:rsidRDefault="002C3A0D">
      <w:pPr>
        <w:spacing w:line="360" w:lineRule="auto"/>
        <w:jc w:val="center"/>
        <w:rPr>
          <w:rFonts w:ascii="Times New Roman" w:hAnsi="Times New Roman" w:cs="Times New Roman"/>
          <w:sz w:val="24"/>
          <w:szCs w:val="24"/>
        </w:rPr>
      </w:pPr>
    </w:p>
    <w:p w14:paraId="4A21AB23" w14:textId="77777777" w:rsidR="002C3A0D" w:rsidRDefault="002C3A0D">
      <w:pPr>
        <w:spacing w:line="360" w:lineRule="auto"/>
        <w:jc w:val="center"/>
        <w:rPr>
          <w:rFonts w:ascii="Times New Roman" w:hAnsi="Times New Roman" w:cs="Times New Roman"/>
          <w:sz w:val="24"/>
          <w:szCs w:val="24"/>
        </w:rPr>
      </w:pPr>
    </w:p>
    <w:p w14:paraId="08AF2C65" w14:textId="77777777" w:rsidR="002C3A0D" w:rsidRDefault="002C3A0D">
      <w:pPr>
        <w:spacing w:line="360" w:lineRule="auto"/>
        <w:jc w:val="center"/>
        <w:rPr>
          <w:rFonts w:ascii="Times New Roman" w:hAnsi="Times New Roman" w:cs="Times New Roman"/>
          <w:sz w:val="24"/>
          <w:szCs w:val="24"/>
        </w:rPr>
      </w:pPr>
    </w:p>
    <w:p w14:paraId="4346C787" w14:textId="77777777" w:rsidR="002C3A0D" w:rsidRDefault="00000000">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Task1</w:t>
      </w:r>
    </w:p>
    <w:p w14:paraId="0D615FA9" w14:textId="77777777" w:rsidR="002C3A0D" w:rsidRDefault="00000000">
      <w:pPr>
        <w:pStyle w:val="Heading3"/>
        <w:numPr>
          <w:ilvl w:val="0"/>
          <w:numId w:val="1"/>
        </w:numPr>
        <w:spacing w:line="360" w:lineRule="auto"/>
        <w:jc w:val="both"/>
        <w:rPr>
          <w:rFonts w:ascii="Times New Roman" w:eastAsia="Times New Roman" w:hAnsi="Times New Roman" w:cs="Times New Roman"/>
        </w:rPr>
      </w:pPr>
      <w:bookmarkStart w:id="0" w:name="_Toc13875"/>
      <w:r>
        <w:rPr>
          <w:rFonts w:ascii="Times New Roman" w:eastAsia="Times New Roman" w:hAnsi="Times New Roman" w:cs="Times New Roman"/>
        </w:rPr>
        <w:t>REFLECTION ON THE IMPORTANCE OF PRINCIPLES OF HEALTH AND SOCIAL CARE</w:t>
      </w:r>
      <w:bookmarkEnd w:id="0"/>
    </w:p>
    <w:p w14:paraId="6B9F9329" w14:textId="77777777" w:rsidR="002C3A0D" w:rsidRDefault="00000000">
      <w:pPr>
        <w:pStyle w:val="NormalWeb"/>
        <w:spacing w:line="360" w:lineRule="auto"/>
        <w:jc w:val="both"/>
      </w:pPr>
      <w:r>
        <w:t>High-quality health and social care in the UK is about more than delivering effective treatment. People also need to be treated with respect, kept informed and supported in a way that fits their own values, wishes and situation. For this reason person-centred care (PCC) sits at the heart of good practice: it shifts the focus from completing tasks to finding out what matters to each individual. The person-centred nursing framework developed by McCormack and McCance stresses therapeutic relationships, decisions made jointly and a care setting that feels supportive. Hodge et al. (2024) found that PCC is fundamentally relational, depending on mutual respect and a genuine partnership among individuals, their families and staff. Quality, then, is not simply a matter of ticking off clinical tasks; it comes from treating the person as an active participant in their own care.</w:t>
      </w:r>
    </w:p>
    <w:p w14:paraId="63DD71A5" w14:textId="77777777" w:rsidR="002C3A0D" w:rsidRDefault="00000000">
      <w:pPr>
        <w:pStyle w:val="NormalWeb"/>
        <w:spacing w:line="360" w:lineRule="auto"/>
        <w:jc w:val="both"/>
      </w:pPr>
      <w:r>
        <w:t>Person-centred practice also strengthens autonomy and empowerment. Through shared decision-making, people come to understand the choices open to them and take part in deciding what treatment and support they receive. Pieterse et al. (2023) argue that doing this well calls for professionals to build communication skills and personal qualities that allow real participation, not merely the passing on of information. The point carries particular weight in social care, where people ought to have genuine choice and control over the support they receive. Kelly et al. (2024) add that a human-rights-based approach rests on dignity, autonomy, equality, participation and communication. As a result, tailoring care to the individual can improve how people experience services as well as their independence and involvement.</w:t>
      </w:r>
    </w:p>
    <w:p w14:paraId="415DBA8E" w14:textId="77777777" w:rsidR="002C3A0D" w:rsidRDefault="00000000">
      <w:pPr>
        <w:pStyle w:val="NormalWeb"/>
        <w:spacing w:line="360" w:lineRule="auto"/>
        <w:jc w:val="both"/>
      </w:pPr>
      <w:r>
        <w:t xml:space="preserve">Partnership working matters just as much, since people with complex needs frequently rely on several professionals and organisations at once. When nurses, social workers, doctors, occupational therapists, care workers, families and voluntary groups cooperate, care is less likely to become fragmented and more likely to be continuous. Integrated Care Systems in </w:t>
      </w:r>
      <w:r>
        <w:lastRenderedPageBreak/>
        <w:t>England have raised expectations that health, social care and community bodies will work jointly. Lewis et al. (2024) report that successful integration relies on good relationships, common competencies and coordination across professional boundaries. Even so, partnership does not work well by default, because differing roles, resources and organisational priorities can get in the way. Clear communication, information sharing, mutual respect and defined responsibilities are therefore needed for care to be properly coordinated.</w:t>
      </w:r>
    </w:p>
    <w:p w14:paraId="43CABDD7" w14:textId="77777777" w:rsidR="002C3A0D" w:rsidRDefault="00000000">
      <w:pPr>
        <w:pStyle w:val="NormalWeb"/>
        <w:spacing w:line="360" w:lineRule="auto"/>
        <w:jc w:val="both"/>
      </w:pPr>
      <w:r>
        <w:t xml:space="preserve">Ethics forms a further basis for quality. The </w:t>
      </w:r>
      <w:proofErr w:type="spellStart"/>
      <w:r>
        <w:t>principlism</w:t>
      </w:r>
      <w:proofErr w:type="spellEnd"/>
      <w:r>
        <w:t xml:space="preserve"> of Beauchamp and Childress names autonomy, beneficence, non-maleficence and justice as the main considerations in health care decisions, and these help professionals weigh up competing duties. Respecting a person's autonomy, for instance, can pull against beneficence when a professional believes an intervention would help them. Cheraghi et al. (2023) confirm that beneficence and non-maleficence may clash with autonomy, so ethical practice means thinking each case through instead of applying one principle automatically. Sound ethical decisions should weigh the person's wishes, capacity and rights, the likely benefits and harms, and fairness.</w:t>
      </w:r>
    </w:p>
    <w:p w14:paraId="53E1BC4B" w14:textId="77777777" w:rsidR="002C3A0D" w:rsidRDefault="00000000">
      <w:pPr>
        <w:pStyle w:val="NormalWeb"/>
        <w:spacing w:line="360" w:lineRule="auto"/>
        <w:jc w:val="both"/>
      </w:pPr>
      <w:r>
        <w:t>In summary, person-centred care, partnership working and ethical practice are closely linked. PCC gives people a voice, partnership draws together the knowledge and skills needed to meet complex needs, and ethical principles offer guidance when decisions are hard. Combined, they uphold dignity, safety, autonomy, equality and well-being, which define high-quality health and social care in the UK.</w:t>
      </w:r>
    </w:p>
    <w:p w14:paraId="16016543" w14:textId="77777777" w:rsidR="002C3A0D" w:rsidRDefault="002C3A0D">
      <w:pPr>
        <w:pStyle w:val="NormalWeb"/>
        <w:spacing w:line="360" w:lineRule="auto"/>
        <w:jc w:val="both"/>
      </w:pPr>
    </w:p>
    <w:p w14:paraId="4E9670EA" w14:textId="77777777" w:rsidR="002C3A0D" w:rsidRDefault="002C3A0D">
      <w:pPr>
        <w:pStyle w:val="NormalWeb"/>
        <w:spacing w:line="360" w:lineRule="auto"/>
        <w:jc w:val="both"/>
      </w:pPr>
    </w:p>
    <w:p w14:paraId="7C7695F9" w14:textId="77777777" w:rsidR="002C3A0D" w:rsidRDefault="002C3A0D">
      <w:pPr>
        <w:pStyle w:val="NormalWeb"/>
        <w:spacing w:line="360" w:lineRule="auto"/>
        <w:jc w:val="both"/>
      </w:pPr>
    </w:p>
    <w:p w14:paraId="6C6470E8" w14:textId="77777777" w:rsidR="002C3A0D" w:rsidRDefault="002C3A0D">
      <w:pPr>
        <w:pStyle w:val="NormalWeb"/>
        <w:spacing w:line="360" w:lineRule="auto"/>
        <w:jc w:val="both"/>
      </w:pPr>
    </w:p>
    <w:p w14:paraId="644C736F" w14:textId="77777777" w:rsidR="002C3A0D" w:rsidRDefault="002C3A0D">
      <w:pPr>
        <w:pStyle w:val="NormalWeb"/>
        <w:spacing w:line="360" w:lineRule="auto"/>
        <w:jc w:val="both"/>
      </w:pPr>
    </w:p>
    <w:p w14:paraId="63F54C9A" w14:textId="77777777" w:rsidR="002C3A0D" w:rsidRDefault="002C3A0D">
      <w:pPr>
        <w:pStyle w:val="NormalWeb"/>
        <w:spacing w:line="360" w:lineRule="auto"/>
        <w:jc w:val="both"/>
      </w:pPr>
    </w:p>
    <w:p w14:paraId="5488A3A2" w14:textId="77777777" w:rsidR="002C3A0D" w:rsidRDefault="00000000">
      <w:pPr>
        <w:pStyle w:val="NormalWeb"/>
        <w:spacing w:line="360" w:lineRule="auto"/>
        <w:jc w:val="center"/>
        <w:rPr>
          <w:b/>
          <w:bCs/>
        </w:rPr>
      </w:pPr>
      <w:r>
        <w:rPr>
          <w:b/>
          <w:bCs/>
        </w:rPr>
        <w:t>Task 2</w:t>
      </w:r>
    </w:p>
    <w:p w14:paraId="18FA6914" w14:textId="77777777" w:rsidR="002C3A0D" w:rsidRDefault="00000000">
      <w:pPr>
        <w:pStyle w:val="Heading3"/>
        <w:numPr>
          <w:ilvl w:val="0"/>
          <w:numId w:val="1"/>
        </w:numPr>
        <w:spacing w:line="360" w:lineRule="auto"/>
      </w:pPr>
      <w:bookmarkStart w:id="1" w:name="_Toc1542"/>
      <w:r>
        <w:lastRenderedPageBreak/>
        <w:t>Practical Examples of Concepts in Practice</w:t>
      </w:r>
      <w:bookmarkEnd w:id="1"/>
      <w:r>
        <w:t xml:space="preserve"> </w:t>
      </w:r>
    </w:p>
    <w:p w14:paraId="599DD4F8" w14:textId="77777777" w:rsidR="002C3A0D" w:rsidRDefault="00000000">
      <w:pPr>
        <w:pStyle w:val="Heading3"/>
        <w:spacing w:line="360" w:lineRule="auto"/>
        <w:jc w:val="both"/>
        <w:rPr>
          <w:rFonts w:ascii="Times New Roman" w:eastAsia="Times New Roman" w:hAnsi="Times New Roman" w:cs="Times New Roman"/>
        </w:rPr>
      </w:pPr>
      <w:bookmarkStart w:id="2" w:name="_Toc28171"/>
      <w:r>
        <w:rPr>
          <w:rFonts w:ascii="Times New Roman" w:eastAsia="Times New Roman" w:hAnsi="Times New Roman" w:cs="Times New Roman"/>
        </w:rPr>
        <w:t>Evaluation of Person-Centred Care, Partnership Working and Ethical Practice: Alex’s Case</w:t>
      </w:r>
      <w:bookmarkEnd w:id="2"/>
    </w:p>
    <w:p w14:paraId="17000A7C" w14:textId="77777777" w:rsidR="002C3A0D" w:rsidRDefault="00000000">
      <w:pPr>
        <w:pStyle w:val="NormalWeb"/>
        <w:spacing w:line="360" w:lineRule="auto"/>
        <w:jc w:val="both"/>
      </w:pPr>
      <w:r>
        <w:t>Alex is six years old and has autism spectrum disorder (ASD), which brings difficulties with social communication and sensory sensitivities. His care should start from an understanding of his strengths, preferences and communication needs, not from a view of autism as something to be "fixed". Carter et al. (2024) describe a child-centred model that treats the child as an individual and involves children and families in care decisions. In Alex's case this might mean plain language, visual supports, predictable routines and extra time to communicate. Reducing noise, bright lighting and unnecessary waiting could also address his sensory needs. Roy et al. (2024) report, from an autism-focused health care intervention, that sensory adaptations can improve children's experiences and ease difficulties during appointments.</w:t>
      </w:r>
    </w:p>
    <w:p w14:paraId="779EE919" w14:textId="77777777" w:rsidR="002C3A0D" w:rsidRDefault="00000000">
      <w:pPr>
        <w:pStyle w:val="NormalWeb"/>
        <w:spacing w:line="360" w:lineRule="auto"/>
        <w:jc w:val="both"/>
      </w:pPr>
      <w:r>
        <w:t>Alex's parents or carers should also be involved, as they hold useful knowledge about how he communicates, how he behaves, what he prefers and what upsets him. This follows the principles of family-centred care, in which professionals and families decide together instead of professionals acting alone. Myers, Collins and Maguire (2024) found that families of autistic children often meet disjointed services and little communication between professionals, leaving parents feeling that coordinating their child's care falls to them. For Alex, good partnership working could bring together his parents, GP, paediatrician, speech and language therapist, occupational therapist, school staff and social care professionals to share relevant information and agree common goals. Working across disciplines in this way could avoid duplication and keep the approaches used at home, at school and in health care consistent.</w:t>
      </w:r>
    </w:p>
    <w:p w14:paraId="26614AD0" w14:textId="77777777" w:rsidR="002C3A0D" w:rsidRDefault="00000000">
      <w:pPr>
        <w:pStyle w:val="NormalWeb"/>
        <w:spacing w:line="360" w:lineRule="auto"/>
        <w:jc w:val="both"/>
      </w:pPr>
      <w:r>
        <w:t>Partnership working can nevertheless be difficult in the UK health and social care system. Parr et al. (2024), in a national UK survey, found that many autism assessment services had incomplete multidisciplinary teams and struggled to offer comprehensive assessments because of pressures on resources and staffing. Fragmented services could leave Alex facing delays, repeated assessments or conflicting advice. A coordinated care plan that sets out each professional's responsibilities and keeps regular contact with his family could help to prevent this.</w:t>
      </w:r>
    </w:p>
    <w:p w14:paraId="7D7FC23C" w14:textId="77777777" w:rsidR="002C3A0D" w:rsidRDefault="00000000">
      <w:pPr>
        <w:pStyle w:val="NormalWeb"/>
        <w:spacing w:line="360" w:lineRule="auto"/>
        <w:jc w:val="both"/>
      </w:pPr>
      <w:r>
        <w:t xml:space="preserve">Ethical practice is essential too. The principles of Beauchamp and Childress, namely </w:t>
      </w:r>
      <w:r>
        <w:rPr>
          <w:rStyle w:val="Strong"/>
        </w:rPr>
        <w:t>autonomy, beneficence, non-maleficence and justice</w:t>
      </w:r>
      <w:r>
        <w:t xml:space="preserve"> give a helpful framework for thinking about Alex's care. He is young, but neither his age nor his autism is a reason to disregard his </w:t>
      </w:r>
      <w:r>
        <w:lastRenderedPageBreak/>
        <w:t>views. Professionals should communicate in a way suited to his development and seek his assent wherever they can. Davies, Preston and Phillips (2024) argue that involving children in health care decisions respects their developing autonomy and helps limit psychological harm. Alex could therefore be offered choices, such as which activity to do first or where he would feel most at ease during an assessment.</w:t>
      </w:r>
    </w:p>
    <w:p w14:paraId="294B6C3D" w14:textId="77777777" w:rsidR="002C3A0D" w:rsidRDefault="00000000">
      <w:pPr>
        <w:pStyle w:val="NormalWeb"/>
        <w:spacing w:line="360" w:lineRule="auto"/>
        <w:jc w:val="both"/>
      </w:pPr>
      <w:r>
        <w:t>To sum up, person-centred care, partnership working and ethical practice depend on one another. Adjusting communication and the sensory environment can make Alex's experience better, while collaboration gives him continuity across health, social care and education. Ethical decision-making keeps his dignity, growing autonomy, safety and best interests at the centre. Together these approaches can lead to fairer, more responsive care, even given the pressures and fragmentation found in UK services.</w:t>
      </w:r>
    </w:p>
    <w:p w14:paraId="4D841E20" w14:textId="77777777" w:rsidR="002C3A0D" w:rsidRDefault="002C3A0D">
      <w:pPr>
        <w:pStyle w:val="NormalWeb"/>
        <w:spacing w:line="360" w:lineRule="auto"/>
        <w:jc w:val="center"/>
        <w:rPr>
          <w:b/>
          <w:bCs/>
        </w:rPr>
      </w:pPr>
    </w:p>
    <w:p w14:paraId="608493C8" w14:textId="77777777" w:rsidR="002C3A0D" w:rsidRDefault="002C3A0D">
      <w:pPr>
        <w:pStyle w:val="NormalWeb"/>
        <w:spacing w:line="360" w:lineRule="auto"/>
        <w:jc w:val="center"/>
        <w:rPr>
          <w:b/>
          <w:bCs/>
        </w:rPr>
      </w:pPr>
    </w:p>
    <w:p w14:paraId="5926378C" w14:textId="77777777" w:rsidR="002C3A0D" w:rsidRDefault="002C3A0D">
      <w:pPr>
        <w:pStyle w:val="NormalWeb"/>
        <w:spacing w:line="360" w:lineRule="auto"/>
        <w:jc w:val="center"/>
        <w:rPr>
          <w:b/>
          <w:bCs/>
        </w:rPr>
      </w:pPr>
    </w:p>
    <w:p w14:paraId="2A2DD22C" w14:textId="77777777" w:rsidR="002C3A0D" w:rsidRDefault="002C3A0D">
      <w:pPr>
        <w:pStyle w:val="NormalWeb"/>
        <w:spacing w:line="360" w:lineRule="auto"/>
        <w:jc w:val="center"/>
        <w:rPr>
          <w:b/>
          <w:bCs/>
        </w:rPr>
      </w:pPr>
    </w:p>
    <w:p w14:paraId="3AE4B36F" w14:textId="77777777" w:rsidR="002C3A0D" w:rsidRDefault="002C3A0D">
      <w:pPr>
        <w:pStyle w:val="NormalWeb"/>
        <w:spacing w:line="360" w:lineRule="auto"/>
        <w:jc w:val="center"/>
        <w:rPr>
          <w:b/>
          <w:bCs/>
        </w:rPr>
      </w:pPr>
    </w:p>
    <w:p w14:paraId="72C46DCE" w14:textId="77777777" w:rsidR="002C3A0D" w:rsidRDefault="002C3A0D">
      <w:pPr>
        <w:pStyle w:val="NormalWeb"/>
        <w:spacing w:line="360" w:lineRule="auto"/>
        <w:jc w:val="center"/>
        <w:rPr>
          <w:b/>
          <w:bCs/>
        </w:rPr>
      </w:pPr>
    </w:p>
    <w:p w14:paraId="74B578C9" w14:textId="77777777" w:rsidR="002C3A0D" w:rsidRDefault="002C3A0D">
      <w:pPr>
        <w:pStyle w:val="NormalWeb"/>
        <w:spacing w:line="360" w:lineRule="auto"/>
        <w:jc w:val="center"/>
        <w:rPr>
          <w:b/>
          <w:bCs/>
        </w:rPr>
      </w:pPr>
    </w:p>
    <w:p w14:paraId="70E7A815" w14:textId="77777777" w:rsidR="002C3A0D" w:rsidRDefault="002C3A0D">
      <w:pPr>
        <w:pStyle w:val="NormalWeb"/>
        <w:spacing w:line="360" w:lineRule="auto"/>
        <w:jc w:val="center"/>
        <w:rPr>
          <w:b/>
          <w:bCs/>
        </w:rPr>
      </w:pPr>
    </w:p>
    <w:p w14:paraId="02283195" w14:textId="77777777" w:rsidR="002C3A0D" w:rsidRDefault="002C3A0D">
      <w:pPr>
        <w:pStyle w:val="NormalWeb"/>
        <w:spacing w:line="360" w:lineRule="auto"/>
        <w:jc w:val="both"/>
        <w:rPr>
          <w:b/>
          <w:bCs/>
        </w:rPr>
      </w:pPr>
    </w:p>
    <w:p w14:paraId="5B02CFA8" w14:textId="77777777" w:rsidR="002C3A0D" w:rsidRDefault="00000000">
      <w:pPr>
        <w:pStyle w:val="NormalWeb"/>
        <w:spacing w:line="360" w:lineRule="auto"/>
        <w:jc w:val="center"/>
        <w:rPr>
          <w:b/>
          <w:bCs/>
        </w:rPr>
      </w:pPr>
      <w:r>
        <w:rPr>
          <w:b/>
          <w:bCs/>
        </w:rPr>
        <w:t>Task 3</w:t>
      </w:r>
    </w:p>
    <w:p w14:paraId="15E55885" w14:textId="77777777" w:rsidR="002C3A0D" w:rsidRDefault="00000000">
      <w:pPr>
        <w:pStyle w:val="Heading3"/>
        <w:numPr>
          <w:ilvl w:val="0"/>
          <w:numId w:val="1"/>
        </w:numPr>
        <w:spacing w:line="360" w:lineRule="auto"/>
      </w:pPr>
      <w:bookmarkStart w:id="3" w:name="_Toc28149"/>
      <w:r>
        <w:t>Self-Reflection as a Health and Social Care Professional</w:t>
      </w:r>
      <w:bookmarkEnd w:id="3"/>
      <w:r>
        <w:t xml:space="preserve"> </w:t>
      </w:r>
    </w:p>
    <w:p w14:paraId="1A81B3CB" w14:textId="77777777" w:rsidR="002C3A0D" w:rsidRDefault="00000000">
      <w:pPr>
        <w:pStyle w:val="Heading2"/>
        <w:spacing w:line="360" w:lineRule="auto"/>
        <w:jc w:val="both"/>
        <w:rPr>
          <w:rFonts w:ascii="Times New Roman" w:eastAsia="Times New Roman" w:hAnsi="Times New Roman" w:cs="Times New Roman"/>
          <w:sz w:val="24"/>
          <w:szCs w:val="24"/>
        </w:rPr>
      </w:pPr>
      <w:bookmarkStart w:id="4" w:name="_Toc19193"/>
      <w:r>
        <w:rPr>
          <w:rFonts w:ascii="Times New Roman" w:eastAsia="Times New Roman" w:hAnsi="Times New Roman" w:cs="Times New Roman"/>
          <w:sz w:val="24"/>
          <w:szCs w:val="24"/>
        </w:rPr>
        <w:t>Introduction</w:t>
      </w:r>
      <w:bookmarkEnd w:id="4"/>
    </w:p>
    <w:p w14:paraId="7CDB458A" w14:textId="77777777" w:rsidR="002C3A0D" w:rsidRDefault="00000000">
      <w:pPr>
        <w:pStyle w:val="w6asjqtextbase"/>
        <w:spacing w:line="360" w:lineRule="auto"/>
        <w:jc w:val="both"/>
      </w:pPr>
      <w:r>
        <w:t xml:space="preserve">As a health and social care professional, I recognise that quality care involves more than getting daily tasks done. It means respecting each person's dignity, understanding what they need, </w:t>
      </w:r>
      <w:r>
        <w:lastRenderedPageBreak/>
        <w:t>involving them in decisions and working well alongside other professionals. Person-centred care, partnership working and ethical practice are tightly linked because together they promote safety, independence and well-being. Kelsall-Knight and Stevens (2024) explain that planning person-centred care means taking account of people's preferences, social circumstances and life experiences. Reflecting on these principles helps me see where my strengths lie and where I still need to develop. Maslow's hierarchy of needs offers a useful theoretical lens for seeing how meeting basic needs supports a person's emotional and psychological well-being.</w:t>
      </w:r>
    </w:p>
    <w:p w14:paraId="0307B453" w14:textId="77777777" w:rsidR="002C3A0D" w:rsidRDefault="00000000">
      <w:pPr>
        <w:pStyle w:val="Heading2"/>
        <w:spacing w:line="360" w:lineRule="auto"/>
        <w:jc w:val="both"/>
      </w:pPr>
      <w:bookmarkStart w:id="5" w:name="_Toc20370"/>
      <w:r>
        <w:rPr>
          <w:rFonts w:ascii="Times New Roman" w:eastAsia="Times New Roman" w:hAnsi="Times New Roman" w:cs="Times New Roman"/>
          <w:sz w:val="24"/>
          <w:szCs w:val="24"/>
        </w:rPr>
        <w:t>Person-centred care and Maslow’s hierarchy of needs</w:t>
      </w:r>
      <w:bookmarkEnd w:id="5"/>
    </w:p>
    <w:p w14:paraId="599D8AEC" w14:textId="77777777" w:rsidR="002C3A0D" w:rsidRDefault="00000000">
      <w:pPr>
        <w:pStyle w:val="w6asjqtextbase"/>
        <w:spacing w:line="360" w:lineRule="auto"/>
        <w:jc w:val="both"/>
      </w:pPr>
      <w:r>
        <w:t>According to Maslow (1943), human needs include physiological needs, safety, love and belonging, esteem and self-actualisation. People do not always move through these needs in a fixed order, but the theory reminds us that individuals need support across many parts of their lives.</w:t>
      </w:r>
      <w:r>
        <w:rPr>
          <w:noProof/>
        </w:rPr>
        <w:drawing>
          <wp:anchor distT="0" distB="0" distL="114300" distR="114300" simplePos="0" relativeHeight="251659264" behindDoc="0" locked="0" layoutInCell="1" allowOverlap="1" wp14:anchorId="6CC73A24" wp14:editId="320E6898">
            <wp:simplePos x="0" y="0"/>
            <wp:positionH relativeFrom="column">
              <wp:posOffset>0</wp:posOffset>
            </wp:positionH>
            <wp:positionV relativeFrom="paragraph">
              <wp:posOffset>353060</wp:posOffset>
            </wp:positionV>
            <wp:extent cx="5731510" cy="3016885"/>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5731510" cy="3016885"/>
                    </a:xfrm>
                    <a:prstGeom prst="rect">
                      <a:avLst/>
                    </a:prstGeom>
                  </pic:spPr>
                </pic:pic>
              </a:graphicData>
            </a:graphic>
          </wp:anchor>
        </w:drawing>
      </w:r>
    </w:p>
    <w:p w14:paraId="0BE7777A" w14:textId="77777777" w:rsidR="002C3A0D" w:rsidRDefault="00000000">
      <w:pPr>
        <w:pStyle w:val="w6asjqtextbase"/>
        <w:spacing w:line="360" w:lineRule="auto"/>
        <w:jc w:val="both"/>
      </w:pPr>
      <w:r>
        <w:t>In my everyday practice I can use this theory by checking that people have enough food, fluids, rest, warmth and personal hygiene. Before helping someone with an activity, for example, I should think about whether they are comfortable, in pain, tired or hungry. Meeting these physical needs lets the person take part in their care more comfortably.</w:t>
      </w:r>
    </w:p>
    <w:p w14:paraId="49DF317A" w14:textId="77777777" w:rsidR="002C3A0D" w:rsidRDefault="00000000">
      <w:pPr>
        <w:pStyle w:val="w6asjqtextbase"/>
        <w:spacing w:line="360" w:lineRule="auto"/>
        <w:jc w:val="both"/>
      </w:pPr>
      <w:r>
        <w:t xml:space="preserve">Safety matters just as much. I need to follow infection prevention procedures, keep the environment clean, report hazards and protect confidential information. Person-centred care also means not imposing unnecessary restrictions, though. The regulations enforced by the Care Quality Commission require care to meet people's needs and reflect their preferences </w:t>
      </w:r>
      <w:r>
        <w:lastRenderedPageBreak/>
        <w:t>(Health and Social Care Act 2008 (Regulated Activities) Regulations 2014, Regulation 9), which reminds me to fit my approach to the individual instead of expecting everyone to follow one routine.</w:t>
      </w:r>
    </w:p>
    <w:p w14:paraId="1279EAF7" w14:textId="77777777" w:rsidR="002C3A0D" w:rsidRDefault="00000000">
      <w:pPr>
        <w:pStyle w:val="w6asjqtextbase"/>
        <w:spacing w:line="360" w:lineRule="auto"/>
        <w:jc w:val="both"/>
      </w:pPr>
      <w:r>
        <w:t>Maslow's social and esteem needs shape how I communicate as well. I should listen patiently, respect cultural differences, encourage relationships and acknowledge what people achieve. Letting someone finish a task by themselves, where it is safe, can build their confidence and self-esteem. The theory therefore pushes me to look past physical needs to the emotional and social factors that affect quality of life.</w:t>
      </w:r>
    </w:p>
    <w:p w14:paraId="6A37D0CE" w14:textId="77777777" w:rsidR="002C3A0D" w:rsidRDefault="00000000">
      <w:pPr>
        <w:pStyle w:val="Heading2"/>
        <w:spacing w:line="360" w:lineRule="auto"/>
        <w:jc w:val="both"/>
        <w:rPr>
          <w:rFonts w:ascii="Times New Roman" w:eastAsia="Times New Roman" w:hAnsi="Times New Roman" w:cs="Times New Roman"/>
          <w:sz w:val="24"/>
          <w:szCs w:val="24"/>
        </w:rPr>
      </w:pPr>
      <w:bookmarkStart w:id="6" w:name="_Toc6410"/>
      <w:r>
        <w:rPr>
          <w:rFonts w:ascii="Times New Roman" w:eastAsia="Times New Roman" w:hAnsi="Times New Roman" w:cs="Times New Roman"/>
          <w:sz w:val="24"/>
          <w:szCs w:val="24"/>
        </w:rPr>
        <w:t>Partnership working in daily practice</w:t>
      </w:r>
      <w:bookmarkEnd w:id="6"/>
    </w:p>
    <w:p w14:paraId="7A526F2F" w14:textId="77777777" w:rsidR="002C3A0D" w:rsidRDefault="00000000">
      <w:pPr>
        <w:pStyle w:val="w6asjqtextbase"/>
        <w:spacing w:line="360" w:lineRule="auto"/>
        <w:jc w:val="both"/>
      </w:pPr>
      <w:r>
        <w:t>Partnership working is about cooperating with individuals, families, colleagues and other professionals so that support is coordinated. In my daily work I can show this by listening to people and their families, sharing relevant information appropriately and contributing to care planning. If someone has difficulty with mobility, for example, I could work with nurses, occupational therapists and physiotherapists to support their independence while lowering the risk of falls.</w:t>
      </w:r>
    </w:p>
    <w:p w14:paraId="4780640C" w14:textId="77777777" w:rsidR="002C3A0D" w:rsidRDefault="00000000">
      <w:pPr>
        <w:pStyle w:val="w6asjqtextbase"/>
        <w:spacing w:line="360" w:lineRule="auto"/>
        <w:jc w:val="both"/>
      </w:pPr>
      <w:r>
        <w:t xml:space="preserve">Lewis et al. (2024) stress the value of shared competencies and collaborative behaviours in integrated health and social care. Integrated Care Systems in England encourage organisations to coordinate services and tackle health inequalities. </w:t>
      </w:r>
      <w:proofErr w:type="spellStart"/>
      <w:r>
        <w:t>Alderwick</w:t>
      </w:r>
      <w:proofErr w:type="spellEnd"/>
      <w:r>
        <w:t>, Hutchings and Mays (2024) note, however, that staff shortages, limited resources and poor communication can undermine collaboration. For this reason I should communicate clearly at handovers, keep accurate records and raise concerns promptly, not assume that another professional will deal with them.</w:t>
      </w:r>
    </w:p>
    <w:p w14:paraId="238AF182" w14:textId="77777777" w:rsidR="002C3A0D" w:rsidRDefault="00000000">
      <w:pPr>
        <w:pStyle w:val="w6asjqtextbase"/>
        <w:spacing w:line="360" w:lineRule="auto"/>
        <w:jc w:val="both"/>
      </w:pPr>
      <w:r>
        <w:t>Maslow's theory also shows me why partnership working matters. A person can have all their physical needs met and still feel lonely, lack confidence or struggle to form relationships. Involving family members and community services, where appropriate and with consent, can help meet those social and emotional needs. I must still respect confidentiality and avoid passing on information without good reason. Partnership working should empower people, not lead to decisions being made for them.</w:t>
      </w:r>
    </w:p>
    <w:p w14:paraId="245FD734" w14:textId="77777777" w:rsidR="002C3A0D" w:rsidRDefault="00000000">
      <w:pPr>
        <w:pStyle w:val="Heading2"/>
        <w:spacing w:line="360" w:lineRule="auto"/>
        <w:jc w:val="both"/>
        <w:rPr>
          <w:rFonts w:ascii="Times New Roman" w:eastAsia="Times New Roman" w:hAnsi="Times New Roman" w:cs="Times New Roman"/>
          <w:sz w:val="24"/>
          <w:szCs w:val="24"/>
        </w:rPr>
      </w:pPr>
      <w:bookmarkStart w:id="7" w:name="_Toc30795"/>
      <w:r>
        <w:rPr>
          <w:rFonts w:ascii="Times New Roman" w:eastAsia="Times New Roman" w:hAnsi="Times New Roman" w:cs="Times New Roman"/>
          <w:sz w:val="24"/>
          <w:szCs w:val="24"/>
        </w:rPr>
        <w:lastRenderedPageBreak/>
        <w:t>Ethical practice and professional responsibilities</w:t>
      </w:r>
      <w:bookmarkEnd w:id="7"/>
    </w:p>
    <w:p w14:paraId="0BCFAA9A" w14:textId="77777777" w:rsidR="002C3A0D" w:rsidRDefault="00000000">
      <w:pPr>
        <w:pStyle w:val="w6asjqtextbase"/>
        <w:spacing w:line="360" w:lineRule="auto"/>
        <w:jc w:val="both"/>
      </w:pPr>
      <w:r>
        <w:t>Ethical practice means treating people fairly, protecting their rights and making decisions that support their well-being. Four ethical principles apply to my work: autonomy, which is respecting a person's choices; beneficence, which is acting for their benefit; non-maleficence, which is avoiding harm; and justice, which is fairness in how people are treated.</w:t>
      </w:r>
    </w:p>
    <w:p w14:paraId="38D09F13" w14:textId="77777777" w:rsidR="002C3A0D" w:rsidRDefault="00000000">
      <w:pPr>
        <w:pStyle w:val="w6asjqtextbase"/>
        <w:spacing w:line="360" w:lineRule="auto"/>
        <w:jc w:val="both"/>
      </w:pPr>
      <w:r>
        <w:t>In practice, I should explain care procedures clearly, ask for consent, respect cultural and religious beliefs and protect privacy during personal care. When someone declines help, I should stay calm, find out why and consider alternatives, not jump to the conclusion that they are being difficult. This respects their autonomy while still letting me think about their safety and well-being.</w:t>
      </w:r>
    </w:p>
    <w:p w14:paraId="36738088" w14:textId="77777777" w:rsidR="002C3A0D" w:rsidRDefault="00000000">
      <w:pPr>
        <w:pStyle w:val="w6asjqtextbase"/>
        <w:spacing w:line="360" w:lineRule="auto"/>
        <w:jc w:val="both"/>
      </w:pPr>
      <w:r>
        <w:t>Under the Care Act 2014, well-being, dignity, control over day-to-day life and protection from abuse are central to adult social care in England. The Equality Act 2010 protects people from unlawful discrimination, and the Data Protection Act 2018 governs how personal information is handled. Together these laws guide me towards care that is fair, confidential and safe. The Mental Capacity Act 2005 is especially relevant for people aged 16 and over who may lack capacity to make a particular decision, as it requires practitioners to support decision-making and choose the least restrictive option. I must remember that having a diagnosis or disability does not automatically mean someone lacks capacity.</w:t>
      </w:r>
    </w:p>
    <w:p w14:paraId="0816B913" w14:textId="77777777" w:rsidR="002C3A0D" w:rsidRDefault="00000000">
      <w:pPr>
        <w:pStyle w:val="w6asjqtextbase"/>
        <w:spacing w:line="360" w:lineRule="auto"/>
        <w:jc w:val="both"/>
      </w:pPr>
      <w:r>
        <w:t>Ethical decisions can be hard because respecting choice sometimes seems to conflict with preventing harm. A person might turn down a meal or refuse help with personal care, for instance. In such cases I should explore their reasons, explain the relevant risks, offer suitable alternatives and ask for advice when necessary. I also need to accept that Maslow's hierarchy is not a rigid rule, since people may put personal beliefs, relationships or independence first even when basic needs are not fully met (Emanuel, 2023). I should therefore use professional judgement and not assume that everyone has the same priorities.</w:t>
      </w:r>
    </w:p>
    <w:p w14:paraId="6AC6D54F" w14:textId="77777777" w:rsidR="002C3A0D" w:rsidRDefault="00000000">
      <w:pPr>
        <w:pStyle w:val="Heading2"/>
        <w:spacing w:line="360" w:lineRule="auto"/>
        <w:jc w:val="both"/>
        <w:rPr>
          <w:rFonts w:ascii="Times New Roman" w:eastAsia="Times New Roman" w:hAnsi="Times New Roman" w:cs="Times New Roman"/>
          <w:sz w:val="24"/>
          <w:szCs w:val="24"/>
        </w:rPr>
      </w:pPr>
      <w:bookmarkStart w:id="8" w:name="_Toc9015"/>
      <w:r>
        <w:rPr>
          <w:rFonts w:ascii="Times New Roman" w:eastAsia="Times New Roman" w:hAnsi="Times New Roman" w:cs="Times New Roman"/>
          <w:sz w:val="24"/>
          <w:szCs w:val="24"/>
        </w:rPr>
        <w:t>Self-reflection: my strengths and areas for improvement</w:t>
      </w:r>
      <w:bookmarkEnd w:id="8"/>
    </w:p>
    <w:p w14:paraId="68F21582" w14:textId="77777777" w:rsidR="002C3A0D" w:rsidRDefault="00000000">
      <w:pPr>
        <w:pStyle w:val="w6asjqtextbase"/>
        <w:spacing w:line="360" w:lineRule="auto"/>
        <w:jc w:val="both"/>
      </w:pPr>
      <w:r>
        <w:t xml:space="preserve">Looking at my practice, I regard patience, empathy, respect and a willingness to listen as strengths that I should keep developing and showing. They help me to build trust, understand </w:t>
      </w:r>
      <w:r>
        <w:lastRenderedPageBreak/>
        <w:t>what individuals prefer and offer reassurance when someone is anxious or vulnerable. I also value teamwork, following care plans and passing concerns to the right person.</w:t>
      </w:r>
    </w:p>
    <w:p w14:paraId="2A3005F4" w14:textId="77777777" w:rsidR="002C3A0D" w:rsidRDefault="00000000">
      <w:pPr>
        <w:pStyle w:val="w6asjqtextbase"/>
        <w:spacing w:line="360" w:lineRule="auto"/>
        <w:jc w:val="both"/>
      </w:pPr>
      <w:r>
        <w:t>I do need to build more confidence in complex ethical situations, especially when a person's wishes differ from professional recommendations. I would also gain from improving my knowledge of current legislation, safeguarding procedures, confidentiality and communicating with people whose cultural or communication needs differ from my own. Naming these gaps matters because good intentions alone do not make care safe or effective.</w:t>
      </w:r>
    </w:p>
    <w:p w14:paraId="0F61206F" w14:textId="77777777" w:rsidR="002C3A0D" w:rsidRDefault="00000000">
      <w:pPr>
        <w:pStyle w:val="w6asjqtextbase"/>
        <w:spacing w:line="360" w:lineRule="auto"/>
        <w:jc w:val="both"/>
      </w:pPr>
      <w:r>
        <w:t>To base my reflection on evidence, I should ask my supervisor for feedback, think about incidents or difficult situations and record what I learn. That will show me whether my strengths appear in real practice and whether my efforts to improve are having an effect.</w:t>
      </w:r>
    </w:p>
    <w:p w14:paraId="1C25FE0B" w14:textId="77777777" w:rsidR="002C3A0D" w:rsidRDefault="00000000">
      <w:pPr>
        <w:pStyle w:val="Heading2"/>
        <w:spacing w:line="360" w:lineRule="auto"/>
        <w:jc w:val="both"/>
        <w:rPr>
          <w:rFonts w:ascii="Times New Roman" w:eastAsia="Times New Roman" w:hAnsi="Times New Roman" w:cs="Times New Roman"/>
          <w:sz w:val="24"/>
          <w:szCs w:val="24"/>
        </w:rPr>
      </w:pPr>
      <w:bookmarkStart w:id="9" w:name="_Toc5465"/>
      <w:r>
        <w:rPr>
          <w:rFonts w:ascii="Times New Roman" w:eastAsia="Times New Roman" w:hAnsi="Times New Roman" w:cs="Times New Roman"/>
          <w:sz w:val="24"/>
          <w:szCs w:val="24"/>
        </w:rPr>
        <w:t>Future development plan</w:t>
      </w:r>
      <w:bookmarkEnd w:id="9"/>
    </w:p>
    <w:p w14:paraId="788FBCEA" w14:textId="77777777" w:rsidR="002C3A0D" w:rsidRDefault="00000000">
      <w:pPr>
        <w:pStyle w:val="w6asjqtextbase"/>
        <w:spacing w:line="360" w:lineRule="auto"/>
        <w:jc w:val="both"/>
      </w:pPr>
      <w:r>
        <w:t>To develop my practice, I plan to take these steps:</w:t>
      </w:r>
    </w:p>
    <w:p w14:paraId="3D4F63CE" w14:textId="77777777" w:rsidR="002C3A0D" w:rsidRDefault="00000000">
      <w:pPr>
        <w:pStyle w:val="w6asjqtextbase"/>
        <w:numPr>
          <w:ilvl w:val="0"/>
          <w:numId w:val="2"/>
        </w:numPr>
        <w:spacing w:line="360" w:lineRule="auto"/>
        <w:jc w:val="both"/>
      </w:pPr>
      <w:r>
        <w:rPr>
          <w:rStyle w:val="w6asjqtextbase1"/>
        </w:rPr>
        <w:t>Training:</w:t>
      </w:r>
      <w:r>
        <w:t xml:space="preserve"> Complete relevant courses in safeguarding, equality and diversity, infection prevention, consent and confidentiality, and update my knowledge of the Care Act 2014 and the Mental Capacity Act 2005.</w:t>
      </w:r>
    </w:p>
    <w:p w14:paraId="29B4A6FC" w14:textId="77777777" w:rsidR="002C3A0D" w:rsidRDefault="00000000">
      <w:pPr>
        <w:pStyle w:val="w6asjqtextbase"/>
        <w:numPr>
          <w:ilvl w:val="0"/>
          <w:numId w:val="2"/>
        </w:numPr>
        <w:spacing w:line="360" w:lineRule="auto"/>
        <w:jc w:val="both"/>
      </w:pPr>
      <w:r>
        <w:rPr>
          <w:rStyle w:val="w6asjqtextbase1"/>
        </w:rPr>
        <w:t>Communication:</w:t>
      </w:r>
      <w:r>
        <w:t xml:space="preserve"> Practise active listening, use accessible language and check that people have understood the information they are given.</w:t>
      </w:r>
    </w:p>
    <w:p w14:paraId="1276E086" w14:textId="77777777" w:rsidR="002C3A0D" w:rsidRDefault="00000000">
      <w:pPr>
        <w:pStyle w:val="w6asjqtextbase"/>
        <w:numPr>
          <w:ilvl w:val="0"/>
          <w:numId w:val="2"/>
        </w:numPr>
        <w:spacing w:line="360" w:lineRule="auto"/>
        <w:jc w:val="both"/>
      </w:pPr>
      <w:r>
        <w:rPr>
          <w:rStyle w:val="w6asjqtextbase1"/>
        </w:rPr>
        <w:t>Partnership:</w:t>
      </w:r>
      <w:r>
        <w:t xml:space="preserve"> Take an active part in handovers, care reviews and supervision, sharing information appropriately and keeping to professional boundaries.</w:t>
      </w:r>
    </w:p>
    <w:p w14:paraId="75903963" w14:textId="77777777" w:rsidR="002C3A0D" w:rsidRDefault="00000000">
      <w:pPr>
        <w:pStyle w:val="w6asjqtextbase"/>
        <w:numPr>
          <w:ilvl w:val="0"/>
          <w:numId w:val="2"/>
        </w:numPr>
        <w:spacing w:line="360" w:lineRule="auto"/>
        <w:jc w:val="both"/>
      </w:pPr>
      <w:r>
        <w:rPr>
          <w:rStyle w:val="w6asjqtextbase1"/>
        </w:rPr>
        <w:t>Reflection:</w:t>
      </w:r>
      <w:r>
        <w:t xml:space="preserve"> Apply a reflective model, such as Gibbs' (1988) reflective cycle, to explore difficult experiences, draw out lessons and plan changes to my practice.</w:t>
      </w:r>
    </w:p>
    <w:p w14:paraId="38F67A75" w14:textId="77777777" w:rsidR="002C3A0D" w:rsidRDefault="00000000">
      <w:pPr>
        <w:pStyle w:val="w6asjqtextbase"/>
        <w:numPr>
          <w:ilvl w:val="0"/>
          <w:numId w:val="2"/>
        </w:numPr>
        <w:spacing w:line="360" w:lineRule="auto"/>
        <w:jc w:val="both"/>
      </w:pPr>
      <w:r>
        <w:rPr>
          <w:rStyle w:val="w6asjqtextbase1"/>
        </w:rPr>
        <w:t>Feedback and evaluation:</w:t>
      </w:r>
      <w:r>
        <w:t xml:space="preserve"> Request constructive feedback from my supervisor and colleagues, and track my progress through regular supervision and continuing professional development.</w:t>
      </w:r>
    </w:p>
    <w:p w14:paraId="62C4BF21" w14:textId="77777777" w:rsidR="002C3A0D" w:rsidRDefault="00000000">
      <w:pPr>
        <w:pStyle w:val="w6asjqtextbase"/>
        <w:spacing w:line="360" w:lineRule="auto"/>
        <w:jc w:val="both"/>
      </w:pPr>
      <w:r>
        <w:t>Taking these actions will strengthen my professional knowledge and help me apply person-centred care, partnership working and ethical principles more consistently.</w:t>
      </w:r>
    </w:p>
    <w:p w14:paraId="30E55305" w14:textId="77777777" w:rsidR="002C3A0D" w:rsidRDefault="00000000">
      <w:pPr>
        <w:pStyle w:val="Heading2"/>
        <w:spacing w:line="360" w:lineRule="auto"/>
        <w:jc w:val="both"/>
        <w:rPr>
          <w:rFonts w:ascii="Times New Roman" w:eastAsia="Times New Roman" w:hAnsi="Times New Roman" w:cs="Times New Roman"/>
          <w:sz w:val="24"/>
          <w:szCs w:val="24"/>
        </w:rPr>
      </w:pPr>
      <w:bookmarkStart w:id="10" w:name="_Toc16245"/>
      <w:r>
        <w:rPr>
          <w:rFonts w:ascii="Times New Roman" w:eastAsia="Times New Roman" w:hAnsi="Times New Roman" w:cs="Times New Roman"/>
          <w:sz w:val="24"/>
          <w:szCs w:val="24"/>
        </w:rPr>
        <w:lastRenderedPageBreak/>
        <w:t>Conclusion</w:t>
      </w:r>
      <w:bookmarkEnd w:id="10"/>
    </w:p>
    <w:p w14:paraId="68AEAE39" w14:textId="77777777" w:rsidR="002C3A0D" w:rsidRDefault="00000000">
      <w:pPr>
        <w:pStyle w:val="w6asjqtextbase"/>
        <w:spacing w:line="360" w:lineRule="auto"/>
        <w:jc w:val="both"/>
      </w:pPr>
      <w:r>
        <w:t>In conclusion, person-centred care, partnership working and ethical practice are fundamental to safe, respectful and effective health and social care. Maslow's hierarchy prompts me to think about physical, emotional, social and personal development needs, and legislation sets out my responsibilities for protecting rights and promoting well-being. By acknowledging my strengths, closing gaps in my knowledge and committing to continued learning, I can improve my practice and help people keep their dignity, independence and quality of life.</w:t>
      </w:r>
    </w:p>
    <w:p w14:paraId="105E9E85" w14:textId="77777777" w:rsidR="002C3A0D" w:rsidRDefault="002C3A0D">
      <w:pPr>
        <w:pStyle w:val="NormalWeb"/>
        <w:spacing w:line="360" w:lineRule="auto"/>
        <w:jc w:val="both"/>
      </w:pPr>
    </w:p>
    <w:p w14:paraId="18F417AE" w14:textId="77777777" w:rsidR="002C3A0D" w:rsidRDefault="002C3A0D">
      <w:pPr>
        <w:pStyle w:val="NormalWeb"/>
        <w:spacing w:line="360" w:lineRule="auto"/>
        <w:jc w:val="both"/>
      </w:pPr>
    </w:p>
    <w:p w14:paraId="673D2D00" w14:textId="77777777" w:rsidR="002C3A0D" w:rsidRDefault="00000000">
      <w:pPr>
        <w:pStyle w:val="NormalWeb"/>
        <w:spacing w:line="360" w:lineRule="auto"/>
        <w:jc w:val="center"/>
      </w:pPr>
      <w:r>
        <w:t>REFERENCES</w:t>
      </w:r>
    </w:p>
    <w:p w14:paraId="30F43B15" w14:textId="77777777" w:rsidR="002C3A0D" w:rsidRDefault="00000000">
      <w:pPr>
        <w:pStyle w:val="w6asjqtextbase"/>
        <w:spacing w:line="360" w:lineRule="auto"/>
        <w:jc w:val="both"/>
      </w:pPr>
      <w:proofErr w:type="spellStart"/>
      <w:r>
        <w:t>Alderwick</w:t>
      </w:r>
      <w:proofErr w:type="spellEnd"/>
      <w:r>
        <w:t xml:space="preserve">, H., Hutchings, A. and Mays, N. (2024) ‘Cross-sector collaboration to reduce health inequalities: a qualitative study of local collaboration between health care, social services, and other sectors under health system reforms in England’, </w:t>
      </w:r>
      <w:r>
        <w:rPr>
          <w:rStyle w:val="w6asjqtextbase1"/>
        </w:rPr>
        <w:t>BMC Public Health</w:t>
      </w:r>
      <w:r>
        <w:t xml:space="preserve">, 24, article 2613. Available at: </w:t>
      </w:r>
      <w:proofErr w:type="spellStart"/>
      <w:r>
        <w:rPr>
          <w:rStyle w:val="w6asjqtextbase1"/>
          <w:rFonts w:eastAsia="Times New Roman"/>
        </w:rPr>
        <w:t>doi.org</w:t>
      </w:r>
      <w:r>
        <w:rPr>
          <w:rFonts w:eastAsia="Times New Roman"/>
        </w:rPr>
        <w:t>.</w:t>
      </w:r>
      <w:r>
        <w:t>Care</w:t>
      </w:r>
      <w:proofErr w:type="spellEnd"/>
      <w:r>
        <w:t xml:space="preserve"> Act 2014, c. 23. Available at: </w:t>
      </w:r>
      <w:proofErr w:type="spellStart"/>
      <w:r>
        <w:rPr>
          <w:rStyle w:val="w6asjqtextbase1"/>
          <w:rFonts w:eastAsia="Times New Roman"/>
        </w:rPr>
        <w:t>legislation.gov.uk</w:t>
      </w:r>
      <w:r>
        <w:rPr>
          <w:rFonts w:eastAsia="Times New Roman"/>
        </w:rPr>
        <w:t>.</w:t>
      </w:r>
      <w:r>
        <w:t>Data</w:t>
      </w:r>
      <w:proofErr w:type="spellEnd"/>
      <w:r>
        <w:t xml:space="preserve"> Protection Act 2018, c. 12. Available at: </w:t>
      </w:r>
      <w:r>
        <w:rPr>
          <w:rStyle w:val="w6asjqtextbase1"/>
          <w:rFonts w:eastAsia="Times New Roman"/>
        </w:rPr>
        <w:t>legislation.gov.uk</w:t>
      </w:r>
      <w:r>
        <w:rPr>
          <w:rFonts w:eastAsia="Times New Roman"/>
        </w:rPr>
        <w:t>.</w:t>
      </w:r>
    </w:p>
    <w:p w14:paraId="248B658E" w14:textId="77777777" w:rsidR="002C3A0D" w:rsidRDefault="00000000">
      <w:pPr>
        <w:pStyle w:val="pdq2pgselectionanchorcontainer"/>
        <w:spacing w:line="360" w:lineRule="auto"/>
        <w:jc w:val="both"/>
      </w:pPr>
      <w:r>
        <w:t xml:space="preserve">Cheraghi, R., Valizadeh, L., </w:t>
      </w:r>
      <w:proofErr w:type="spellStart"/>
      <w:r>
        <w:t>Zamanzadeh</w:t>
      </w:r>
      <w:proofErr w:type="spellEnd"/>
      <w:r>
        <w:t xml:space="preserve">, V., Hassankhani, H. and Jafarzadeh, A. (2023) ‘Clarification of ethical principle of the beneficence in nursing care: an integrative review’, </w:t>
      </w:r>
      <w:r>
        <w:rPr>
          <w:rStyle w:val="Emphasis"/>
        </w:rPr>
        <w:t>BMC Nursing</w:t>
      </w:r>
      <w:r>
        <w:t xml:space="preserve">, 22, p.89. </w:t>
      </w:r>
    </w:p>
    <w:p w14:paraId="12C3B2A9" w14:textId="77777777" w:rsidR="002C3A0D" w:rsidRDefault="00000000">
      <w:pPr>
        <w:pStyle w:val="pdq2pgselectionanchorcontainer"/>
        <w:spacing w:line="360" w:lineRule="auto"/>
        <w:jc w:val="both"/>
      </w:pPr>
      <w:r>
        <w:t xml:space="preserve">Carter, B., Young, S., Ford, K. and Campbell, S. (2024) ‘The concept of child-centred care in healthcare: a scoping review’, </w:t>
      </w:r>
      <w:proofErr w:type="spellStart"/>
      <w:r>
        <w:rPr>
          <w:rStyle w:val="Emphasis"/>
        </w:rPr>
        <w:t>Pediatric</w:t>
      </w:r>
      <w:proofErr w:type="spellEnd"/>
      <w:r>
        <w:rPr>
          <w:rStyle w:val="Emphasis"/>
        </w:rPr>
        <w:t xml:space="preserve"> Reports</w:t>
      </w:r>
      <w:r>
        <w:t xml:space="preserve">, 16(1), pp. 114–134. </w:t>
      </w:r>
    </w:p>
    <w:p w14:paraId="78A9A81A" w14:textId="77777777" w:rsidR="002C3A0D" w:rsidRDefault="00000000">
      <w:pPr>
        <w:pStyle w:val="NormalWeb"/>
        <w:spacing w:line="360" w:lineRule="auto"/>
        <w:jc w:val="both"/>
      </w:pPr>
      <w:r>
        <w:t xml:space="preserve">Davies, H.T., Preston, J. and Phillips, B. (2024) ‘Consent and assent in paediatric practice: it’s the conversation that matters’, </w:t>
      </w:r>
      <w:r>
        <w:rPr>
          <w:rStyle w:val="Emphasis"/>
        </w:rPr>
        <w:t>Archives of Disease in Childhood</w:t>
      </w:r>
      <w:r>
        <w:t xml:space="preserve">, 110(1), pp. 77–78. </w:t>
      </w:r>
    </w:p>
    <w:p w14:paraId="1FA2DBD1" w14:textId="77777777" w:rsidR="002C3A0D" w:rsidRDefault="00000000">
      <w:pPr>
        <w:pStyle w:val="w6asjqtextbase"/>
        <w:spacing w:line="360" w:lineRule="auto"/>
        <w:jc w:val="both"/>
        <w:rPr>
          <w:rFonts w:eastAsia="Times New Roman"/>
        </w:rPr>
      </w:pPr>
      <w:r>
        <w:t xml:space="preserve">Emanuel, R. (2023) ‘Maslow’s hierarchy of need pyramid—a model for planning NHS dental services?’, </w:t>
      </w:r>
      <w:r>
        <w:rPr>
          <w:rStyle w:val="w6asjqtextbase1"/>
        </w:rPr>
        <w:t>British Dental Journal</w:t>
      </w:r>
      <w:r>
        <w:t xml:space="preserve">, 235, pp. 177–179. Available at: </w:t>
      </w:r>
      <w:r>
        <w:rPr>
          <w:rStyle w:val="w6asjqtextbase1"/>
          <w:rFonts w:eastAsia="Times New Roman"/>
        </w:rPr>
        <w:t>doi.org</w:t>
      </w:r>
      <w:r>
        <w:rPr>
          <w:rFonts w:eastAsia="Times New Roman"/>
        </w:rPr>
        <w:t>.</w:t>
      </w:r>
      <w:r>
        <w:t xml:space="preserve"> Equality Act 2010, c. 15. Available at: </w:t>
      </w:r>
      <w:r>
        <w:rPr>
          <w:rStyle w:val="w6asjqtextbase1"/>
          <w:rFonts w:eastAsia="Times New Roman"/>
        </w:rPr>
        <w:t>legislation.gov.uk</w:t>
      </w:r>
      <w:r>
        <w:rPr>
          <w:rFonts w:eastAsia="Times New Roman"/>
        </w:rPr>
        <w:t>.</w:t>
      </w:r>
    </w:p>
    <w:p w14:paraId="45D7A9D5" w14:textId="77777777" w:rsidR="002C3A0D" w:rsidRDefault="00000000">
      <w:pPr>
        <w:pStyle w:val="w6asjqtextbase"/>
        <w:spacing w:line="360" w:lineRule="auto"/>
        <w:jc w:val="both"/>
      </w:pPr>
      <w:r>
        <w:t xml:space="preserve">Gibbs, G. (1988) </w:t>
      </w:r>
      <w:r>
        <w:rPr>
          <w:rStyle w:val="w6asjqtextbase1"/>
        </w:rPr>
        <w:t>Learning by doing: a guide to teaching and learning methods</w:t>
      </w:r>
      <w:r>
        <w:t>. Oxford: Further Education Unit, Oxford Polytechnic.</w:t>
      </w:r>
    </w:p>
    <w:p w14:paraId="7D9B2019" w14:textId="77777777" w:rsidR="002C3A0D" w:rsidRDefault="00000000">
      <w:pPr>
        <w:pStyle w:val="NormalWeb"/>
        <w:spacing w:line="360" w:lineRule="auto"/>
        <w:jc w:val="both"/>
      </w:pPr>
      <w:r>
        <w:lastRenderedPageBreak/>
        <w:t xml:space="preserve">Hodge, L. et al. (2024) ‘A multiple case study exploring person-centred care in care homes’, </w:t>
      </w:r>
      <w:r>
        <w:rPr>
          <w:rStyle w:val="Emphasis"/>
        </w:rPr>
        <w:t>Health &amp; Social Care in the Community</w:t>
      </w:r>
      <w:r>
        <w:t xml:space="preserve">. </w:t>
      </w:r>
    </w:p>
    <w:p w14:paraId="432B697A" w14:textId="77777777" w:rsidR="002C3A0D" w:rsidRDefault="00000000">
      <w:pPr>
        <w:pStyle w:val="w6asjqtextbase"/>
        <w:spacing w:line="360" w:lineRule="auto"/>
        <w:jc w:val="both"/>
      </w:pPr>
      <w:r>
        <w:t xml:space="preserve">Health and Social Care Act 2008 (Regulated Activities) Regulations 2014, SI 2014/2936. Available at: </w:t>
      </w:r>
      <w:r>
        <w:rPr>
          <w:rStyle w:val="w6asjqtextbase1"/>
          <w:rFonts w:eastAsia="Times New Roman"/>
        </w:rPr>
        <w:t>legislation.gov.uk</w:t>
      </w:r>
      <w:r>
        <w:rPr>
          <w:rFonts w:eastAsia="Times New Roman"/>
        </w:rPr>
        <w:t>.</w:t>
      </w:r>
    </w:p>
    <w:p w14:paraId="737A33AD" w14:textId="77777777" w:rsidR="002C3A0D" w:rsidRDefault="00000000">
      <w:pPr>
        <w:pStyle w:val="NormalWeb"/>
        <w:spacing w:line="360" w:lineRule="auto"/>
        <w:jc w:val="both"/>
      </w:pPr>
      <w:r>
        <w:t xml:space="preserve">Kelly, M. et al. (2024) ‘Applying a human rights-based approach to formal care and support provided in the home: a narrative review’, </w:t>
      </w:r>
      <w:r>
        <w:rPr>
          <w:rStyle w:val="Emphasis"/>
        </w:rPr>
        <w:t>Health &amp; Social Care in the Community</w:t>
      </w:r>
      <w:r>
        <w:t xml:space="preserve">. </w:t>
      </w:r>
    </w:p>
    <w:p w14:paraId="321D6331" w14:textId="77777777" w:rsidR="002C3A0D" w:rsidRDefault="00000000">
      <w:pPr>
        <w:pStyle w:val="NormalWeb"/>
        <w:spacing w:line="360" w:lineRule="auto"/>
        <w:jc w:val="both"/>
      </w:pPr>
      <w:r>
        <w:t xml:space="preserve">Lewis, R., Duckworth, J., Willis, D. and Yarker, J. (2024) ‘Developing a competency framework for integrated care working across healthcare, social care and allied professions’, </w:t>
      </w:r>
      <w:r>
        <w:rPr>
          <w:rStyle w:val="Emphasis"/>
        </w:rPr>
        <w:t>British Journal of Healthcare Management</w:t>
      </w:r>
      <w:r>
        <w:t xml:space="preserve">, 30(1). </w:t>
      </w:r>
    </w:p>
    <w:p w14:paraId="2C7325A5" w14:textId="77777777" w:rsidR="002C3A0D" w:rsidRDefault="00000000">
      <w:pPr>
        <w:pStyle w:val="NormalWeb"/>
        <w:spacing w:line="360" w:lineRule="auto"/>
        <w:jc w:val="both"/>
      </w:pPr>
      <w:r>
        <w:t xml:space="preserve">Myers, S., Collins, B. and Maguire, S. (2024) ‘Care coordination for children with a disability or developmental difficulty: empowers families and reduces the burden on staff supporting them’, </w:t>
      </w:r>
      <w:r>
        <w:rPr>
          <w:rStyle w:val="Emphasis"/>
        </w:rPr>
        <w:t>Child: Care, Health and Development</w:t>
      </w:r>
      <w:r>
        <w:t xml:space="preserve">, 50(1), e13158. </w:t>
      </w:r>
    </w:p>
    <w:p w14:paraId="5877F26C" w14:textId="77777777" w:rsidR="002C3A0D" w:rsidRDefault="00000000">
      <w:pPr>
        <w:pStyle w:val="w6asjqtextbase"/>
        <w:spacing w:line="360" w:lineRule="auto"/>
        <w:jc w:val="both"/>
      </w:pPr>
      <w:r>
        <w:t xml:space="preserve">Kelsall-Knight, L. and Stevens, R. (2024) ‘Exploring the implementation of person-centred care in nursing practice’, </w:t>
      </w:r>
      <w:r>
        <w:rPr>
          <w:rStyle w:val="w6asjqtextbase1"/>
        </w:rPr>
        <w:t>Nursing Standard</w:t>
      </w:r>
      <w:r>
        <w:t xml:space="preserve">, 39(1), pp. 70–75. Available at: </w:t>
      </w:r>
      <w:r>
        <w:rPr>
          <w:rStyle w:val="w6asjqtextbase1"/>
          <w:rFonts w:eastAsia="Times New Roman"/>
        </w:rPr>
        <w:t>doi.org</w:t>
      </w:r>
      <w:r>
        <w:rPr>
          <w:rFonts w:eastAsia="Times New Roman"/>
        </w:rPr>
        <w:t>.</w:t>
      </w:r>
    </w:p>
    <w:p w14:paraId="0C9BFE04" w14:textId="77777777" w:rsidR="002C3A0D" w:rsidRDefault="00000000">
      <w:pPr>
        <w:pStyle w:val="w6asjqtextbase"/>
        <w:spacing w:line="360" w:lineRule="auto"/>
        <w:jc w:val="both"/>
      </w:pPr>
      <w:r>
        <w:t xml:space="preserve">Lewis, R., Duckworth, J., Willis, D. and Yarker, J. (2024) ‘Developing a competency framework for integrated care working across healthcare, social care and allied professions’, </w:t>
      </w:r>
      <w:r>
        <w:rPr>
          <w:rStyle w:val="w6asjqtextbase1"/>
        </w:rPr>
        <w:t>British Journal of Healthcare Management</w:t>
      </w:r>
      <w:r>
        <w:t xml:space="preserve">, 30(1), pp. 25–36. Available at: </w:t>
      </w:r>
      <w:r>
        <w:rPr>
          <w:rStyle w:val="w6asjqtextbase1"/>
          <w:rFonts w:eastAsia="Times New Roman"/>
        </w:rPr>
        <w:t>doi.org</w:t>
      </w:r>
      <w:r>
        <w:rPr>
          <w:rFonts w:eastAsia="Times New Roman"/>
        </w:rPr>
        <w:t>.</w:t>
      </w:r>
    </w:p>
    <w:p w14:paraId="576C9EB1" w14:textId="77777777" w:rsidR="002C3A0D" w:rsidRDefault="00000000">
      <w:pPr>
        <w:pStyle w:val="w6asjqtextbase"/>
        <w:spacing w:line="360" w:lineRule="auto"/>
        <w:jc w:val="both"/>
      </w:pPr>
      <w:r>
        <w:t xml:space="preserve">Maslow, A.H. (1943) ‘A theory of human motivation’, </w:t>
      </w:r>
      <w:r>
        <w:rPr>
          <w:rStyle w:val="w6asjqtextbase1"/>
        </w:rPr>
        <w:t>Psychological Review</w:t>
      </w:r>
      <w:r>
        <w:t xml:space="preserve">, 50(4), pp. 370–396. Available at: </w:t>
      </w:r>
      <w:proofErr w:type="spellStart"/>
      <w:r>
        <w:rPr>
          <w:rStyle w:val="w6asjqtextbase1"/>
          <w:rFonts w:eastAsia="Times New Roman"/>
        </w:rPr>
        <w:t>doi.org</w:t>
      </w:r>
      <w:r>
        <w:rPr>
          <w:rFonts w:eastAsia="Times New Roman"/>
        </w:rPr>
        <w:t>.</w:t>
      </w:r>
      <w:r>
        <w:t>Mental</w:t>
      </w:r>
      <w:proofErr w:type="spellEnd"/>
      <w:r>
        <w:t xml:space="preserve"> Capacity Act 2005, c. 9. Available at: </w:t>
      </w:r>
      <w:r>
        <w:rPr>
          <w:rStyle w:val="w6asjqtextbase1"/>
          <w:rFonts w:eastAsia="Times New Roman"/>
        </w:rPr>
        <w:t>legislation.gov.uk</w:t>
      </w:r>
    </w:p>
    <w:p w14:paraId="7D10D1D3" w14:textId="77777777" w:rsidR="002C3A0D" w:rsidRDefault="00000000">
      <w:pPr>
        <w:pStyle w:val="NormalWeb"/>
        <w:spacing w:line="360" w:lineRule="auto"/>
        <w:jc w:val="both"/>
      </w:pPr>
      <w:r>
        <w:t>Pieterse, A.H., Gulbrandsen, P., Ofstad, E.H. and Menichetti, J. (2023) ‘What does shared decision making ask from doctors? Uncovering suppressed qualities that could improve person-</w:t>
      </w:r>
      <w:proofErr w:type="spellStart"/>
      <w:r>
        <w:t>centered</w:t>
      </w:r>
      <w:proofErr w:type="spellEnd"/>
      <w:r>
        <w:t xml:space="preserve"> care’, </w:t>
      </w:r>
      <w:r>
        <w:rPr>
          <w:rStyle w:val="Emphasis"/>
        </w:rPr>
        <w:t xml:space="preserve">Patient Education and </w:t>
      </w:r>
      <w:proofErr w:type="spellStart"/>
      <w:r>
        <w:rPr>
          <w:rStyle w:val="Emphasis"/>
        </w:rPr>
        <w:t>Counseling</w:t>
      </w:r>
      <w:proofErr w:type="spellEnd"/>
      <w:r>
        <w:t>, 114, 107801.</w:t>
      </w:r>
    </w:p>
    <w:p w14:paraId="094E9094" w14:textId="77777777" w:rsidR="002C3A0D" w:rsidRDefault="00000000">
      <w:pPr>
        <w:pStyle w:val="NormalWeb"/>
        <w:spacing w:line="360" w:lineRule="auto"/>
        <w:jc w:val="both"/>
      </w:pPr>
      <w:r>
        <w:t xml:space="preserve">Parr, J., Wigham, S., Farr, W. </w:t>
      </w:r>
      <w:r>
        <w:rPr>
          <w:rStyle w:val="Emphasis"/>
        </w:rPr>
        <w:t>et al.</w:t>
      </w:r>
      <w:r>
        <w:t xml:space="preserve"> (2024) ‘A national research survey of childhood autism assessment services in the UK: empirical evidence of diagnostic practice, challenges and improvement opportunities’, </w:t>
      </w:r>
      <w:r>
        <w:rPr>
          <w:rStyle w:val="Emphasis"/>
        </w:rPr>
        <w:t>BMJ Paediatrics Open</w:t>
      </w:r>
      <w:r>
        <w:t xml:space="preserve">, 8, e002496. </w:t>
      </w:r>
    </w:p>
    <w:p w14:paraId="260D3A3C" w14:textId="77777777" w:rsidR="002C3A0D" w:rsidRDefault="00000000">
      <w:pPr>
        <w:pStyle w:val="NormalWeb"/>
        <w:spacing w:line="360" w:lineRule="auto"/>
        <w:jc w:val="both"/>
      </w:pPr>
      <w:r>
        <w:lastRenderedPageBreak/>
        <w:t xml:space="preserve">Roy, M.A., Kinlin, C., Estes, M. and MacEachern, S.J. (2024) ‘Improving patient-centred care in the emergency department: implementation of a sensory toolkit for children with autism’, </w:t>
      </w:r>
      <w:r>
        <w:rPr>
          <w:rStyle w:val="Emphasis"/>
        </w:rPr>
        <w:t>Paediatrics &amp; Child Health</w:t>
      </w:r>
      <w:r>
        <w:t>, 29(4), pp. 199–204</w:t>
      </w:r>
    </w:p>
    <w:p w14:paraId="647FD9AD" w14:textId="77777777" w:rsidR="002C3A0D" w:rsidRDefault="002C3A0D">
      <w:pPr>
        <w:pStyle w:val="NormalWeb"/>
        <w:spacing w:line="360" w:lineRule="auto"/>
        <w:jc w:val="both"/>
      </w:pPr>
    </w:p>
    <w:p w14:paraId="17CE9F70" w14:textId="77777777" w:rsidR="002C3A0D" w:rsidRDefault="002C3A0D">
      <w:pPr>
        <w:spacing w:line="360" w:lineRule="auto"/>
        <w:jc w:val="both"/>
        <w:rPr>
          <w:rFonts w:ascii="Times New Roman" w:hAnsi="Times New Roman" w:cs="Times New Roman"/>
          <w:sz w:val="24"/>
          <w:szCs w:val="24"/>
        </w:rPr>
      </w:pPr>
    </w:p>
    <w:sectPr w:rsidR="002C3A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7972A" w14:textId="77777777" w:rsidR="00895713" w:rsidRDefault="00895713">
      <w:pPr>
        <w:spacing w:line="240" w:lineRule="auto"/>
      </w:pPr>
      <w:r>
        <w:separator/>
      </w:r>
    </w:p>
  </w:endnote>
  <w:endnote w:type="continuationSeparator" w:id="0">
    <w:p w14:paraId="55AF4C4D" w14:textId="77777777" w:rsidR="00895713" w:rsidRDefault="008957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等线 Light">
    <w:altName w:val="AMGD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55756" w14:textId="77777777" w:rsidR="00895713" w:rsidRDefault="00895713">
      <w:pPr>
        <w:spacing w:after="0"/>
      </w:pPr>
      <w:r>
        <w:separator/>
      </w:r>
    </w:p>
  </w:footnote>
  <w:footnote w:type="continuationSeparator" w:id="0">
    <w:p w14:paraId="16B20831" w14:textId="77777777" w:rsidR="00895713" w:rsidRDefault="0089571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0D6A8F"/>
    <w:multiLevelType w:val="multilevel"/>
    <w:tmpl w:val="2E0D6A8F"/>
    <w:lvl w:ilvl="0">
      <w:start w:val="1"/>
      <w:numFmt w:val="decimal"/>
      <w:lvlText w:val="%1."/>
      <w:lvlJc w:val="left"/>
      <w:pPr>
        <w:ind w:left="720" w:hanging="360"/>
      </w:pPr>
      <w:rPr>
        <w:rFonts w:hint="default"/>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E442A0E"/>
    <w:multiLevelType w:val="multilevel"/>
    <w:tmpl w:val="5E442A0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603881207">
    <w:abstractNumId w:val="0"/>
  </w:num>
  <w:num w:numId="2" w16cid:durableId="3318402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124"/>
    <w:rsid w:val="00026094"/>
    <w:rsid w:val="000A6055"/>
    <w:rsid w:val="000B3CC2"/>
    <w:rsid w:val="001761F7"/>
    <w:rsid w:val="00200ED9"/>
    <w:rsid w:val="00297C5D"/>
    <w:rsid w:val="002C3A0D"/>
    <w:rsid w:val="002C3C7A"/>
    <w:rsid w:val="002D32C0"/>
    <w:rsid w:val="003245B5"/>
    <w:rsid w:val="003514FB"/>
    <w:rsid w:val="003B0124"/>
    <w:rsid w:val="003B0AB9"/>
    <w:rsid w:val="003B73CC"/>
    <w:rsid w:val="00421241"/>
    <w:rsid w:val="00477B10"/>
    <w:rsid w:val="005F51F4"/>
    <w:rsid w:val="007F4A2B"/>
    <w:rsid w:val="00895713"/>
    <w:rsid w:val="008F2E0A"/>
    <w:rsid w:val="00917B01"/>
    <w:rsid w:val="00947908"/>
    <w:rsid w:val="00965CBD"/>
    <w:rsid w:val="009951D3"/>
    <w:rsid w:val="00A175A7"/>
    <w:rsid w:val="00A3792A"/>
    <w:rsid w:val="00A80D22"/>
    <w:rsid w:val="00A81932"/>
    <w:rsid w:val="00A96DCE"/>
    <w:rsid w:val="00AE4EF9"/>
    <w:rsid w:val="00B237DF"/>
    <w:rsid w:val="00B500DD"/>
    <w:rsid w:val="00B83B58"/>
    <w:rsid w:val="00BB3A88"/>
    <w:rsid w:val="00C30267"/>
    <w:rsid w:val="00C41632"/>
    <w:rsid w:val="00C54706"/>
    <w:rsid w:val="00C54CA0"/>
    <w:rsid w:val="00CA7867"/>
    <w:rsid w:val="00CB623A"/>
    <w:rsid w:val="00CC110D"/>
    <w:rsid w:val="00CD6855"/>
    <w:rsid w:val="00D65694"/>
    <w:rsid w:val="00DD1BE3"/>
    <w:rsid w:val="00DF7086"/>
    <w:rsid w:val="00E1766E"/>
    <w:rsid w:val="00E85EBA"/>
    <w:rsid w:val="00F36F34"/>
    <w:rsid w:val="00F5390A"/>
    <w:rsid w:val="00F65345"/>
    <w:rsid w:val="00F738E6"/>
    <w:rsid w:val="00F81341"/>
    <w:rsid w:val="00FE055F"/>
    <w:rsid w:val="00FF7A61"/>
    <w:rsid w:val="09F3687C"/>
    <w:rsid w:val="13AC0FD3"/>
    <w:rsid w:val="24F649B4"/>
    <w:rsid w:val="267473A3"/>
    <w:rsid w:val="2D4C4B3E"/>
    <w:rsid w:val="37E63B7A"/>
    <w:rsid w:val="4E8C5B64"/>
    <w:rsid w:val="5CC16621"/>
  </w:rsids>
  <m:mathPr>
    <m:mathFont m:val="Cambria Math"/>
    <m:brkBin m:val="before"/>
    <m:brkBinSub m:val="--"/>
    <m:smallFrac m:val="0"/>
    <m:dispDef/>
    <m:lMargin m:val="0"/>
    <m:rMargin m:val="0"/>
    <m:defJc m:val="centerGroup"/>
    <m:wrapIndent m:val="1440"/>
    <m:intLim m:val="subSup"/>
    <m:naryLim m:val="undOvr"/>
  </m:mathPr>
  <w:themeFontLang w:val="en-GB"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BB42DD1"/>
  <w15:docId w15:val="{E0185939-223A-47EA-BFC1-7292710F6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864"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NormalWeb">
    <w:name w:val="Normal (Web)"/>
    <w:basedOn w:val="Normal"/>
    <w:uiPriority w:val="99"/>
    <w:unhideWhenUsed/>
    <w:qFormat/>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Pr>
      <w:b/>
      <w:bCs/>
    </w:rPr>
  </w:style>
  <w:style w:type="paragraph" w:styleId="TOC2">
    <w:name w:val="toc 2"/>
    <w:basedOn w:val="Normal"/>
    <w:next w:val="Normal"/>
    <w:uiPriority w:val="39"/>
    <w:semiHidden/>
    <w:unhideWhenUsed/>
    <w:pPr>
      <w:ind w:leftChars="200" w:left="420"/>
    </w:pPr>
  </w:style>
  <w:style w:type="paragraph" w:styleId="TOC3">
    <w:name w:val="toc 3"/>
    <w:basedOn w:val="Normal"/>
    <w:next w:val="Normal"/>
    <w:uiPriority w:val="39"/>
    <w:semiHidden/>
    <w:unhideWhenUsed/>
    <w:pPr>
      <w:ind w:leftChars="400" w:left="840"/>
    </w:p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1F3864" w:themeColor="accent1" w:themeShade="80"/>
      <w:sz w:val="24"/>
      <w:szCs w:val="24"/>
    </w:rPr>
  </w:style>
  <w:style w:type="paragraph" w:customStyle="1" w:styleId="pdq2pgselectionanchorcontainer">
    <w:name w:val="pdq2pg_selectionanchorcontainer"/>
    <w:basedOn w:val="Normal"/>
    <w:qFormat/>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26"/>
      <w:szCs w:val="26"/>
    </w:rPr>
  </w:style>
  <w:style w:type="paragraph" w:customStyle="1" w:styleId="w6asjqtextbase">
    <w:name w:val="w6asjq_textbase"/>
    <w:basedOn w:val="Normal"/>
    <w:qFormat/>
    <w:pPr>
      <w:spacing w:before="100" w:beforeAutospacing="1" w:after="100" w:afterAutospacing="1" w:line="240" w:lineRule="auto"/>
    </w:pPr>
    <w:rPr>
      <w:rFonts w:ascii="Times New Roman" w:hAnsi="Times New Roman" w:cs="Times New Roman"/>
      <w:sz w:val="24"/>
      <w:szCs w:val="24"/>
    </w:rPr>
  </w:style>
  <w:style w:type="character" w:customStyle="1" w:styleId="w6asjqtextbase1">
    <w:name w:val="w6asjq_textbase1"/>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13</Pages>
  <Words>3201</Words>
  <Characters>18247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Annan</dc:creator>
  <cp:lastModifiedBy>Yvonne Cynthia Annobea Annan</cp:lastModifiedBy>
  <cp:revision>46</cp:revision>
  <dcterms:created xsi:type="dcterms:W3CDTF">2026-10-03T10:20:00Z</dcterms:created>
  <dcterms:modified xsi:type="dcterms:W3CDTF">2026-10-25T07:52:00Z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eyJoZGlkIjoiZWYwZTg2MmU2M2I0YjZiYjBhNjUyNmU3YTA1YzE4MDkiLCJ1c2VySWQiOiIzODY1ODgzMjM4OTYxIn0=</vt:lpwstr>
  </property>
  <property fmtid="{D5CDD505-2E9C-101B-9397-08002B2CF9AE}" pid="3" name="KSOProductBuildVer">
    <vt:lpwstr>1033-12.1.0.28099</vt:lpwstr>
  </property>
  <property fmtid="{D5CDD505-2E9C-101B-9397-08002B2CF9AE}" pid="4" name="ICV">
    <vt:lpwstr>62147E17092E4AE39EDBD7984C19536A_12</vt:lpwstr>
  </property>
</Properties>
</file>