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D46DF" w:rsidRPr="009D46DF" w:rsidRDefault="009D46DF" w:rsidP="00FE7A81">
      <w:pPr>
        <w:pStyle w:val="PlainText"/>
        <w:rPr>
          <w:rFonts w:ascii="Courier New" w:hAnsi="Courier New" w:cs="Courier New"/>
          <w:color w:val="FF0000"/>
          <w:sz w:val="24"/>
          <w:szCs w:val="24"/>
        </w:rPr>
      </w:pPr>
      <w:r w:rsidRPr="009D46DF">
        <w:rPr>
          <w:rFonts w:ascii="Courier New" w:hAnsi="Courier New" w:cs="Courier New"/>
          <w:color w:val="FF0000"/>
          <w:sz w:val="24"/>
          <w:szCs w:val="24"/>
          <w:lang w:eastAsia="zh-TW"/>
        </w:rPr>
        <w:t>21</w:t>
      </w:r>
      <w:r w:rsidRPr="009D46DF">
        <w:rPr>
          <w:rFonts w:ascii="Courier New" w:hAnsi="Courier New" w:cs="Courier New" w:hint="eastAsia"/>
          <w:color w:val="FF0000"/>
          <w:sz w:val="24"/>
          <w:szCs w:val="24"/>
        </w:rPr>
        <w:t>課補充資料</w:t>
      </w:r>
    </w:p>
    <w:p w:rsidR="009D46DF" w:rsidRDefault="009D46DF" w:rsidP="00FE7A81">
      <w:pPr>
        <w:pStyle w:val="PlainText"/>
        <w:rPr>
          <w:rFonts w:ascii="Courier New" w:hAnsi="Courier New" w:cs="Courier New" w:hint="eastAsia"/>
          <w:sz w:val="24"/>
          <w:szCs w:val="24"/>
        </w:rPr>
      </w:pPr>
    </w:p>
    <w:p w:rsidR="00FE7A81" w:rsidRPr="00FE7A81" w:rsidRDefault="00FE7A81" w:rsidP="00FE7A81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FE7A81">
        <w:rPr>
          <w:rFonts w:ascii="Courier New" w:hAnsi="Courier New" w:cs="Courier New" w:hint="eastAsia"/>
          <w:sz w:val="24"/>
          <w:szCs w:val="24"/>
          <w:lang w:eastAsia="zh-TW"/>
        </w:rPr>
        <w:t>性相近也，習相遠也。</w:t>
      </w:r>
    </w:p>
    <w:p w:rsidR="00FE7A81" w:rsidRPr="00FE7A81" w:rsidRDefault="00FE7A81" w:rsidP="00FE7A81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FE7A81">
        <w:rPr>
          <w:rFonts w:ascii="Courier New" w:hAnsi="Courier New" w:cs="Courier New" w:hint="eastAsia"/>
          <w:sz w:val="24"/>
          <w:szCs w:val="24"/>
          <w:lang w:eastAsia="zh-TW"/>
        </w:rPr>
        <w:t xml:space="preserve">       </w:t>
      </w:r>
      <w:r w:rsidRPr="00FE7A81">
        <w:rPr>
          <w:rFonts w:ascii="Courier New" w:hAnsi="Courier New" w:cs="Courier New" w:hint="eastAsia"/>
          <w:sz w:val="24"/>
          <w:szCs w:val="24"/>
          <w:lang w:eastAsia="zh-TW"/>
        </w:rPr>
        <w:t>孔子說性，孔門</w:t>
      </w:r>
      <w:bookmarkStart w:id="0" w:name="_GoBack"/>
      <w:bookmarkEnd w:id="0"/>
      <w:r w:rsidRPr="00FE7A81">
        <w:rPr>
          <w:rFonts w:ascii="Courier New" w:hAnsi="Courier New" w:cs="Courier New" w:hint="eastAsia"/>
          <w:sz w:val="24"/>
          <w:szCs w:val="24"/>
          <w:lang w:eastAsia="zh-TW"/>
        </w:rPr>
        <w:t>弟子能了解其義的不多。顏子聽孔子之言，無所不悅，曾子能知孔子「一以貫之」的道，這兩位賢人當然能了解。子貢曾說：「夫子之言性與天道，不可得而聞也。」既知性不可得而聞，惟須覺悟，則可證明他能了解一部分。後來儒家研究性的意義者，一是孟子，他在孟子告子篇裡發表性善說。一是荀子，他在荀子性惡篇裡發表性惡說。一是揚雄，他在法言修身篇裡發表性善惡混之說。孔子只說「性相近也，習相遠也。」未說性有善惡，而此章歷代諸注，不出孟、荀、揚三家之說，只有皇侃疏未用善惡解釋。</w:t>
      </w:r>
    </w:p>
    <w:p w:rsidR="00FE7A81" w:rsidRDefault="00FE7A81" w:rsidP="00FE7A81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FE7A81">
        <w:rPr>
          <w:rFonts w:ascii="Courier New" w:hAnsi="Courier New" w:cs="Courier New" w:hint="eastAsia"/>
          <w:sz w:val="24"/>
          <w:szCs w:val="24"/>
          <w:lang w:eastAsia="zh-TW"/>
        </w:rPr>
        <w:t xml:space="preserve">       </w:t>
      </w:r>
      <w:r w:rsidRPr="00FE7A81">
        <w:rPr>
          <w:rFonts w:ascii="Courier New" w:hAnsi="Courier New" w:cs="Courier New" w:hint="eastAsia"/>
          <w:sz w:val="24"/>
          <w:szCs w:val="24"/>
          <w:lang w:eastAsia="zh-TW"/>
        </w:rPr>
        <w:t>以體相用解釋「性相近也，習相遠也。」便知性是體空，寂然不動，動則出現假相。體雖空，而性實有。這可用比喻來說明。如薑有熱性，但看不見熱，以手執薑，亦無熱感，然而把薑吃下以後，身體便發熱。由此可喻吾人實有此性，人生以及宇宙萬有皆以此性為根源，此性亦遍及宇宙人生，而吾人以及萬物此性原來相差不多，所以說「性相近。」性雖相近，但各人習慣不同，依照各人習慣發展，愈到後來則互相差異愈遠，所以說「習相遠。」性體真空，固然沒有善惡，由性所現的假相，亦無善惡可言。例如人身，即是假相，在其既不為善時，也不為惡時，則此人身，便不能說是善身，也不能說是惡身，必須由此人身表現一些行為，或是利人，或是害人，始能說是善是惡，這些行為不是相，而是業用，習相遠的「習」就是業用，善惡只是就業用而言。既是性無善惡，則欲明性者，便不能從善惡中求。諸注或說性善，或說性惡，或說性善惡混，皆是誤解。</w:t>
      </w:r>
    </w:p>
    <w:p w:rsidR="00FE7A81" w:rsidRDefault="00FE7A81" w:rsidP="00FE7A81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9D46DF" w:rsidRPr="009D46DF" w:rsidRDefault="009D46DF" w:rsidP="009D46DF">
      <w:pPr>
        <w:pStyle w:val="PlainText"/>
        <w:rPr>
          <w:rFonts w:ascii="Courier New" w:hAnsi="Courier New" w:cs="Courier New"/>
          <w:color w:val="FF0000"/>
          <w:sz w:val="24"/>
          <w:szCs w:val="24"/>
        </w:rPr>
      </w:pPr>
      <w:r w:rsidRPr="009D46DF">
        <w:rPr>
          <w:rFonts w:ascii="Courier New" w:hAnsi="Courier New" w:cs="Courier New"/>
          <w:color w:val="FF0000"/>
          <w:sz w:val="24"/>
          <w:szCs w:val="24"/>
          <w:lang w:eastAsia="zh-TW"/>
        </w:rPr>
        <w:t>2</w:t>
      </w:r>
      <w:r w:rsidRPr="009D46DF">
        <w:rPr>
          <w:rFonts w:ascii="Courier New" w:hAnsi="Courier New" w:cs="Courier New"/>
          <w:color w:val="FF0000"/>
          <w:sz w:val="24"/>
          <w:szCs w:val="24"/>
          <w:lang w:eastAsia="zh-TW"/>
        </w:rPr>
        <w:t>2</w:t>
      </w:r>
      <w:r w:rsidRPr="009D46DF">
        <w:rPr>
          <w:rFonts w:ascii="Courier New" w:hAnsi="Courier New" w:cs="Courier New" w:hint="eastAsia"/>
          <w:color w:val="FF0000"/>
          <w:sz w:val="24"/>
          <w:szCs w:val="24"/>
        </w:rPr>
        <w:t>課補充資料</w:t>
      </w:r>
    </w:p>
    <w:p w:rsidR="009D46DF" w:rsidRDefault="009D46DF" w:rsidP="00FE7A81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234773" w:rsidRPr="005E7759" w:rsidRDefault="00313607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>
        <w:rPr>
          <w:rFonts w:ascii="Courier New" w:hAnsi="Courier New" w:cs="Courier New" w:hint="eastAsia"/>
          <w:sz w:val="24"/>
          <w:szCs w:val="24"/>
          <w:lang w:eastAsia="zh-TW"/>
        </w:rPr>
        <w:t>1</w:t>
      </w:r>
      <w:r>
        <w:rPr>
          <w:rFonts w:ascii="Courier New" w:hAnsi="Courier New" w:cs="Courier New"/>
          <w:sz w:val="24"/>
          <w:szCs w:val="24"/>
          <w:lang w:eastAsia="zh-TW"/>
        </w:rPr>
        <w:t>.</w:t>
      </w:r>
      <w:r w:rsidR="00234773" w:rsidRPr="005E7759">
        <w:rPr>
          <w:rFonts w:ascii="Courier New" w:hAnsi="Courier New" w:cs="Courier New"/>
          <w:sz w:val="24"/>
          <w:szCs w:val="24"/>
          <w:lang w:eastAsia="zh-TW"/>
        </w:rPr>
        <w:t>曾子曰：吾日三省吾身；為人謀而不忠乎。與朋友交而不信乎。傳不習乎。</w:t>
      </w: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5E7759">
        <w:rPr>
          <w:rFonts w:ascii="Courier New" w:hAnsi="Courier New" w:cs="Courier New"/>
          <w:sz w:val="24"/>
          <w:szCs w:val="24"/>
          <w:lang w:eastAsia="zh-TW"/>
        </w:rPr>
        <w:t>曾子，孔子弟子，姓曾名參字子輿。參讀森，輿，驂也，參亦可讀驂。孔子嘗曰：「參也魯」。然勤能補拙，人一能之己百之。夫子之道，終由曾子一以貫之。</w:t>
      </w: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5E7759">
        <w:rPr>
          <w:rFonts w:ascii="Courier New" w:hAnsi="Courier New" w:cs="Courier New"/>
          <w:sz w:val="24"/>
          <w:szCs w:val="24"/>
          <w:lang w:eastAsia="zh-TW"/>
        </w:rPr>
        <w:t>此章敘曾子為學之工夫，每日以三事省察自身。</w:t>
      </w:r>
      <w:r w:rsidRPr="008B7A59">
        <w:rPr>
          <w:rFonts w:ascii="Courier New" w:hAnsi="Courier New" w:cs="Courier New"/>
          <w:sz w:val="24"/>
          <w:szCs w:val="24"/>
          <w:highlight w:val="yellow"/>
          <w:lang w:eastAsia="zh-TW"/>
        </w:rPr>
        <w:t>一省為人辦事是否盡忠。忠者盡其全力也。二省與朋友交是否言而有信。信即不欺朋友，亦即不欺自心。三省傳習，受師之傳，行之也否？傳授生徒，先自溫習否？忠信傳習三事不闕，方能安心就寢。</w:t>
      </w:r>
      <w:r w:rsidRPr="005E7759">
        <w:rPr>
          <w:rFonts w:ascii="Courier New" w:hAnsi="Courier New" w:cs="Courier New"/>
          <w:sz w:val="24"/>
          <w:szCs w:val="24"/>
          <w:lang w:eastAsia="zh-TW"/>
        </w:rPr>
        <w:t>傳不習乎之習字，與前章學而時習相映。</w:t>
      </w:r>
      <w:r w:rsidRPr="008B7A59">
        <w:rPr>
          <w:rFonts w:ascii="Courier New" w:hAnsi="Courier New" w:cs="Courier New"/>
          <w:sz w:val="24"/>
          <w:szCs w:val="24"/>
          <w:highlight w:val="yellow"/>
          <w:lang w:eastAsia="zh-TW"/>
        </w:rPr>
        <w:t>忠信是學習之要點</w:t>
      </w:r>
      <w:r w:rsidRPr="005E7759">
        <w:rPr>
          <w:rFonts w:ascii="Courier New" w:hAnsi="Courier New" w:cs="Courier New"/>
          <w:sz w:val="24"/>
          <w:szCs w:val="24"/>
          <w:lang w:eastAsia="zh-TW"/>
        </w:rPr>
        <w:t>。</w:t>
      </w: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5E7759">
        <w:rPr>
          <w:rFonts w:ascii="Courier New" w:hAnsi="Courier New" w:cs="Courier New"/>
          <w:sz w:val="24"/>
          <w:szCs w:val="24"/>
          <w:lang w:eastAsia="zh-TW"/>
        </w:rPr>
        <w:t>【雪公講義】</w:t>
      </w: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5E7759">
        <w:rPr>
          <w:rFonts w:ascii="Courier New" w:hAnsi="Courier New" w:cs="Courier New"/>
          <w:sz w:val="24"/>
          <w:szCs w:val="24"/>
          <w:lang w:eastAsia="zh-TW"/>
        </w:rPr>
        <w:t>【考證】禮大學篇：是故君子有大道，必忠信以得之。本篇：主忠信，無友不如己者。述而篇：子以四教，文行忠信。</w:t>
      </w: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</w:p>
    <w:p w:rsidR="00234773" w:rsidRPr="005E7759" w:rsidRDefault="00234773" w:rsidP="00234773">
      <w:pPr>
        <w:pStyle w:val="PlainText"/>
        <w:rPr>
          <w:rFonts w:ascii="Courier New" w:hAnsi="Courier New" w:cs="Courier New"/>
          <w:sz w:val="24"/>
          <w:szCs w:val="24"/>
          <w:lang w:eastAsia="zh-TW"/>
        </w:rPr>
      </w:pPr>
      <w:r w:rsidRPr="005E7759">
        <w:rPr>
          <w:rFonts w:ascii="Courier New" w:hAnsi="Courier New" w:cs="Courier New"/>
          <w:sz w:val="24"/>
          <w:szCs w:val="24"/>
          <w:lang w:eastAsia="zh-TW"/>
        </w:rPr>
        <w:t>【按】道德仁義禮樂，以及修齊治平諸端，均須以忠信為主施行之。具此篤純始得其成。學亦如之。仍與崇仁求學互映。至「日」字、「三」字，各註紛然，要在省身，餘不拘泥求異。</w:t>
      </w:r>
    </w:p>
    <w:p w:rsidR="00234773" w:rsidRDefault="00234773">
      <w:pPr>
        <w:rPr>
          <w:lang w:eastAsia="zh-TW"/>
        </w:rPr>
      </w:pPr>
    </w:p>
    <w:p w:rsidR="005E7759" w:rsidRDefault="00313607" w:rsidP="005E7759">
      <w:pPr>
        <w:rPr>
          <w:lang w:eastAsia="zh-TW"/>
        </w:rPr>
      </w:pPr>
      <w:r>
        <w:rPr>
          <w:rFonts w:hint="eastAsia"/>
          <w:lang w:eastAsia="zh-TW"/>
        </w:rPr>
        <w:t>2</w:t>
      </w:r>
      <w:r>
        <w:rPr>
          <w:lang w:eastAsia="zh-TW"/>
        </w:rPr>
        <w:t xml:space="preserve">. </w:t>
      </w:r>
      <w:r w:rsidR="005E7759">
        <w:rPr>
          <w:rFonts w:hint="eastAsia"/>
          <w:lang w:eastAsia="zh-TW"/>
        </w:rPr>
        <w:t>子曰：學而不思則罔，思而不學則殆。</w:t>
      </w:r>
    </w:p>
    <w:p w:rsidR="005E7759" w:rsidRDefault="005E7759" w:rsidP="005E7759">
      <w:pPr>
        <w:rPr>
          <w:lang w:eastAsia="zh-TW"/>
        </w:rPr>
      </w:pPr>
    </w:p>
    <w:p w:rsidR="005E7759" w:rsidRDefault="005E7759" w:rsidP="005E7759">
      <w:pPr>
        <w:rPr>
          <w:lang w:eastAsia="zh-TW"/>
        </w:rPr>
      </w:pPr>
      <w:r>
        <w:rPr>
          <w:rFonts w:hint="eastAsia"/>
          <w:lang w:eastAsia="zh-TW"/>
        </w:rPr>
        <w:t>「學而不思則罔。」學是學習。皇疏說是學舊文，其意就是讀聖人書。思是研究。包咸說為尋思。罔，包注為「罔然」，皇疏另一解釋，即是「誣罔」。依包氏說，</w:t>
      </w:r>
      <w:r w:rsidRPr="008B7A59">
        <w:rPr>
          <w:rFonts w:hint="eastAsia"/>
          <w:highlight w:val="yellow"/>
          <w:lang w:eastAsia="zh-TW"/>
        </w:rPr>
        <w:t>讀書而不尋思書中的義理，則罔然無所得。依皇疏說，讀聖人書，而不精思其義，以致行用乖僻，此是誣罔聖人之道。</w:t>
      </w:r>
      <w:r>
        <w:rPr>
          <w:rFonts w:hint="eastAsia"/>
          <w:lang w:eastAsia="zh-TW"/>
        </w:rPr>
        <w:t>罔字之義，包注就學者方面解釋，皇疏就聖人方面解釋，罔字實有這兩方面意義</w:t>
      </w:r>
      <w:r w:rsidRPr="008B7A59">
        <w:rPr>
          <w:rFonts w:hint="eastAsia"/>
          <w:highlight w:val="yellow"/>
          <w:lang w:eastAsia="zh-TW"/>
        </w:rPr>
        <w:t>，可以合講。</w:t>
      </w:r>
    </w:p>
    <w:p w:rsidR="005E7759" w:rsidRDefault="005E7759" w:rsidP="005E7759">
      <w:pPr>
        <w:rPr>
          <w:lang w:eastAsia="zh-TW"/>
        </w:rPr>
      </w:pPr>
    </w:p>
    <w:p w:rsidR="005E7759" w:rsidRDefault="005E7759" w:rsidP="005E7759">
      <w:pPr>
        <w:rPr>
          <w:lang w:eastAsia="zh-TW"/>
        </w:rPr>
      </w:pPr>
      <w:r>
        <w:rPr>
          <w:rFonts w:hint="eastAsia"/>
          <w:lang w:eastAsia="zh-TW"/>
        </w:rPr>
        <w:t>「思而不學則殆。」何晏注：「不學而思，終卒不得，徒使人精神疲殆。」劉氏正義說：「殆與怠同。」何注之意，</w:t>
      </w:r>
      <w:r w:rsidRPr="008B7A59">
        <w:rPr>
          <w:rFonts w:hint="eastAsia"/>
          <w:highlight w:val="yellow"/>
          <w:lang w:eastAsia="zh-TW"/>
        </w:rPr>
        <w:t>不讀書，只憑自己思索，終無所得，徒使人精神疲怠而已。</w:t>
      </w:r>
      <w:r>
        <w:rPr>
          <w:rFonts w:hint="eastAsia"/>
          <w:lang w:eastAsia="zh-TW"/>
        </w:rPr>
        <w:t>朱子集注：「不習其事，故危而不安。」王念孫讀書雜志，引史記扁鵲傳裡「拙者疑殆」說：「此殆字，非危殆之殆。殆亦疑也。古人自有複語耳。」王氏又引公羊傳襄公四年何休注：「殆，疑也。」因而指出論語為政篇思而不學則殆的「殆」字，亦作疑字講。其意是說，思而不學，「無所依據，則疑而不決也。」王氏之子王引之，在其經義述聞裡，亦以殆作疑講。他說：「</w:t>
      </w:r>
      <w:r w:rsidRPr="008B7A59">
        <w:rPr>
          <w:rFonts w:hint="eastAsia"/>
          <w:highlight w:val="yellow"/>
          <w:lang w:eastAsia="zh-TW"/>
        </w:rPr>
        <w:t>思而不學，則事無徵驗，疑不能定也。」依王氏說，殆作疑字講，甚合經義。</w:t>
      </w:r>
    </w:p>
    <w:p w:rsidR="005E7759" w:rsidRDefault="005E7759" w:rsidP="005E7759">
      <w:pPr>
        <w:rPr>
          <w:lang w:eastAsia="zh-TW"/>
        </w:rPr>
      </w:pPr>
    </w:p>
    <w:p w:rsidR="00002EE3" w:rsidRDefault="00002EE3" w:rsidP="00002EE3">
      <w:pPr>
        <w:rPr>
          <w:lang w:eastAsia="zh-TW"/>
        </w:rPr>
      </w:pPr>
    </w:p>
    <w:p w:rsidR="00002EE3" w:rsidRDefault="00313607" w:rsidP="00002EE3">
      <w:pPr>
        <w:rPr>
          <w:lang w:eastAsia="zh-TW"/>
        </w:rPr>
      </w:pPr>
      <w:r>
        <w:rPr>
          <w:rFonts w:hint="eastAsia"/>
          <w:highlight w:val="yellow"/>
          <w:lang w:eastAsia="zh-TW"/>
        </w:rPr>
        <w:t>3</w:t>
      </w:r>
      <w:r>
        <w:rPr>
          <w:highlight w:val="yellow"/>
          <w:lang w:eastAsia="zh-TW"/>
        </w:rPr>
        <w:t xml:space="preserve">. </w:t>
      </w:r>
      <w:r w:rsidR="00002EE3" w:rsidRPr="00313607">
        <w:rPr>
          <w:rFonts w:hint="eastAsia"/>
          <w:highlight w:val="yellow"/>
          <w:lang w:eastAsia="zh-TW"/>
        </w:rPr>
        <w:t>子曰：吾嘗終日不食，終夜不寢，以思，無益，不如學也。</w:t>
      </w:r>
    </w:p>
    <w:p w:rsidR="00002EE3" w:rsidRDefault="00002EE3" w:rsidP="00002EE3">
      <w:pPr>
        <w:rPr>
          <w:lang w:eastAsia="zh-TW"/>
        </w:rPr>
      </w:pPr>
    </w:p>
    <w:p w:rsidR="00002EE3" w:rsidRDefault="00002EE3" w:rsidP="00002EE3">
      <w:pPr>
        <w:rPr>
          <w:lang w:eastAsia="zh-TW"/>
        </w:rPr>
      </w:pPr>
      <w:r>
        <w:rPr>
          <w:rFonts w:hint="eastAsia"/>
          <w:lang w:eastAsia="zh-TW"/>
        </w:rPr>
        <w:t>孔子說他自己曾經整天不喫飯，整夜不睡眠，獨自尋思，但無獲益，還不如讀書求學好。</w:t>
      </w:r>
    </w:p>
    <w:p w:rsidR="00002EE3" w:rsidRDefault="00002EE3" w:rsidP="00002EE3">
      <w:pPr>
        <w:rPr>
          <w:lang w:eastAsia="zh-TW"/>
        </w:rPr>
      </w:pPr>
    </w:p>
    <w:p w:rsidR="00002EE3" w:rsidRDefault="00002EE3" w:rsidP="00002EE3">
      <w:pPr>
        <w:rPr>
          <w:lang w:eastAsia="zh-TW"/>
        </w:rPr>
      </w:pPr>
      <w:r>
        <w:rPr>
          <w:rFonts w:hint="eastAsia"/>
          <w:lang w:eastAsia="zh-TW"/>
        </w:rPr>
        <w:t>為政篇，孔子說：「學而不思則罔，思而不學則殆。」孔子主張學與思並重，此處「以思無益」，是指只思不學而言。</w:t>
      </w:r>
    </w:p>
    <w:p w:rsidR="00002EE3" w:rsidRDefault="00002EE3" w:rsidP="00002EE3">
      <w:pPr>
        <w:rPr>
          <w:lang w:eastAsia="zh-TW"/>
        </w:rPr>
      </w:pPr>
    </w:p>
    <w:p w:rsidR="00002EE3" w:rsidRDefault="00002EE3" w:rsidP="00002EE3">
      <w:pPr>
        <w:rPr>
          <w:lang w:eastAsia="zh-TW"/>
        </w:rPr>
      </w:pPr>
      <w:r>
        <w:rPr>
          <w:rFonts w:hint="eastAsia"/>
          <w:lang w:eastAsia="zh-TW"/>
        </w:rPr>
        <w:t>述而篇，孔子說：「我非生而知之者，好古敏以求之者也。」此處「不如學也」，應當就是「好古敏以求之」的意思。「</w:t>
      </w:r>
      <w:r w:rsidRPr="008B7A59">
        <w:rPr>
          <w:rFonts w:hint="eastAsia"/>
          <w:highlight w:val="yellow"/>
          <w:lang w:eastAsia="zh-TW"/>
        </w:rPr>
        <w:t>古」是指古書所載的古聖先王之道。</w:t>
      </w:r>
    </w:p>
    <w:p w:rsidR="00313607" w:rsidRDefault="00313607" w:rsidP="00313607">
      <w:pPr>
        <w:rPr>
          <w:lang w:eastAsia="zh-TW"/>
        </w:rPr>
      </w:pPr>
    </w:p>
    <w:p w:rsidR="00FE7A81" w:rsidRDefault="00FE7A81" w:rsidP="00FE7A81">
      <w:pPr>
        <w:rPr>
          <w:lang w:eastAsia="zh-TW"/>
        </w:rPr>
      </w:pPr>
      <w:r>
        <w:rPr>
          <w:lang w:eastAsia="zh-TW"/>
        </w:rPr>
        <w:t xml:space="preserve">4. </w:t>
      </w:r>
      <w:r>
        <w:rPr>
          <w:rFonts w:hint="eastAsia"/>
          <w:lang w:eastAsia="zh-TW"/>
        </w:rPr>
        <w:t>顏淵喟然歎曰：仰之彌高，鑽之彌堅，瞻之在前，忽焉在後。夫子循循然善誘人。博我以文，約我以禮。欲罷不能，既竭吾才，如有所立，卓爾。雖欲從之，末由也已。</w:t>
      </w:r>
    </w:p>
    <w:p w:rsidR="00FE7A81" w:rsidRDefault="00FE7A81" w:rsidP="00FE7A81">
      <w:pPr>
        <w:rPr>
          <w:lang w:eastAsia="zh-TW"/>
        </w:rPr>
      </w:pPr>
    </w:p>
    <w:p w:rsidR="00FE7A81" w:rsidRDefault="00FE7A81" w:rsidP="00FE7A81">
      <w:pPr>
        <w:rPr>
          <w:lang w:eastAsia="zh-TW"/>
        </w:rPr>
      </w:pPr>
      <w:r>
        <w:rPr>
          <w:rFonts w:hint="eastAsia"/>
          <w:lang w:eastAsia="zh-TW"/>
        </w:rPr>
        <w:t>這一章經文專門講道。顏淵喟然歎曰。喟，是歎息聲。歎有二義，一是讚歎孔子，一是顏子感歎自己。以下文分三段。仰之彌高四句，感歎孔子的道極其高深。夫子循循然至約我以禮，讚歎孔子傳道有方。欲罷不能至末由也已，顏子為自己修道的情形而感歎。</w:t>
      </w:r>
    </w:p>
    <w:p w:rsidR="00FE7A81" w:rsidRDefault="00FE7A81" w:rsidP="00FE7A81">
      <w:pPr>
        <w:rPr>
          <w:lang w:eastAsia="zh-TW"/>
        </w:rPr>
      </w:pPr>
    </w:p>
    <w:p w:rsidR="00FE7A81" w:rsidRDefault="00FE7A81" w:rsidP="00FE7A81">
      <w:pPr>
        <w:rPr>
          <w:lang w:eastAsia="zh-TW"/>
        </w:rPr>
      </w:pPr>
      <w:r>
        <w:rPr>
          <w:rFonts w:hint="eastAsia"/>
          <w:lang w:eastAsia="zh-TW"/>
        </w:rPr>
        <w:t>仰鑽都是比方之詞。譬如仰望高處，愈望愈高，望不到極處。又如鑽鑿一物，愈鑽愈堅，此喻往深處說，深不可測。瞻之在眼前，忽焉在其後。前後左右，無不是道。顏子從孔子學道，發現道是如此高深，而又無處不在。何晏注：「彌高彌堅，言不可窮盡。在前在後，言恍惚不可為形象。」如此無形無盡的道不是孔子獨具，而是人心本有，也就是中庸所講的天命之謂性，率性之謂道，不可須臾離。所以顏子所學，是從孔子學其本有之道。</w:t>
      </w:r>
    </w:p>
    <w:p w:rsidR="00FE7A81" w:rsidRDefault="00FE7A81" w:rsidP="00FE7A81">
      <w:pPr>
        <w:rPr>
          <w:lang w:eastAsia="zh-TW"/>
        </w:rPr>
      </w:pPr>
    </w:p>
    <w:p w:rsidR="00313607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lastRenderedPageBreak/>
        <w:t>5</w:t>
      </w:r>
      <w:r>
        <w:rPr>
          <w:lang w:eastAsia="zh-TW"/>
        </w:rPr>
        <w:t>.</w:t>
      </w:r>
      <w:r>
        <w:rPr>
          <w:rFonts w:hint="eastAsia"/>
          <w:lang w:eastAsia="zh-TW"/>
        </w:rPr>
        <w:t>哀公問弟子孰為好學。孔子對曰：有顏回者好學，不遷怒，不貳過，不幸短命死矣；今也則亡，未聞好學者也。</w:t>
      </w:r>
    </w:p>
    <w:p w:rsidR="00313607" w:rsidRDefault="00313607" w:rsidP="00313607">
      <w:pPr>
        <w:rPr>
          <w:lang w:eastAsia="zh-TW"/>
        </w:rPr>
      </w:pPr>
    </w:p>
    <w:p w:rsidR="00313607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t>魯哀公問孔子：「你的弟子，誰是好學者。」</w:t>
      </w:r>
    </w:p>
    <w:p w:rsidR="00313607" w:rsidRDefault="00313607" w:rsidP="00313607">
      <w:pPr>
        <w:rPr>
          <w:lang w:eastAsia="zh-TW"/>
        </w:rPr>
      </w:pPr>
    </w:p>
    <w:p w:rsidR="00313607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t>孔子對哀公說：「有名叫顏回者，好學。他不遷怒，不貳過。不幸，他已短命而死。如今已無這樣的人了，亦未聞有如此好學者。」</w:t>
      </w:r>
    </w:p>
    <w:p w:rsidR="00313607" w:rsidRDefault="00313607" w:rsidP="00313607">
      <w:pPr>
        <w:rPr>
          <w:lang w:eastAsia="zh-TW"/>
        </w:rPr>
      </w:pPr>
    </w:p>
    <w:p w:rsidR="00313607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t>「不遷怒。」何晏注：「遷，移也。」說文：「遷，登也。」移，有移易延長之意。登，有升高之意。怒是一種煩惱。普通人發怒之後，其怒氣延續升高，難以制止，是為遷怒。顏子好學，是指學道而言。任何煩惱皆是學道的障礙。煩惱起時，須有忍辱的工夫制止之。孔子稱讚顏子庶幾，有不善未嘗不知。因此，顏子動怒時，即自知其為煩惱，能以忍而止之，不使怒氣續發，是為不遷怒。朱子集注：「遷，移也。怒於甲者，不移於乙。」此說淺顯，不足以明顏子的修養。」</w:t>
      </w:r>
    </w:p>
    <w:p w:rsidR="00313607" w:rsidRDefault="00313607" w:rsidP="00313607">
      <w:pPr>
        <w:rPr>
          <w:lang w:eastAsia="zh-TW"/>
        </w:rPr>
      </w:pPr>
    </w:p>
    <w:p w:rsidR="00313607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t>「不貳過。」過，是無心所犯的過失。顏子如犯某種過失，一經發覺，即不再犯。何晏引周易繫辭下傳說：「有不善，未嘗復行也。」此注頗為簡要。</w:t>
      </w:r>
    </w:p>
    <w:p w:rsidR="00313607" w:rsidRDefault="00313607" w:rsidP="00313607">
      <w:pPr>
        <w:rPr>
          <w:lang w:eastAsia="zh-TW"/>
        </w:rPr>
      </w:pPr>
    </w:p>
    <w:p w:rsidR="00313607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t>不遷怒，不貳過，與好學有何關係。古注對此二句，多有不同的解說。若就此章經文研究，則知不遷怒不貳過是由好學而來。好學是不遷怒不貳過的前因，不遷怒不貳過是好學的成果。唯有好學，始能希聖希賢。唯有像顏子這樣的學有成果，始能證明真正的好學。</w:t>
      </w:r>
    </w:p>
    <w:p w:rsidR="00313607" w:rsidRDefault="00313607" w:rsidP="00313607">
      <w:pPr>
        <w:rPr>
          <w:lang w:eastAsia="zh-TW"/>
        </w:rPr>
      </w:pPr>
    </w:p>
    <w:p w:rsidR="008B7A59" w:rsidRDefault="00313607" w:rsidP="00313607">
      <w:pPr>
        <w:rPr>
          <w:lang w:eastAsia="zh-TW"/>
        </w:rPr>
      </w:pPr>
      <w:r>
        <w:rPr>
          <w:rFonts w:hint="eastAsia"/>
          <w:lang w:eastAsia="zh-TW"/>
        </w:rPr>
        <w:t>顏子之年，其說不一。劉氏正義云：「史記仲尼弟子傳，顏回少孔子三十歲，年二十九，髮盡白，蚤死。未著卒之歲年。家語弟子解始云，三十二而死。王肅注，校其年，則顏回死時，孔子年六十一。李氏鍇尚史辨之云，顏子卒於伯魚之後。按譜，孔子七十而伯魚卒，是顏子之卒，當在孔子七十一之年。顏子少孔子三十歲，是享年四十有一矣。」</w:t>
      </w:r>
    </w:p>
    <w:sectPr w:rsidR="008B7A59" w:rsidSect="00075F7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773"/>
    <w:rsid w:val="00002EE3"/>
    <w:rsid w:val="00075F78"/>
    <w:rsid w:val="00203E10"/>
    <w:rsid w:val="00234773"/>
    <w:rsid w:val="00313607"/>
    <w:rsid w:val="005E7759"/>
    <w:rsid w:val="008B7A59"/>
    <w:rsid w:val="009D46DF"/>
    <w:rsid w:val="00FE7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00CFC3"/>
  <w15:chartTrackingRefBased/>
  <w15:docId w15:val="{0E094CA4-8F85-1F45-B1DA-C664CA68F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234773"/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234773"/>
    <w:rPr>
      <w:rFonts w:ascii="Consolas" w:hAnsi="Consolas" w:cs="Consolas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64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2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8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77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15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5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417</Words>
  <Characters>2379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7</cp:revision>
  <dcterms:created xsi:type="dcterms:W3CDTF">2020-10-12T15:27:00Z</dcterms:created>
  <dcterms:modified xsi:type="dcterms:W3CDTF">2020-10-13T13:36:00Z</dcterms:modified>
</cp:coreProperties>
</file>