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0DE53D" w14:textId="736F7870" w:rsidR="00E2083A" w:rsidRDefault="00E2083A" w:rsidP="00E2083A">
      <w:pPr>
        <w:jc w:val="center"/>
        <w:rPr>
          <w:b/>
          <w:bCs/>
          <w:sz w:val="28"/>
          <w:szCs w:val="28"/>
          <w:u w:val="single"/>
        </w:rPr>
      </w:pPr>
      <w:r>
        <w:rPr>
          <w:b/>
          <w:bCs/>
          <w:sz w:val="28"/>
          <w:szCs w:val="28"/>
          <w:u w:val="single"/>
        </w:rPr>
        <w:t>In What Ways Can Touring Theatre Affect Its Audience in Terms of Addressing Social, Political and Cultural Issues?</w:t>
      </w:r>
    </w:p>
    <w:p w14:paraId="15FB4168" w14:textId="4F9F6809" w:rsidR="00B07A10" w:rsidRDefault="00B07A10" w:rsidP="00E2083A">
      <w:pPr>
        <w:rPr>
          <w:sz w:val="24"/>
          <w:szCs w:val="24"/>
        </w:rPr>
      </w:pPr>
      <w:r>
        <w:rPr>
          <w:sz w:val="24"/>
          <w:szCs w:val="24"/>
        </w:rPr>
        <w:t>Theatre has been used as a tool to express social, political and cultural issues since it was first created by the Ancient Greeks who used it as a democratic tool. While it is now often viewed as simply a form of entertainment, theatre can still be used to inspire and enact</w:t>
      </w:r>
      <w:r w:rsidR="00D74C19">
        <w:rPr>
          <w:sz w:val="24"/>
          <w:szCs w:val="24"/>
        </w:rPr>
        <w:t xml:space="preserve"> social</w:t>
      </w:r>
      <w:bookmarkStart w:id="0" w:name="_GoBack"/>
      <w:bookmarkEnd w:id="0"/>
      <w:r>
        <w:rPr>
          <w:sz w:val="24"/>
          <w:szCs w:val="24"/>
        </w:rPr>
        <w:t xml:space="preserve"> change. Touring theatre can be especially adept at this, as traveling is in its very nature, allowing social, political and cultural issues that affect one part of the world to be shown to other individuals elsewhere.</w:t>
      </w:r>
    </w:p>
    <w:p w14:paraId="0499D329" w14:textId="7A284F67" w:rsidR="008E2459" w:rsidRDefault="00B07A10" w:rsidP="00E2083A">
      <w:pPr>
        <w:rPr>
          <w:sz w:val="24"/>
          <w:szCs w:val="24"/>
        </w:rPr>
      </w:pPr>
      <w:r>
        <w:rPr>
          <w:sz w:val="24"/>
          <w:szCs w:val="24"/>
        </w:rPr>
        <w:t xml:space="preserve">The show that we are currently creating </w:t>
      </w:r>
      <w:r w:rsidR="0064783E">
        <w:rPr>
          <w:sz w:val="24"/>
          <w:szCs w:val="24"/>
        </w:rPr>
        <w:t>i</w:t>
      </w:r>
      <w:r w:rsidR="004058CF">
        <w:rPr>
          <w:sz w:val="24"/>
          <w:szCs w:val="24"/>
        </w:rPr>
        <w:t>s</w:t>
      </w:r>
      <w:r w:rsidR="0064783E">
        <w:rPr>
          <w:sz w:val="24"/>
          <w:szCs w:val="24"/>
        </w:rPr>
        <w:t xml:space="preserve"> based around the themes of collective responsibility and kindness and </w:t>
      </w:r>
      <w:r>
        <w:rPr>
          <w:sz w:val="24"/>
          <w:szCs w:val="24"/>
        </w:rPr>
        <w:t>focuses on one girl</w:t>
      </w:r>
      <w:r w:rsidR="0064783E">
        <w:rPr>
          <w:sz w:val="24"/>
          <w:szCs w:val="24"/>
        </w:rPr>
        <w:t>, Gemma,</w:t>
      </w:r>
      <w:r>
        <w:rPr>
          <w:sz w:val="24"/>
          <w:szCs w:val="24"/>
        </w:rPr>
        <w:t xml:space="preserve"> who has been sucked into a fantastical world and given the task of finding the Kindness Gem, </w:t>
      </w:r>
      <w:r w:rsidR="0064783E">
        <w:rPr>
          <w:sz w:val="24"/>
          <w:szCs w:val="24"/>
        </w:rPr>
        <w:t xml:space="preserve">being forced to work together with those she meets </w:t>
      </w:r>
      <w:r w:rsidR="001134B7">
        <w:rPr>
          <w:sz w:val="24"/>
          <w:szCs w:val="24"/>
        </w:rPr>
        <w:t>within this world</w:t>
      </w:r>
      <w:r w:rsidR="0064783E">
        <w:rPr>
          <w:sz w:val="24"/>
          <w:szCs w:val="24"/>
        </w:rPr>
        <w:t xml:space="preserve"> and therefore learning to be kinder along the way. </w:t>
      </w:r>
      <w:r w:rsidR="00854AD7">
        <w:rPr>
          <w:sz w:val="24"/>
          <w:szCs w:val="24"/>
        </w:rPr>
        <w:t>Within rehearsals, we have been looking at the idea of giving the audience choices about what happens next within the story, taking inspiration from ‘choose your own story’ books. This is something that not only allows the audience to see the consequence of their choices, but also allows them to feel more involved in the show, something which is important within theatre in education pieces as “a close rapport and interaction with its audience are central to the experience” (Jackson, 2002)</w:t>
      </w:r>
      <w:r w:rsidR="001134B7">
        <w:rPr>
          <w:sz w:val="24"/>
          <w:szCs w:val="24"/>
        </w:rPr>
        <w:t>, something that can also be seen in our large use of clowning within the show.</w:t>
      </w:r>
    </w:p>
    <w:p w14:paraId="4B1A8BDE" w14:textId="51A3AE1E" w:rsidR="005E1268" w:rsidRDefault="005E1268" w:rsidP="00E2083A">
      <w:pPr>
        <w:rPr>
          <w:sz w:val="24"/>
          <w:szCs w:val="24"/>
        </w:rPr>
      </w:pPr>
      <w:r>
        <w:rPr>
          <w:sz w:val="24"/>
          <w:szCs w:val="24"/>
        </w:rPr>
        <w:t>Taking touring theatre into schools is an important way to inspire the next generation of theatre makers, something that is especially important now, due to the reduced focus on the arts within education</w:t>
      </w:r>
      <w:r w:rsidR="00A318AC">
        <w:rPr>
          <w:sz w:val="24"/>
          <w:szCs w:val="24"/>
        </w:rPr>
        <w:t>. Charles Fowler states that “since the arts humanise the curriculum while affirming the interconnectedness of all things, they are a powerful means to improve general education</w:t>
      </w:r>
      <w:r w:rsidR="001134B7">
        <w:rPr>
          <w:sz w:val="24"/>
          <w:szCs w:val="24"/>
        </w:rPr>
        <w:t>…</w:t>
      </w:r>
      <w:r w:rsidR="00A318AC">
        <w:rPr>
          <w:sz w:val="24"/>
          <w:szCs w:val="24"/>
        </w:rPr>
        <w:t xml:space="preserve"> The arts provide a more comprehensive, insightful education because they invite students to explore the emotional, intuitive, and irrational aspects of life that science is hard-pressed to explain”. It is for this reason that it is especially important that the piece of theatre we have been creating has a very heavy emphasis on </w:t>
      </w:r>
      <w:r w:rsidR="001134B7">
        <w:rPr>
          <w:sz w:val="24"/>
          <w:szCs w:val="24"/>
        </w:rPr>
        <w:t>a child’s imagination; as the entire world that Gemma is sucked into exists in an extreme version of her bedroom and is populated with her toys, therefore mimicking the imagination games that children play.</w:t>
      </w:r>
    </w:p>
    <w:p w14:paraId="0F5B9DE0" w14:textId="4A8ED5D2" w:rsidR="00BE53D8" w:rsidRDefault="00BE53D8" w:rsidP="00E2083A">
      <w:pPr>
        <w:rPr>
          <w:sz w:val="24"/>
          <w:szCs w:val="24"/>
        </w:rPr>
      </w:pPr>
      <w:r>
        <w:rPr>
          <w:sz w:val="24"/>
          <w:szCs w:val="24"/>
        </w:rPr>
        <w:t>Our show also has a large focus on teamwork, something that is an important skill for children to learn</w:t>
      </w:r>
      <w:r w:rsidR="000D389C">
        <w:rPr>
          <w:sz w:val="24"/>
          <w:szCs w:val="24"/>
        </w:rPr>
        <w:t xml:space="preserve"> as it is something that they will need for the rest of their lives, whether it is in a school environment, a working environment or even just socially. This can be seen in our show through the way that not only do Gemma and the Lamp </w:t>
      </w:r>
      <w:proofErr w:type="gramStart"/>
      <w:r w:rsidR="000D389C">
        <w:rPr>
          <w:sz w:val="24"/>
          <w:szCs w:val="24"/>
        </w:rPr>
        <w:t>have to</w:t>
      </w:r>
      <w:proofErr w:type="gramEnd"/>
      <w:r w:rsidR="000D389C">
        <w:rPr>
          <w:sz w:val="24"/>
          <w:szCs w:val="24"/>
        </w:rPr>
        <w:t xml:space="preserve"> work together throughout, but also have to rely on the help of the other characters that they meet to reach their goals. The fact that at the beginning Gemma could be viewed as not wanting to help, something that can be seen during the crocodile scene, is something that is also important, as it demonstrates to the audience the benefits of working together as opposed to working alone.</w:t>
      </w:r>
    </w:p>
    <w:p w14:paraId="64ADC46F" w14:textId="1807CC8B" w:rsidR="000D389C" w:rsidRDefault="000D389C" w:rsidP="00E2083A">
      <w:pPr>
        <w:rPr>
          <w:sz w:val="24"/>
          <w:szCs w:val="24"/>
        </w:rPr>
      </w:pPr>
      <w:r>
        <w:rPr>
          <w:sz w:val="24"/>
          <w:szCs w:val="24"/>
        </w:rPr>
        <w:t>In conclusion, I feel that touring theatre as a discipline is a very effective medium for addressing social, political and cultural issues</w:t>
      </w:r>
      <w:r w:rsidR="00E729C3">
        <w:rPr>
          <w:sz w:val="24"/>
          <w:szCs w:val="24"/>
        </w:rPr>
        <w:t xml:space="preserve">, and that touring theatre for children </w:t>
      </w:r>
      <w:proofErr w:type="gramStart"/>
      <w:r w:rsidR="00E729C3">
        <w:rPr>
          <w:sz w:val="24"/>
          <w:szCs w:val="24"/>
        </w:rPr>
        <w:t xml:space="preserve">in </w:t>
      </w:r>
      <w:r w:rsidR="00E729C3">
        <w:rPr>
          <w:sz w:val="24"/>
          <w:szCs w:val="24"/>
        </w:rPr>
        <w:lastRenderedPageBreak/>
        <w:t>particular is</w:t>
      </w:r>
      <w:proofErr w:type="gramEnd"/>
      <w:r w:rsidR="00E729C3">
        <w:rPr>
          <w:sz w:val="24"/>
          <w:szCs w:val="24"/>
        </w:rPr>
        <w:t xml:space="preserve"> especially good at not only addressing these issues but also in teaching the importance of developing specific life skills.</w:t>
      </w:r>
    </w:p>
    <w:p w14:paraId="30E2A184" w14:textId="77777777" w:rsidR="00B939F6" w:rsidRDefault="00B939F6" w:rsidP="00E2083A">
      <w:pPr>
        <w:rPr>
          <w:sz w:val="24"/>
          <w:szCs w:val="24"/>
        </w:rPr>
      </w:pPr>
    </w:p>
    <w:p w14:paraId="35D33FE4" w14:textId="0446DEAE" w:rsidR="004058CF" w:rsidRDefault="004058CF" w:rsidP="00E2083A">
      <w:pPr>
        <w:rPr>
          <w:sz w:val="24"/>
          <w:szCs w:val="24"/>
        </w:rPr>
      </w:pPr>
    </w:p>
    <w:p w14:paraId="2DD96C50" w14:textId="19187502" w:rsidR="004058CF" w:rsidRDefault="004058CF" w:rsidP="00E2083A">
      <w:pPr>
        <w:rPr>
          <w:sz w:val="24"/>
          <w:szCs w:val="24"/>
          <w:u w:val="single"/>
        </w:rPr>
      </w:pPr>
      <w:r>
        <w:rPr>
          <w:sz w:val="24"/>
          <w:szCs w:val="24"/>
          <w:u w:val="single"/>
        </w:rPr>
        <w:t>Bibliography:</w:t>
      </w:r>
    </w:p>
    <w:p w14:paraId="5A4D9116" w14:textId="015B09BE" w:rsidR="004058CF" w:rsidRDefault="004058CF" w:rsidP="004058CF">
      <w:pPr>
        <w:pStyle w:val="ListParagraph"/>
        <w:numPr>
          <w:ilvl w:val="0"/>
          <w:numId w:val="1"/>
        </w:numPr>
        <w:rPr>
          <w:sz w:val="24"/>
          <w:szCs w:val="24"/>
        </w:rPr>
      </w:pPr>
      <w:r>
        <w:rPr>
          <w:sz w:val="24"/>
          <w:szCs w:val="24"/>
        </w:rPr>
        <w:t>Jackson</w:t>
      </w:r>
      <w:r w:rsidR="00F45211">
        <w:rPr>
          <w:sz w:val="24"/>
          <w:szCs w:val="24"/>
        </w:rPr>
        <w:t>, A. (2002)</w:t>
      </w:r>
      <w:r w:rsidR="00AC2116">
        <w:rPr>
          <w:sz w:val="24"/>
          <w:szCs w:val="24"/>
        </w:rPr>
        <w:t>, ‘Learning Through Theatre: New Perspectives in Theatre in Education’, Routledge</w:t>
      </w:r>
    </w:p>
    <w:p w14:paraId="1C9167C3" w14:textId="2591F44B" w:rsidR="00B939F6" w:rsidRDefault="00B939F6" w:rsidP="004058CF">
      <w:pPr>
        <w:pStyle w:val="ListParagraph"/>
        <w:numPr>
          <w:ilvl w:val="0"/>
          <w:numId w:val="1"/>
        </w:numPr>
        <w:rPr>
          <w:sz w:val="24"/>
          <w:szCs w:val="24"/>
        </w:rPr>
      </w:pPr>
      <w:r>
        <w:rPr>
          <w:sz w:val="24"/>
          <w:szCs w:val="24"/>
        </w:rPr>
        <w:t xml:space="preserve">Fowler, C. (1994), </w:t>
      </w:r>
      <w:r>
        <w:rPr>
          <w:i/>
          <w:iCs/>
          <w:sz w:val="24"/>
          <w:szCs w:val="24"/>
        </w:rPr>
        <w:t>‘Strong Arts, Strong Schools’</w:t>
      </w:r>
      <w:r>
        <w:rPr>
          <w:sz w:val="24"/>
          <w:szCs w:val="24"/>
        </w:rPr>
        <w:t xml:space="preserve">, ERIC, </w:t>
      </w:r>
      <w:r w:rsidR="001356A2">
        <w:rPr>
          <w:sz w:val="24"/>
          <w:szCs w:val="24"/>
        </w:rPr>
        <w:t>viewed 7</w:t>
      </w:r>
      <w:r w:rsidR="001356A2" w:rsidRPr="001356A2">
        <w:rPr>
          <w:sz w:val="24"/>
          <w:szCs w:val="24"/>
          <w:vertAlign w:val="superscript"/>
        </w:rPr>
        <w:t>t</w:t>
      </w:r>
      <w:r w:rsidR="001356A2">
        <w:rPr>
          <w:sz w:val="24"/>
          <w:szCs w:val="24"/>
          <w:vertAlign w:val="superscript"/>
        </w:rPr>
        <w:t xml:space="preserve">h </w:t>
      </w:r>
      <w:r w:rsidR="001356A2">
        <w:rPr>
          <w:sz w:val="24"/>
          <w:szCs w:val="24"/>
        </w:rPr>
        <w:t>November 2019</w:t>
      </w:r>
      <w:r>
        <w:rPr>
          <w:sz w:val="24"/>
          <w:szCs w:val="24"/>
        </w:rPr>
        <w:t xml:space="preserve">, </w:t>
      </w:r>
      <w:r w:rsidR="001356A2">
        <w:rPr>
          <w:sz w:val="24"/>
          <w:szCs w:val="24"/>
        </w:rPr>
        <w:t>&lt;</w:t>
      </w:r>
      <w:hyperlink r:id="rId5" w:history="1">
        <w:r w:rsidR="001356A2" w:rsidRPr="00ED51B6">
          <w:rPr>
            <w:rStyle w:val="Hyperlink"/>
            <w:sz w:val="24"/>
            <w:szCs w:val="24"/>
          </w:rPr>
          <w:t>https://eric.ed.gov/?id=EJ492903</w:t>
        </w:r>
      </w:hyperlink>
      <w:r w:rsidR="001356A2">
        <w:rPr>
          <w:sz w:val="24"/>
          <w:szCs w:val="24"/>
        </w:rPr>
        <w:t>&gt;</w:t>
      </w:r>
    </w:p>
    <w:p w14:paraId="6B559552" w14:textId="77777777" w:rsidR="001356A2" w:rsidRPr="00E729C3" w:rsidRDefault="001356A2" w:rsidP="00E729C3">
      <w:pPr>
        <w:ind w:left="360"/>
        <w:rPr>
          <w:sz w:val="24"/>
          <w:szCs w:val="24"/>
        </w:rPr>
      </w:pPr>
    </w:p>
    <w:sectPr w:rsidR="001356A2" w:rsidRPr="00E729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DD4AC6"/>
    <w:multiLevelType w:val="hybridMultilevel"/>
    <w:tmpl w:val="D50E0C5C"/>
    <w:lvl w:ilvl="0" w:tplc="159A0C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83A"/>
    <w:rsid w:val="000D389C"/>
    <w:rsid w:val="001134B7"/>
    <w:rsid w:val="001356A2"/>
    <w:rsid w:val="004058CF"/>
    <w:rsid w:val="005E1268"/>
    <w:rsid w:val="0064783E"/>
    <w:rsid w:val="00723198"/>
    <w:rsid w:val="00854AD7"/>
    <w:rsid w:val="008E2459"/>
    <w:rsid w:val="00A318AC"/>
    <w:rsid w:val="00AC2116"/>
    <w:rsid w:val="00B07A10"/>
    <w:rsid w:val="00B939F6"/>
    <w:rsid w:val="00BE53D8"/>
    <w:rsid w:val="00D74C19"/>
    <w:rsid w:val="00E2083A"/>
    <w:rsid w:val="00E729C3"/>
    <w:rsid w:val="00F45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479C6"/>
  <w15:chartTrackingRefBased/>
  <w15:docId w15:val="{30502E49-B46D-4BCB-8314-858362568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58CF"/>
    <w:pPr>
      <w:ind w:left="720"/>
      <w:contextualSpacing/>
    </w:pPr>
  </w:style>
  <w:style w:type="character" w:styleId="Hyperlink">
    <w:name w:val="Hyperlink"/>
    <w:basedOn w:val="DefaultParagraphFont"/>
    <w:uiPriority w:val="99"/>
    <w:unhideWhenUsed/>
    <w:rsid w:val="001356A2"/>
    <w:rPr>
      <w:color w:val="0563C1" w:themeColor="hyperlink"/>
      <w:u w:val="single"/>
    </w:rPr>
  </w:style>
  <w:style w:type="character" w:styleId="UnresolvedMention">
    <w:name w:val="Unresolved Mention"/>
    <w:basedOn w:val="DefaultParagraphFont"/>
    <w:uiPriority w:val="99"/>
    <w:semiHidden/>
    <w:unhideWhenUsed/>
    <w:rsid w:val="001356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ric.ed.gov/?id=EJ49290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566</Words>
  <Characters>3229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Jones</dc:creator>
  <cp:keywords/>
  <dc:description/>
  <cp:lastModifiedBy>Phil Jones</cp:lastModifiedBy>
  <cp:revision>2</cp:revision>
  <dcterms:created xsi:type="dcterms:W3CDTF">2019-11-07T15:44:00Z</dcterms:created>
  <dcterms:modified xsi:type="dcterms:W3CDTF">2019-11-07T15:44:00Z</dcterms:modified>
</cp:coreProperties>
</file>