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D894C" w14:textId="77777777" w:rsidR="003F293B" w:rsidRDefault="003F293B">
      <w:pPr>
        <w:jc w:val="center"/>
        <w:rPr>
          <w:rFonts w:ascii="Times New Roman" w:hAnsi="Times New Roman" w:cs="Times New Roman"/>
          <w:b/>
          <w:bCs/>
          <w:sz w:val="24"/>
          <w:szCs w:val="24"/>
        </w:rPr>
      </w:pPr>
    </w:p>
    <w:p w14:paraId="4708CF46" w14:textId="77777777" w:rsidR="003F293B" w:rsidRDefault="003F293B">
      <w:pPr>
        <w:jc w:val="center"/>
        <w:rPr>
          <w:rFonts w:ascii="Times New Roman" w:hAnsi="Times New Roman" w:cs="Times New Roman"/>
          <w:b/>
          <w:bCs/>
          <w:sz w:val="24"/>
          <w:szCs w:val="24"/>
        </w:rPr>
      </w:pPr>
    </w:p>
    <w:p w14:paraId="38047FC8" w14:textId="77777777" w:rsidR="003F293B" w:rsidRDefault="003F293B">
      <w:pPr>
        <w:jc w:val="center"/>
        <w:rPr>
          <w:rFonts w:ascii="Times New Roman" w:hAnsi="Times New Roman" w:cs="Times New Roman"/>
          <w:b/>
          <w:bCs/>
          <w:sz w:val="24"/>
          <w:szCs w:val="24"/>
        </w:rPr>
      </w:pPr>
    </w:p>
    <w:p w14:paraId="1FA6DCD9" w14:textId="77777777" w:rsidR="003F293B" w:rsidRDefault="003F293B">
      <w:pPr>
        <w:jc w:val="center"/>
        <w:rPr>
          <w:rFonts w:ascii="Times New Roman" w:hAnsi="Times New Roman" w:cs="Times New Roman"/>
          <w:b/>
          <w:bCs/>
          <w:sz w:val="24"/>
          <w:szCs w:val="24"/>
        </w:rPr>
      </w:pPr>
    </w:p>
    <w:p w14:paraId="5F73255B" w14:textId="77777777" w:rsidR="003F293B" w:rsidRDefault="003F293B">
      <w:pPr>
        <w:jc w:val="center"/>
        <w:rPr>
          <w:rFonts w:ascii="Times New Roman" w:hAnsi="Times New Roman" w:cs="Times New Roman"/>
          <w:b/>
          <w:bCs/>
          <w:sz w:val="24"/>
          <w:szCs w:val="24"/>
        </w:rPr>
      </w:pPr>
    </w:p>
    <w:p w14:paraId="5F6CFA8F" w14:textId="77777777" w:rsidR="003F293B" w:rsidRDefault="003F293B">
      <w:pPr>
        <w:jc w:val="center"/>
        <w:rPr>
          <w:rFonts w:ascii="Times New Roman" w:hAnsi="Times New Roman" w:cs="Times New Roman"/>
          <w:b/>
          <w:bCs/>
          <w:sz w:val="24"/>
          <w:szCs w:val="24"/>
        </w:rPr>
      </w:pPr>
    </w:p>
    <w:p w14:paraId="72D52C5E" w14:textId="77777777" w:rsidR="003F293B" w:rsidRDefault="003F293B">
      <w:pPr>
        <w:jc w:val="center"/>
        <w:rPr>
          <w:rFonts w:ascii="Times New Roman" w:hAnsi="Times New Roman" w:cs="Times New Roman"/>
          <w:b/>
          <w:bCs/>
          <w:sz w:val="24"/>
          <w:szCs w:val="24"/>
        </w:rPr>
      </w:pPr>
    </w:p>
    <w:p w14:paraId="77140BFB" w14:textId="77777777" w:rsidR="003F293B" w:rsidRDefault="003F293B">
      <w:pPr>
        <w:jc w:val="center"/>
        <w:rPr>
          <w:rFonts w:ascii="Arial" w:hAnsi="Arial" w:cs="Arial"/>
          <w:b/>
          <w:bCs/>
          <w:sz w:val="24"/>
          <w:szCs w:val="24"/>
        </w:rPr>
      </w:pPr>
    </w:p>
    <w:p w14:paraId="571C835C" w14:textId="77777777" w:rsidR="003F293B" w:rsidRDefault="003F293B">
      <w:pPr>
        <w:jc w:val="center"/>
        <w:rPr>
          <w:rFonts w:ascii="Arial" w:hAnsi="Arial" w:cs="Arial"/>
          <w:b/>
          <w:bCs/>
          <w:sz w:val="24"/>
          <w:szCs w:val="24"/>
        </w:rPr>
      </w:pPr>
    </w:p>
    <w:p w14:paraId="7BE83EE7" w14:textId="77777777" w:rsidR="003F293B" w:rsidRDefault="003F293B">
      <w:pPr>
        <w:jc w:val="center"/>
        <w:rPr>
          <w:rFonts w:ascii="Arial" w:hAnsi="Arial" w:cs="Arial"/>
          <w:b/>
          <w:bCs/>
          <w:sz w:val="24"/>
          <w:szCs w:val="24"/>
        </w:rPr>
      </w:pPr>
    </w:p>
    <w:p w14:paraId="17C225FF" w14:textId="77777777" w:rsidR="003F293B" w:rsidRDefault="003F293B">
      <w:pPr>
        <w:jc w:val="center"/>
        <w:rPr>
          <w:rFonts w:ascii="Arial" w:hAnsi="Arial" w:cs="Arial"/>
          <w:b/>
          <w:bCs/>
          <w:sz w:val="24"/>
          <w:szCs w:val="24"/>
        </w:rPr>
      </w:pPr>
    </w:p>
    <w:p w14:paraId="0E3867B4" w14:textId="77777777" w:rsidR="003F293B" w:rsidRDefault="003F293B">
      <w:pPr>
        <w:jc w:val="center"/>
        <w:rPr>
          <w:rFonts w:ascii="Arial" w:hAnsi="Arial" w:cs="Arial"/>
          <w:b/>
          <w:bCs/>
          <w:sz w:val="24"/>
          <w:szCs w:val="24"/>
        </w:rPr>
      </w:pPr>
    </w:p>
    <w:p w14:paraId="24EF237B" w14:textId="77777777" w:rsidR="003F293B" w:rsidRDefault="003F293B">
      <w:pPr>
        <w:jc w:val="center"/>
        <w:rPr>
          <w:rFonts w:ascii="Arial" w:hAnsi="Arial" w:cs="Arial"/>
          <w:b/>
          <w:bCs/>
          <w:sz w:val="24"/>
          <w:szCs w:val="24"/>
        </w:rPr>
      </w:pPr>
    </w:p>
    <w:p w14:paraId="0530FD47" w14:textId="77777777" w:rsidR="003F293B" w:rsidRDefault="003F293B">
      <w:pPr>
        <w:jc w:val="center"/>
        <w:rPr>
          <w:rFonts w:ascii="Arial" w:hAnsi="Arial" w:cs="Arial"/>
          <w:b/>
          <w:bCs/>
          <w:sz w:val="24"/>
          <w:szCs w:val="24"/>
        </w:rPr>
      </w:pPr>
    </w:p>
    <w:p w14:paraId="43714D3B" w14:textId="77777777" w:rsidR="003F293B" w:rsidRDefault="003F293B">
      <w:pPr>
        <w:spacing w:line="360" w:lineRule="auto"/>
        <w:jc w:val="center"/>
        <w:rPr>
          <w:rFonts w:ascii="Arial" w:hAnsi="Arial" w:cs="Arial"/>
          <w:b/>
          <w:bCs/>
          <w:sz w:val="24"/>
          <w:szCs w:val="24"/>
        </w:rPr>
      </w:pPr>
    </w:p>
    <w:p w14:paraId="6CACB25D" w14:textId="77777777" w:rsidR="003F293B" w:rsidRDefault="003F293B">
      <w:pPr>
        <w:spacing w:line="360" w:lineRule="auto"/>
        <w:jc w:val="center"/>
        <w:rPr>
          <w:rFonts w:ascii="Arial" w:hAnsi="Arial" w:cs="Arial"/>
          <w:b/>
          <w:bCs/>
          <w:sz w:val="24"/>
          <w:szCs w:val="24"/>
        </w:rPr>
      </w:pPr>
    </w:p>
    <w:p w14:paraId="38438323" w14:textId="77777777" w:rsidR="003F293B" w:rsidRDefault="003F293B">
      <w:pPr>
        <w:spacing w:line="360" w:lineRule="auto"/>
        <w:jc w:val="center"/>
        <w:rPr>
          <w:rFonts w:ascii="Arial" w:hAnsi="Arial" w:cs="Arial"/>
          <w:b/>
          <w:bCs/>
          <w:sz w:val="24"/>
          <w:szCs w:val="24"/>
        </w:rPr>
      </w:pPr>
    </w:p>
    <w:p w14:paraId="110A9808" w14:textId="77777777" w:rsidR="003F293B" w:rsidRPr="00DA02CF" w:rsidRDefault="00DA02CF">
      <w:pPr>
        <w:spacing w:line="360" w:lineRule="auto"/>
        <w:jc w:val="center"/>
        <w:rPr>
          <w:rFonts w:ascii="Arial" w:hAnsi="Arial" w:cs="Arial"/>
          <w:b/>
          <w:bCs/>
          <w:sz w:val="32"/>
          <w:szCs w:val="32"/>
        </w:rPr>
      </w:pPr>
      <w:r w:rsidRPr="00DA02CF">
        <w:rPr>
          <w:rFonts w:ascii="Arial" w:hAnsi="Arial" w:cs="Arial"/>
          <w:b/>
          <w:bCs/>
          <w:sz w:val="32"/>
          <w:szCs w:val="32"/>
        </w:rPr>
        <w:t>NAME: MALIKA ALI</w:t>
      </w:r>
    </w:p>
    <w:p w14:paraId="5E7714DD" w14:textId="40EF0693" w:rsidR="003F293B" w:rsidRPr="00DA02CF" w:rsidRDefault="00DA02CF">
      <w:pPr>
        <w:spacing w:line="360" w:lineRule="auto"/>
        <w:jc w:val="center"/>
        <w:rPr>
          <w:rFonts w:ascii="Arial" w:hAnsi="Arial" w:cs="Arial"/>
          <w:b/>
          <w:bCs/>
          <w:sz w:val="32"/>
          <w:szCs w:val="32"/>
        </w:rPr>
      </w:pPr>
      <w:r w:rsidRPr="00DA02CF">
        <w:rPr>
          <w:rFonts w:ascii="Arial" w:hAnsi="Arial" w:cs="Arial"/>
          <w:b/>
          <w:bCs/>
          <w:sz w:val="32"/>
          <w:szCs w:val="32"/>
        </w:rPr>
        <w:t>STUDENT NO</w:t>
      </w:r>
      <w:r w:rsidRPr="00DA02CF">
        <w:rPr>
          <w:rFonts w:ascii="Arial" w:hAnsi="Arial" w:cs="Arial"/>
          <w:b/>
          <w:bCs/>
          <w:sz w:val="32"/>
          <w:szCs w:val="32"/>
        </w:rPr>
        <w:t>: 2026355</w:t>
      </w:r>
    </w:p>
    <w:p w14:paraId="196857B3" w14:textId="77777777" w:rsidR="003F293B" w:rsidRPr="00DA02CF" w:rsidRDefault="00DA02CF">
      <w:pPr>
        <w:spacing w:line="360" w:lineRule="auto"/>
        <w:jc w:val="center"/>
        <w:rPr>
          <w:rFonts w:ascii="Arial" w:hAnsi="Arial" w:cs="Arial"/>
          <w:b/>
          <w:bCs/>
          <w:sz w:val="32"/>
          <w:szCs w:val="32"/>
        </w:rPr>
      </w:pPr>
      <w:r w:rsidRPr="00DA02CF">
        <w:rPr>
          <w:rFonts w:ascii="Arial" w:hAnsi="Arial" w:cs="Arial"/>
          <w:b/>
          <w:bCs/>
          <w:sz w:val="32"/>
          <w:szCs w:val="32"/>
        </w:rPr>
        <w:t>LECTURER’S NAME:</w:t>
      </w:r>
    </w:p>
    <w:p w14:paraId="52F939B4" w14:textId="77777777" w:rsidR="003F293B" w:rsidRPr="00DA02CF" w:rsidRDefault="00DA02CF">
      <w:pPr>
        <w:spacing w:line="360" w:lineRule="auto"/>
        <w:jc w:val="center"/>
        <w:rPr>
          <w:rFonts w:ascii="Arial" w:hAnsi="Arial" w:cs="Arial"/>
          <w:b/>
          <w:bCs/>
          <w:sz w:val="32"/>
          <w:szCs w:val="32"/>
        </w:rPr>
      </w:pPr>
      <w:r w:rsidRPr="00DA02CF">
        <w:rPr>
          <w:rFonts w:ascii="Arial" w:hAnsi="Arial" w:cs="Arial"/>
          <w:b/>
          <w:bCs/>
          <w:sz w:val="32"/>
          <w:szCs w:val="32"/>
        </w:rPr>
        <w:t>ALICE CLAYTON</w:t>
      </w:r>
    </w:p>
    <w:p w14:paraId="1042B2D9" w14:textId="77777777" w:rsidR="003F293B" w:rsidRPr="00DA02CF" w:rsidRDefault="00DA02CF">
      <w:pPr>
        <w:spacing w:line="360" w:lineRule="auto"/>
        <w:jc w:val="center"/>
        <w:rPr>
          <w:rFonts w:ascii="Arial" w:hAnsi="Arial" w:cs="Arial"/>
          <w:b/>
          <w:sz w:val="32"/>
          <w:szCs w:val="32"/>
        </w:rPr>
      </w:pPr>
      <w:r w:rsidRPr="00DA02CF">
        <w:rPr>
          <w:rFonts w:ascii="Arial" w:hAnsi="Arial" w:cs="Arial"/>
          <w:b/>
          <w:bCs/>
          <w:sz w:val="32"/>
          <w:szCs w:val="32"/>
        </w:rPr>
        <w:t xml:space="preserve">MODULE TITLE: </w:t>
      </w:r>
      <w:r w:rsidRPr="00DA02CF">
        <w:rPr>
          <w:rFonts w:ascii="Arial" w:hAnsi="Arial" w:cs="Arial"/>
          <w:b/>
          <w:sz w:val="32"/>
          <w:szCs w:val="32"/>
        </w:rPr>
        <w:t>MENTAL DISORDERS AND PSYCHOPATHOLOGY</w:t>
      </w:r>
    </w:p>
    <w:p w14:paraId="69D3DC9C" w14:textId="77777777" w:rsidR="003F293B" w:rsidRPr="00DA02CF" w:rsidRDefault="00DA02CF">
      <w:pPr>
        <w:spacing w:line="360" w:lineRule="auto"/>
        <w:jc w:val="center"/>
        <w:rPr>
          <w:rFonts w:ascii="Arial" w:hAnsi="Arial" w:cs="Arial"/>
          <w:b/>
          <w:sz w:val="32"/>
          <w:szCs w:val="32"/>
        </w:rPr>
      </w:pPr>
      <w:r w:rsidRPr="00DA02CF">
        <w:rPr>
          <w:rFonts w:ascii="Arial" w:hAnsi="Arial" w:cs="Arial"/>
          <w:b/>
          <w:sz w:val="32"/>
          <w:szCs w:val="32"/>
        </w:rPr>
        <w:t xml:space="preserve">ASSIGNMENT TITLE: </w:t>
      </w:r>
      <w:r w:rsidRPr="00DA02CF">
        <w:rPr>
          <w:rFonts w:ascii="Arial" w:hAnsi="Arial"/>
          <w:b/>
          <w:sz w:val="32"/>
          <w:szCs w:val="32"/>
        </w:rPr>
        <w:t xml:space="preserve">ASSESSMENT 2 – WRITTEN REPORT </w:t>
      </w:r>
    </w:p>
    <w:p w14:paraId="7FC34C32" w14:textId="77777777" w:rsidR="003F293B" w:rsidRPr="00DA02CF" w:rsidRDefault="00DA02CF">
      <w:pPr>
        <w:spacing w:line="360" w:lineRule="auto"/>
        <w:jc w:val="center"/>
        <w:rPr>
          <w:rFonts w:ascii="Arial" w:hAnsi="Arial" w:cs="Arial"/>
          <w:b/>
          <w:bCs/>
          <w:sz w:val="32"/>
          <w:szCs w:val="32"/>
        </w:rPr>
      </w:pPr>
      <w:r w:rsidRPr="00DA02CF">
        <w:rPr>
          <w:rFonts w:ascii="Arial" w:hAnsi="Arial" w:cs="Arial"/>
          <w:b/>
          <w:bCs/>
          <w:sz w:val="32"/>
          <w:szCs w:val="32"/>
        </w:rPr>
        <w:t>MODULE CODE: BMHP600</w:t>
      </w:r>
      <w:r w:rsidRPr="00DA02CF">
        <w:rPr>
          <w:rFonts w:ascii="Arial" w:hAnsi="Arial" w:cs="Arial"/>
          <w:b/>
          <w:bCs/>
          <w:sz w:val="32"/>
          <w:szCs w:val="32"/>
        </w:rPr>
        <w:t>6</w:t>
      </w:r>
      <w:r w:rsidRPr="00DA02CF">
        <w:rPr>
          <w:rFonts w:ascii="Arial" w:hAnsi="Arial" w:cs="Arial"/>
          <w:b/>
          <w:bCs/>
          <w:sz w:val="32"/>
          <w:szCs w:val="32"/>
        </w:rPr>
        <w:t>_BIRM</w:t>
      </w:r>
    </w:p>
    <w:p w14:paraId="024F2037" w14:textId="77777777" w:rsidR="003F293B" w:rsidRPr="00DA02CF" w:rsidRDefault="003F293B">
      <w:pPr>
        <w:rPr>
          <w:rFonts w:ascii="Arial" w:hAnsi="Arial" w:cs="Arial"/>
        </w:rPr>
      </w:pPr>
    </w:p>
    <w:p w14:paraId="30938FCF" w14:textId="77777777" w:rsidR="003F293B" w:rsidRPr="00DA02CF" w:rsidRDefault="003F293B">
      <w:pPr>
        <w:rPr>
          <w:rFonts w:ascii="Arial" w:hAnsi="Arial" w:cs="Arial"/>
        </w:rPr>
      </w:pPr>
    </w:p>
    <w:p w14:paraId="2800CA06" w14:textId="77777777" w:rsidR="003F293B" w:rsidRPr="00DA02CF" w:rsidRDefault="003F293B">
      <w:pPr>
        <w:rPr>
          <w:rFonts w:ascii="Arial" w:hAnsi="Arial" w:cs="Arial"/>
        </w:rPr>
      </w:pPr>
    </w:p>
    <w:p w14:paraId="41532025" w14:textId="77777777" w:rsidR="003F293B" w:rsidRPr="00DA02CF" w:rsidRDefault="003F293B">
      <w:pPr>
        <w:rPr>
          <w:rFonts w:ascii="Arial" w:hAnsi="Arial" w:cs="Arial"/>
        </w:rPr>
      </w:pPr>
    </w:p>
    <w:p w14:paraId="2D050EB9" w14:textId="77777777" w:rsidR="003F293B" w:rsidRPr="00DA02CF" w:rsidRDefault="003F293B">
      <w:pPr>
        <w:rPr>
          <w:rFonts w:ascii="Arial" w:hAnsi="Arial" w:cs="Arial"/>
        </w:rPr>
      </w:pPr>
    </w:p>
    <w:p w14:paraId="36129C89" w14:textId="77777777" w:rsidR="003F293B" w:rsidRPr="00DA02CF" w:rsidRDefault="00DA02CF">
      <w:pPr>
        <w:rPr>
          <w:rFonts w:ascii="Arial" w:hAnsi="Arial" w:cs="Arial"/>
        </w:rPr>
      </w:pPr>
      <w:r w:rsidRPr="00DA02CF">
        <w:rPr>
          <w:rFonts w:ascii="Arial" w:hAnsi="Arial" w:cs="Arial"/>
        </w:rPr>
        <w:br w:type="page"/>
      </w:r>
    </w:p>
    <w:p w14:paraId="030BF8A2" w14:textId="77777777" w:rsidR="003F293B" w:rsidRPr="00DA02CF" w:rsidRDefault="003F293B">
      <w:pPr>
        <w:jc w:val="center"/>
        <w:rPr>
          <w:rFonts w:ascii="Arial" w:hAnsi="Arial" w:cs="Arial"/>
          <w:b/>
          <w:bCs/>
          <w:sz w:val="24"/>
          <w:szCs w:val="24"/>
        </w:rPr>
      </w:pPr>
    </w:p>
    <w:p w14:paraId="7D4E0F8D" w14:textId="77777777" w:rsidR="003F293B" w:rsidRPr="00DA02CF" w:rsidRDefault="00DA02CF">
      <w:pPr>
        <w:jc w:val="center"/>
        <w:rPr>
          <w:rFonts w:ascii="Arial" w:hAnsi="Arial" w:cs="Arial"/>
          <w:b/>
          <w:bCs/>
          <w:sz w:val="24"/>
          <w:szCs w:val="24"/>
        </w:rPr>
      </w:pPr>
      <w:r w:rsidRPr="00DA02CF">
        <w:rPr>
          <w:rFonts w:ascii="Arial" w:hAnsi="Arial" w:cs="Arial"/>
          <w:b/>
          <w:bCs/>
          <w:sz w:val="24"/>
          <w:szCs w:val="24"/>
        </w:rPr>
        <w:t>CONTENTS</w:t>
      </w:r>
    </w:p>
    <w:p w14:paraId="36B796FA" w14:textId="77777777" w:rsidR="003F293B" w:rsidRPr="00DA02CF" w:rsidRDefault="003F293B">
      <w:pPr>
        <w:jc w:val="center"/>
        <w:rPr>
          <w:rFonts w:ascii="Arial" w:hAnsi="Arial" w:cs="Arial"/>
          <w:b/>
          <w:bCs/>
          <w:sz w:val="24"/>
          <w:szCs w:val="24"/>
        </w:rPr>
      </w:pPr>
    </w:p>
    <w:tbl>
      <w:tblPr>
        <w:tblStyle w:val="TableGrid"/>
        <w:tblW w:w="0" w:type="auto"/>
        <w:tblLook w:val="04A0" w:firstRow="1" w:lastRow="0" w:firstColumn="1" w:lastColumn="0" w:noHBand="0" w:noVBand="1"/>
      </w:tblPr>
      <w:tblGrid>
        <w:gridCol w:w="701"/>
        <w:gridCol w:w="6383"/>
        <w:gridCol w:w="1212"/>
      </w:tblGrid>
      <w:tr w:rsidR="003F293B" w:rsidRPr="00DA02CF" w14:paraId="7AED1F7A" w14:textId="77777777">
        <w:tc>
          <w:tcPr>
            <w:tcW w:w="717" w:type="dxa"/>
          </w:tcPr>
          <w:p w14:paraId="3C27BDE0" w14:textId="77777777" w:rsidR="003F293B" w:rsidRPr="00DA02CF" w:rsidRDefault="003F293B">
            <w:pPr>
              <w:spacing w:line="360" w:lineRule="auto"/>
              <w:jc w:val="center"/>
              <w:rPr>
                <w:rFonts w:ascii="Arial" w:hAnsi="Arial" w:cs="Arial"/>
                <w:sz w:val="24"/>
                <w:szCs w:val="24"/>
              </w:rPr>
            </w:pPr>
          </w:p>
        </w:tc>
        <w:tc>
          <w:tcPr>
            <w:tcW w:w="6574" w:type="dxa"/>
          </w:tcPr>
          <w:p w14:paraId="5BAC1809" w14:textId="77777777" w:rsidR="003F293B" w:rsidRPr="00DA02CF" w:rsidRDefault="00DA02CF">
            <w:pPr>
              <w:spacing w:line="360" w:lineRule="auto"/>
              <w:rPr>
                <w:rFonts w:ascii="Arial" w:hAnsi="Arial" w:cs="Arial"/>
                <w:b/>
                <w:bCs/>
                <w:sz w:val="24"/>
                <w:szCs w:val="24"/>
              </w:rPr>
            </w:pPr>
            <w:r w:rsidRPr="00DA02CF">
              <w:rPr>
                <w:rFonts w:ascii="Arial" w:hAnsi="Arial" w:cs="Arial"/>
                <w:b/>
                <w:bCs/>
                <w:sz w:val="24"/>
                <w:szCs w:val="24"/>
              </w:rPr>
              <w:t>Title</w:t>
            </w:r>
          </w:p>
        </w:tc>
        <w:tc>
          <w:tcPr>
            <w:tcW w:w="1231" w:type="dxa"/>
          </w:tcPr>
          <w:p w14:paraId="7422ED0E" w14:textId="77777777" w:rsidR="003F293B" w:rsidRPr="00DA02CF" w:rsidRDefault="00DA02CF">
            <w:pPr>
              <w:spacing w:line="360" w:lineRule="auto"/>
              <w:jc w:val="center"/>
              <w:rPr>
                <w:rFonts w:ascii="Arial" w:hAnsi="Arial" w:cs="Arial"/>
                <w:b/>
                <w:bCs/>
                <w:sz w:val="24"/>
                <w:szCs w:val="24"/>
              </w:rPr>
            </w:pPr>
            <w:r w:rsidRPr="00DA02CF">
              <w:rPr>
                <w:rFonts w:ascii="Arial" w:hAnsi="Arial" w:cs="Arial"/>
                <w:b/>
                <w:bCs/>
                <w:sz w:val="24"/>
                <w:szCs w:val="24"/>
              </w:rPr>
              <w:t>Page No.</w:t>
            </w:r>
          </w:p>
        </w:tc>
      </w:tr>
      <w:tr w:rsidR="003F293B" w:rsidRPr="00DA02CF" w14:paraId="380C4342" w14:textId="77777777">
        <w:tc>
          <w:tcPr>
            <w:tcW w:w="717" w:type="dxa"/>
          </w:tcPr>
          <w:p w14:paraId="75DD9303"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1</w:t>
            </w:r>
          </w:p>
        </w:tc>
        <w:tc>
          <w:tcPr>
            <w:tcW w:w="6574" w:type="dxa"/>
          </w:tcPr>
          <w:p w14:paraId="505DD87E"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Introduction</w:t>
            </w:r>
          </w:p>
        </w:tc>
        <w:tc>
          <w:tcPr>
            <w:tcW w:w="1231" w:type="dxa"/>
          </w:tcPr>
          <w:p w14:paraId="3B474419"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3</w:t>
            </w:r>
          </w:p>
        </w:tc>
      </w:tr>
      <w:tr w:rsidR="003F293B" w:rsidRPr="00DA02CF" w14:paraId="31C588C5" w14:textId="77777777">
        <w:tc>
          <w:tcPr>
            <w:tcW w:w="717" w:type="dxa"/>
          </w:tcPr>
          <w:p w14:paraId="497CFC17"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2</w:t>
            </w:r>
          </w:p>
        </w:tc>
        <w:tc>
          <w:tcPr>
            <w:tcW w:w="6574" w:type="dxa"/>
          </w:tcPr>
          <w:p w14:paraId="5ADFD246"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Definition &amp; Classification of Dementia in the ICD-10, Chapter 5</w:t>
            </w:r>
          </w:p>
        </w:tc>
        <w:tc>
          <w:tcPr>
            <w:tcW w:w="1231" w:type="dxa"/>
          </w:tcPr>
          <w:p w14:paraId="5792B20D"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4</w:t>
            </w:r>
          </w:p>
        </w:tc>
      </w:tr>
      <w:tr w:rsidR="003F293B" w:rsidRPr="00DA02CF" w14:paraId="19EA8FEF" w14:textId="77777777">
        <w:tc>
          <w:tcPr>
            <w:tcW w:w="717" w:type="dxa"/>
          </w:tcPr>
          <w:p w14:paraId="021CC490"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3</w:t>
            </w:r>
          </w:p>
        </w:tc>
        <w:tc>
          <w:tcPr>
            <w:tcW w:w="6574" w:type="dxa"/>
          </w:tcPr>
          <w:p w14:paraId="24AD775F"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Diagnosing Dementia</w:t>
            </w:r>
          </w:p>
        </w:tc>
        <w:tc>
          <w:tcPr>
            <w:tcW w:w="1231" w:type="dxa"/>
          </w:tcPr>
          <w:p w14:paraId="2DC92DB0"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5</w:t>
            </w:r>
          </w:p>
        </w:tc>
      </w:tr>
      <w:tr w:rsidR="003F293B" w:rsidRPr="00DA02CF" w14:paraId="12643C25" w14:textId="77777777">
        <w:tc>
          <w:tcPr>
            <w:tcW w:w="717" w:type="dxa"/>
          </w:tcPr>
          <w:p w14:paraId="56A072E1"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4</w:t>
            </w:r>
          </w:p>
        </w:tc>
        <w:tc>
          <w:tcPr>
            <w:tcW w:w="6574" w:type="dxa"/>
          </w:tcPr>
          <w:p w14:paraId="6463FE46"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Current Treatment Provisions</w:t>
            </w:r>
          </w:p>
        </w:tc>
        <w:tc>
          <w:tcPr>
            <w:tcW w:w="1231" w:type="dxa"/>
          </w:tcPr>
          <w:p w14:paraId="6B1EA9C8"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7</w:t>
            </w:r>
          </w:p>
        </w:tc>
      </w:tr>
      <w:tr w:rsidR="003F293B" w:rsidRPr="00DA02CF" w14:paraId="2C1A2F77" w14:textId="77777777">
        <w:tc>
          <w:tcPr>
            <w:tcW w:w="717" w:type="dxa"/>
          </w:tcPr>
          <w:p w14:paraId="2A640CDE"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5</w:t>
            </w:r>
          </w:p>
        </w:tc>
        <w:tc>
          <w:tcPr>
            <w:tcW w:w="6574" w:type="dxa"/>
          </w:tcPr>
          <w:p w14:paraId="5B4E67AE"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Measurement of Rehabilitation</w:t>
            </w:r>
          </w:p>
        </w:tc>
        <w:tc>
          <w:tcPr>
            <w:tcW w:w="1231" w:type="dxa"/>
          </w:tcPr>
          <w:p w14:paraId="69EC5F8A"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9</w:t>
            </w:r>
          </w:p>
        </w:tc>
      </w:tr>
      <w:tr w:rsidR="003F293B" w:rsidRPr="00DA02CF" w14:paraId="6B9B27AE" w14:textId="77777777">
        <w:tc>
          <w:tcPr>
            <w:tcW w:w="717" w:type="dxa"/>
          </w:tcPr>
          <w:p w14:paraId="039BA527"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6</w:t>
            </w:r>
          </w:p>
        </w:tc>
        <w:tc>
          <w:tcPr>
            <w:tcW w:w="6574" w:type="dxa"/>
          </w:tcPr>
          <w:p w14:paraId="051B7022"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Recommendations for Improvement</w:t>
            </w:r>
          </w:p>
        </w:tc>
        <w:tc>
          <w:tcPr>
            <w:tcW w:w="1231" w:type="dxa"/>
          </w:tcPr>
          <w:p w14:paraId="08A98D37"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10</w:t>
            </w:r>
          </w:p>
        </w:tc>
      </w:tr>
      <w:tr w:rsidR="003F293B" w:rsidRPr="00DA02CF" w14:paraId="623E5474" w14:textId="77777777">
        <w:tc>
          <w:tcPr>
            <w:tcW w:w="717" w:type="dxa"/>
          </w:tcPr>
          <w:p w14:paraId="3A4E40F6"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7</w:t>
            </w:r>
          </w:p>
        </w:tc>
        <w:tc>
          <w:tcPr>
            <w:tcW w:w="6574" w:type="dxa"/>
          </w:tcPr>
          <w:p w14:paraId="671EF5DB"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Conclusion</w:t>
            </w:r>
          </w:p>
        </w:tc>
        <w:tc>
          <w:tcPr>
            <w:tcW w:w="1231" w:type="dxa"/>
          </w:tcPr>
          <w:p w14:paraId="29CAC041"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13</w:t>
            </w:r>
          </w:p>
        </w:tc>
      </w:tr>
      <w:tr w:rsidR="003F293B" w:rsidRPr="00DA02CF" w14:paraId="69C7B9A4" w14:textId="77777777">
        <w:tc>
          <w:tcPr>
            <w:tcW w:w="717" w:type="dxa"/>
          </w:tcPr>
          <w:p w14:paraId="0C3AD3FD"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8</w:t>
            </w:r>
          </w:p>
        </w:tc>
        <w:tc>
          <w:tcPr>
            <w:tcW w:w="6574" w:type="dxa"/>
          </w:tcPr>
          <w:p w14:paraId="47E34F53" w14:textId="77777777" w:rsidR="003F293B" w:rsidRPr="00DA02CF" w:rsidRDefault="00DA02CF">
            <w:pPr>
              <w:spacing w:line="360" w:lineRule="auto"/>
              <w:rPr>
                <w:rFonts w:ascii="Arial" w:hAnsi="Arial" w:cs="Arial"/>
                <w:sz w:val="24"/>
                <w:szCs w:val="24"/>
              </w:rPr>
            </w:pPr>
            <w:r w:rsidRPr="00DA02CF">
              <w:rPr>
                <w:rFonts w:ascii="Arial" w:hAnsi="Arial" w:cs="Arial"/>
                <w:sz w:val="24"/>
                <w:szCs w:val="24"/>
              </w:rPr>
              <w:t>References</w:t>
            </w:r>
          </w:p>
        </w:tc>
        <w:tc>
          <w:tcPr>
            <w:tcW w:w="1231" w:type="dxa"/>
          </w:tcPr>
          <w:p w14:paraId="766708C1" w14:textId="77777777" w:rsidR="003F293B" w:rsidRPr="00DA02CF" w:rsidRDefault="00DA02CF">
            <w:pPr>
              <w:spacing w:line="360" w:lineRule="auto"/>
              <w:jc w:val="center"/>
              <w:rPr>
                <w:rFonts w:ascii="Arial" w:hAnsi="Arial" w:cs="Arial"/>
                <w:sz w:val="24"/>
                <w:szCs w:val="24"/>
              </w:rPr>
            </w:pPr>
            <w:r w:rsidRPr="00DA02CF">
              <w:rPr>
                <w:rFonts w:ascii="Arial" w:hAnsi="Arial" w:cs="Arial"/>
                <w:sz w:val="24"/>
                <w:szCs w:val="24"/>
              </w:rPr>
              <w:t>15</w:t>
            </w:r>
          </w:p>
        </w:tc>
      </w:tr>
    </w:tbl>
    <w:p w14:paraId="2E29A737" w14:textId="77777777" w:rsidR="003F293B" w:rsidRPr="00DA02CF" w:rsidRDefault="003F293B">
      <w:pPr>
        <w:rPr>
          <w:rFonts w:ascii="Arial" w:hAnsi="Arial" w:cs="Arial"/>
          <w:b/>
          <w:bCs/>
          <w:sz w:val="24"/>
          <w:szCs w:val="24"/>
        </w:rPr>
      </w:pPr>
    </w:p>
    <w:p w14:paraId="0F00AC45" w14:textId="77777777" w:rsidR="003F293B" w:rsidRPr="00DA02CF" w:rsidRDefault="003F293B">
      <w:pPr>
        <w:rPr>
          <w:rFonts w:ascii="Arial" w:hAnsi="Arial" w:cs="Arial"/>
          <w:b/>
          <w:bCs/>
          <w:sz w:val="24"/>
          <w:szCs w:val="24"/>
        </w:rPr>
      </w:pPr>
    </w:p>
    <w:p w14:paraId="27DD8AE4" w14:textId="77777777" w:rsidR="003F293B" w:rsidRPr="00DA02CF" w:rsidRDefault="003F293B">
      <w:pPr>
        <w:rPr>
          <w:rFonts w:ascii="Arial" w:hAnsi="Arial" w:cs="Arial"/>
          <w:b/>
          <w:bCs/>
          <w:sz w:val="24"/>
          <w:szCs w:val="24"/>
        </w:rPr>
      </w:pPr>
    </w:p>
    <w:p w14:paraId="79260CAA" w14:textId="77777777" w:rsidR="003F293B" w:rsidRPr="00DA02CF" w:rsidRDefault="003F293B">
      <w:pPr>
        <w:rPr>
          <w:rFonts w:ascii="Arial" w:hAnsi="Arial" w:cs="Arial"/>
          <w:b/>
          <w:bCs/>
          <w:sz w:val="24"/>
          <w:szCs w:val="24"/>
        </w:rPr>
      </w:pPr>
    </w:p>
    <w:p w14:paraId="43C0CCAB" w14:textId="77777777" w:rsidR="003F293B" w:rsidRPr="00DA02CF" w:rsidRDefault="003F293B">
      <w:pPr>
        <w:rPr>
          <w:rFonts w:ascii="Arial" w:hAnsi="Arial" w:cs="Arial"/>
          <w:b/>
          <w:bCs/>
          <w:sz w:val="24"/>
          <w:szCs w:val="24"/>
        </w:rPr>
      </w:pPr>
    </w:p>
    <w:p w14:paraId="5678A026" w14:textId="77777777" w:rsidR="003F293B" w:rsidRPr="00DA02CF" w:rsidRDefault="003F293B">
      <w:pPr>
        <w:rPr>
          <w:rFonts w:ascii="Arial" w:hAnsi="Arial" w:cs="Arial"/>
          <w:b/>
          <w:bCs/>
          <w:sz w:val="24"/>
          <w:szCs w:val="24"/>
        </w:rPr>
      </w:pPr>
    </w:p>
    <w:p w14:paraId="6CA4BE73" w14:textId="77777777" w:rsidR="003F293B" w:rsidRPr="00DA02CF" w:rsidRDefault="003F293B">
      <w:pPr>
        <w:rPr>
          <w:rFonts w:ascii="Arial" w:hAnsi="Arial" w:cs="Arial"/>
          <w:b/>
          <w:bCs/>
          <w:sz w:val="24"/>
          <w:szCs w:val="24"/>
        </w:rPr>
      </w:pPr>
    </w:p>
    <w:p w14:paraId="072B2A28" w14:textId="77777777" w:rsidR="003F293B" w:rsidRPr="00DA02CF" w:rsidRDefault="003F293B">
      <w:pPr>
        <w:rPr>
          <w:rFonts w:ascii="Arial" w:hAnsi="Arial" w:cs="Arial"/>
          <w:b/>
          <w:bCs/>
          <w:sz w:val="24"/>
          <w:szCs w:val="24"/>
        </w:rPr>
      </w:pPr>
    </w:p>
    <w:p w14:paraId="1DFCF50F" w14:textId="77777777" w:rsidR="003F293B" w:rsidRPr="00DA02CF" w:rsidRDefault="003F293B">
      <w:pPr>
        <w:rPr>
          <w:rFonts w:ascii="Arial" w:hAnsi="Arial" w:cs="Arial"/>
          <w:b/>
          <w:bCs/>
          <w:sz w:val="24"/>
          <w:szCs w:val="24"/>
        </w:rPr>
      </w:pPr>
    </w:p>
    <w:p w14:paraId="0C520097" w14:textId="77777777" w:rsidR="003F293B" w:rsidRPr="00DA02CF" w:rsidRDefault="00DA02CF">
      <w:pPr>
        <w:rPr>
          <w:rFonts w:ascii="Arial" w:hAnsi="Arial" w:cs="Arial"/>
          <w:b/>
          <w:bCs/>
          <w:sz w:val="24"/>
          <w:szCs w:val="24"/>
        </w:rPr>
      </w:pPr>
      <w:r w:rsidRPr="00DA02CF">
        <w:rPr>
          <w:rFonts w:ascii="Arial" w:hAnsi="Arial" w:cs="Arial"/>
          <w:b/>
          <w:bCs/>
          <w:sz w:val="24"/>
          <w:szCs w:val="24"/>
        </w:rPr>
        <w:br w:type="page"/>
      </w:r>
    </w:p>
    <w:p w14:paraId="40ED66EA"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lastRenderedPageBreak/>
        <w:t>INTRODUCTION</w:t>
      </w:r>
    </w:p>
    <w:p w14:paraId="6E91F27A"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7010197E"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Dementia is a complex and debilitating condition that profoundly impacts the lives of individuals and their caregivers. It is characterized by a decline in cognitive abilities, memory loss, and changes in </w:t>
      </w:r>
      <w:r w:rsidRPr="00DA02CF">
        <w:rPr>
          <w:rFonts w:ascii="Arial" w:hAnsi="Arial" w:cs="Arial"/>
          <w:color w:val="0E101A"/>
          <w:lang w:val="en-GB"/>
        </w:rPr>
        <w:t>behaviour, ultimately leading to a significant impairment in daily functioning</w:t>
      </w:r>
      <w:r w:rsidRPr="00DA02CF">
        <w:rPr>
          <w:rFonts w:ascii="Arial" w:hAnsi="Arial" w:cs="Arial"/>
          <w:color w:val="0E101A"/>
          <w:lang w:val="en-GB"/>
        </w:rPr>
        <w:t xml:space="preserve"> </w:t>
      </w:r>
      <w:r w:rsidRPr="00DA02CF">
        <w:rPr>
          <w:rFonts w:ascii="Arial" w:hAnsi="Arial"/>
          <w:color w:val="0E101A"/>
          <w:lang w:val="en-GB"/>
        </w:rPr>
        <w:t>(Dementia Australia, 2015)</w:t>
      </w:r>
      <w:r w:rsidRPr="00DA02CF">
        <w:rPr>
          <w:rFonts w:ascii="Arial" w:hAnsi="Arial"/>
          <w:color w:val="0E101A"/>
          <w:lang w:val="en-GB"/>
        </w:rPr>
        <w:t>.</w:t>
      </w:r>
      <w:r w:rsidRPr="00DA02CF">
        <w:rPr>
          <w:rFonts w:ascii="Arial" w:hAnsi="Arial" w:cs="Arial"/>
          <w:color w:val="0E101A"/>
          <w:lang w:val="en-GB"/>
        </w:rPr>
        <w:t xml:space="preserve"> As the global population continues to age, dementia has become a major public health concern, with profound social, economic, and healthcare implicat</w:t>
      </w:r>
      <w:r w:rsidRPr="00DA02CF">
        <w:rPr>
          <w:rFonts w:ascii="Arial" w:hAnsi="Arial" w:cs="Arial"/>
          <w:color w:val="0E101A"/>
          <w:lang w:val="en-GB"/>
        </w:rPr>
        <w:t>ions. This report aims to provide a comprehensive examination of dementia in the United Kingdom (UK), focusing on its classification, diagnosis process, current treatment provisions, measurement of rehabilitation outcomes, and recommendations for improveme</w:t>
      </w:r>
      <w:r w:rsidRPr="00DA02CF">
        <w:rPr>
          <w:rFonts w:ascii="Arial" w:hAnsi="Arial" w:cs="Arial"/>
          <w:color w:val="0E101A"/>
          <w:lang w:val="en-GB"/>
        </w:rPr>
        <w:t>nt.</w:t>
      </w:r>
    </w:p>
    <w:p w14:paraId="34AEFB9F"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7F7DE8D" w14:textId="5ABCCCCE"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Understanding the classification of dementia is essential for accurate diagnosis and appropriate management. Within the International Classification of Diseases version 10 (ICD-10), Chapter 5</w:t>
      </w:r>
      <w:r w:rsidRPr="00DA02CF">
        <w:rPr>
          <w:rFonts w:ascii="Arial" w:hAnsi="Arial" w:cs="Arial"/>
          <w:color w:val="0E101A"/>
          <w:lang w:val="en-GB"/>
        </w:rPr>
        <w:t xml:space="preserve"> </w:t>
      </w:r>
      <w:r w:rsidRPr="00DA02CF">
        <w:rPr>
          <w:rFonts w:ascii="Arial" w:hAnsi="Arial"/>
          <w:color w:val="0E101A"/>
          <w:lang w:val="en-GB"/>
        </w:rPr>
        <w:t>(icd.who.int, n.d.)</w:t>
      </w:r>
      <w:r w:rsidRPr="00DA02CF">
        <w:rPr>
          <w:rFonts w:ascii="Arial" w:hAnsi="Arial" w:cs="Arial"/>
          <w:color w:val="0E101A"/>
          <w:lang w:val="en-GB"/>
        </w:rPr>
        <w:t>, dementia falls under the category of "</w:t>
      </w:r>
      <w:r w:rsidRPr="00DA02CF">
        <w:rPr>
          <w:rFonts w:ascii="Arial" w:hAnsi="Arial" w:cs="Arial"/>
          <w:color w:val="0E101A"/>
          <w:lang w:val="en-GB"/>
        </w:rPr>
        <w:t>Mental and Behavioural Disorders." This classification system provides healthcare professionals in the UK with a standardized framework for identifying and categorizing different types and stages of dementia. By utilizing specific codes and criteria, the I</w:t>
      </w:r>
      <w:r w:rsidRPr="00DA02CF">
        <w:rPr>
          <w:rFonts w:ascii="Arial" w:hAnsi="Arial" w:cs="Arial"/>
          <w:color w:val="0E101A"/>
          <w:lang w:val="en-GB"/>
        </w:rPr>
        <w:t>CD-10 facilitates effective communication, research, and the development of targeted interventions</w:t>
      </w:r>
      <w:r w:rsidRPr="00DA02CF">
        <w:rPr>
          <w:rFonts w:ascii="Arial" w:hAnsi="Arial" w:cs="Arial"/>
          <w:color w:val="0E101A"/>
          <w:lang w:val="en-GB"/>
        </w:rPr>
        <w:t xml:space="preserve"> </w:t>
      </w:r>
      <w:r w:rsidRPr="00DA02CF">
        <w:rPr>
          <w:rFonts w:ascii="Arial" w:hAnsi="Arial"/>
          <w:color w:val="0E101A"/>
          <w:lang w:val="en-GB"/>
        </w:rPr>
        <w:t>(Satyanarayana</w:t>
      </w:r>
      <w:r w:rsidRPr="00DA02CF">
        <w:rPr>
          <w:rFonts w:ascii="Arial" w:hAnsi="Arial"/>
          <w:color w:val="0E101A"/>
          <w:lang w:val="en-GB"/>
        </w:rPr>
        <w:t xml:space="preserve"> Rao et al., 2017)</w:t>
      </w:r>
      <w:r w:rsidRPr="00DA02CF">
        <w:rPr>
          <w:rFonts w:ascii="Arial" w:hAnsi="Arial" w:cs="Arial"/>
          <w:color w:val="0E101A"/>
          <w:lang w:val="en-GB"/>
        </w:rPr>
        <w:t>.</w:t>
      </w:r>
    </w:p>
    <w:p w14:paraId="3B218E41"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15B34F3"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Diagnosing dementia is a complex process that involves a multidisciplinary approach. Healthcare professionals in the UK e</w:t>
      </w:r>
      <w:r w:rsidRPr="00DA02CF">
        <w:rPr>
          <w:rFonts w:ascii="Arial" w:hAnsi="Arial" w:cs="Arial"/>
          <w:color w:val="0E101A"/>
          <w:lang w:val="en-GB"/>
        </w:rPr>
        <w:t>mploy various tools and assessments to evaluate an individual's cognitive abilities, medical history, physical health, and overall well-being. Cognitive assessments, such as the Mini-Mental State Examination (MMSE) and Addenbrooke's Cognitive Examination (</w:t>
      </w:r>
      <w:r w:rsidRPr="00DA02CF">
        <w:rPr>
          <w:rFonts w:ascii="Arial" w:hAnsi="Arial" w:cs="Arial"/>
          <w:color w:val="0E101A"/>
          <w:lang w:val="en-GB"/>
        </w:rPr>
        <w:t xml:space="preserve">ACE-R), are commonly utilized to assess memory, attention, language, and executive functions. Furthermore, laboratory tests, brain imaging scans, and neuropsychological testing may be conducted to identify underlying causes, rule out other conditions, and </w:t>
      </w:r>
      <w:r w:rsidRPr="00DA02CF">
        <w:rPr>
          <w:rFonts w:ascii="Arial" w:hAnsi="Arial" w:cs="Arial"/>
          <w:color w:val="0E101A"/>
          <w:lang w:val="en-GB"/>
        </w:rPr>
        <w:t>provide a comprehensive evaluation.</w:t>
      </w:r>
    </w:p>
    <w:p w14:paraId="730AFFE1"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8073E06"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lastRenderedPageBreak/>
        <w:t>In terms of treatment provisions, the management of dementia in the UK encompasses a holistic approach that includes both pharmacological and non-pharmacological interventions. Pharmacological treatments aim to alleviat</w:t>
      </w:r>
      <w:r w:rsidRPr="00DA02CF">
        <w:rPr>
          <w:rFonts w:ascii="Arial" w:hAnsi="Arial" w:cs="Arial"/>
          <w:color w:val="0E101A"/>
          <w:lang w:val="en-GB"/>
        </w:rPr>
        <w:t>e cognitive symptoms and may involve the use of cholinesterase inhibitors or memantine. Non-pharmacological interventions focus on psychosocial support, cognitive stimulation therapy, occupational therapy, physical exercise programs, and caregiver educatio</w:t>
      </w:r>
      <w:r w:rsidRPr="00DA02CF">
        <w:rPr>
          <w:rFonts w:ascii="Arial" w:hAnsi="Arial" w:cs="Arial"/>
          <w:color w:val="0E101A"/>
          <w:lang w:val="en-GB"/>
        </w:rPr>
        <w:t>n and support programs. These interventions aim to enhance overall well-being, maintain functional abilities, and provide essential support to individuals with dementia and their caregivers.</w:t>
      </w:r>
    </w:p>
    <w:p w14:paraId="18E31338"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5A65172B"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Measuring rehabilitation outcomes for individuals with </w:t>
      </w:r>
      <w:r w:rsidRPr="00DA02CF">
        <w:rPr>
          <w:rFonts w:ascii="Arial" w:hAnsi="Arial" w:cs="Arial"/>
          <w:color w:val="0E101A"/>
          <w:lang w:val="en-GB"/>
        </w:rPr>
        <w:t>dementia is crucial to evaluate the effectiveness of interventions and guide future care planning. Cognitive assessments, functional assessments, behavioural assessments, and qualitative measures are employed to monitor changes in cognitive abilities, dail</w:t>
      </w:r>
      <w:r w:rsidRPr="00DA02CF">
        <w:rPr>
          <w:rFonts w:ascii="Arial" w:hAnsi="Arial" w:cs="Arial"/>
          <w:color w:val="0E101A"/>
          <w:lang w:val="en-GB"/>
        </w:rPr>
        <w:t>y functioning, behavioural symptoms, and quality of life. These assessments provide valuable insights into the impact of interventions and enable healthcare professionals to tailor care plans and support services according to individual needs.</w:t>
      </w:r>
    </w:p>
    <w:p w14:paraId="7336C5ED"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754183A"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This report</w:t>
      </w:r>
      <w:r w:rsidRPr="00DA02CF">
        <w:rPr>
          <w:rFonts w:ascii="Arial" w:hAnsi="Arial" w:cs="Arial"/>
          <w:color w:val="0E101A"/>
          <w:lang w:val="en-GB"/>
        </w:rPr>
        <w:t xml:space="preserve"> will delve into the intricacies of dementia in the UK, exploring its classification, diagnosis process, treatment provisions, measurement of rehabilitation outcomes, and recommendations for improvement. By comprehensively understanding and addressing the </w:t>
      </w:r>
      <w:r w:rsidRPr="00DA02CF">
        <w:rPr>
          <w:rFonts w:ascii="Arial" w:hAnsi="Arial" w:cs="Arial"/>
          <w:color w:val="0E101A"/>
          <w:lang w:val="en-GB"/>
        </w:rPr>
        <w:t>challenges posed by dementia, we can enhance support, care, and quality of life for individuals with dementia and their caregivers in the UK.</w:t>
      </w:r>
    </w:p>
    <w:p w14:paraId="1032179B"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CC04110"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DEFINITION &amp; CLASSIFICATION OF DEMENTIA IN THE ICD-10, CHAPTER 5</w:t>
      </w:r>
    </w:p>
    <w:p w14:paraId="268D0604"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B2C7D08" w14:textId="4452785A"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Dementia is described as a considerable deterio</w:t>
      </w:r>
      <w:r w:rsidRPr="00DA02CF">
        <w:rPr>
          <w:rFonts w:ascii="Arial" w:hAnsi="Arial" w:cs="Arial"/>
          <w:color w:val="0E101A"/>
          <w:lang w:val="en-GB"/>
        </w:rPr>
        <w:t xml:space="preserve">ration in cognitive ability in two or more areas when compared to what would be expected for someone of the same age and level of cognitive functioning. Memory decline is accompanied by deterioration in other cognitive skills such as executive </w:t>
      </w:r>
      <w:r w:rsidRPr="00DA02CF">
        <w:rPr>
          <w:rFonts w:ascii="Arial" w:hAnsi="Arial" w:cs="Arial"/>
          <w:color w:val="0E101A"/>
          <w:lang w:val="en-GB"/>
        </w:rPr>
        <w:lastRenderedPageBreak/>
        <w:t>functioning,</w:t>
      </w:r>
      <w:r w:rsidRPr="00DA02CF">
        <w:rPr>
          <w:rFonts w:ascii="Arial" w:hAnsi="Arial" w:cs="Arial"/>
          <w:color w:val="0E101A"/>
          <w:lang w:val="en-GB"/>
        </w:rPr>
        <w:t xml:space="preserve"> attention, language, social cognition, judgement, psychomotor speed, and visuospatial ability. Neuro-behavioural</w:t>
      </w:r>
      <w:r w:rsidRPr="00DA02CF">
        <w:rPr>
          <w:rFonts w:ascii="Arial" w:hAnsi="Arial" w:cs="Arial"/>
          <w:color w:val="0E101A"/>
          <w:lang w:val="en-GB"/>
        </w:rPr>
        <w:t xml:space="preserve"> abnormalities can also be seen and are sometimes the initial indicator of some kinds of dementia. The cognitive impairment is not a natural asp</w:t>
      </w:r>
      <w:r w:rsidRPr="00DA02CF">
        <w:rPr>
          <w:rFonts w:ascii="Arial" w:hAnsi="Arial" w:cs="Arial"/>
          <w:color w:val="0E101A"/>
          <w:lang w:val="en-GB"/>
        </w:rPr>
        <w:t>ect of ageing and is severe enough to interfere with a person's ability to conduct everyday activities independently</w:t>
      </w:r>
      <w:r w:rsidRPr="00DA02CF">
        <w:rPr>
          <w:rFonts w:ascii="Arial" w:hAnsi="Arial" w:cs="Arial"/>
          <w:color w:val="0E101A"/>
          <w:lang w:val="en-GB"/>
        </w:rPr>
        <w:t xml:space="preserve"> </w:t>
      </w:r>
      <w:r w:rsidRPr="00DA02CF">
        <w:rPr>
          <w:rFonts w:ascii="Arial" w:hAnsi="Arial"/>
          <w:color w:val="0E101A"/>
          <w:lang w:val="en-GB"/>
        </w:rPr>
        <w:t xml:space="preserve">(Pujol Domenech and </w:t>
      </w:r>
      <w:proofErr w:type="spellStart"/>
      <w:r w:rsidRPr="00DA02CF">
        <w:rPr>
          <w:rFonts w:ascii="Arial" w:hAnsi="Arial"/>
          <w:color w:val="0E101A"/>
          <w:lang w:val="en-GB"/>
        </w:rPr>
        <w:t>Azpiazu</w:t>
      </w:r>
      <w:proofErr w:type="spellEnd"/>
      <w:r w:rsidRPr="00DA02CF">
        <w:rPr>
          <w:rFonts w:ascii="Arial" w:hAnsi="Arial"/>
          <w:color w:val="0E101A"/>
          <w:lang w:val="en-GB"/>
        </w:rPr>
        <w:t xml:space="preserve"> Artigas, 2015)</w:t>
      </w:r>
      <w:r w:rsidRPr="00DA02CF">
        <w:rPr>
          <w:rFonts w:ascii="Arial" w:hAnsi="Arial" w:cs="Arial"/>
          <w:color w:val="0E101A"/>
          <w:lang w:val="en-GB"/>
        </w:rPr>
        <w:t>.  The underlying cause of the cognitive impairment is believed to be an acquired disease affecti</w:t>
      </w:r>
      <w:r w:rsidRPr="00DA02CF">
        <w:rPr>
          <w:rFonts w:ascii="Arial" w:hAnsi="Arial" w:cs="Arial"/>
          <w:color w:val="0E101A"/>
          <w:lang w:val="en-GB"/>
        </w:rPr>
        <w:t>ng the nervous system, a traumatic event, an infection or other brain-related disease, the use of specific substances or medications, nutritional deficiencies or exposure to toxins, or it may be undetermined. The impairment is not a result of current subst</w:t>
      </w:r>
      <w:r w:rsidRPr="00DA02CF">
        <w:rPr>
          <w:rFonts w:ascii="Arial" w:hAnsi="Arial" w:cs="Arial"/>
          <w:color w:val="0E101A"/>
          <w:lang w:val="en-GB"/>
        </w:rPr>
        <w:t>ance use or withdrawal</w:t>
      </w:r>
      <w:r w:rsidRPr="00DA02CF">
        <w:rPr>
          <w:rFonts w:ascii="Arial" w:hAnsi="Arial" w:cs="Arial"/>
          <w:color w:val="0E101A"/>
          <w:lang w:val="en-GB"/>
        </w:rPr>
        <w:t xml:space="preserve"> </w:t>
      </w:r>
      <w:r w:rsidRPr="00DA02CF">
        <w:rPr>
          <w:rFonts w:ascii="Arial" w:hAnsi="Arial"/>
          <w:color w:val="0E101A"/>
          <w:lang w:val="en-GB"/>
        </w:rPr>
        <w:t>(Bush et al., 2018)</w:t>
      </w:r>
      <w:r w:rsidRPr="00DA02CF">
        <w:rPr>
          <w:rFonts w:ascii="Arial" w:hAnsi="Arial"/>
          <w:color w:val="0E101A"/>
          <w:lang w:val="en-GB"/>
        </w:rPr>
        <w:t>.</w:t>
      </w:r>
    </w:p>
    <w:p w14:paraId="44C54A83"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5FC85CAE" w14:textId="0151C956"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Dementia is categorised in the UK using the ICD-10 classification system, with</w:t>
      </w:r>
      <w:r>
        <w:rPr>
          <w:rFonts w:ascii="Arial" w:hAnsi="Arial" w:cs="Arial"/>
          <w:color w:val="0E101A"/>
          <w:lang w:val="en-GB"/>
        </w:rPr>
        <w:t xml:space="preserve"> </w:t>
      </w:r>
      <w:r w:rsidRPr="00DA02CF">
        <w:rPr>
          <w:rFonts w:ascii="Arial" w:hAnsi="Arial" w:cs="Arial"/>
          <w:color w:val="0E101A"/>
          <w:lang w:val="en-GB"/>
        </w:rPr>
        <w:t>majority of cases falling under Chapter 5, "Mental and Behavioural Disorders." F00-F03 (Alzheimer's disease), F01 (Vascular deme</w:t>
      </w:r>
      <w:r w:rsidRPr="00DA02CF">
        <w:rPr>
          <w:rFonts w:ascii="Arial" w:hAnsi="Arial" w:cs="Arial"/>
          <w:color w:val="0E101A"/>
          <w:lang w:val="en-GB"/>
        </w:rPr>
        <w:t>ntia), F02 (Dementia in other diseases classified elsewhere), F03 (Unspecified dementia), F05 (Delirium not induced by alcohol and other psychoactive substances), and F06 (Other mental disorders due to brain damage and dysfunction and physical disease) are</w:t>
      </w:r>
      <w:r w:rsidRPr="00DA02CF">
        <w:rPr>
          <w:rFonts w:ascii="Arial" w:hAnsi="Arial" w:cs="Arial"/>
          <w:color w:val="0E101A"/>
          <w:lang w:val="en-GB"/>
        </w:rPr>
        <w:t xml:space="preserve"> the relevant ICD-10 codes for dementia in the UK. This thorough categorization system enables healthcare professionals in the United Kingdom to effectively identify and categorise various forms and stages of dementia, allowing for appropriate treatment an</w:t>
      </w:r>
      <w:r w:rsidRPr="00DA02CF">
        <w:rPr>
          <w:rFonts w:ascii="Arial" w:hAnsi="Arial" w:cs="Arial"/>
          <w:color w:val="0E101A"/>
          <w:lang w:val="en-GB"/>
        </w:rPr>
        <w:t>d support planning.</w:t>
      </w:r>
    </w:p>
    <w:p w14:paraId="249857EE"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371FB57"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DIAGNOSING DEMENTIA</w:t>
      </w:r>
      <w:r w:rsidRPr="00DA02CF">
        <w:rPr>
          <w:rFonts w:ascii="Arial" w:hAnsi="Arial" w:cs="Arial"/>
          <w:color w:val="0E101A"/>
          <w:lang w:val="en-GB"/>
        </w:rPr>
        <w:t> </w:t>
      </w:r>
    </w:p>
    <w:p w14:paraId="46C3DCB9"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2F76DD0"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In the United Kingdom, the process of diagnosing dementia is comprehensive and involves a multidisciplinary approach. It begins with a thorough review of the patient's medical history, which includes assessing the</w:t>
      </w:r>
      <w:r w:rsidRPr="00DA02CF">
        <w:rPr>
          <w:rFonts w:ascii="Arial" w:hAnsi="Arial" w:cs="Arial"/>
          <w:color w:val="0E101A"/>
          <w:lang w:val="en-GB"/>
        </w:rPr>
        <w:t xml:space="preserve"> onset and progression of symptoms, as well as any existing medical conditions, medications, and family history of dementia. This information helps to establish a baseline and identify any potential risk factors or underlying causes.</w:t>
      </w:r>
    </w:p>
    <w:p w14:paraId="493C9EC7"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5A40672"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lastRenderedPageBreak/>
        <w:t>Physical examinations</w:t>
      </w:r>
      <w:r w:rsidRPr="00DA02CF">
        <w:rPr>
          <w:rFonts w:ascii="Arial" w:hAnsi="Arial" w:cs="Arial"/>
          <w:color w:val="0E101A"/>
          <w:lang w:val="en-GB"/>
        </w:rPr>
        <w:t xml:space="preserve"> are then conducted to assess overall health and rule out any other medical conditions that may be contributing to cognitive impairment. The healthcare professional will examine factors such as blood pressure, heart function, sensory abilities, and neurolo</w:t>
      </w:r>
      <w:r w:rsidRPr="00DA02CF">
        <w:rPr>
          <w:rFonts w:ascii="Arial" w:hAnsi="Arial" w:cs="Arial"/>
          <w:color w:val="0E101A"/>
          <w:lang w:val="en-GB"/>
        </w:rPr>
        <w:t>gical reflexes</w:t>
      </w:r>
      <w:r w:rsidRPr="00DA02CF">
        <w:rPr>
          <w:rFonts w:ascii="Arial" w:hAnsi="Arial" w:cs="Arial"/>
          <w:color w:val="0E101A"/>
          <w:lang w:val="en-GB"/>
        </w:rPr>
        <w:t xml:space="preserve"> </w:t>
      </w:r>
      <w:r w:rsidRPr="00DA02CF">
        <w:rPr>
          <w:rFonts w:ascii="Arial" w:hAnsi="Arial"/>
          <w:color w:val="0E101A"/>
          <w:lang w:val="en-GB"/>
        </w:rPr>
        <w:t>(NHS Choices, 2020)</w:t>
      </w:r>
      <w:r w:rsidRPr="00DA02CF">
        <w:rPr>
          <w:rFonts w:ascii="Arial" w:hAnsi="Arial" w:cs="Arial"/>
          <w:color w:val="0E101A"/>
          <w:lang w:val="en-GB"/>
        </w:rPr>
        <w:t>.</w:t>
      </w:r>
    </w:p>
    <w:p w14:paraId="7098083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37F5CA1"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Cognitive assessments play a crucial role in evaluating cognitive abilities and identifying any patterns of impairment. Standardized tests are used to assess various domains of cognition, including memory, attention, la</w:t>
      </w:r>
      <w:r w:rsidRPr="00DA02CF">
        <w:rPr>
          <w:rFonts w:ascii="Arial" w:hAnsi="Arial" w:cs="Arial"/>
          <w:color w:val="0E101A"/>
          <w:lang w:val="en-GB"/>
        </w:rPr>
        <w:t>nguage, executive functions, and visuospatial abilities. These assessments provide valuable information about the extent and nature of cognitive decline and help in determining the presence of dementia.</w:t>
      </w:r>
    </w:p>
    <w:p w14:paraId="181146B6"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9D26CC3"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Laboratory tests, including blood tests and genetic </w:t>
      </w:r>
      <w:r w:rsidRPr="00DA02CF">
        <w:rPr>
          <w:rFonts w:ascii="Arial" w:hAnsi="Arial" w:cs="Arial"/>
          <w:color w:val="0E101A"/>
          <w:lang w:val="en-GB"/>
        </w:rPr>
        <w:t>testing, may be performed to investigate potential underlying medical conditions or genetic factors that could contribute to the development of dementia. Blood tests can check for conditions such as vitamin deficiencies, thyroid problems, and infections th</w:t>
      </w:r>
      <w:r w:rsidRPr="00DA02CF">
        <w:rPr>
          <w:rFonts w:ascii="Arial" w:hAnsi="Arial" w:cs="Arial"/>
          <w:color w:val="0E101A"/>
          <w:lang w:val="en-GB"/>
        </w:rPr>
        <w:t>at may cause cognitive impairment. Genetic testing can identify specific gene mutations associated with familial forms of dementia.</w:t>
      </w:r>
    </w:p>
    <w:p w14:paraId="48A35AF8"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DE5A5AC" w14:textId="271EED90"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Brain imaging scans, such as magnetic resonance imaging (MRI) or computed tomography (CT) scans, are commonly used to exami</w:t>
      </w:r>
      <w:r w:rsidRPr="00DA02CF">
        <w:rPr>
          <w:rFonts w:ascii="Arial" w:hAnsi="Arial" w:cs="Arial"/>
          <w:color w:val="0E101A"/>
          <w:lang w:val="en-GB"/>
        </w:rPr>
        <w:t>ne the structure and function of the brain. These scans can help detect any structural abnormalities, such as shrinkage or atrophy, and identify changes that are characteristic of different types of dementia. They can also help rule out other brain conditi</w:t>
      </w:r>
      <w:r w:rsidRPr="00DA02CF">
        <w:rPr>
          <w:rFonts w:ascii="Arial" w:hAnsi="Arial" w:cs="Arial"/>
          <w:color w:val="0E101A"/>
          <w:lang w:val="en-GB"/>
        </w:rPr>
        <w:t xml:space="preserve">ons, such as </w:t>
      </w:r>
      <w:proofErr w:type="spellStart"/>
      <w:proofErr w:type="gramStart"/>
      <w:r w:rsidRPr="00DA02CF">
        <w:rPr>
          <w:rFonts w:ascii="Arial" w:hAnsi="Arial" w:cs="Arial"/>
          <w:color w:val="0E101A"/>
          <w:lang w:val="en-GB"/>
        </w:rPr>
        <w:t>tumor</w:t>
      </w:r>
      <w:r>
        <w:rPr>
          <w:rFonts w:ascii="Arial" w:hAnsi="Arial" w:cs="Arial"/>
          <w:color w:val="0E101A"/>
          <w:lang w:val="en-GB"/>
        </w:rPr>
        <w:t>’</w:t>
      </w:r>
      <w:r w:rsidRPr="00DA02CF">
        <w:rPr>
          <w:rFonts w:ascii="Arial" w:hAnsi="Arial" w:cs="Arial"/>
          <w:color w:val="0E101A"/>
          <w:lang w:val="en-GB"/>
        </w:rPr>
        <w:t>s</w:t>
      </w:r>
      <w:proofErr w:type="spellEnd"/>
      <w:proofErr w:type="gramEnd"/>
      <w:r w:rsidRPr="00DA02CF">
        <w:rPr>
          <w:rFonts w:ascii="Arial" w:hAnsi="Arial" w:cs="Arial"/>
          <w:color w:val="0E101A"/>
          <w:lang w:val="en-GB"/>
        </w:rPr>
        <w:t xml:space="preserve"> or strokes, which may present with similar symptoms</w:t>
      </w:r>
      <w:r w:rsidRPr="00DA02CF">
        <w:rPr>
          <w:rFonts w:ascii="Arial" w:hAnsi="Arial" w:cs="Arial"/>
          <w:color w:val="0E101A"/>
          <w:lang w:val="en-GB"/>
        </w:rPr>
        <w:t xml:space="preserve"> </w:t>
      </w:r>
      <w:r w:rsidRPr="00DA02CF">
        <w:rPr>
          <w:rFonts w:ascii="Arial" w:hAnsi="Arial"/>
          <w:color w:val="0E101A"/>
          <w:lang w:val="en-GB"/>
        </w:rPr>
        <w:t>(NHS,</w:t>
      </w:r>
      <w:r w:rsidRPr="00DA02CF">
        <w:rPr>
          <w:rFonts w:ascii="Arial" w:hAnsi="Arial"/>
          <w:color w:val="0E101A"/>
          <w:lang w:val="en-GB"/>
        </w:rPr>
        <w:t xml:space="preserve"> 2020)</w:t>
      </w:r>
      <w:r w:rsidRPr="00DA02CF">
        <w:rPr>
          <w:rFonts w:ascii="Arial" w:hAnsi="Arial" w:cs="Arial"/>
          <w:color w:val="0E101A"/>
          <w:lang w:val="en-GB"/>
        </w:rPr>
        <w:t>.</w:t>
      </w:r>
    </w:p>
    <w:p w14:paraId="2E119F90"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75231640"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In some cases, neuropsychological testing may be employed to obtain a more detailed and comprehensive evaluation of cognitive functioning. These tests assess specific co</w:t>
      </w:r>
      <w:r w:rsidRPr="00DA02CF">
        <w:rPr>
          <w:rFonts w:ascii="Arial" w:hAnsi="Arial" w:cs="Arial"/>
          <w:color w:val="0E101A"/>
          <w:lang w:val="en-GB"/>
        </w:rPr>
        <w:t>gnitive domains and provide insights into the individual's strengths and weaknesses. Neuropsychological assessments can help differentiate between different types of dementia and provide valuable information for treatment planning and management.</w:t>
      </w:r>
    </w:p>
    <w:p w14:paraId="5E198544"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41A70D3"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The Nati</w:t>
      </w:r>
      <w:r w:rsidRPr="00DA02CF">
        <w:rPr>
          <w:rFonts w:ascii="Arial" w:hAnsi="Arial" w:cs="Arial"/>
          <w:color w:val="0E101A"/>
          <w:lang w:val="en-GB"/>
        </w:rPr>
        <w:t xml:space="preserve">onal Institute for Health and Care Excellence (NICE) guidelines in the UK emphasize the importance of early detection and intervention for dementia. Memory assessment services and memory clinics play a critical role in this process by offering specialized </w:t>
      </w:r>
      <w:r w:rsidRPr="00DA02CF">
        <w:rPr>
          <w:rFonts w:ascii="Arial" w:hAnsi="Arial" w:cs="Arial"/>
          <w:color w:val="0E101A"/>
          <w:lang w:val="en-GB"/>
        </w:rPr>
        <w:t>assessments and comprehensive post-diagnostic support to individuals and their families. These services provide interventions, education, and guidance to help individuals manage their condition, access appropriate treatments, and enhance their quality of l</w:t>
      </w:r>
      <w:r w:rsidRPr="00DA02CF">
        <w:rPr>
          <w:rFonts w:ascii="Arial" w:hAnsi="Arial" w:cs="Arial"/>
          <w:color w:val="0E101A"/>
          <w:lang w:val="en-GB"/>
        </w:rPr>
        <w:t>ife</w:t>
      </w:r>
      <w:r w:rsidRPr="00DA02CF">
        <w:rPr>
          <w:rFonts w:ascii="Arial" w:hAnsi="Arial" w:cs="Arial"/>
          <w:color w:val="0E101A"/>
          <w:lang w:val="en-GB"/>
        </w:rPr>
        <w:t xml:space="preserve"> </w:t>
      </w:r>
      <w:r w:rsidRPr="00DA02CF">
        <w:rPr>
          <w:rFonts w:ascii="Arial" w:hAnsi="Arial"/>
          <w:color w:val="0E101A"/>
          <w:lang w:val="en-GB"/>
        </w:rPr>
        <w:t>(National Institute for Health and Care Excellence, 2018)</w:t>
      </w:r>
      <w:r w:rsidRPr="00DA02CF">
        <w:rPr>
          <w:rFonts w:ascii="Arial" w:hAnsi="Arial" w:cs="Arial"/>
          <w:color w:val="0E101A"/>
          <w:lang w:val="en-GB"/>
        </w:rPr>
        <w:t>.</w:t>
      </w:r>
    </w:p>
    <w:p w14:paraId="55671070"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DEE84F5"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By conducting a combination of medical history reviews, physical examinations, cognitive assessments, laboratory tests, and brain imaging scans, the UK healthcare system ensures a thorough and</w:t>
      </w:r>
      <w:r w:rsidRPr="00DA02CF">
        <w:rPr>
          <w:rFonts w:ascii="Arial" w:hAnsi="Arial" w:cs="Arial"/>
          <w:color w:val="0E101A"/>
          <w:lang w:val="en-GB"/>
        </w:rPr>
        <w:t xml:space="preserve"> comprehensive approach to diagnosing dementia. This multidisciplinary approach allows for accurate diagnosis, early intervention, and personalized care planning to improve outcomes for individuals with dementia and their families.</w:t>
      </w:r>
    </w:p>
    <w:p w14:paraId="726F96E6"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DFCE4F9"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 xml:space="preserve">CURRENT </w:t>
      </w:r>
      <w:r w:rsidRPr="00DA02CF">
        <w:rPr>
          <w:rStyle w:val="Strong"/>
          <w:rFonts w:ascii="Arial" w:hAnsi="Arial" w:cs="Arial"/>
          <w:color w:val="0E101A"/>
          <w:lang w:val="en-GB"/>
        </w:rPr>
        <w:t>TREATMENT PROVISIONS</w:t>
      </w:r>
    </w:p>
    <w:p w14:paraId="29E9023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B05F48E"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In the UK, the approach to dementia care is multifaceted, encompassing various strategies to address the needs of individuals with dementia and their caregivers. Both pharmacological and non-pharmacological interventions are utilized </w:t>
      </w:r>
      <w:r w:rsidRPr="00DA02CF">
        <w:rPr>
          <w:rFonts w:ascii="Arial" w:hAnsi="Arial" w:cs="Arial"/>
          <w:color w:val="0E101A"/>
          <w:lang w:val="en-GB"/>
        </w:rPr>
        <w:t>to manage symptoms, slow disease progression, and enhance the overall well-being of those affected by dementia</w:t>
      </w:r>
      <w:r w:rsidRPr="00DA02CF">
        <w:rPr>
          <w:rFonts w:ascii="Arial" w:hAnsi="Arial" w:cs="Arial"/>
          <w:color w:val="0E101A"/>
          <w:lang w:val="en-GB"/>
        </w:rPr>
        <w:t xml:space="preserve"> </w:t>
      </w:r>
      <w:r w:rsidRPr="00DA02CF">
        <w:rPr>
          <w:rFonts w:ascii="Arial" w:hAnsi="Arial"/>
          <w:color w:val="0E101A"/>
          <w:lang w:val="en-GB"/>
        </w:rPr>
        <w:t>(Livingston et al., 2020)</w:t>
      </w:r>
      <w:r w:rsidRPr="00DA02CF">
        <w:rPr>
          <w:rFonts w:ascii="Arial" w:hAnsi="Arial" w:cs="Arial"/>
          <w:color w:val="0E101A"/>
          <w:lang w:val="en-GB"/>
        </w:rPr>
        <w:t>.</w:t>
      </w:r>
    </w:p>
    <w:p w14:paraId="5E83D4DC"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289DDB5"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In the United Kingdom, medications are mainly employed to treat the symptoms of cognitive decline. </w:t>
      </w:r>
      <w:r w:rsidRPr="00DA02CF">
        <w:rPr>
          <w:rFonts w:ascii="Arial" w:hAnsi="Arial" w:cs="Arial"/>
          <w:color w:val="0E101A"/>
          <w:lang w:val="en-GB"/>
        </w:rPr>
        <w:t>Cholinesterase inhibitors like donepezil, rivastigmine, and galantamine are often used to treat cognitive problems by raising acetylcholine levels in the brain. Another medicine, memantine, is frequently used to treat glutamate malfunction as well as cogni</w:t>
      </w:r>
      <w:r w:rsidRPr="00DA02CF">
        <w:rPr>
          <w:rFonts w:ascii="Arial" w:hAnsi="Arial" w:cs="Arial"/>
          <w:color w:val="0E101A"/>
          <w:lang w:val="en-GB"/>
        </w:rPr>
        <w:t>tive problems. Medication may also be administered to treat related symptoms such as depression, anxiety, agitation, and problems with sleep</w:t>
      </w:r>
      <w:r w:rsidRPr="00DA02CF">
        <w:rPr>
          <w:rFonts w:ascii="Arial" w:hAnsi="Arial" w:cs="Arial"/>
          <w:color w:val="0E101A"/>
          <w:lang w:val="en-GB"/>
        </w:rPr>
        <w:t xml:space="preserve"> </w:t>
      </w:r>
      <w:r w:rsidRPr="00DA02CF">
        <w:rPr>
          <w:rFonts w:ascii="Arial" w:hAnsi="Arial"/>
          <w:color w:val="0E101A"/>
          <w:lang w:val="en-GB"/>
        </w:rPr>
        <w:t>(McShane et al., 2019)</w:t>
      </w:r>
      <w:r w:rsidRPr="00DA02CF">
        <w:rPr>
          <w:rFonts w:ascii="Arial" w:hAnsi="Arial" w:cs="Arial"/>
          <w:color w:val="0E101A"/>
          <w:lang w:val="en-GB"/>
        </w:rPr>
        <w:t>.</w:t>
      </w:r>
    </w:p>
    <w:p w14:paraId="7E0B1DCD"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B833265"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lastRenderedPageBreak/>
        <w:t>Non-pharmacological interventions play a crucial role in dementia care and are widely impl</w:t>
      </w:r>
      <w:r w:rsidRPr="00DA02CF">
        <w:rPr>
          <w:rFonts w:ascii="Arial" w:hAnsi="Arial" w:cs="Arial"/>
          <w:color w:val="0E101A"/>
          <w:lang w:val="en-GB"/>
        </w:rPr>
        <w:t xml:space="preserve">emented in the UK. Psychosocial support, which includes counselling, education, and assistance for individuals and their families, is provided to help cope with the emotional and practical challenges associated with dementia. Cognitive stimulation therapy </w:t>
      </w:r>
      <w:r w:rsidRPr="00DA02CF">
        <w:rPr>
          <w:rFonts w:ascii="Arial" w:hAnsi="Arial" w:cs="Arial"/>
          <w:color w:val="0E101A"/>
          <w:lang w:val="en-GB"/>
        </w:rPr>
        <w:t>involves structured activities and exercises designed to engage and stimulate cognitive function. Occupational therapy aims to enhance individuals' ability to perform daily activities, maintain independence, and adapt their environment to suit their needs.</w:t>
      </w:r>
      <w:r w:rsidRPr="00DA02CF">
        <w:rPr>
          <w:rFonts w:ascii="Arial" w:hAnsi="Arial" w:cs="Arial"/>
          <w:color w:val="0E101A"/>
          <w:lang w:val="en-GB"/>
        </w:rPr>
        <w:t xml:space="preserve"> Music therapy, art therapy, and reminiscence therapy utilize creative and sensory experiences to promote emotional well-being, self-expression, and social interaction.</w:t>
      </w:r>
    </w:p>
    <w:p w14:paraId="43310CE8"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4BC8ED4F"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Physical exercise programs tailored to the needs and abilities of individuals with dem</w:t>
      </w:r>
      <w:r w:rsidRPr="00DA02CF">
        <w:rPr>
          <w:rFonts w:ascii="Arial" w:hAnsi="Arial" w:cs="Arial"/>
          <w:color w:val="0E101A"/>
          <w:lang w:val="en-GB"/>
        </w:rPr>
        <w:t>entia are encouraged, as regular exercise has been shown to improve cognitive function and overall health. Caregiver education and support programs are also available to provide guidance, resources, and respite services for caregivers, enabling them to bet</w:t>
      </w:r>
      <w:r w:rsidRPr="00DA02CF">
        <w:rPr>
          <w:rFonts w:ascii="Arial" w:hAnsi="Arial" w:cs="Arial"/>
          <w:color w:val="0E101A"/>
          <w:lang w:val="en-GB"/>
        </w:rPr>
        <w:t>ter manage the challenges of caregiving and maintain their well-being.</w:t>
      </w:r>
    </w:p>
    <w:p w14:paraId="7644BF0C"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466216E9" w14:textId="0B822CD0"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These interventions are delivered through various channels in the UK, including memory clinics, dementia support services, community-based organizations, and day-care</w:t>
      </w:r>
      <w:r w:rsidRPr="00DA02CF">
        <w:rPr>
          <w:rFonts w:ascii="Arial" w:hAnsi="Arial" w:cs="Arial"/>
          <w:color w:val="0E101A"/>
          <w:lang w:val="en-GB"/>
        </w:rPr>
        <w:t xml:space="preserve"> centres. Memory cl</w:t>
      </w:r>
      <w:r w:rsidRPr="00DA02CF">
        <w:rPr>
          <w:rFonts w:ascii="Arial" w:hAnsi="Arial" w:cs="Arial"/>
          <w:color w:val="0E101A"/>
          <w:lang w:val="en-GB"/>
        </w:rPr>
        <w:t>inics offer specialized assessments, diagnosis, and ongoing support for individuals with dementia, while dementia support services provide a range of practical assistance, information, and emotional support for individuals and their families. Community-bas</w:t>
      </w:r>
      <w:r w:rsidRPr="00DA02CF">
        <w:rPr>
          <w:rFonts w:ascii="Arial" w:hAnsi="Arial" w:cs="Arial"/>
          <w:color w:val="0E101A"/>
          <w:lang w:val="en-GB"/>
        </w:rPr>
        <w:t>ed organizations and day-care</w:t>
      </w:r>
      <w:r w:rsidRPr="00DA02CF">
        <w:rPr>
          <w:rFonts w:ascii="Arial" w:hAnsi="Arial" w:cs="Arial"/>
          <w:color w:val="0E101A"/>
          <w:lang w:val="en-GB"/>
        </w:rPr>
        <w:t xml:space="preserve"> centres offer a supportive environment for individuals with dementia, providing social interaction, stimulating activities, and respite services for caregivers.</w:t>
      </w:r>
      <w:r w:rsidRPr="00DA02CF">
        <w:rPr>
          <w:rFonts w:ascii="Arial" w:hAnsi="Arial" w:cs="Arial"/>
          <w:color w:val="0E101A"/>
          <w:lang w:val="en-GB"/>
        </w:rPr>
        <w:br/>
      </w:r>
    </w:p>
    <w:p w14:paraId="3C15C388"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In a case study, Joan had to make a difficult decision regarding </w:t>
      </w:r>
      <w:r w:rsidRPr="00DA02CF">
        <w:rPr>
          <w:rFonts w:ascii="Arial" w:hAnsi="Arial" w:cs="Arial"/>
          <w:color w:val="0E101A"/>
          <w:lang w:val="en-GB"/>
        </w:rPr>
        <w:t>additional support for her husband, Peter, who had vascular dementia. Dissatisfied with the care home option, Joan explored live-in care provided by Helping Hands Homecare Society in the UK. After assessing her family's needs and reviewing different carers</w:t>
      </w:r>
      <w:r w:rsidRPr="00DA02CF">
        <w:rPr>
          <w:rFonts w:ascii="Arial" w:hAnsi="Arial" w:cs="Arial"/>
          <w:color w:val="0E101A"/>
          <w:lang w:val="en-GB"/>
        </w:rPr>
        <w:t xml:space="preserve">' profiles, Joan chose Lazlo due to his standout </w:t>
      </w:r>
      <w:r w:rsidRPr="00DA02CF">
        <w:rPr>
          <w:rFonts w:ascii="Arial" w:hAnsi="Arial" w:cs="Arial"/>
          <w:color w:val="0E101A"/>
          <w:lang w:val="en-GB"/>
        </w:rPr>
        <w:lastRenderedPageBreak/>
        <w:t>qualities. Lazlo quickly developed a strong bond with Peter and extended his support to other family members. As Peter approached the end of his life, Lazlo played a vital role in ensuring his comfort and we</w:t>
      </w:r>
      <w:r w:rsidRPr="00DA02CF">
        <w:rPr>
          <w:rFonts w:ascii="Arial" w:hAnsi="Arial" w:cs="Arial"/>
          <w:color w:val="0E101A"/>
          <w:lang w:val="en-GB"/>
        </w:rPr>
        <w:t>ll-being. Collaborating with healthcare professionals, Lazlo went above and beyond to provide dedicated support during this challenging period, helping to keep the family together and offering the reassurance and assistance they needed</w:t>
      </w:r>
      <w:r w:rsidRPr="00DA02CF">
        <w:rPr>
          <w:rFonts w:ascii="Arial" w:hAnsi="Arial" w:cs="Arial"/>
          <w:color w:val="0E101A"/>
          <w:lang w:val="en-GB"/>
        </w:rPr>
        <w:t xml:space="preserve"> </w:t>
      </w:r>
      <w:r w:rsidRPr="00DA02CF">
        <w:rPr>
          <w:rFonts w:ascii="Arial" w:hAnsi="Arial"/>
          <w:color w:val="0E101A"/>
          <w:lang w:val="en-GB"/>
        </w:rPr>
        <w:t>(Handley, Bunn and G</w:t>
      </w:r>
      <w:r w:rsidRPr="00DA02CF">
        <w:rPr>
          <w:rFonts w:ascii="Arial" w:hAnsi="Arial"/>
          <w:color w:val="0E101A"/>
          <w:lang w:val="en-GB"/>
        </w:rPr>
        <w:t>oodman, 2017)</w:t>
      </w:r>
      <w:r w:rsidRPr="00DA02CF">
        <w:rPr>
          <w:rFonts w:ascii="Arial" w:hAnsi="Arial" w:cs="Arial"/>
          <w:color w:val="0E101A"/>
          <w:lang w:val="en-GB"/>
        </w:rPr>
        <w:t>.</w:t>
      </w:r>
    </w:p>
    <w:p w14:paraId="29FB1EE9"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21DD96B4"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MEASUREMENT OF REHABILITATION FOR DEMENTIA</w:t>
      </w:r>
    </w:p>
    <w:p w14:paraId="4CEB4ADC"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79A3C118"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In the UK, the measurement of rehabilitation outcomes for individuals with dementia is carried out through a comprehensive and person-centred approach. A range of assessments and tools are utilize</w:t>
      </w:r>
      <w:r w:rsidRPr="00DA02CF">
        <w:rPr>
          <w:rFonts w:ascii="Arial" w:hAnsi="Arial" w:cs="Arial"/>
          <w:color w:val="0E101A"/>
          <w:lang w:val="en-GB"/>
        </w:rPr>
        <w:t>d to monitor changes in various aspects of the individual's functioning, including cognitive abilities, functional abilities, behavioural symptoms, and overall well-being.</w:t>
      </w:r>
    </w:p>
    <w:p w14:paraId="1A33BA7F"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4D864884"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Cognitive assessments play a vital role in evaluating and tracking changes in cogni</w:t>
      </w:r>
      <w:r w:rsidRPr="00DA02CF">
        <w:rPr>
          <w:rFonts w:ascii="Arial" w:hAnsi="Arial" w:cs="Arial"/>
          <w:color w:val="0E101A"/>
          <w:lang w:val="en-GB"/>
        </w:rPr>
        <w:t>tive function over time. Standardized tools like the Mini-Mental State Examination (MMSE), Montreal Cognitive Assessment (MoCA), and Addenbrooke's Cognitive Examination (ACE-R) are commonly employed. These assessments cover different cognitive domains such</w:t>
      </w:r>
      <w:r w:rsidRPr="00DA02CF">
        <w:rPr>
          <w:rFonts w:ascii="Arial" w:hAnsi="Arial" w:cs="Arial"/>
          <w:color w:val="0E101A"/>
          <w:lang w:val="en-GB"/>
        </w:rPr>
        <w:t xml:space="preserve"> as memory, attention, language, visuospatial skills, and executive functions, providing valuable information about the progression of cognitive decline or improvement</w:t>
      </w:r>
      <w:r w:rsidRPr="00DA02CF">
        <w:rPr>
          <w:rFonts w:ascii="Arial" w:hAnsi="Arial" w:cs="Arial"/>
          <w:color w:val="0E101A"/>
          <w:lang w:val="en-GB"/>
        </w:rPr>
        <w:t xml:space="preserve"> </w:t>
      </w:r>
      <w:r w:rsidRPr="00DA02CF">
        <w:rPr>
          <w:rFonts w:ascii="Arial" w:hAnsi="Arial"/>
          <w:color w:val="0E101A"/>
          <w:lang w:val="en-GB"/>
        </w:rPr>
        <w:t>(</w:t>
      </w:r>
      <w:proofErr w:type="spellStart"/>
      <w:r w:rsidRPr="00DA02CF">
        <w:rPr>
          <w:rFonts w:ascii="Arial" w:hAnsi="Arial"/>
          <w:color w:val="0E101A"/>
          <w:lang w:val="en-GB"/>
        </w:rPr>
        <w:t>Kudlicka</w:t>
      </w:r>
      <w:proofErr w:type="spellEnd"/>
      <w:r w:rsidRPr="00DA02CF">
        <w:rPr>
          <w:rFonts w:ascii="Arial" w:hAnsi="Arial"/>
          <w:color w:val="0E101A"/>
          <w:lang w:val="en-GB"/>
        </w:rPr>
        <w:t xml:space="preserve"> et al., 2019)</w:t>
      </w:r>
      <w:r w:rsidRPr="00DA02CF">
        <w:rPr>
          <w:rFonts w:ascii="Arial" w:hAnsi="Arial" w:cs="Arial"/>
          <w:color w:val="0E101A"/>
          <w:lang w:val="en-GB"/>
        </w:rPr>
        <w:t>.</w:t>
      </w:r>
    </w:p>
    <w:p w14:paraId="3398DA81"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A034595"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Functional assessments focus on an individual's ability to ind</w:t>
      </w:r>
      <w:r w:rsidRPr="00DA02CF">
        <w:rPr>
          <w:rFonts w:ascii="Arial" w:hAnsi="Arial" w:cs="Arial"/>
          <w:color w:val="0E101A"/>
          <w:lang w:val="en-GB"/>
        </w:rPr>
        <w:t>ependently perform daily activities. Activities of daily living (ADL) and instrumental activities of daily living (IADL) assessments are commonly used to evaluate functional abilities in areas such as personal hygiene, dressing, eating, mobility, housekeep</w:t>
      </w:r>
      <w:r w:rsidRPr="00DA02CF">
        <w:rPr>
          <w:rFonts w:ascii="Arial" w:hAnsi="Arial" w:cs="Arial"/>
          <w:color w:val="0E101A"/>
          <w:lang w:val="en-GB"/>
        </w:rPr>
        <w:t>ing, and managing finances. These assessments help identify any decline or improvement in functional abilities and guide the development of targeted rehabilitation interventions.</w:t>
      </w:r>
    </w:p>
    <w:p w14:paraId="3A9119E1"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6B9AA1C8"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lastRenderedPageBreak/>
        <w:t>Behavioural assessments are important for monitoring and managing the behavi</w:t>
      </w:r>
      <w:r w:rsidRPr="00DA02CF">
        <w:rPr>
          <w:rFonts w:ascii="Arial" w:hAnsi="Arial" w:cs="Arial"/>
          <w:color w:val="0E101A"/>
          <w:lang w:val="en-GB"/>
        </w:rPr>
        <w:t xml:space="preserve">oural symptoms associated with dementia. The Neuropsychiatric Inventory (NPI) is a widely used tool that assesses and quantifies the severity of behavioural symptoms, including agitation, aggression, apathy, psychosis, and other neuropsychiatric symptoms. </w:t>
      </w:r>
      <w:r w:rsidRPr="00DA02CF">
        <w:rPr>
          <w:rFonts w:ascii="Arial" w:hAnsi="Arial" w:cs="Arial"/>
          <w:color w:val="0E101A"/>
          <w:lang w:val="en-GB"/>
        </w:rPr>
        <w:t>These assessments assist in tailoring interventions and treatments to address specific behavioural challenges, aiming to enhance the individual's well-being and overall functioning</w:t>
      </w:r>
      <w:r w:rsidRPr="00DA02CF">
        <w:rPr>
          <w:rFonts w:ascii="Arial" w:hAnsi="Arial" w:cs="Arial"/>
          <w:color w:val="0E101A"/>
          <w:lang w:val="en-GB"/>
        </w:rPr>
        <w:t xml:space="preserve"> </w:t>
      </w:r>
      <w:r w:rsidRPr="00DA02CF">
        <w:rPr>
          <w:rFonts w:ascii="Arial" w:hAnsi="Arial"/>
          <w:color w:val="0E101A"/>
          <w:lang w:val="en-GB"/>
        </w:rPr>
        <w:t>(Cations et al., 2017)</w:t>
      </w:r>
      <w:r w:rsidRPr="00DA02CF">
        <w:rPr>
          <w:rFonts w:ascii="Arial" w:hAnsi="Arial" w:cs="Arial"/>
          <w:color w:val="0E101A"/>
          <w:lang w:val="en-GB"/>
        </w:rPr>
        <w:t>.</w:t>
      </w:r>
    </w:p>
    <w:p w14:paraId="263D55B7"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A0E2214"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In addition to quantitative measures, qualitative </w:t>
      </w:r>
      <w:r w:rsidRPr="00DA02CF">
        <w:rPr>
          <w:rFonts w:ascii="Arial" w:hAnsi="Arial" w:cs="Arial"/>
          <w:color w:val="0E101A"/>
          <w:lang w:val="en-GB"/>
        </w:rPr>
        <w:t>measures are also incorporated to gain a deeper understanding of the impact of rehabilitation interventions on individuals with dementia and their caregivers. Caregiver reports, direct observations, and patient-reported outcomes provide valuable insights i</w:t>
      </w:r>
      <w:r w:rsidRPr="00DA02CF">
        <w:rPr>
          <w:rFonts w:ascii="Arial" w:hAnsi="Arial" w:cs="Arial"/>
          <w:color w:val="0E101A"/>
          <w:lang w:val="en-GB"/>
        </w:rPr>
        <w:t>nto changes in daily functioning, quality of life, mood, and satisfaction with care. These qualitative measures capture the subjective experiences and perspectives of both individuals with dementia and their caregivers, contributing to a more holistic asse</w:t>
      </w:r>
      <w:r w:rsidRPr="00DA02CF">
        <w:rPr>
          <w:rFonts w:ascii="Arial" w:hAnsi="Arial" w:cs="Arial"/>
          <w:color w:val="0E101A"/>
          <w:lang w:val="en-GB"/>
        </w:rPr>
        <w:t>ssment of rehabilitation outcomes.</w:t>
      </w:r>
    </w:p>
    <w:p w14:paraId="2B3E0F84"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6E601EA"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By employing a combination of cognitive assessments, functional assessments, behavioural assessments, and qualitative measures, the UK ensures a comprehensive approach to measuring rehabilitation outcomes for individuals</w:t>
      </w:r>
      <w:r w:rsidRPr="00DA02CF">
        <w:rPr>
          <w:rFonts w:ascii="Arial" w:hAnsi="Arial" w:cs="Arial"/>
          <w:color w:val="0E101A"/>
          <w:lang w:val="en-GB"/>
        </w:rPr>
        <w:t xml:space="preserve"> with dementia. This person-centred approach enables healthcare professionals to tailor interventions, monitor progress, and optimize care to improve the overall well-being and quality of life for individuals with dementia and their caregivers.</w:t>
      </w:r>
    </w:p>
    <w:p w14:paraId="40E4220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AF982D1"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RECOMMENDATIONS FOR IMPROVEMENT</w:t>
      </w:r>
    </w:p>
    <w:p w14:paraId="211C4878"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5514F471"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To enhance the support and care for individuals with dementia and their caregivers in the UK, a series of detailed recommendations are proposed based on the available information and data.</w:t>
      </w:r>
    </w:p>
    <w:p w14:paraId="1FF26C84"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239D926"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Firstly, it is crucial to focus o</w:t>
      </w:r>
      <w:r w:rsidRPr="00DA02CF">
        <w:rPr>
          <w:rFonts w:ascii="Arial" w:hAnsi="Arial" w:cs="Arial"/>
          <w:color w:val="0E101A"/>
          <w:lang w:val="en-GB"/>
        </w:rPr>
        <w:t xml:space="preserve">n early detection and intervention. Public awareness campaigns should be strengthened to educate people about the </w:t>
      </w:r>
      <w:r w:rsidRPr="00DA02CF">
        <w:rPr>
          <w:rFonts w:ascii="Arial" w:hAnsi="Arial" w:cs="Arial"/>
          <w:color w:val="0E101A"/>
          <w:lang w:val="en-GB"/>
        </w:rPr>
        <w:lastRenderedPageBreak/>
        <w:t>early signs of dementia and the importance of seeking help. For instance, in a survey on public attitudes towards dementia, only 34% of respon</w:t>
      </w:r>
      <w:r w:rsidRPr="00DA02CF">
        <w:rPr>
          <w:rFonts w:ascii="Arial" w:hAnsi="Arial" w:cs="Arial"/>
          <w:color w:val="0E101A"/>
          <w:lang w:val="en-GB"/>
        </w:rPr>
        <w:t>dents believed it was possible to reduce the risk of developing dementia. Targeted educational initiatives for healthcare professionals should also be implemented to facilitate early detection and intervention</w:t>
      </w:r>
      <w:r w:rsidRPr="00DA02CF">
        <w:rPr>
          <w:rFonts w:ascii="Arial" w:hAnsi="Arial" w:cs="Arial"/>
          <w:color w:val="0E101A"/>
          <w:lang w:val="en-GB"/>
        </w:rPr>
        <w:t xml:space="preserve"> </w:t>
      </w:r>
      <w:r w:rsidRPr="00DA02CF">
        <w:rPr>
          <w:rFonts w:ascii="Arial" w:hAnsi="Arial"/>
          <w:color w:val="0E101A"/>
          <w:lang w:val="en-GB"/>
        </w:rPr>
        <w:t>(Dementia Statistics Hub, n.d.)</w:t>
      </w:r>
      <w:r w:rsidRPr="00DA02CF">
        <w:rPr>
          <w:rFonts w:ascii="Arial" w:hAnsi="Arial" w:cs="Arial"/>
          <w:color w:val="0E101A"/>
          <w:lang w:val="en-GB"/>
        </w:rPr>
        <w:t>.</w:t>
      </w:r>
    </w:p>
    <w:p w14:paraId="704C4E6F"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3A69EB0A"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Creating dem</w:t>
      </w:r>
      <w:r w:rsidRPr="00DA02CF">
        <w:rPr>
          <w:rFonts w:ascii="Arial" w:hAnsi="Arial" w:cs="Arial"/>
          <w:color w:val="0E101A"/>
          <w:lang w:val="en-GB"/>
        </w:rPr>
        <w:t>entia-friendly communities is another key recommendation. This involves developing initiatives that promote inclusive environments and raise awareness about dementia. The goal is to ensure that communities provide accessible services and support for indivi</w:t>
      </w:r>
      <w:r w:rsidRPr="00DA02CF">
        <w:rPr>
          <w:rFonts w:ascii="Arial" w:hAnsi="Arial" w:cs="Arial"/>
          <w:color w:val="0E101A"/>
          <w:lang w:val="en-GB"/>
        </w:rPr>
        <w:t xml:space="preserve">duals with dementia. For example, Alzheimer's Society funds three </w:t>
      </w:r>
      <w:proofErr w:type="spellStart"/>
      <w:r w:rsidRPr="00DA02CF">
        <w:rPr>
          <w:rFonts w:ascii="Arial" w:hAnsi="Arial" w:cs="Arial"/>
          <w:color w:val="0E101A"/>
          <w:lang w:val="en-GB"/>
        </w:rPr>
        <w:t>Centers</w:t>
      </w:r>
      <w:proofErr w:type="spellEnd"/>
      <w:r w:rsidRPr="00DA02CF">
        <w:rPr>
          <w:rFonts w:ascii="Arial" w:hAnsi="Arial" w:cs="Arial"/>
          <w:color w:val="0E101A"/>
          <w:lang w:val="en-GB"/>
        </w:rPr>
        <w:t xml:space="preserve"> of Excellence for dementia care research at Newcastle University, University College London, and the University of Exeter. These centres focus on measuring and improving the quality </w:t>
      </w:r>
      <w:r w:rsidRPr="00DA02CF">
        <w:rPr>
          <w:rFonts w:ascii="Arial" w:hAnsi="Arial" w:cs="Arial"/>
          <w:color w:val="0E101A"/>
          <w:lang w:val="en-GB"/>
        </w:rPr>
        <w:t>of life, providing evidence-based training for carers, and offering post-diagnostic support</w:t>
      </w:r>
      <w:r w:rsidRPr="00DA02CF">
        <w:rPr>
          <w:rFonts w:ascii="Arial" w:hAnsi="Arial" w:cs="Arial"/>
          <w:color w:val="0E101A"/>
          <w:lang w:val="en-GB"/>
        </w:rPr>
        <w:t xml:space="preserve"> </w:t>
      </w:r>
      <w:r w:rsidRPr="00DA02CF">
        <w:rPr>
          <w:rFonts w:ascii="Arial" w:hAnsi="Arial"/>
          <w:color w:val="0E101A"/>
          <w:lang w:val="en-GB"/>
        </w:rPr>
        <w:t>(Black et al., 2015)</w:t>
      </w:r>
      <w:r w:rsidRPr="00DA02CF">
        <w:rPr>
          <w:rFonts w:ascii="Arial" w:hAnsi="Arial" w:cs="Arial"/>
          <w:color w:val="0E101A"/>
          <w:lang w:val="en-GB"/>
        </w:rPr>
        <w:t>.</w:t>
      </w:r>
    </w:p>
    <w:p w14:paraId="0C6ABC1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75BDC56B"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Establishing integrated care pathways is essential to facilitate holistic and coordinated care for individuals with dementia. Collaboration a</w:t>
      </w:r>
      <w:r w:rsidRPr="00DA02CF">
        <w:rPr>
          <w:rFonts w:ascii="Arial" w:hAnsi="Arial" w:cs="Arial"/>
          <w:color w:val="0E101A"/>
          <w:lang w:val="en-GB"/>
        </w:rPr>
        <w:t>nd coordination among primary care providers, specialists, social services, and community organizations should be prioritized. The aim is to ensure that individuals with dementia and their caregivers receive seamless care across different healthcare settin</w:t>
      </w:r>
      <w:r w:rsidRPr="00DA02CF">
        <w:rPr>
          <w:rFonts w:ascii="Arial" w:hAnsi="Arial" w:cs="Arial"/>
          <w:color w:val="0E101A"/>
          <w:lang w:val="en-GB"/>
        </w:rPr>
        <w:t>gs. NHS Digital data indicates an increase in GP assessments for dementia, initial GP memory assessments, and referrals to memory clinics, demonstrating progress in this area.</w:t>
      </w:r>
    </w:p>
    <w:p w14:paraId="0C4B93A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4A6B67C5"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Embracing technology-assisted care can significantly improve access to care and</w:t>
      </w:r>
      <w:r w:rsidRPr="00DA02CF">
        <w:rPr>
          <w:rFonts w:ascii="Arial" w:hAnsi="Arial" w:cs="Arial"/>
          <w:color w:val="0E101A"/>
          <w:lang w:val="en-GB"/>
        </w:rPr>
        <w:t xml:space="preserve"> support for individuals with dementia and their caregivers. Investing in telemedicine, remote monitoring, assistive devices, and digital cognitive interventions can enhance the delivery of services. For example, technology-based solutions can enable remot</w:t>
      </w:r>
      <w:r w:rsidRPr="00DA02CF">
        <w:rPr>
          <w:rFonts w:ascii="Arial" w:hAnsi="Arial" w:cs="Arial"/>
          <w:color w:val="0E101A"/>
          <w:lang w:val="en-GB"/>
        </w:rPr>
        <w:t>e consultations and monitoring, allowing individuals to receive care in the comfort of their homes. These innovations hold great potential in improving the quality of life for individuals with dementia and reducing the burden on caregivers.</w:t>
      </w:r>
    </w:p>
    <w:p w14:paraId="1578DA1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58528E6C"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Caregiver supp</w:t>
      </w:r>
      <w:r w:rsidRPr="00DA02CF">
        <w:rPr>
          <w:rFonts w:ascii="Arial" w:hAnsi="Arial" w:cs="Arial"/>
          <w:color w:val="0E101A"/>
          <w:lang w:val="en-GB"/>
        </w:rPr>
        <w:t>ort and education should be strengthened to provide practical guidance, emotional support, and skills training to caregivers. This includes respite care services to offer temporary relief to caregivers and enable them to take care of their well-being. Addi</w:t>
      </w:r>
      <w:r w:rsidRPr="00DA02CF">
        <w:rPr>
          <w:rFonts w:ascii="Arial" w:hAnsi="Arial" w:cs="Arial"/>
          <w:color w:val="0E101A"/>
          <w:lang w:val="en-GB"/>
        </w:rPr>
        <w:t>tionally, enhancing caregiver education initiatives can equip them with the necessary knowledge and resources to manage the challenges of caregiving effectively.</w:t>
      </w:r>
    </w:p>
    <w:p w14:paraId="722EB3AD"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4AFEA03"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Promoting research and innovation in the field of dementia is essential. Funding should be al</w:t>
      </w:r>
      <w:r w:rsidRPr="00DA02CF">
        <w:rPr>
          <w:rFonts w:ascii="Arial" w:hAnsi="Arial" w:cs="Arial"/>
          <w:color w:val="0E101A"/>
          <w:lang w:val="en-GB"/>
        </w:rPr>
        <w:t xml:space="preserve">located to understand the underlying mechanisms of dementia, develop innovative treatments and interventions, and advance measurement tools to monitor rehabilitation outcomes accurately. By supporting research initiatives, such as the UK Dementia Research </w:t>
      </w:r>
      <w:r w:rsidRPr="00DA02CF">
        <w:rPr>
          <w:rFonts w:ascii="Arial" w:hAnsi="Arial" w:cs="Arial"/>
          <w:color w:val="0E101A"/>
          <w:lang w:val="en-GB"/>
        </w:rPr>
        <w:t>Institute (UK DRI), world-leading biomedical and translational research can continue to contribute to improved outcomes. Confirmation of appropriate funding for the UK DRI for the next ten years is crucial to sustaining its vital work.</w:t>
      </w:r>
    </w:p>
    <w:p w14:paraId="6BB139CC"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903369B"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Furthermore, it is </w:t>
      </w:r>
      <w:r w:rsidRPr="00DA02CF">
        <w:rPr>
          <w:rFonts w:ascii="Arial" w:hAnsi="Arial" w:cs="Arial"/>
          <w:color w:val="0E101A"/>
          <w:lang w:val="en-GB"/>
        </w:rPr>
        <w:t>essential to prioritize a person-centred approach to dementia care. Tailoring interventions and support services to meet the unique needs, preferences, and goals of individuals with dementia is crucial. Regular reviews of care plans and shared decision-mak</w:t>
      </w:r>
      <w:r w:rsidRPr="00DA02CF">
        <w:rPr>
          <w:rFonts w:ascii="Arial" w:hAnsi="Arial" w:cs="Arial"/>
          <w:color w:val="0E101A"/>
          <w:lang w:val="en-GB"/>
        </w:rPr>
        <w:t>ing empower individuals and their caregivers to actively participate in their care journey.</w:t>
      </w:r>
    </w:p>
    <w:p w14:paraId="5B529693"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0A675D12"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 xml:space="preserve">In addition to the recommendations mentioned, a recent breakthrough in dementia research is worth highlighting. The drug </w:t>
      </w:r>
      <w:proofErr w:type="spellStart"/>
      <w:r w:rsidRPr="00DA02CF">
        <w:rPr>
          <w:rFonts w:ascii="Arial" w:hAnsi="Arial" w:cs="Arial"/>
          <w:color w:val="0E101A"/>
          <w:lang w:val="en-GB"/>
        </w:rPr>
        <w:t>lecanemab</w:t>
      </w:r>
      <w:proofErr w:type="spellEnd"/>
      <w:r w:rsidRPr="00DA02CF">
        <w:rPr>
          <w:rFonts w:ascii="Arial" w:hAnsi="Arial" w:cs="Arial"/>
          <w:color w:val="0E101A"/>
          <w:lang w:val="en-GB"/>
        </w:rPr>
        <w:t xml:space="preserve">, developed by Eisai and Biogen, </w:t>
      </w:r>
      <w:r w:rsidRPr="00DA02CF">
        <w:rPr>
          <w:rFonts w:ascii="Arial" w:hAnsi="Arial" w:cs="Arial"/>
          <w:color w:val="0E101A"/>
          <w:lang w:val="en-GB"/>
        </w:rPr>
        <w:t xml:space="preserve">has shown promising results in slowing cognitive decline in early-stage Alzheimer's patients. Although its benefits are modest, equivalent to a few months of decline reduction, </w:t>
      </w:r>
      <w:proofErr w:type="spellStart"/>
      <w:r w:rsidRPr="00DA02CF">
        <w:rPr>
          <w:rFonts w:ascii="Arial" w:hAnsi="Arial" w:cs="Arial"/>
          <w:color w:val="0E101A"/>
          <w:lang w:val="en-GB"/>
        </w:rPr>
        <w:t>lecanemab</w:t>
      </w:r>
      <w:proofErr w:type="spellEnd"/>
      <w:r w:rsidRPr="00DA02CF">
        <w:rPr>
          <w:rFonts w:ascii="Arial" w:hAnsi="Arial" w:cs="Arial"/>
          <w:color w:val="0E101A"/>
          <w:lang w:val="en-GB"/>
        </w:rPr>
        <w:t xml:space="preserve"> represents a significant advancement in the field. However, it is imp</w:t>
      </w:r>
      <w:r w:rsidRPr="00DA02CF">
        <w:rPr>
          <w:rFonts w:ascii="Arial" w:hAnsi="Arial" w:cs="Arial"/>
          <w:color w:val="0E101A"/>
          <w:lang w:val="en-GB"/>
        </w:rPr>
        <w:t xml:space="preserve">ortant to consider the drug's cost and challenges associated with large-scale delivery, as well as safety concerns observed in some trial participants, such as brain swelling or bleeding. Nonetheless, the development of </w:t>
      </w:r>
      <w:proofErr w:type="spellStart"/>
      <w:r w:rsidRPr="00DA02CF">
        <w:rPr>
          <w:rFonts w:ascii="Arial" w:hAnsi="Arial" w:cs="Arial"/>
          <w:color w:val="0E101A"/>
          <w:lang w:val="en-GB"/>
        </w:rPr>
        <w:t>lecanemab</w:t>
      </w:r>
      <w:proofErr w:type="spellEnd"/>
      <w:r w:rsidRPr="00DA02CF">
        <w:rPr>
          <w:rFonts w:ascii="Arial" w:hAnsi="Arial" w:cs="Arial"/>
          <w:color w:val="0E101A"/>
          <w:lang w:val="en-GB"/>
        </w:rPr>
        <w:t xml:space="preserve"> follows a similar trajecto</w:t>
      </w:r>
      <w:r w:rsidRPr="00DA02CF">
        <w:rPr>
          <w:rFonts w:ascii="Arial" w:hAnsi="Arial" w:cs="Arial"/>
          <w:color w:val="0E101A"/>
          <w:lang w:val="en-GB"/>
        </w:rPr>
        <w:t xml:space="preserve">ry as early treatments for other diseases, paving the way for future advancements. Given the potential of disease-modifying treatments like </w:t>
      </w:r>
      <w:proofErr w:type="spellStart"/>
      <w:r w:rsidRPr="00DA02CF">
        <w:rPr>
          <w:rFonts w:ascii="Arial" w:hAnsi="Arial" w:cs="Arial"/>
          <w:color w:val="0E101A"/>
          <w:lang w:val="en-GB"/>
        </w:rPr>
        <w:lastRenderedPageBreak/>
        <w:t>lecanemab</w:t>
      </w:r>
      <w:proofErr w:type="spellEnd"/>
      <w:r w:rsidRPr="00DA02CF">
        <w:rPr>
          <w:rFonts w:ascii="Arial" w:hAnsi="Arial" w:cs="Arial"/>
          <w:color w:val="0E101A"/>
          <w:lang w:val="en-GB"/>
        </w:rPr>
        <w:t>, early and accurate diagnosis becomes increasingly crucial to maximize their benefits through timely inter</w:t>
      </w:r>
      <w:r w:rsidRPr="00DA02CF">
        <w:rPr>
          <w:rFonts w:ascii="Arial" w:hAnsi="Arial" w:cs="Arial"/>
          <w:color w:val="0E101A"/>
          <w:lang w:val="en-GB"/>
        </w:rPr>
        <w:t>vention and participation in clinical trials</w:t>
      </w:r>
      <w:r w:rsidRPr="00DA02CF">
        <w:rPr>
          <w:rFonts w:ascii="Arial" w:hAnsi="Arial" w:cs="Arial"/>
          <w:color w:val="0E101A"/>
          <w:lang w:val="en-GB"/>
        </w:rPr>
        <w:t xml:space="preserve"> </w:t>
      </w:r>
      <w:r w:rsidRPr="00DA02CF">
        <w:rPr>
          <w:rFonts w:ascii="Arial" w:hAnsi="Arial"/>
          <w:color w:val="0E101A"/>
          <w:lang w:val="en-GB"/>
        </w:rPr>
        <w:t>(McDade et al., 2022)</w:t>
      </w:r>
      <w:r w:rsidRPr="00DA02CF">
        <w:rPr>
          <w:rFonts w:ascii="Arial" w:hAnsi="Arial" w:cs="Arial"/>
          <w:color w:val="0E101A"/>
          <w:lang w:val="en-GB"/>
        </w:rPr>
        <w:t>.</w:t>
      </w:r>
    </w:p>
    <w:p w14:paraId="3A6A42F2"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9971BBA"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Fonts w:ascii="Arial" w:hAnsi="Arial" w:cs="Arial"/>
          <w:color w:val="0E101A"/>
          <w:lang w:val="en-GB"/>
        </w:rPr>
        <w:t>These findings emphasize the need to allocate resources and funding towards validating and making available novel methods of early diagnosis, such as blood and other biomarker tests. By i</w:t>
      </w:r>
      <w:r w:rsidRPr="00DA02CF">
        <w:rPr>
          <w:rFonts w:ascii="Arial" w:hAnsi="Arial" w:cs="Arial"/>
          <w:color w:val="0E101A"/>
          <w:lang w:val="en-GB"/>
        </w:rPr>
        <w:t>nvesting in research and preparing for wide-scale implementation, the UK can capitalize on the potential of these advancements to significantly impact the lives of individuals with dementia.</w:t>
      </w:r>
    </w:p>
    <w:p w14:paraId="550F71EE"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4C929C9D" w14:textId="77777777" w:rsidR="003F293B" w:rsidRPr="00DA02CF" w:rsidRDefault="00DA02CF">
      <w:pPr>
        <w:pStyle w:val="NormalWeb"/>
        <w:spacing w:beforeAutospacing="0" w:afterAutospacing="0" w:line="360" w:lineRule="auto"/>
        <w:jc w:val="both"/>
        <w:rPr>
          <w:rFonts w:ascii="Arial" w:hAnsi="Arial" w:cs="Arial"/>
          <w:color w:val="0E101A"/>
          <w:lang w:val="en-GB"/>
        </w:rPr>
      </w:pPr>
      <w:r w:rsidRPr="00DA02CF">
        <w:rPr>
          <w:rStyle w:val="Strong"/>
          <w:rFonts w:ascii="Arial" w:hAnsi="Arial" w:cs="Arial"/>
          <w:color w:val="0E101A"/>
          <w:lang w:val="en-GB"/>
        </w:rPr>
        <w:t>CONCLUSION</w:t>
      </w:r>
    </w:p>
    <w:p w14:paraId="2F8F151E" w14:textId="77777777" w:rsidR="003F293B" w:rsidRPr="00DA02CF" w:rsidRDefault="003F293B">
      <w:pPr>
        <w:pStyle w:val="NormalWeb"/>
        <w:spacing w:beforeAutospacing="0" w:afterAutospacing="0" w:line="360" w:lineRule="auto"/>
        <w:jc w:val="both"/>
        <w:rPr>
          <w:rFonts w:ascii="Arial" w:hAnsi="Arial" w:cs="Arial"/>
          <w:color w:val="0E101A"/>
          <w:lang w:val="en-GB"/>
        </w:rPr>
      </w:pPr>
    </w:p>
    <w:p w14:paraId="1F29F0D3"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 xml:space="preserve">In conclusion, this report provides a </w:t>
      </w:r>
      <w:r w:rsidRPr="00DA02CF">
        <w:rPr>
          <w:rFonts w:ascii="Arial" w:hAnsi="Arial" w:cs="Arial"/>
          <w:sz w:val="24"/>
          <w:szCs w:val="24"/>
        </w:rPr>
        <w:t>comprehensive understanding of dementia in the UK, covering its classification, diagnosis process, current treatment provisions, measurement of rehabilitation outcomes, and recommendations for improvement.</w:t>
      </w:r>
    </w:p>
    <w:p w14:paraId="270888B9" w14:textId="77777777" w:rsidR="003F293B" w:rsidRPr="00DA02CF" w:rsidRDefault="003F293B">
      <w:pPr>
        <w:spacing w:line="360" w:lineRule="auto"/>
        <w:jc w:val="both"/>
        <w:rPr>
          <w:rFonts w:ascii="Arial" w:hAnsi="Arial" w:cs="Arial"/>
          <w:sz w:val="24"/>
          <w:szCs w:val="24"/>
        </w:rPr>
      </w:pPr>
    </w:p>
    <w:p w14:paraId="0D71F248"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The classification of dementia within the ICD-10,</w:t>
      </w:r>
      <w:r w:rsidRPr="00DA02CF">
        <w:rPr>
          <w:rFonts w:ascii="Arial" w:hAnsi="Arial" w:cs="Arial"/>
          <w:sz w:val="24"/>
          <w:szCs w:val="24"/>
        </w:rPr>
        <w:t xml:space="preserve"> Chapter 5, provides a framework for accurate diagnosis and categorization in the UK. The diagnostic process involves a multidisciplinary approach, including medical history review, physical examinations, cognitive assessments, laboratory tests, brain imag</w:t>
      </w:r>
      <w:r w:rsidRPr="00DA02CF">
        <w:rPr>
          <w:rFonts w:ascii="Arial" w:hAnsi="Arial" w:cs="Arial"/>
          <w:sz w:val="24"/>
          <w:szCs w:val="24"/>
        </w:rPr>
        <w:t>ing scans, and sometimes neuropsychological testing, aligning with NICE guidelines for early detection and support.</w:t>
      </w:r>
    </w:p>
    <w:p w14:paraId="67687C29" w14:textId="77777777" w:rsidR="003F293B" w:rsidRPr="00DA02CF" w:rsidRDefault="003F293B">
      <w:pPr>
        <w:spacing w:line="360" w:lineRule="auto"/>
        <w:jc w:val="both"/>
        <w:rPr>
          <w:rFonts w:ascii="Arial" w:hAnsi="Arial" w:cs="Arial"/>
          <w:sz w:val="24"/>
          <w:szCs w:val="24"/>
        </w:rPr>
      </w:pPr>
    </w:p>
    <w:p w14:paraId="2E702017"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 xml:space="preserve">Current treatment provisions for dementia encompass both pharmacological and non-pharmacological interventions. </w:t>
      </w:r>
      <w:r w:rsidRPr="00DA02CF">
        <w:rPr>
          <w:rFonts w:ascii="Arial" w:hAnsi="Arial" w:cs="Arial"/>
          <w:sz w:val="24"/>
          <w:szCs w:val="24"/>
        </w:rPr>
        <w:t>Pharmacological treatments focus on managing cognitive decline, while non-pharmacological interventions, such as psychosocial support, cognitive stimulation therapy, occupational therapy, and caregiver education and support programs, play a crucial role in</w:t>
      </w:r>
      <w:r w:rsidRPr="00DA02CF">
        <w:rPr>
          <w:rFonts w:ascii="Arial" w:hAnsi="Arial" w:cs="Arial"/>
          <w:sz w:val="24"/>
          <w:szCs w:val="24"/>
        </w:rPr>
        <w:t xml:space="preserve"> dementia care.</w:t>
      </w:r>
    </w:p>
    <w:p w14:paraId="1E8BDB1D" w14:textId="77777777" w:rsidR="003F293B" w:rsidRPr="00DA02CF" w:rsidRDefault="003F293B">
      <w:pPr>
        <w:spacing w:line="360" w:lineRule="auto"/>
        <w:jc w:val="both"/>
        <w:rPr>
          <w:rFonts w:ascii="Arial" w:hAnsi="Arial" w:cs="Arial"/>
          <w:sz w:val="24"/>
          <w:szCs w:val="24"/>
        </w:rPr>
      </w:pPr>
    </w:p>
    <w:p w14:paraId="7661A952"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 xml:space="preserve">The measurement of rehabilitation outcomes adopts a person-centred approach, utilizing various assessments and tools to monitor changes in </w:t>
      </w:r>
      <w:r w:rsidRPr="00DA02CF">
        <w:rPr>
          <w:rFonts w:ascii="Arial" w:hAnsi="Arial" w:cs="Arial"/>
          <w:sz w:val="24"/>
          <w:szCs w:val="24"/>
        </w:rPr>
        <w:lastRenderedPageBreak/>
        <w:t>cognitive abilities, functional abilities, behavioural symptoms, and overall well-being.</w:t>
      </w:r>
    </w:p>
    <w:p w14:paraId="1BA99B10" w14:textId="77777777" w:rsidR="003F293B" w:rsidRPr="00DA02CF" w:rsidRDefault="003F293B">
      <w:pPr>
        <w:spacing w:line="360" w:lineRule="auto"/>
        <w:jc w:val="both"/>
        <w:rPr>
          <w:rFonts w:ascii="Arial" w:hAnsi="Arial" w:cs="Arial"/>
          <w:sz w:val="24"/>
          <w:szCs w:val="24"/>
        </w:rPr>
      </w:pPr>
    </w:p>
    <w:p w14:paraId="54AE7A6C"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Recommenda</w:t>
      </w:r>
      <w:r w:rsidRPr="00DA02CF">
        <w:rPr>
          <w:rFonts w:ascii="Arial" w:hAnsi="Arial" w:cs="Arial"/>
          <w:sz w:val="24"/>
          <w:szCs w:val="24"/>
        </w:rPr>
        <w:t>tions for improvement in dementia care include strengthening early detection and intervention efforts, creating dementia-friendly communities, establishing integrated care pathways, investing in technology-assisted care, enhancing caregiver support and edu</w:t>
      </w:r>
      <w:r w:rsidRPr="00DA02CF">
        <w:rPr>
          <w:rFonts w:ascii="Arial" w:hAnsi="Arial" w:cs="Arial"/>
          <w:sz w:val="24"/>
          <w:szCs w:val="24"/>
        </w:rPr>
        <w:t>cation, promoting research and innovation, and prioritizing a person-centred approach.</w:t>
      </w:r>
    </w:p>
    <w:p w14:paraId="449B5142" w14:textId="77777777" w:rsidR="003F293B" w:rsidRPr="00DA02CF" w:rsidRDefault="003F293B">
      <w:pPr>
        <w:spacing w:line="360" w:lineRule="auto"/>
        <w:jc w:val="both"/>
        <w:rPr>
          <w:rFonts w:ascii="Arial" w:hAnsi="Arial" w:cs="Arial"/>
          <w:sz w:val="24"/>
          <w:szCs w:val="24"/>
        </w:rPr>
      </w:pPr>
    </w:p>
    <w:p w14:paraId="15892A85" w14:textId="77777777" w:rsidR="003F293B" w:rsidRPr="00DA02CF" w:rsidRDefault="00DA02CF">
      <w:pPr>
        <w:spacing w:line="360" w:lineRule="auto"/>
        <w:jc w:val="both"/>
        <w:rPr>
          <w:rFonts w:ascii="Arial" w:hAnsi="Arial" w:cs="Arial"/>
          <w:sz w:val="24"/>
          <w:szCs w:val="24"/>
        </w:rPr>
      </w:pPr>
      <w:r w:rsidRPr="00DA02CF">
        <w:rPr>
          <w:rFonts w:ascii="Arial" w:hAnsi="Arial" w:cs="Arial"/>
          <w:sz w:val="24"/>
          <w:szCs w:val="24"/>
        </w:rPr>
        <w:t xml:space="preserve">Additionally, the successful trial of </w:t>
      </w:r>
      <w:proofErr w:type="spellStart"/>
      <w:r w:rsidRPr="00DA02CF">
        <w:rPr>
          <w:rFonts w:ascii="Arial" w:hAnsi="Arial" w:cs="Arial"/>
          <w:sz w:val="24"/>
          <w:szCs w:val="24"/>
        </w:rPr>
        <w:t>lecanemab</w:t>
      </w:r>
      <w:proofErr w:type="spellEnd"/>
      <w:r w:rsidRPr="00DA02CF">
        <w:rPr>
          <w:rFonts w:ascii="Arial" w:hAnsi="Arial" w:cs="Arial"/>
          <w:sz w:val="24"/>
          <w:szCs w:val="24"/>
        </w:rPr>
        <w:t>, a drug developed by Eisai and Biogen, offers promising prospects for slowing cognitive decline. Although benefits are m</w:t>
      </w:r>
      <w:r w:rsidRPr="00DA02CF">
        <w:rPr>
          <w:rFonts w:ascii="Arial" w:hAnsi="Arial" w:cs="Arial"/>
          <w:sz w:val="24"/>
          <w:szCs w:val="24"/>
        </w:rPr>
        <w:t xml:space="preserve">odest and safety concerns exist, the development of </w:t>
      </w:r>
      <w:proofErr w:type="spellStart"/>
      <w:r w:rsidRPr="00DA02CF">
        <w:rPr>
          <w:rFonts w:ascii="Arial" w:hAnsi="Arial" w:cs="Arial"/>
          <w:sz w:val="24"/>
          <w:szCs w:val="24"/>
        </w:rPr>
        <w:t>lecanemab</w:t>
      </w:r>
      <w:proofErr w:type="spellEnd"/>
      <w:r w:rsidRPr="00DA02CF">
        <w:rPr>
          <w:rFonts w:ascii="Arial" w:hAnsi="Arial" w:cs="Arial"/>
          <w:sz w:val="24"/>
          <w:szCs w:val="24"/>
        </w:rPr>
        <w:t xml:space="preserve"> represents a significant advancement in the field, highlighting the importance of timely and accurate diagnosis in maximizing the benefits of disease-modifying treatments.</w:t>
      </w:r>
    </w:p>
    <w:p w14:paraId="4A30E61D" w14:textId="77777777" w:rsidR="003F293B" w:rsidRPr="00DA02CF" w:rsidRDefault="003F293B">
      <w:pPr>
        <w:spacing w:line="360" w:lineRule="auto"/>
        <w:jc w:val="both"/>
        <w:rPr>
          <w:rFonts w:ascii="Arial" w:hAnsi="Arial" w:cs="Arial"/>
          <w:sz w:val="24"/>
          <w:szCs w:val="24"/>
        </w:rPr>
      </w:pPr>
    </w:p>
    <w:p w14:paraId="50F8D068" w14:textId="77777777" w:rsidR="003F293B" w:rsidRPr="00DA02CF" w:rsidRDefault="003F293B">
      <w:pPr>
        <w:spacing w:line="360" w:lineRule="auto"/>
        <w:jc w:val="both"/>
        <w:rPr>
          <w:rFonts w:ascii="Arial" w:hAnsi="Arial" w:cs="Arial"/>
          <w:sz w:val="24"/>
          <w:szCs w:val="24"/>
        </w:rPr>
      </w:pPr>
    </w:p>
    <w:p w14:paraId="746018DE" w14:textId="77777777" w:rsidR="003F293B" w:rsidRPr="00DA02CF" w:rsidRDefault="003F293B">
      <w:pPr>
        <w:spacing w:line="360" w:lineRule="auto"/>
        <w:jc w:val="both"/>
        <w:rPr>
          <w:rFonts w:ascii="Arial" w:hAnsi="Arial" w:cs="Arial"/>
          <w:sz w:val="24"/>
          <w:szCs w:val="24"/>
        </w:rPr>
      </w:pPr>
    </w:p>
    <w:p w14:paraId="25A6FCDA" w14:textId="77777777" w:rsidR="003F293B" w:rsidRPr="00DA02CF" w:rsidRDefault="00DA02CF">
      <w:pPr>
        <w:rPr>
          <w:rFonts w:ascii="Arial" w:hAnsi="Arial" w:cs="Arial"/>
          <w:sz w:val="24"/>
          <w:szCs w:val="24"/>
        </w:rPr>
      </w:pPr>
      <w:r w:rsidRPr="00DA02CF">
        <w:rPr>
          <w:rFonts w:ascii="Arial" w:hAnsi="Arial" w:cs="Arial"/>
          <w:sz w:val="24"/>
          <w:szCs w:val="24"/>
        </w:rPr>
        <w:br w:type="page"/>
      </w:r>
    </w:p>
    <w:p w14:paraId="123F08F2" w14:textId="77777777" w:rsidR="003F293B" w:rsidRPr="00DA02CF" w:rsidRDefault="00DA02CF">
      <w:pPr>
        <w:spacing w:line="360" w:lineRule="auto"/>
        <w:jc w:val="center"/>
        <w:rPr>
          <w:rFonts w:ascii="Arial" w:hAnsi="Arial" w:cs="Arial"/>
          <w:b/>
          <w:bCs/>
          <w:sz w:val="24"/>
          <w:szCs w:val="24"/>
        </w:rPr>
      </w:pPr>
      <w:r w:rsidRPr="00DA02CF">
        <w:rPr>
          <w:rFonts w:ascii="Arial" w:hAnsi="Arial" w:cs="Arial"/>
          <w:b/>
          <w:bCs/>
          <w:sz w:val="24"/>
          <w:szCs w:val="24"/>
        </w:rPr>
        <w:lastRenderedPageBreak/>
        <w:t>REFERENCES</w:t>
      </w:r>
    </w:p>
    <w:p w14:paraId="1746E5E9" w14:textId="77777777" w:rsidR="003F293B" w:rsidRPr="00DA02CF" w:rsidRDefault="003F293B">
      <w:pPr>
        <w:spacing w:line="360" w:lineRule="auto"/>
        <w:jc w:val="center"/>
        <w:rPr>
          <w:rFonts w:ascii="Arial" w:hAnsi="Arial" w:cs="Arial"/>
          <w:b/>
          <w:bCs/>
          <w:sz w:val="24"/>
          <w:szCs w:val="24"/>
        </w:rPr>
      </w:pPr>
    </w:p>
    <w:p w14:paraId="15EEE5C0"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icd.w</w:t>
      </w:r>
      <w:r w:rsidRPr="00DA02CF">
        <w:rPr>
          <w:rFonts w:ascii="Arial" w:hAnsi="Arial"/>
        </w:rPr>
        <w:t xml:space="preserve">ho.int. (n.d.). ICD-10 Version:2019. [online] Available at: </w:t>
      </w:r>
      <w:hyperlink r:id="rId8" w:history="1">
        <w:r w:rsidRPr="00DA02CF">
          <w:rPr>
            <w:rStyle w:val="Hyperlink"/>
            <w:rFonts w:ascii="Arial" w:hAnsi="Arial"/>
          </w:rPr>
          <w:t>https://icd.who.int/browse10/2019/en#/F00-F09.</w:t>
        </w:r>
      </w:hyperlink>
    </w:p>
    <w:p w14:paraId="08F0C2E1"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Dementia Australia (2015). Dementia Australia | Di</w:t>
      </w:r>
      <w:r w:rsidRPr="00DA02CF">
        <w:rPr>
          <w:rFonts w:ascii="Arial" w:hAnsi="Arial"/>
        </w:rPr>
        <w:t xml:space="preserve">agnostic criteria for dementia. [online] Dementia.org.au. Available at: </w:t>
      </w:r>
      <w:hyperlink r:id="rId9" w:history="1">
        <w:r w:rsidRPr="00DA02CF">
          <w:rPr>
            <w:rStyle w:val="Hyperlink"/>
            <w:rFonts w:ascii="Arial" w:hAnsi="Arial"/>
          </w:rPr>
          <w:t>https://www.dementia.org.au/information/for-health-pr</w:t>
        </w:r>
        <w:r w:rsidRPr="00DA02CF">
          <w:rPr>
            <w:rStyle w:val="Hyperlink"/>
            <w:rFonts w:ascii="Arial" w:hAnsi="Arial"/>
          </w:rPr>
          <w:t>ofessionals/clinical-resources/diagnostic-criteria-for-dementia.</w:t>
        </w:r>
      </w:hyperlink>
    </w:p>
    <w:p w14:paraId="1770FA32"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National Institute for Health and Care Excellence (2018). Recommendations | Dementia: assessment, management and support for people living with dementia</w:t>
      </w:r>
      <w:r w:rsidRPr="00DA02CF">
        <w:rPr>
          <w:rFonts w:ascii="Arial" w:hAnsi="Arial"/>
        </w:rPr>
        <w:t xml:space="preserve"> and their carers | Guidance | NICE. [online] Nice.org.uk. Available at: https://www.nice.org.uk/guidance/ng97/chapter/Recommendations.</w:t>
      </w:r>
    </w:p>
    <w:p w14:paraId="643B1C70"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Bush, K., Wilkinson, T., Schnier, C., Nolan, J. and </w:t>
      </w:r>
      <w:proofErr w:type="spellStart"/>
      <w:r w:rsidRPr="00DA02CF">
        <w:rPr>
          <w:rFonts w:ascii="Arial" w:hAnsi="Arial"/>
        </w:rPr>
        <w:t>Sudlow</w:t>
      </w:r>
      <w:proofErr w:type="spellEnd"/>
      <w:r w:rsidRPr="00DA02CF">
        <w:rPr>
          <w:rFonts w:ascii="Arial" w:hAnsi="Arial"/>
        </w:rPr>
        <w:t xml:space="preserve">, C. (2018). Definitions of Dementia and the Major Diagnostic </w:t>
      </w:r>
      <w:r w:rsidRPr="00DA02CF">
        <w:rPr>
          <w:rFonts w:ascii="Arial" w:hAnsi="Arial"/>
        </w:rPr>
        <w:t xml:space="preserve">Pathologies, UK Biobank Phase 1 Outcomes Adjudication On behalf of UK Biobank Outcome Adjudication Group. [online] Available at: </w:t>
      </w:r>
      <w:hyperlink r:id="rId10" w:history="1">
        <w:r w:rsidRPr="00DA02CF">
          <w:rPr>
            <w:rStyle w:val="Hyperlink"/>
            <w:rFonts w:ascii="Arial" w:hAnsi="Arial"/>
          </w:rPr>
          <w:t>https://biobank.ndph.ox.ac.uk/showc</w:t>
        </w:r>
        <w:r w:rsidRPr="00DA02CF">
          <w:rPr>
            <w:rStyle w:val="Hyperlink"/>
            <w:rFonts w:ascii="Arial" w:hAnsi="Arial"/>
          </w:rPr>
          <w:t>ase/showcase/docs/alg_outcome_dementia.pdf.</w:t>
        </w:r>
      </w:hyperlink>
    </w:p>
    <w:p w14:paraId="4ABEF171"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Pujol Domenech, J. and </w:t>
      </w:r>
      <w:proofErr w:type="spellStart"/>
      <w:r w:rsidRPr="00DA02CF">
        <w:rPr>
          <w:rFonts w:ascii="Arial" w:hAnsi="Arial"/>
        </w:rPr>
        <w:t>Azpiazu</w:t>
      </w:r>
      <w:proofErr w:type="spellEnd"/>
      <w:r w:rsidRPr="00DA02CF">
        <w:rPr>
          <w:rFonts w:ascii="Arial" w:hAnsi="Arial"/>
        </w:rPr>
        <w:t xml:space="preserve"> Artigas, P. de (2015). Dementia DSM-IV/ICD-10 or neurocognitive disorder DSM-5? The European Journal of Psychiatry, 29(1), pp.45–50. </w:t>
      </w:r>
      <w:proofErr w:type="spellStart"/>
      <w:proofErr w:type="gramStart"/>
      <w:r w:rsidRPr="00DA02CF">
        <w:rPr>
          <w:rFonts w:ascii="Arial" w:hAnsi="Arial"/>
        </w:rPr>
        <w:t>doi:https</w:t>
      </w:r>
      <w:proofErr w:type="spellEnd"/>
      <w:r w:rsidRPr="00DA02CF">
        <w:rPr>
          <w:rFonts w:ascii="Arial" w:hAnsi="Arial"/>
        </w:rPr>
        <w:t>:</w:t>
      </w:r>
      <w:r w:rsidRPr="00DA02CF">
        <w:rPr>
          <w:rFonts w:ascii="Arial" w:hAnsi="Arial"/>
        </w:rPr>
        <w:t>//doi.org/10.4321/s0213-61632015000100004</w:t>
      </w:r>
      <w:proofErr w:type="gramEnd"/>
      <w:r w:rsidRPr="00DA02CF">
        <w:rPr>
          <w:rFonts w:ascii="Arial" w:hAnsi="Arial"/>
        </w:rPr>
        <w:t>.</w:t>
      </w:r>
    </w:p>
    <w:p w14:paraId="1A416674" w14:textId="77777777" w:rsidR="003F293B" w:rsidRPr="00DA02CF" w:rsidRDefault="00DA02CF">
      <w:pPr>
        <w:numPr>
          <w:ilvl w:val="0"/>
          <w:numId w:val="1"/>
        </w:numPr>
        <w:spacing w:line="360" w:lineRule="auto"/>
        <w:jc w:val="both"/>
        <w:rPr>
          <w:rFonts w:ascii="Arial" w:hAnsi="Arial" w:cs="Arial"/>
        </w:rPr>
      </w:pPr>
      <w:proofErr w:type="spellStart"/>
      <w:r w:rsidRPr="00DA02CF">
        <w:rPr>
          <w:rFonts w:ascii="Arial" w:hAnsi="Arial"/>
        </w:rPr>
        <w:t>Sathyanarayana</w:t>
      </w:r>
      <w:proofErr w:type="spellEnd"/>
      <w:r w:rsidRPr="00DA02CF">
        <w:rPr>
          <w:rFonts w:ascii="Arial" w:hAnsi="Arial"/>
        </w:rPr>
        <w:t xml:space="preserve"> Rao, T., Jacob, K., </w:t>
      </w:r>
      <w:proofErr w:type="spellStart"/>
      <w:r w:rsidRPr="00DA02CF">
        <w:rPr>
          <w:rFonts w:ascii="Arial" w:hAnsi="Arial"/>
        </w:rPr>
        <w:t>Shaji</w:t>
      </w:r>
      <w:proofErr w:type="spellEnd"/>
      <w:r w:rsidRPr="00DA02CF">
        <w:rPr>
          <w:rFonts w:ascii="Arial" w:hAnsi="Arial"/>
        </w:rPr>
        <w:t xml:space="preserve">, K., Raju, M.S.V.K., </w:t>
      </w:r>
      <w:proofErr w:type="spellStart"/>
      <w:r w:rsidRPr="00DA02CF">
        <w:rPr>
          <w:rFonts w:ascii="Arial" w:hAnsi="Arial"/>
        </w:rPr>
        <w:t>Bhide</w:t>
      </w:r>
      <w:proofErr w:type="spellEnd"/>
      <w:r w:rsidRPr="00DA02CF">
        <w:rPr>
          <w:rFonts w:ascii="Arial" w:hAnsi="Arial"/>
        </w:rPr>
        <w:t xml:space="preserve">, A., Rao, </w:t>
      </w:r>
      <w:proofErr w:type="spellStart"/>
      <w:r w:rsidRPr="00DA02CF">
        <w:rPr>
          <w:rFonts w:ascii="Arial" w:hAnsi="Arial"/>
        </w:rPr>
        <w:t>Gp</w:t>
      </w:r>
      <w:proofErr w:type="spellEnd"/>
      <w:r w:rsidRPr="00DA02CF">
        <w:rPr>
          <w:rFonts w:ascii="Arial" w:hAnsi="Arial"/>
        </w:rPr>
        <w:t xml:space="preserve">., </w:t>
      </w:r>
      <w:proofErr w:type="spellStart"/>
      <w:r w:rsidRPr="00DA02CF">
        <w:rPr>
          <w:rFonts w:ascii="Arial" w:hAnsi="Arial"/>
        </w:rPr>
        <w:t>Saha</w:t>
      </w:r>
      <w:proofErr w:type="spellEnd"/>
      <w:r w:rsidRPr="00DA02CF">
        <w:rPr>
          <w:rFonts w:ascii="Arial" w:hAnsi="Arial"/>
        </w:rPr>
        <w:t xml:space="preserve">, G. and </w:t>
      </w:r>
      <w:proofErr w:type="spellStart"/>
      <w:r w:rsidRPr="00DA02CF">
        <w:rPr>
          <w:rFonts w:ascii="Arial" w:hAnsi="Arial"/>
        </w:rPr>
        <w:t>Jagiwala</w:t>
      </w:r>
      <w:proofErr w:type="spellEnd"/>
      <w:r w:rsidRPr="00DA02CF">
        <w:rPr>
          <w:rFonts w:ascii="Arial" w:hAnsi="Arial"/>
        </w:rPr>
        <w:t>, M. (2017). Dementia and the international classification of diseases-11 (beta version). Indian Journal of P</w:t>
      </w:r>
      <w:r w:rsidRPr="00DA02CF">
        <w:rPr>
          <w:rFonts w:ascii="Arial" w:hAnsi="Arial"/>
        </w:rPr>
        <w:t xml:space="preserve">sychiatry, 59(1), p.1. </w:t>
      </w:r>
      <w:proofErr w:type="spellStart"/>
      <w:proofErr w:type="gramStart"/>
      <w:r w:rsidRPr="00DA02CF">
        <w:rPr>
          <w:rFonts w:ascii="Arial" w:hAnsi="Arial"/>
        </w:rPr>
        <w:t>doi:https</w:t>
      </w:r>
      <w:proofErr w:type="spellEnd"/>
      <w:r w:rsidRPr="00DA02CF">
        <w:rPr>
          <w:rFonts w:ascii="Arial" w:hAnsi="Arial"/>
        </w:rPr>
        <w:t>://doi.org/10.4103/psychiatry.indianjpsychiatry_66_17</w:t>
      </w:r>
      <w:proofErr w:type="gramEnd"/>
      <w:r w:rsidRPr="00DA02CF">
        <w:rPr>
          <w:rFonts w:ascii="Arial" w:hAnsi="Arial"/>
        </w:rPr>
        <w:t>.</w:t>
      </w:r>
    </w:p>
    <w:p w14:paraId="5A0420EB"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NHS Choices (2020). Dementia guide. [online] NHS. Available at: </w:t>
      </w:r>
      <w:hyperlink r:id="rId11" w:history="1">
        <w:r w:rsidRPr="00DA02CF">
          <w:rPr>
            <w:rStyle w:val="Hyperlink"/>
            <w:rFonts w:ascii="Arial" w:hAnsi="Arial"/>
          </w:rPr>
          <w:t>https://www.nhs.uk/conditions/dementia/di</w:t>
        </w:r>
        <w:r w:rsidRPr="00DA02CF">
          <w:rPr>
            <w:rStyle w:val="Hyperlink"/>
            <w:rFonts w:ascii="Arial" w:hAnsi="Arial"/>
          </w:rPr>
          <w:t>agnosis/.</w:t>
        </w:r>
      </w:hyperlink>
    </w:p>
    <w:p w14:paraId="6B6FBAB9"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NHS (2020). Tests for diagnosing dementia - Dementia guide. [online] NHS. Available at: </w:t>
      </w:r>
      <w:hyperlink r:id="rId12" w:history="1">
        <w:r w:rsidRPr="00DA02CF">
          <w:rPr>
            <w:rStyle w:val="Hyperlink"/>
            <w:rFonts w:ascii="Arial" w:hAnsi="Arial"/>
          </w:rPr>
          <w:t>https://www.nhs.uk/conditions/dementia/diagnosis-tests/.</w:t>
        </w:r>
      </w:hyperlink>
    </w:p>
    <w:p w14:paraId="385B45DE"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Dementia Statistics Hub. (n.d.). Developing future treatments. [online] Available at: https://dementiastatistics.org/about-dementia-research/treatments-and-trials/ [Accessed 19 Jul. 2023].</w:t>
      </w:r>
    </w:p>
    <w:p w14:paraId="20941677" w14:textId="77777777" w:rsidR="003F293B" w:rsidRPr="00DA02CF" w:rsidRDefault="00DA02CF">
      <w:pPr>
        <w:numPr>
          <w:ilvl w:val="0"/>
          <w:numId w:val="1"/>
        </w:numPr>
        <w:spacing w:line="360" w:lineRule="auto"/>
        <w:jc w:val="both"/>
        <w:rPr>
          <w:rFonts w:ascii="Arial" w:hAnsi="Arial" w:cs="Arial"/>
        </w:rPr>
      </w:pPr>
      <w:proofErr w:type="spellStart"/>
      <w:r w:rsidRPr="00DA02CF">
        <w:rPr>
          <w:rFonts w:ascii="Arial" w:hAnsi="Arial"/>
        </w:rPr>
        <w:t>Kudlicka</w:t>
      </w:r>
      <w:proofErr w:type="spellEnd"/>
      <w:r w:rsidRPr="00DA02CF">
        <w:rPr>
          <w:rFonts w:ascii="Arial" w:hAnsi="Arial"/>
        </w:rPr>
        <w:t xml:space="preserve">, A., Martyr, A., </w:t>
      </w:r>
      <w:proofErr w:type="spellStart"/>
      <w:r w:rsidRPr="00DA02CF">
        <w:rPr>
          <w:rFonts w:ascii="Arial" w:hAnsi="Arial"/>
        </w:rPr>
        <w:t>Bahar</w:t>
      </w:r>
      <w:proofErr w:type="spellEnd"/>
      <w:r w:rsidRPr="00DA02CF">
        <w:rPr>
          <w:rFonts w:ascii="Arial" w:hAnsi="Arial"/>
        </w:rPr>
        <w:t>-F</w:t>
      </w:r>
      <w:r w:rsidRPr="00DA02CF">
        <w:rPr>
          <w:rFonts w:ascii="Arial" w:hAnsi="Arial"/>
        </w:rPr>
        <w:t xml:space="preserve">uchs, A., Woods, B. and Clare, L. (2019). Cognitive rehabilitation for people with mild to moderate dementia. Cochrane Database of Systematic Reviews, 8. </w:t>
      </w:r>
      <w:proofErr w:type="spellStart"/>
      <w:proofErr w:type="gramStart"/>
      <w:r w:rsidRPr="00DA02CF">
        <w:rPr>
          <w:rFonts w:ascii="Arial" w:hAnsi="Arial"/>
        </w:rPr>
        <w:t>doi:https</w:t>
      </w:r>
      <w:proofErr w:type="spellEnd"/>
      <w:r w:rsidRPr="00DA02CF">
        <w:rPr>
          <w:rFonts w:ascii="Arial" w:hAnsi="Arial"/>
        </w:rPr>
        <w:t>://doi.org/10.1002/14651858.cd013388</w:t>
      </w:r>
      <w:proofErr w:type="gramEnd"/>
      <w:r w:rsidRPr="00DA02CF">
        <w:rPr>
          <w:rFonts w:ascii="Arial" w:hAnsi="Arial"/>
        </w:rPr>
        <w:t>.</w:t>
      </w:r>
    </w:p>
    <w:p w14:paraId="6C2E8B46"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Cations, M., Laver, K.E., Crotty, M. and Cameron, I.D. </w:t>
      </w:r>
      <w:r w:rsidRPr="00DA02CF">
        <w:rPr>
          <w:rFonts w:ascii="Arial" w:hAnsi="Arial"/>
        </w:rPr>
        <w:t xml:space="preserve">(2017). Rehabilitation in dementia care. Age and Ageing, 47(2), pp.171–174. </w:t>
      </w:r>
      <w:proofErr w:type="spellStart"/>
      <w:proofErr w:type="gramStart"/>
      <w:r w:rsidRPr="00DA02CF">
        <w:rPr>
          <w:rFonts w:ascii="Arial" w:hAnsi="Arial"/>
        </w:rPr>
        <w:t>doi:https</w:t>
      </w:r>
      <w:proofErr w:type="spellEnd"/>
      <w:r w:rsidRPr="00DA02CF">
        <w:rPr>
          <w:rFonts w:ascii="Arial" w:hAnsi="Arial"/>
        </w:rPr>
        <w:t>://doi.org/10.1093/ageing/afx173</w:t>
      </w:r>
      <w:proofErr w:type="gramEnd"/>
      <w:r w:rsidRPr="00DA02CF">
        <w:rPr>
          <w:rFonts w:ascii="Arial" w:hAnsi="Arial"/>
        </w:rPr>
        <w:t>.</w:t>
      </w:r>
    </w:p>
    <w:p w14:paraId="50A1F789"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Black, N., Dixon, J., Tan, S. and Knapp, M. (2015). Improving healthcare for people with dementia in England: good progress but more to d</w:t>
      </w:r>
      <w:r w:rsidRPr="00DA02CF">
        <w:rPr>
          <w:rFonts w:ascii="Arial" w:hAnsi="Arial"/>
        </w:rPr>
        <w:t xml:space="preserve">o. Journal of the Royal Society of Medicine, 108(12), pp.478–481. </w:t>
      </w:r>
      <w:proofErr w:type="spellStart"/>
      <w:proofErr w:type="gramStart"/>
      <w:r w:rsidRPr="00DA02CF">
        <w:rPr>
          <w:rFonts w:ascii="Arial" w:hAnsi="Arial"/>
        </w:rPr>
        <w:t>doi:https</w:t>
      </w:r>
      <w:proofErr w:type="spellEnd"/>
      <w:r w:rsidRPr="00DA02CF">
        <w:rPr>
          <w:rFonts w:ascii="Arial" w:hAnsi="Arial"/>
        </w:rPr>
        <w:t>://doi.org/10.1177/0141076815600960</w:t>
      </w:r>
      <w:proofErr w:type="gramEnd"/>
      <w:r w:rsidRPr="00DA02CF">
        <w:rPr>
          <w:rFonts w:ascii="Arial" w:hAnsi="Arial"/>
        </w:rPr>
        <w:t>.</w:t>
      </w:r>
    </w:p>
    <w:p w14:paraId="70A22D64"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Handley, M., Bunn, F. and Goodman, C. (2017). Dementia-friendly interventions to improve the care of people living with dementia </w:t>
      </w:r>
      <w:r w:rsidRPr="00DA02CF">
        <w:rPr>
          <w:rFonts w:ascii="Arial" w:hAnsi="Arial"/>
        </w:rPr>
        <w:t xml:space="preserve">admitted to hospitals: a realist review. BMJ Open, [online] 7(7), p.e015257. </w:t>
      </w:r>
      <w:proofErr w:type="spellStart"/>
      <w:proofErr w:type="gramStart"/>
      <w:r w:rsidRPr="00DA02CF">
        <w:rPr>
          <w:rFonts w:ascii="Arial" w:hAnsi="Arial"/>
        </w:rPr>
        <w:t>doi:https</w:t>
      </w:r>
      <w:proofErr w:type="spellEnd"/>
      <w:r w:rsidRPr="00DA02CF">
        <w:rPr>
          <w:rFonts w:ascii="Arial" w:hAnsi="Arial"/>
        </w:rPr>
        <w:t>://doi.org/10.1136/bmjopen-2016-015257</w:t>
      </w:r>
      <w:proofErr w:type="gramEnd"/>
      <w:r w:rsidRPr="00DA02CF">
        <w:rPr>
          <w:rFonts w:ascii="Arial" w:hAnsi="Arial"/>
        </w:rPr>
        <w:t>.</w:t>
      </w:r>
    </w:p>
    <w:p w14:paraId="18B44161"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lastRenderedPageBreak/>
        <w:t xml:space="preserve">Livingston, G., Huntley, J., </w:t>
      </w:r>
      <w:proofErr w:type="spellStart"/>
      <w:r w:rsidRPr="00DA02CF">
        <w:rPr>
          <w:rFonts w:ascii="Arial" w:hAnsi="Arial"/>
        </w:rPr>
        <w:t>Sommerlad</w:t>
      </w:r>
      <w:proofErr w:type="spellEnd"/>
      <w:r w:rsidRPr="00DA02CF">
        <w:rPr>
          <w:rFonts w:ascii="Arial" w:hAnsi="Arial"/>
        </w:rPr>
        <w:t xml:space="preserve">, A., Ames, D., Ballard, C., Banerjee, S., </w:t>
      </w:r>
      <w:proofErr w:type="spellStart"/>
      <w:r w:rsidRPr="00DA02CF">
        <w:rPr>
          <w:rFonts w:ascii="Arial" w:hAnsi="Arial"/>
        </w:rPr>
        <w:t>Brayne</w:t>
      </w:r>
      <w:proofErr w:type="spellEnd"/>
      <w:r w:rsidRPr="00DA02CF">
        <w:rPr>
          <w:rFonts w:ascii="Arial" w:hAnsi="Arial"/>
        </w:rPr>
        <w:t>, C., Burns, A., Cohen-Mansfield, J., Coope</w:t>
      </w:r>
      <w:r w:rsidRPr="00DA02CF">
        <w:rPr>
          <w:rFonts w:ascii="Arial" w:hAnsi="Arial"/>
        </w:rPr>
        <w:t xml:space="preserve">r, C., </w:t>
      </w:r>
      <w:proofErr w:type="spellStart"/>
      <w:r w:rsidRPr="00DA02CF">
        <w:rPr>
          <w:rFonts w:ascii="Arial" w:hAnsi="Arial"/>
        </w:rPr>
        <w:t>Costafreda</w:t>
      </w:r>
      <w:proofErr w:type="spellEnd"/>
      <w:r w:rsidRPr="00DA02CF">
        <w:rPr>
          <w:rFonts w:ascii="Arial" w:hAnsi="Arial"/>
        </w:rPr>
        <w:t xml:space="preserve">, S.G., Dias, A., Fox, N., Gitlin, L.N., Howard, R., Kales, H.C., </w:t>
      </w:r>
      <w:proofErr w:type="spellStart"/>
      <w:r w:rsidRPr="00DA02CF">
        <w:rPr>
          <w:rFonts w:ascii="Arial" w:hAnsi="Arial"/>
        </w:rPr>
        <w:t>Kivimäki</w:t>
      </w:r>
      <w:proofErr w:type="spellEnd"/>
      <w:r w:rsidRPr="00DA02CF">
        <w:rPr>
          <w:rFonts w:ascii="Arial" w:hAnsi="Arial"/>
        </w:rPr>
        <w:t xml:space="preserve">, M., Larson, E.B., </w:t>
      </w:r>
      <w:proofErr w:type="spellStart"/>
      <w:r w:rsidRPr="00DA02CF">
        <w:rPr>
          <w:rFonts w:ascii="Arial" w:hAnsi="Arial"/>
        </w:rPr>
        <w:t>Ogunniyi</w:t>
      </w:r>
      <w:proofErr w:type="spellEnd"/>
      <w:r w:rsidRPr="00DA02CF">
        <w:rPr>
          <w:rFonts w:ascii="Arial" w:hAnsi="Arial"/>
        </w:rPr>
        <w:t xml:space="preserve">, A. and </w:t>
      </w:r>
      <w:proofErr w:type="spellStart"/>
      <w:r w:rsidRPr="00DA02CF">
        <w:rPr>
          <w:rFonts w:ascii="Arial" w:hAnsi="Arial"/>
        </w:rPr>
        <w:t>Orgeta</w:t>
      </w:r>
      <w:proofErr w:type="spellEnd"/>
      <w:r w:rsidRPr="00DA02CF">
        <w:rPr>
          <w:rFonts w:ascii="Arial" w:hAnsi="Arial"/>
        </w:rPr>
        <w:t>, V. (2020). Dementia prevention, intervention, and care: 2020 report of the Lancet Commission. The Lancet, 396(10248), pp</w:t>
      </w:r>
      <w:r w:rsidRPr="00DA02CF">
        <w:rPr>
          <w:rFonts w:ascii="Arial" w:hAnsi="Arial"/>
        </w:rPr>
        <w:t>.413–446.</w:t>
      </w:r>
    </w:p>
    <w:p w14:paraId="563CD6DE"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McShane, R., Westby, M.J., Roberts, E., </w:t>
      </w:r>
      <w:proofErr w:type="spellStart"/>
      <w:r w:rsidRPr="00DA02CF">
        <w:rPr>
          <w:rFonts w:ascii="Arial" w:hAnsi="Arial"/>
        </w:rPr>
        <w:t>Minakaran</w:t>
      </w:r>
      <w:proofErr w:type="spellEnd"/>
      <w:r w:rsidRPr="00DA02CF">
        <w:rPr>
          <w:rFonts w:ascii="Arial" w:hAnsi="Arial"/>
        </w:rPr>
        <w:t xml:space="preserve">, N., Schneider, L., </w:t>
      </w:r>
      <w:proofErr w:type="spellStart"/>
      <w:r w:rsidRPr="00DA02CF">
        <w:rPr>
          <w:rFonts w:ascii="Arial" w:hAnsi="Arial"/>
        </w:rPr>
        <w:t>Farrimond</w:t>
      </w:r>
      <w:proofErr w:type="spellEnd"/>
      <w:r w:rsidRPr="00DA02CF">
        <w:rPr>
          <w:rFonts w:ascii="Arial" w:hAnsi="Arial"/>
        </w:rPr>
        <w:t xml:space="preserve">, L.E., </w:t>
      </w:r>
      <w:proofErr w:type="spellStart"/>
      <w:r w:rsidRPr="00DA02CF">
        <w:rPr>
          <w:rFonts w:ascii="Arial" w:hAnsi="Arial"/>
        </w:rPr>
        <w:t>Maayan</w:t>
      </w:r>
      <w:proofErr w:type="spellEnd"/>
      <w:r w:rsidRPr="00DA02CF">
        <w:rPr>
          <w:rFonts w:ascii="Arial" w:hAnsi="Arial"/>
        </w:rPr>
        <w:t xml:space="preserve">, N., Ware, J. and </w:t>
      </w:r>
      <w:proofErr w:type="spellStart"/>
      <w:r w:rsidRPr="00DA02CF">
        <w:rPr>
          <w:rFonts w:ascii="Arial" w:hAnsi="Arial"/>
        </w:rPr>
        <w:t>Debarros</w:t>
      </w:r>
      <w:proofErr w:type="spellEnd"/>
      <w:r w:rsidRPr="00DA02CF">
        <w:rPr>
          <w:rFonts w:ascii="Arial" w:hAnsi="Arial"/>
        </w:rPr>
        <w:t xml:space="preserve">, J. (2019). Memantine for dementia. Cochrane Database of Systematic Reviews. [online] </w:t>
      </w:r>
      <w:proofErr w:type="spellStart"/>
      <w:proofErr w:type="gramStart"/>
      <w:r w:rsidRPr="00DA02CF">
        <w:rPr>
          <w:rFonts w:ascii="Arial" w:hAnsi="Arial"/>
        </w:rPr>
        <w:t>doi:https</w:t>
      </w:r>
      <w:proofErr w:type="spellEnd"/>
      <w:r w:rsidRPr="00DA02CF">
        <w:rPr>
          <w:rFonts w:ascii="Arial" w:hAnsi="Arial"/>
        </w:rPr>
        <w:t>://doi.org/10.1002/14651858.cd</w:t>
      </w:r>
      <w:r w:rsidRPr="00DA02CF">
        <w:rPr>
          <w:rFonts w:ascii="Arial" w:hAnsi="Arial"/>
        </w:rPr>
        <w:t>003154.pub6</w:t>
      </w:r>
      <w:proofErr w:type="gramEnd"/>
      <w:r w:rsidRPr="00DA02CF">
        <w:rPr>
          <w:rFonts w:ascii="Arial" w:hAnsi="Arial"/>
        </w:rPr>
        <w:t>.</w:t>
      </w:r>
    </w:p>
    <w:p w14:paraId="770BD810" w14:textId="77777777" w:rsidR="003F293B" w:rsidRPr="00DA02CF" w:rsidRDefault="00DA02CF">
      <w:pPr>
        <w:numPr>
          <w:ilvl w:val="0"/>
          <w:numId w:val="1"/>
        </w:numPr>
        <w:spacing w:line="360" w:lineRule="auto"/>
        <w:jc w:val="both"/>
        <w:rPr>
          <w:rFonts w:ascii="Arial" w:hAnsi="Arial" w:cs="Arial"/>
        </w:rPr>
      </w:pPr>
      <w:r w:rsidRPr="00DA02CF">
        <w:rPr>
          <w:rFonts w:ascii="Arial" w:hAnsi="Arial"/>
        </w:rPr>
        <w:t xml:space="preserve">McDade, E., Cummings, J.L., </w:t>
      </w:r>
      <w:proofErr w:type="spellStart"/>
      <w:r w:rsidRPr="00DA02CF">
        <w:rPr>
          <w:rFonts w:ascii="Arial" w:hAnsi="Arial"/>
        </w:rPr>
        <w:t>Dhadda</w:t>
      </w:r>
      <w:proofErr w:type="spellEnd"/>
      <w:r w:rsidRPr="00DA02CF">
        <w:rPr>
          <w:rFonts w:ascii="Arial" w:hAnsi="Arial"/>
        </w:rPr>
        <w:t xml:space="preserve">, S., Swanson, C.J., </w:t>
      </w:r>
      <w:proofErr w:type="spellStart"/>
      <w:r w:rsidRPr="00DA02CF">
        <w:rPr>
          <w:rFonts w:ascii="Arial" w:hAnsi="Arial"/>
        </w:rPr>
        <w:t>Reyderman</w:t>
      </w:r>
      <w:proofErr w:type="spellEnd"/>
      <w:r w:rsidRPr="00DA02CF">
        <w:rPr>
          <w:rFonts w:ascii="Arial" w:hAnsi="Arial"/>
        </w:rPr>
        <w:t xml:space="preserve">, L., </w:t>
      </w:r>
      <w:proofErr w:type="spellStart"/>
      <w:r w:rsidRPr="00DA02CF">
        <w:rPr>
          <w:rFonts w:ascii="Arial" w:hAnsi="Arial"/>
        </w:rPr>
        <w:t>Kanekiyo</w:t>
      </w:r>
      <w:proofErr w:type="spellEnd"/>
      <w:r w:rsidRPr="00DA02CF">
        <w:rPr>
          <w:rFonts w:ascii="Arial" w:hAnsi="Arial"/>
        </w:rPr>
        <w:t xml:space="preserve">, M., Koyama, A., Irizarry, M., Kramer, L.D. and Bateman, R.J. (2022). </w:t>
      </w:r>
      <w:proofErr w:type="spellStart"/>
      <w:r w:rsidRPr="00DA02CF">
        <w:rPr>
          <w:rFonts w:ascii="Arial" w:hAnsi="Arial"/>
        </w:rPr>
        <w:t>Lecanemab</w:t>
      </w:r>
      <w:proofErr w:type="spellEnd"/>
      <w:r w:rsidRPr="00DA02CF">
        <w:rPr>
          <w:rFonts w:ascii="Arial" w:hAnsi="Arial"/>
        </w:rPr>
        <w:t xml:space="preserve"> in patients with early Alzheimer’s disease: detailed results on biomarker, cognitive</w:t>
      </w:r>
      <w:r w:rsidRPr="00DA02CF">
        <w:rPr>
          <w:rFonts w:ascii="Arial" w:hAnsi="Arial"/>
        </w:rPr>
        <w:t xml:space="preserve">, and clinical effects from the randomized and open-label extension of the phase 2 proof-of-concept study. Alzheimer’s Research &amp; Therapy, [online] 14(1). </w:t>
      </w:r>
      <w:proofErr w:type="spellStart"/>
      <w:proofErr w:type="gramStart"/>
      <w:r w:rsidRPr="00DA02CF">
        <w:rPr>
          <w:rFonts w:ascii="Arial" w:hAnsi="Arial"/>
        </w:rPr>
        <w:t>doi:https</w:t>
      </w:r>
      <w:proofErr w:type="spellEnd"/>
      <w:r w:rsidRPr="00DA02CF">
        <w:rPr>
          <w:rFonts w:ascii="Arial" w:hAnsi="Arial"/>
        </w:rPr>
        <w:t>://doi.org/10.1186/s13195-022-01124-2</w:t>
      </w:r>
      <w:proofErr w:type="gramEnd"/>
      <w:r w:rsidRPr="00DA02CF">
        <w:rPr>
          <w:rFonts w:ascii="Arial" w:hAnsi="Arial"/>
        </w:rPr>
        <w:t>.</w:t>
      </w:r>
    </w:p>
    <w:sectPr w:rsidR="003F293B" w:rsidRPr="00DA02CF">
      <w:foot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3C573" w14:textId="77777777" w:rsidR="00000000" w:rsidRDefault="00DA02CF">
      <w:r>
        <w:separator/>
      </w:r>
    </w:p>
  </w:endnote>
  <w:endnote w:type="continuationSeparator" w:id="0">
    <w:p w14:paraId="063D3F1B" w14:textId="77777777" w:rsidR="00000000" w:rsidRDefault="00DA0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C297" w14:textId="77777777" w:rsidR="003F293B" w:rsidRDefault="00DA02CF">
    <w:pPr>
      <w:pStyle w:val="Footer"/>
    </w:pPr>
    <w:r>
      <w:rPr>
        <w:noProof/>
      </w:rPr>
      <mc:AlternateContent>
        <mc:Choice Requires="wps">
          <w:drawing>
            <wp:anchor distT="0" distB="0" distL="114300" distR="114300" simplePos="0" relativeHeight="251659264" behindDoc="0" locked="0" layoutInCell="1" allowOverlap="1" wp14:anchorId="0EF4BE5C" wp14:editId="5E378E0F">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451CFF6" w14:textId="77777777" w:rsidR="003F293B" w:rsidRDefault="00DA02CF">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F4BE5C"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1451CFF6" w14:textId="77777777" w:rsidR="003F293B" w:rsidRDefault="00DA02CF">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CE0B7" w14:textId="77777777" w:rsidR="00000000" w:rsidRDefault="00DA02CF">
      <w:r>
        <w:separator/>
      </w:r>
    </w:p>
  </w:footnote>
  <w:footnote w:type="continuationSeparator" w:id="0">
    <w:p w14:paraId="421D95F3" w14:textId="77777777" w:rsidR="00000000" w:rsidRDefault="00DA02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D22CF"/>
    <w:multiLevelType w:val="singleLevel"/>
    <w:tmpl w:val="763D22CF"/>
    <w:lvl w:ilvl="0">
      <w:start w:val="1"/>
      <w:numFmt w:val="decimal"/>
      <w:lvlText w:val="%1."/>
      <w:lvlJc w:val="left"/>
      <w:pPr>
        <w:tabs>
          <w:tab w:val="left" w:pos="425"/>
        </w:tabs>
        <w:ind w:left="425" w:hanging="425"/>
      </w:pPr>
      <w:rPr>
        <w:rFonts w:hint="default"/>
        <w:sz w:val="20"/>
        <w:szCs w:val="20"/>
      </w:rPr>
    </w:lvl>
  </w:abstractNum>
  <w:num w:numId="1" w16cid:durableId="189496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6043CC3"/>
    <w:rsid w:val="003F293B"/>
    <w:rsid w:val="00DA02CF"/>
    <w:rsid w:val="06043CC3"/>
    <w:rsid w:val="24F209BF"/>
    <w:rsid w:val="2B97401D"/>
    <w:rsid w:val="571825F3"/>
    <w:rsid w:val="5B1F3F7C"/>
    <w:rsid w:val="5CE943C9"/>
    <w:rsid w:val="663A73F1"/>
    <w:rsid w:val="6F823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CB9FCFE"/>
  <w15:docId w15:val="{7F472900-0559-124E-8729-BC8203CE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d.who.int/browse10/2019/en#/F00-F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dementia/diagnosis-tes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diagnosi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iobank.ndph.ox.ac.uk/showcase/showcase/docs/alg_outcome_dementia.pdf." TargetMode="External"/><Relationship Id="rId4" Type="http://schemas.openxmlformats.org/officeDocument/2006/relationships/settings" Target="settings.xml"/><Relationship Id="rId9" Type="http://schemas.openxmlformats.org/officeDocument/2006/relationships/hyperlink" Target="https://www.dementia.org.au/information/for-health-professionals/clinical-resources/diagnostic-criteria-for-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4187</Words>
  <Characters>23868</Characters>
  <Application>Microsoft Office Word</Application>
  <DocSecurity>0</DocSecurity>
  <Lines>198</Lines>
  <Paragraphs>55</Paragraphs>
  <ScaleCrop>false</ScaleCrop>
  <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dc:creator>
  <cp:lastModifiedBy>Malika Ali (2026355)</cp:lastModifiedBy>
  <cp:revision>2</cp:revision>
  <dcterms:created xsi:type="dcterms:W3CDTF">2023-07-24T11:38:00Z</dcterms:created>
  <dcterms:modified xsi:type="dcterms:W3CDTF">2023-07-24T11:38:00Z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4C383CBA1E7349FF99F21A770D5EA44A</vt:lpwstr>
  </property>
</Properties>
</file>