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DEE9FC" w14:textId="3EBE05ED" w:rsidR="00540158" w:rsidRPr="00540158" w:rsidRDefault="00540158" w:rsidP="00540158">
      <w:pPr>
        <w:pStyle w:val="Title"/>
        <w:rPr>
          <w:rFonts w:asciiTheme="minorHAnsi" w:eastAsiaTheme="minorEastAsia" w:hAnsiTheme="minorHAnsi" w:cstheme="minorBidi"/>
          <w:bCs/>
        </w:rPr>
      </w:pPr>
      <w:r w:rsidRPr="00540158">
        <w:rPr>
          <w:rFonts w:asciiTheme="minorHAnsi" w:eastAsiaTheme="minorEastAsia" w:hAnsiTheme="minorHAnsi" w:cstheme="minorBidi"/>
          <w:bCs/>
        </w:rPr>
        <w:t>Program:</w:t>
      </w:r>
      <w:r>
        <w:rPr>
          <w:rFonts w:asciiTheme="minorHAnsi" w:eastAsiaTheme="minorEastAsia" w:hAnsiTheme="minorHAnsi" w:cstheme="minorBidi"/>
          <w:bCs/>
        </w:rPr>
        <w:t xml:space="preserve"> </w:t>
      </w:r>
      <w:r w:rsidRPr="00540158">
        <w:rPr>
          <w:rFonts w:asciiTheme="minorHAnsi" w:eastAsiaTheme="minorEastAsia" w:hAnsiTheme="minorHAnsi" w:cstheme="minorBidi"/>
          <w:bCs/>
        </w:rPr>
        <w:t>Law and Legal Practice</w:t>
      </w:r>
    </w:p>
    <w:p w14:paraId="11C354F9" w14:textId="2B5E1A38" w:rsidR="00540158" w:rsidRPr="00540158" w:rsidRDefault="00540158" w:rsidP="00540158">
      <w:pPr>
        <w:pStyle w:val="Title"/>
        <w:rPr>
          <w:rFonts w:asciiTheme="minorHAnsi" w:eastAsiaTheme="minorEastAsia" w:hAnsiTheme="minorHAnsi" w:cstheme="minorBidi"/>
          <w:bCs/>
        </w:rPr>
      </w:pPr>
      <w:r w:rsidRPr="00540158">
        <w:rPr>
          <w:rFonts w:asciiTheme="minorHAnsi" w:eastAsiaTheme="minorEastAsia" w:hAnsiTheme="minorHAnsi" w:cstheme="minorBidi"/>
          <w:bCs/>
        </w:rPr>
        <w:t>Module:</w:t>
      </w:r>
      <w:r>
        <w:rPr>
          <w:rFonts w:asciiTheme="minorHAnsi" w:eastAsiaTheme="minorEastAsia" w:hAnsiTheme="minorHAnsi" w:cstheme="minorBidi"/>
          <w:bCs/>
        </w:rPr>
        <w:t xml:space="preserve"> </w:t>
      </w:r>
      <w:r w:rsidRPr="00540158">
        <w:rPr>
          <w:rFonts w:asciiTheme="minorHAnsi" w:eastAsiaTheme="minorEastAsia" w:hAnsiTheme="minorHAnsi" w:cstheme="minorBidi"/>
          <w:bCs/>
        </w:rPr>
        <w:t>Principles of Professional Legal Practice</w:t>
      </w:r>
    </w:p>
    <w:p w14:paraId="2743B7F8" w14:textId="77777777" w:rsidR="00540158" w:rsidRDefault="00540158" w:rsidP="00540158">
      <w:pPr>
        <w:pStyle w:val="Title"/>
        <w:rPr>
          <w:rFonts w:asciiTheme="minorHAnsi" w:eastAsiaTheme="minorEastAsia" w:hAnsiTheme="minorHAnsi" w:cstheme="minorBidi"/>
          <w:bCs/>
        </w:rPr>
      </w:pPr>
      <w:r w:rsidRPr="00540158">
        <w:rPr>
          <w:rFonts w:asciiTheme="minorHAnsi" w:eastAsiaTheme="minorEastAsia" w:hAnsiTheme="minorHAnsi" w:cstheme="minorBidi"/>
          <w:bCs/>
        </w:rPr>
        <w:t>Module code:</w:t>
      </w:r>
      <w:r w:rsidRPr="00540158">
        <w:rPr>
          <w:rFonts w:asciiTheme="minorHAnsi" w:eastAsiaTheme="minorEastAsia" w:hAnsiTheme="minorHAnsi" w:cstheme="minorBidi"/>
          <w:bCs/>
        </w:rPr>
        <w:tab/>
        <w:t>BMLW4001</w:t>
      </w:r>
    </w:p>
    <w:p w14:paraId="04DD1D15" w14:textId="364F9CEB" w:rsidR="00B823AA" w:rsidRDefault="00000000" w:rsidP="00540158">
      <w:pPr>
        <w:pStyle w:val="Title"/>
      </w:pPr>
      <w:sdt>
        <w:sdtPr>
          <w:alias w:val="Author Name(s), First M. Last, Omit Titles and Degrees:"/>
          <w:tag w:val="Author Name(s), First M. Last, Omit Titles and Degrees:"/>
          <w:id w:val="-1736158886"/>
          <w:placeholder>
            <w:docPart w:val="804255A016874D7091B2B8ED9DED7971"/>
          </w:placeholder>
          <w:temporary/>
          <w:showingPlcHdr/>
          <w15:appearance w15:val="hidden"/>
          <w:text/>
        </w:sdtPr>
        <w:sdtContent>
          <w:r w:rsidR="00B823AA" w:rsidRPr="009767B7">
            <w:rPr>
              <w:b w:val="0"/>
              <w:bCs/>
            </w:rPr>
            <w:t>[Author Name(s), First M. Last, Omit Titles and Degrees]</w:t>
          </w:r>
        </w:sdtContent>
      </w:sdt>
    </w:p>
    <w:p w14:paraId="31B170B8" w14:textId="582471F6" w:rsidR="00E81978" w:rsidRDefault="00E81978" w:rsidP="00B823AA">
      <w:pPr>
        <w:pStyle w:val="Title2"/>
      </w:pPr>
    </w:p>
    <w:p w14:paraId="4840F7F6" w14:textId="77777777" w:rsidR="00C1014B" w:rsidRDefault="00C1014B" w:rsidP="00B823AA">
      <w:pPr>
        <w:pStyle w:val="Title2"/>
      </w:pPr>
    </w:p>
    <w:p w14:paraId="31206ED2" w14:textId="77777777" w:rsidR="00C1014B" w:rsidRDefault="00C1014B" w:rsidP="00B823AA">
      <w:pPr>
        <w:pStyle w:val="Title2"/>
      </w:pPr>
    </w:p>
    <w:p w14:paraId="7F3DFE42" w14:textId="7F7D6D35" w:rsidR="00E81978" w:rsidRDefault="00E81978">
      <w:pPr>
        <w:pStyle w:val="Title"/>
      </w:pPr>
    </w:p>
    <w:p w14:paraId="08502BC2" w14:textId="2C304E7D" w:rsidR="00E81978" w:rsidRDefault="00E81978" w:rsidP="00B823AA">
      <w:pPr>
        <w:pStyle w:val="Title2"/>
      </w:pPr>
    </w:p>
    <w:p w14:paraId="753FF698" w14:textId="77777777" w:rsidR="007C3AF6" w:rsidRDefault="007C3AF6" w:rsidP="00B823AA">
      <w:pPr>
        <w:pStyle w:val="Title2"/>
      </w:pPr>
    </w:p>
    <w:p w14:paraId="2D234D8B" w14:textId="77777777" w:rsidR="007C3AF6" w:rsidRDefault="007C3AF6" w:rsidP="00B823AA">
      <w:pPr>
        <w:pStyle w:val="Title2"/>
      </w:pPr>
    </w:p>
    <w:p w14:paraId="658D1005" w14:textId="77777777" w:rsidR="007C3AF6" w:rsidRDefault="007C3AF6" w:rsidP="00B823AA">
      <w:pPr>
        <w:pStyle w:val="Title2"/>
      </w:pPr>
    </w:p>
    <w:p w14:paraId="49D324DA" w14:textId="77777777" w:rsidR="007C3AF6" w:rsidRDefault="007C3AF6" w:rsidP="00B823AA">
      <w:pPr>
        <w:pStyle w:val="Title2"/>
      </w:pPr>
    </w:p>
    <w:p w14:paraId="6F6ECE6C" w14:textId="77777777" w:rsidR="007C3AF6" w:rsidRDefault="007C3AF6" w:rsidP="00B823AA">
      <w:pPr>
        <w:pStyle w:val="Title2"/>
      </w:pPr>
    </w:p>
    <w:p w14:paraId="3118DB39" w14:textId="0E17EFD2" w:rsidR="00322892" w:rsidRDefault="00322892" w:rsidP="00BF2EB4">
      <w:pPr>
        <w:ind w:firstLine="0"/>
      </w:pPr>
    </w:p>
    <w:p w14:paraId="36E9D974" w14:textId="77777777" w:rsidR="00A133E3" w:rsidRPr="00A133E3" w:rsidRDefault="00A133E3" w:rsidP="00A133E3">
      <w:pPr>
        <w:pStyle w:val="Title2"/>
      </w:pPr>
      <w:r w:rsidRPr="00A133E3">
        <w:lastRenderedPageBreak/>
        <w:t>I. Introduction</w:t>
      </w:r>
    </w:p>
    <w:p w14:paraId="2907B647" w14:textId="77777777" w:rsidR="00A133E3" w:rsidRDefault="00A133E3" w:rsidP="00A133E3">
      <w:pPr>
        <w:ind w:firstLine="0"/>
      </w:pPr>
      <w:r>
        <w:t xml:space="preserve">Equal opportunity is the universally accepted practice of treating individuals and/or groups without bias or discrimination, and it has become a fundamental principle in </w:t>
      </w:r>
      <w:proofErr w:type="gramStart"/>
      <w:r>
        <w:t>many</w:t>
      </w:r>
      <w:proofErr w:type="gramEnd"/>
      <w:r>
        <w:t xml:space="preserve"> domains. Though equal opportunity lacks a legal definition, it serves as the backbone for </w:t>
      </w:r>
      <w:proofErr w:type="gramStart"/>
      <w:r>
        <w:t>numerous</w:t>
      </w:r>
      <w:proofErr w:type="gramEnd"/>
      <w:r>
        <w:t xml:space="preserve"> aspects of law and society. The legal profession demands adherence to equality and diversity to cultivate an equitable and fair judicial system accessible to all members of society.</w:t>
      </w:r>
    </w:p>
    <w:p w14:paraId="27E89710" w14:textId="77777777" w:rsidR="00A133E3" w:rsidRDefault="00A133E3" w:rsidP="00A133E3">
      <w:pPr>
        <w:ind w:firstLine="0"/>
      </w:pPr>
    </w:p>
    <w:p w14:paraId="7ED73766" w14:textId="20F80F6A" w:rsidR="00BF2EB4" w:rsidRDefault="00A133E3" w:rsidP="00A133E3">
      <w:pPr>
        <w:ind w:firstLine="0"/>
      </w:pPr>
      <w:r>
        <w:t>This essay elaborates on the significance of equality and diversity in the legal sector, analyzing explicitly the Equality Act 2010 and the SRA Code of Conduct (2019). Relevant literature including journal articles, textbooks, parliamentary papers, Law Commission publications, and case law will substantiate my stance on this topic. I will cite references through the Harvard referencing system throughout the article.</w:t>
      </w:r>
    </w:p>
    <w:p w14:paraId="374AD114" w14:textId="77777777" w:rsidR="00A133E3" w:rsidRDefault="00A133E3" w:rsidP="00A133E3">
      <w:pPr>
        <w:ind w:firstLine="0"/>
      </w:pPr>
    </w:p>
    <w:p w14:paraId="08E76A6F" w14:textId="77777777" w:rsidR="00A133E3" w:rsidRPr="00A133E3" w:rsidRDefault="00A133E3" w:rsidP="00A133E3">
      <w:pPr>
        <w:pStyle w:val="Title2"/>
      </w:pPr>
      <w:r w:rsidRPr="00A133E3">
        <w:t>II. The Equality Act 2010</w:t>
      </w:r>
    </w:p>
    <w:p w14:paraId="1CA79694" w14:textId="77777777" w:rsidR="006F4CB6" w:rsidRDefault="006F4CB6" w:rsidP="006F4CB6">
      <w:pPr>
        <w:ind w:firstLine="0"/>
      </w:pPr>
      <w:r>
        <w:t xml:space="preserve">The Equality Act 2010 serves as a comprehensive UK statute that amalgamates and keeps its previous anti-discrimination regulations up to date, </w:t>
      </w:r>
      <w:proofErr w:type="gramStart"/>
      <w:r>
        <w:t>in order to</w:t>
      </w:r>
      <w:proofErr w:type="gramEnd"/>
      <w:r>
        <w:t xml:space="preserve"> combat discrimination pertaining to multiple aspects of society. The act explains the various forms of prejudice, delineating the prerogatives within each defended characteristic. </w:t>
      </w:r>
    </w:p>
    <w:p w14:paraId="64487EEF" w14:textId="77777777" w:rsidR="006F4CB6" w:rsidRDefault="006F4CB6" w:rsidP="006F4CB6">
      <w:pPr>
        <w:ind w:firstLine="0"/>
      </w:pPr>
      <w:r>
        <w:t>Summary of Legislation:</w:t>
      </w:r>
    </w:p>
    <w:p w14:paraId="4C3A887D" w14:textId="77777777" w:rsidR="006F4CB6" w:rsidRDefault="006F4CB6" w:rsidP="006F4CB6">
      <w:pPr>
        <w:ind w:firstLine="0"/>
      </w:pPr>
      <w:r>
        <w:t xml:space="preserve">In unifying former anti-discriminatory laws, such as the Race Relations Act, Disability Discrimination Act, Sex Discrimination Act, </w:t>
      </w:r>
      <w:proofErr w:type="gramStart"/>
      <w:r>
        <w:t>etc.</w:t>
      </w:r>
      <w:proofErr w:type="gramEnd"/>
      <w:r>
        <w:t xml:space="preserve">, the Equality Act 2010 was instituted. Subsequently unveiling a statutory platform from which disparity can </w:t>
      </w:r>
      <w:proofErr w:type="gramStart"/>
      <w:r>
        <w:t>be challenged</w:t>
      </w:r>
      <w:proofErr w:type="gramEnd"/>
      <w:r>
        <w:t xml:space="preserve"> concerning matters of occupation, academic study, housing, delivery of services, et al.</w:t>
      </w:r>
    </w:p>
    <w:p w14:paraId="7C93124D" w14:textId="77777777" w:rsidR="006F4CB6" w:rsidRDefault="006F4CB6" w:rsidP="006F4CB6">
      <w:pPr>
        <w:ind w:firstLine="0"/>
      </w:pPr>
      <w:r>
        <w:lastRenderedPageBreak/>
        <w:t>Essential Characteristics:</w:t>
      </w:r>
    </w:p>
    <w:p w14:paraId="31320D95" w14:textId="77777777" w:rsidR="006F4CB6" w:rsidRDefault="006F4CB6" w:rsidP="006F4CB6">
      <w:pPr>
        <w:ind w:firstLine="0"/>
      </w:pPr>
      <w:r>
        <w:t>The provisions encompassed by this Act protect individuals against dissimilarity based on nine essential characteristics; these include: age, disability, gender reassignment, marriage/civil partnership, pregnancy/maternity, race, religion/belief, sex, and sexual orientation.</w:t>
      </w:r>
    </w:p>
    <w:p w14:paraId="683FDF79" w14:textId="77777777" w:rsidR="006F4CB6" w:rsidRDefault="006F4CB6" w:rsidP="006F4CB6">
      <w:pPr>
        <w:ind w:firstLine="0"/>
      </w:pPr>
      <w:r>
        <w:t>Prohibited Acts:</w:t>
      </w:r>
    </w:p>
    <w:p w14:paraId="756D16B2" w14:textId="543CF4F0" w:rsidR="006F4CB6" w:rsidRDefault="006F4CB6" w:rsidP="006F4CB6">
      <w:pPr>
        <w:ind w:firstLine="0"/>
      </w:pPr>
      <w:r>
        <w:t xml:space="preserve">Direct discrimination, indirect discrimination, harassment, </w:t>
      </w:r>
      <w:r>
        <w:t>victimization</w:t>
      </w:r>
      <w:r>
        <w:t xml:space="preserve">, and discrimination due to disability are all outlawed occurrences covered by this Act. Direct discrimination involves the poor appraisal of someone due to their </w:t>
      </w:r>
      <w:proofErr w:type="gramStart"/>
      <w:r>
        <w:t>particular characteristically</w:t>
      </w:r>
      <w:proofErr w:type="gramEnd"/>
      <w:r>
        <w:t xml:space="preserve"> – with indirect discrimination mandating actions or criterion that detrimentally affect those who possess the attribute in question. It is also illegal for </w:t>
      </w:r>
      <w:r w:rsidR="007A0191">
        <w:t>unwelcome</w:t>
      </w:r>
      <w:r>
        <w:t xml:space="preserve"> </w:t>
      </w:r>
      <w:r>
        <w:t>behavior</w:t>
      </w:r>
      <w:r>
        <w:t xml:space="preserve"> related to separate areas, to unjustly nuisance an individual's worth or create a hostile/oppressive atmosphere for them. On the other hand, </w:t>
      </w:r>
      <w:r>
        <w:t>victimization</w:t>
      </w:r>
      <w:r>
        <w:t xml:space="preserve"> is when someone </w:t>
      </w:r>
      <w:proofErr w:type="gramStart"/>
      <w:r>
        <w:t>is ill-treated</w:t>
      </w:r>
      <w:proofErr w:type="gramEnd"/>
      <w:r>
        <w:t xml:space="preserve"> for making representations about discrimination. Lastly, discrimination arising from incapacity transpires when treatment </w:t>
      </w:r>
      <w:proofErr w:type="gramStart"/>
      <w:r>
        <w:t>is encountered</w:t>
      </w:r>
      <w:proofErr w:type="gramEnd"/>
      <w:r>
        <w:t xml:space="preserve"> which cannot be justified towards those suffering from a disability.</w:t>
      </w:r>
    </w:p>
    <w:p w14:paraId="750CA086" w14:textId="77777777" w:rsidR="006F4CB6" w:rsidRDefault="006F4CB6" w:rsidP="006F4CB6">
      <w:pPr>
        <w:ind w:firstLine="0"/>
      </w:pPr>
      <w:r>
        <w:t>Positive Exculpation:</w:t>
      </w:r>
    </w:p>
    <w:p w14:paraId="743D9C35" w14:textId="35B8F54B" w:rsidR="0039535D" w:rsidRDefault="006F4CB6" w:rsidP="006F4CB6">
      <w:pPr>
        <w:ind w:firstLine="0"/>
      </w:pPr>
      <w:r>
        <w:t xml:space="preserve">The Equality Act 2010 further facilitates 'positive action', which seeks to redress the disapproval experienced by people under specified defended qualities. Though not </w:t>
      </w:r>
      <w:r>
        <w:t>equitable</w:t>
      </w:r>
      <w:r>
        <w:t xml:space="preserve"> with positive predisposition (which </w:t>
      </w:r>
      <w:proofErr w:type="gramStart"/>
      <w:r>
        <w:t>is prohibited</w:t>
      </w:r>
      <w:proofErr w:type="gramEnd"/>
      <w:r>
        <w:t xml:space="preserve"> under this Act); the latter might involve deliberate selection bias towards those with certain credentials - and yet 'positive action' merely intends to remove or reduce any incapacitation faced by persons with defended traits. This escalation may transpire through recruitment, training, </w:t>
      </w:r>
      <w:proofErr w:type="gramStart"/>
      <w:r>
        <w:t>promotion</w:t>
      </w:r>
      <w:proofErr w:type="gramEnd"/>
      <w:r>
        <w:t xml:space="preserve"> and provision platforms helping those battling predetermined stipulations to access available services/facilities.</w:t>
      </w:r>
    </w:p>
    <w:p w14:paraId="690A0FB7" w14:textId="77777777" w:rsidR="006F4CB6" w:rsidRDefault="006F4CB6" w:rsidP="006F4CB6">
      <w:pPr>
        <w:ind w:firstLine="0"/>
      </w:pPr>
    </w:p>
    <w:p w14:paraId="396D02F7" w14:textId="705B5904" w:rsidR="0039535D" w:rsidRDefault="0039535D" w:rsidP="0039535D">
      <w:pPr>
        <w:pStyle w:val="Title2"/>
      </w:pPr>
      <w:r w:rsidRPr="0039535D">
        <w:lastRenderedPageBreak/>
        <w:t>III. SRA Code of Conduct (2019)</w:t>
      </w:r>
    </w:p>
    <w:p w14:paraId="0A2958A3" w14:textId="77777777" w:rsidR="0039535D" w:rsidRDefault="0039535D" w:rsidP="0039535D">
      <w:r>
        <w:t xml:space="preserve">The Solicitors Regulation Authority (SRA) is an independent regulatory body of the Law Society of England and Wales with responsibility for controlling solicitors and their offices. </w:t>
      </w:r>
      <w:proofErr w:type="gramStart"/>
      <w:r>
        <w:t>For the purpose of</w:t>
      </w:r>
      <w:proofErr w:type="gramEnd"/>
      <w:r>
        <w:t xml:space="preserve"> upholding high-level practices and ethical practices, the SRA Code of Conduct (2019) includes a broad range of professional norms and regulations that all solicitors must adhere to. In this article, we will provide a top-level analysis of the SRA Code of Conduct (2019), its core values, obligations concerning equitability and diversity, and examples of non-discriminative behavior. </w:t>
      </w:r>
    </w:p>
    <w:p w14:paraId="0D3BE2D0" w14:textId="77777777" w:rsidR="0039535D" w:rsidRDefault="0039535D" w:rsidP="00811999">
      <w:pPr>
        <w:ind w:firstLine="0"/>
      </w:pPr>
    </w:p>
    <w:p w14:paraId="7B436B3A" w14:textId="5F5B11AB" w:rsidR="0039535D" w:rsidRDefault="00811999" w:rsidP="0039535D">
      <w:r w:rsidRPr="00811999">
        <w:t>The SRA Code of Conduct (2019) identifies seven core values for lawyers. These include honesty, impartiality, upholding the rule of law, acting in the best interests of clients, maintaining confidentiality, continuously improving legal knowledge, and preserving public trust and confidence.</w:t>
      </w:r>
    </w:p>
    <w:p w14:paraId="647580D6" w14:textId="77777777" w:rsidR="0039535D" w:rsidRDefault="0039535D" w:rsidP="0039535D">
      <w:r>
        <w:t xml:space="preserve">Obligations on Equality and Diversity In order to guarantee that counsels and their firm promote adequate equality and inclusiveness, the SRA Code of Conduct (2019) defines </w:t>
      </w:r>
      <w:proofErr w:type="gramStart"/>
      <w:r>
        <w:t>some</w:t>
      </w:r>
      <w:proofErr w:type="gramEnd"/>
      <w:r>
        <w:t xml:space="preserve"> very distinct requirements. Initially, 1.2 of the code demands attorney to constitutionality support even-minded chance and multifariousness in their work performance; secondly, 9.1 suggests them not to wrongfully either directly or indirectly single out anyone according to the criteria written in the 2010 Equality Act; thirdly, 9.2 emphasizes on accommodating policies and procedures to provide equal opportunities and to enforce supportive ambience in the office while ninth outcome 9.3 directs counselors to take all reasonable steps to forestall any collateral discrimination versus customers.</w:t>
      </w:r>
    </w:p>
    <w:p w14:paraId="0ADC79D2" w14:textId="77777777" w:rsidR="0039535D" w:rsidRDefault="0039535D" w:rsidP="0039535D"/>
    <w:p w14:paraId="473A2C3B" w14:textId="77777777" w:rsidR="0039535D" w:rsidRDefault="0039535D" w:rsidP="0039535D">
      <w:r>
        <w:lastRenderedPageBreak/>
        <w:t xml:space="preserve">Examples of Non-Discriminatory Behavior As mandated by the SRA Code of Conduct (2019), there are some </w:t>
      </w:r>
      <w:proofErr w:type="gramStart"/>
      <w:r>
        <w:t>particular samples</w:t>
      </w:r>
      <w:proofErr w:type="gramEnd"/>
      <w:r>
        <w:t xml:space="preserve"> of non-discriminatory actions that lawyers should consider: </w:t>
      </w:r>
    </w:p>
    <w:p w14:paraId="1DBF9D17" w14:textId="77777777" w:rsidR="0039535D" w:rsidRDefault="0039535D" w:rsidP="0039535D">
      <w:r>
        <w:t>1.</w:t>
      </w:r>
      <w:r>
        <w:tab/>
        <w:t>Recruiting and designing employees depending on ability alone rather than personal attributes.</w:t>
      </w:r>
    </w:p>
    <w:p w14:paraId="5AFA4409" w14:textId="77777777" w:rsidR="0039535D" w:rsidRDefault="0039535D" w:rsidP="0039535D">
      <w:r>
        <w:t>2.</w:t>
      </w:r>
      <w:r>
        <w:tab/>
        <w:t>Treating each customer without prejudice and equitably without singling typical protected characteristics.</w:t>
      </w:r>
    </w:p>
    <w:p w14:paraId="4E10EE73" w14:textId="77777777" w:rsidR="0039535D" w:rsidRDefault="0039535D" w:rsidP="0039535D">
      <w:r>
        <w:t>3.</w:t>
      </w:r>
      <w:r>
        <w:tab/>
        <w:t>Making sure that customers face no intolerant habits or statements discriminating towards them</w:t>
      </w:r>
      <w:proofErr w:type="gramStart"/>
      <w:r>
        <w:t xml:space="preserve">.  </w:t>
      </w:r>
      <w:proofErr w:type="gramEnd"/>
    </w:p>
    <w:p w14:paraId="7A98A22B" w14:textId="77777777" w:rsidR="0039535D" w:rsidRDefault="0039535D" w:rsidP="0039535D">
      <w:r>
        <w:t>4.</w:t>
      </w:r>
      <w:r>
        <w:tab/>
        <w:t xml:space="preserve">Giving necessary accommodations to satisfy the needs brought about by disabilities. </w:t>
      </w:r>
    </w:p>
    <w:p w14:paraId="4C923725" w14:textId="7B760A2D" w:rsidR="0039535D" w:rsidRDefault="0039535D" w:rsidP="0039535D">
      <w:r>
        <w:t>5.</w:t>
      </w:r>
      <w:r>
        <w:tab/>
        <w:t xml:space="preserve">Promoting </w:t>
      </w:r>
      <w:r w:rsidR="001E5E83">
        <w:t>faithful</w:t>
      </w:r>
      <w:r>
        <w:t xml:space="preserve"> diversity and fairness compliance.</w:t>
      </w:r>
    </w:p>
    <w:p w14:paraId="205A5318" w14:textId="77777777" w:rsidR="0039535D" w:rsidRDefault="0039535D" w:rsidP="0039535D"/>
    <w:p w14:paraId="44329297" w14:textId="580D7359" w:rsidR="0039535D" w:rsidRDefault="0039535D" w:rsidP="0039535D">
      <w:r>
        <w:t xml:space="preserve">Conclusively, Chapter 2 of the SRA Code of Conduct (2019) provides comprehensive guidance on how to keep away from disparate treatment in practice. Negligible such is avoiding biased approaches against persons with security feature classification written in the 2010 Equality Act; eventuating acceptable changes to suit those suffering </w:t>
      </w:r>
      <w:r w:rsidR="001E5E83">
        <w:t>remunerably</w:t>
      </w:r>
      <w:r>
        <w:t xml:space="preserve"> and/or physically; relying solely on qualifications when recruiting and developing personnel; meaning zero offensive conduct; likewise giving matching courtesy to each client disregarding protection features. All these measures must </w:t>
      </w:r>
      <w:proofErr w:type="gramStart"/>
      <w:r>
        <w:t>be precisely maintained</w:t>
      </w:r>
      <w:proofErr w:type="gramEnd"/>
      <w:r>
        <w:t xml:space="preserve"> to ensure </w:t>
      </w:r>
      <w:r w:rsidR="001E5E83">
        <w:t>the expected</w:t>
      </w:r>
      <w:r>
        <w:t xml:space="preserve"> </w:t>
      </w:r>
      <w:r w:rsidR="001E5E83">
        <w:t>quality</w:t>
      </w:r>
      <w:r>
        <w:t xml:space="preserve"> and comfortability in services institutions render.</w:t>
      </w:r>
    </w:p>
    <w:p w14:paraId="00D89EB7" w14:textId="5D65843C" w:rsidR="0039535D" w:rsidRDefault="0039535D" w:rsidP="0039535D"/>
    <w:p w14:paraId="73B0F7AD" w14:textId="0EE2655C" w:rsidR="0039535D" w:rsidRDefault="0039535D" w:rsidP="0039535D">
      <w:pPr>
        <w:pStyle w:val="Title2"/>
      </w:pPr>
      <w:r w:rsidRPr="0039535D">
        <w:t>IV. Importance of Equality and Diversity in the Legal Profession</w:t>
      </w:r>
    </w:p>
    <w:p w14:paraId="42893F43" w14:textId="77777777" w:rsidR="00DA5F32" w:rsidRDefault="00DA5F32" w:rsidP="00DA5F32"/>
    <w:p w14:paraId="264CCC20" w14:textId="77777777" w:rsidR="00DA5F32" w:rsidRDefault="00DA5F32" w:rsidP="00DA5F32">
      <w:r>
        <w:t>In endorsing justice and equality, the legal profession has become a vital contributing factor to society. To reinforce this element, it is essential for legal professionals to demonstrate their commitment to promoting both equality and diversity in all aspects of their work. This segment isolates why equality and diversity carry so much importance in the legal profession.</w:t>
      </w:r>
    </w:p>
    <w:p w14:paraId="6B3FB8D8" w14:textId="77777777" w:rsidR="00DA5F32" w:rsidRDefault="00DA5F32" w:rsidP="00DA5F32"/>
    <w:p w14:paraId="06A332C7" w14:textId="77777777" w:rsidR="00DA5F32" w:rsidRDefault="00DA5F32" w:rsidP="00DA5F32">
      <w:r>
        <w:t>Making Justice Accessible to All</w:t>
      </w:r>
    </w:p>
    <w:p w14:paraId="3DDFBCF5" w14:textId="77777777" w:rsidR="00DA5F32" w:rsidRDefault="00DA5F32" w:rsidP="00DA5F32"/>
    <w:p w14:paraId="4B60D37A" w14:textId="77777777" w:rsidR="00DA5F32" w:rsidRDefault="00DA5F32" w:rsidP="00DA5F32">
      <w:r>
        <w:t xml:space="preserve">Enhancing courts' importance as pillars of law and order leads us to uphold equal access to justice. The law mandates impartiality and unbiasedness towards every individual- regardless of origin or circumstance. Membership exclusions to </w:t>
      </w:r>
      <w:proofErr w:type="gramStart"/>
      <w:r>
        <w:t>some</w:t>
      </w:r>
      <w:proofErr w:type="gramEnd"/>
      <w:r>
        <w:t xml:space="preserve"> groups violated our Constitution principles, though affluent sectors enjoy privileged treatment. Promoting equality and diversity dedicates fairness in judicial proceedings unconditionally without divide on individuals’ origins and personal belonging.</w:t>
      </w:r>
    </w:p>
    <w:p w14:paraId="5C9DCC4E" w14:textId="77777777" w:rsidR="00DA5F32" w:rsidRDefault="00DA5F32" w:rsidP="00DA5F32"/>
    <w:p w14:paraId="2CB3B623" w14:textId="77777777" w:rsidR="00DA5F32" w:rsidRDefault="00DA5F32" w:rsidP="00DA5F32">
      <w:r>
        <w:t>Enforcing Fairness and Impartiality</w:t>
      </w:r>
    </w:p>
    <w:p w14:paraId="055F227A" w14:textId="77777777" w:rsidR="00DA5F32" w:rsidRDefault="00DA5F32" w:rsidP="00DA5F32"/>
    <w:p w14:paraId="2DBA59EB" w14:textId="77777777" w:rsidR="00DA5F32" w:rsidRDefault="00DA5F32" w:rsidP="00DA5F32">
      <w:r>
        <w:t xml:space="preserve">To attain fairness and impartiality, adopting practices involving equity and diversity is necessary. In working matters like cases, lawyers must set aside biased opinions or views. They must acknowledge outright any partialities discerned in enforcing rights during legal procedures before </w:t>
      </w:r>
      <w:proofErr w:type="gramStart"/>
      <w:r>
        <w:t>taking action</w:t>
      </w:r>
      <w:proofErr w:type="gramEnd"/>
      <w:r>
        <w:t>. Manifesting bias-free ventures allows certainty that everyone receives proper legal representation guided solely by merit and objective truth.</w:t>
      </w:r>
    </w:p>
    <w:p w14:paraId="61185DAB" w14:textId="77777777" w:rsidR="00DA5F32" w:rsidRDefault="00DA5F32" w:rsidP="00DA5F32"/>
    <w:p w14:paraId="7ECE4607" w14:textId="77777777" w:rsidR="00DA5F32" w:rsidRDefault="00DA5F32" w:rsidP="00DA5F32">
      <w:r>
        <w:lastRenderedPageBreak/>
        <w:t>Trust Building in the Public's Perception of the Legal Field</w:t>
      </w:r>
    </w:p>
    <w:p w14:paraId="4A6183BD" w14:textId="77777777" w:rsidR="00DA5F32" w:rsidRDefault="00DA5F32" w:rsidP="00DA5F32"/>
    <w:p w14:paraId="1A07B39E" w14:textId="133B5E13" w:rsidR="00DA5F32" w:rsidRDefault="00DA5F32" w:rsidP="00DA5F32">
      <w:r>
        <w:t xml:space="preserve">The efficacy and legitimacy of the legal system rest </w:t>
      </w:r>
      <w:proofErr w:type="gramStart"/>
      <w:r>
        <w:t>largely upon</w:t>
      </w:r>
      <w:proofErr w:type="gramEnd"/>
      <w:r>
        <w:t xml:space="preserve"> public trust and confidence in practicing its objectives. A fair judiciary assures respect from the citizenry knowing their rights will </w:t>
      </w:r>
      <w:proofErr w:type="gramStart"/>
      <w:r>
        <w:t>be upheld</w:t>
      </w:r>
      <w:proofErr w:type="gramEnd"/>
      <w:r>
        <w:t xml:space="preserve"> by uprightness with which court cases are presided over. Any hint of discriminatory acts no matter how remote can ruin that sanctity creating doubt amongst citizens prompting disbelief. Hence, sustaining confidence of the people means engaging in diverse-serving lawful protocols </w:t>
      </w:r>
      <w:r w:rsidR="001E5E83">
        <w:t>were</w:t>
      </w:r>
      <w:r>
        <w:t xml:space="preserve"> emphasis leans toward ethical practice abolishing favoritism altogether.</w:t>
      </w:r>
    </w:p>
    <w:p w14:paraId="34827297" w14:textId="77777777" w:rsidR="00DA5F32" w:rsidRDefault="00DA5F32" w:rsidP="00DA5F32"/>
    <w:p w14:paraId="0B72DB8F" w14:textId="77777777" w:rsidR="00DA5F32" w:rsidRDefault="00DA5F32" w:rsidP="00DA5F32">
      <w:r>
        <w:t>Sustainable Encouragement Towards Diversity and Unity Within the Profession</w:t>
      </w:r>
    </w:p>
    <w:p w14:paraId="505DA21D" w14:textId="77777777" w:rsidR="00DA5F32" w:rsidRDefault="00DA5F32" w:rsidP="00DA5F32"/>
    <w:p w14:paraId="65BDF0BA" w14:textId="3F0ACB5B" w:rsidR="0039535D" w:rsidRDefault="00DA5F32" w:rsidP="00DA5F32">
      <w:r>
        <w:t xml:space="preserve">As a consistent example in most professions, an elite class enforces dominance either through sheer numbers or nepotistic tendencies/ inflexible workplace environments. However, constant efforts in driving diversity and inclusion have become of ever-increasing urgency. Before change, women visibility was a scarce commodity and underprivileged youngsters' professional prospects also </w:t>
      </w:r>
      <w:r w:rsidR="001E5E83">
        <w:t>slim. The</w:t>
      </w:r>
      <w:r>
        <w:t xml:space="preserve"> current push towards fore-fronting equality across gender, origin, or any such differing traits paints hope for bright days ahead. The positive outlooks this creates </w:t>
      </w:r>
      <w:r w:rsidR="001E5E83">
        <w:t>lead</w:t>
      </w:r>
      <w:r>
        <w:t xml:space="preserve"> to an environment that reflects social cohesion as ideals resonate from entireties ranging from ethnicities, skin color, religion yielding impartiality boosting public trust.</w:t>
      </w:r>
    </w:p>
    <w:p w14:paraId="29BDFF01" w14:textId="77777777" w:rsidR="00DA5F32" w:rsidRDefault="00DA5F32" w:rsidP="00DA5F32"/>
    <w:p w14:paraId="24726AC9" w14:textId="65874019" w:rsidR="00DA5F32" w:rsidRDefault="00DA5F32" w:rsidP="00DA5F32">
      <w:pPr>
        <w:pStyle w:val="Title2"/>
      </w:pPr>
      <w:r w:rsidRPr="00DA5F32">
        <w:t>V. Conclusion</w:t>
      </w:r>
    </w:p>
    <w:p w14:paraId="3FFF2FA9" w14:textId="77777777" w:rsidR="00DA5F32" w:rsidRDefault="00DA5F32" w:rsidP="00DA5F32">
      <w:r>
        <w:lastRenderedPageBreak/>
        <w:t xml:space="preserve">In conclusion, the principle of equality and diversity is integral for the legal field. This notion ascertains that legal experts </w:t>
      </w:r>
      <w:proofErr w:type="gramStart"/>
      <w:r>
        <w:t>handle</w:t>
      </w:r>
      <w:proofErr w:type="gramEnd"/>
      <w:r>
        <w:t xml:space="preserve"> individuals and factions with fairness, without distinction, and hold fast to the fundamental principles of equitableness and neutrality. The Equality Act 2010 and the SRA Code of Conduct (2019) provide explicit instructions and obligations for juridical professionals </w:t>
      </w:r>
      <w:proofErr w:type="gramStart"/>
      <w:r>
        <w:t>so as to</w:t>
      </w:r>
      <w:proofErr w:type="gramEnd"/>
      <w:r>
        <w:t xml:space="preserve"> confirm equality and variety in all facets of their labor.</w:t>
      </w:r>
    </w:p>
    <w:p w14:paraId="3BD4325F" w14:textId="77777777" w:rsidR="00DA5F32" w:rsidRDefault="00DA5F32" w:rsidP="00DA5F32"/>
    <w:p w14:paraId="569D4765" w14:textId="77777777" w:rsidR="00DA5F32" w:rsidRDefault="00DA5F32" w:rsidP="00DA5F32">
      <w:r>
        <w:t xml:space="preserve">Encouraging admittance to justice, vouching </w:t>
      </w:r>
      <w:proofErr w:type="gramStart"/>
      <w:r>
        <w:t>impartiality</w:t>
      </w:r>
      <w:proofErr w:type="gramEnd"/>
      <w:r>
        <w:t xml:space="preserve"> and equity, intensifying public faith and reliability, and establishing a more comprehensive and comprehensive ethos are some of the gains procured from supporting equality and diversification in the legal domain. Consequently, it is our charge as legal specialists to promote and uphold these standards </w:t>
      </w:r>
      <w:proofErr w:type="gramStart"/>
      <w:r>
        <w:t>so as to</w:t>
      </w:r>
      <w:proofErr w:type="gramEnd"/>
      <w:r>
        <w:t xml:space="preserve"> ascertain an equitable and just judicial system for everybody. </w:t>
      </w:r>
    </w:p>
    <w:p w14:paraId="6AC8C235" w14:textId="77777777" w:rsidR="00DA5F32" w:rsidRDefault="00DA5F32" w:rsidP="00DA5F32"/>
    <w:p w14:paraId="3F0BEE7E" w14:textId="4EC2A274" w:rsidR="00DA5F32" w:rsidRDefault="00DA5F32" w:rsidP="00DA5F32">
      <w:r>
        <w:t xml:space="preserve">Consequently, I vociferously bolster all legitimate professionals to endorse the tenet of equivalence and heterogeneity, and to guarantee that it </w:t>
      </w:r>
      <w:proofErr w:type="gramStart"/>
      <w:r>
        <w:t>is mirrored</w:t>
      </w:r>
      <w:proofErr w:type="gramEnd"/>
      <w:r>
        <w:t xml:space="preserve"> in their day-to-day proceedings. Recall </w:t>
      </w:r>
      <w:r w:rsidR="001E5E83">
        <w:t>referencing</w:t>
      </w:r>
      <w:r>
        <w:t xml:space="preserve"> all sources exploiting the Harvard referencing pattern to </w:t>
      </w:r>
      <w:r w:rsidR="001E5E83">
        <w:t>ensure</w:t>
      </w:r>
      <w:r>
        <w:t xml:space="preserve"> that your work is factual and believable.</w:t>
      </w:r>
    </w:p>
    <w:p w14:paraId="77E2E947" w14:textId="2DAB3659" w:rsidR="00AE2F50" w:rsidRDefault="00AE2F50" w:rsidP="00AE2F50">
      <w:pPr>
        <w:pStyle w:val="Title2"/>
      </w:pPr>
      <w:r>
        <w:t>References</w:t>
      </w:r>
    </w:p>
    <w:p w14:paraId="298E7D15" w14:textId="0DC5A18B" w:rsidR="00C57E5B" w:rsidRPr="00C57E5B" w:rsidRDefault="00C57E5B" w:rsidP="00C57E5B">
      <w:pPr>
        <w:pStyle w:val="ListParagraph"/>
        <w:numPr>
          <w:ilvl w:val="0"/>
          <w:numId w:val="20"/>
        </w:numPr>
      </w:pPr>
      <w:r w:rsidRPr="00C57E5B">
        <w:t>Equality Act 2010, c. 15. (2010). Available at: http://www.legislation.gov.uk/ukpga/2010/15/contents.</w:t>
      </w:r>
    </w:p>
    <w:p w14:paraId="61CA051D" w14:textId="4546B071" w:rsidR="00C57E5B" w:rsidRPr="00C57E5B" w:rsidRDefault="00C57E5B" w:rsidP="00C57E5B">
      <w:pPr>
        <w:pStyle w:val="ListParagraph"/>
        <w:numPr>
          <w:ilvl w:val="0"/>
          <w:numId w:val="20"/>
        </w:numPr>
      </w:pPr>
      <w:r w:rsidRPr="00C57E5B">
        <w:t>Equality and Human Rights Commission. (n.d.). Equality Act Codes of Practice. Available at: https://www.equalityhumanrights.com/en/equality-act/equality-act-codes-practice.</w:t>
      </w:r>
    </w:p>
    <w:p w14:paraId="2A4E1AEC" w14:textId="7C78A918" w:rsidR="00C57E5B" w:rsidRPr="00C57E5B" w:rsidRDefault="00C57E5B" w:rsidP="00C57E5B">
      <w:pPr>
        <w:pStyle w:val="ListParagraph"/>
        <w:numPr>
          <w:ilvl w:val="0"/>
          <w:numId w:val="20"/>
        </w:numPr>
      </w:pPr>
      <w:r w:rsidRPr="00C57E5B">
        <w:lastRenderedPageBreak/>
        <w:t>Solicitors Regulation Authority. (2019). SRA Handbook. Available at: https://www.sra.org.uk/solicitors/handbook/code/content.page.</w:t>
      </w:r>
    </w:p>
    <w:p w14:paraId="680518B7" w14:textId="5CA2B677" w:rsidR="00C57E5B" w:rsidRPr="00C57E5B" w:rsidRDefault="00C57E5B" w:rsidP="00C57E5B">
      <w:pPr>
        <w:pStyle w:val="ListParagraph"/>
        <w:numPr>
          <w:ilvl w:val="0"/>
          <w:numId w:val="20"/>
        </w:numPr>
      </w:pPr>
      <w:r w:rsidRPr="00C57E5B">
        <w:t>Solicitors Regulation Authority. (2019). Equality and diversity. Available at: https://www.sra.org.uk/solicitors/guidance/ethics-guidance/equality-diversity/.</w:t>
      </w:r>
    </w:p>
    <w:p w14:paraId="4A82D9B3" w14:textId="056B96D1" w:rsidR="00C57E5B" w:rsidRPr="00C57E5B" w:rsidRDefault="00C57E5B" w:rsidP="00C57E5B">
      <w:pPr>
        <w:pStyle w:val="ListParagraph"/>
        <w:numPr>
          <w:ilvl w:val="0"/>
          <w:numId w:val="20"/>
        </w:numPr>
      </w:pPr>
      <w:r w:rsidRPr="00C57E5B">
        <w:t>Law Society. (2021). Promoting diversity and inclusion. Available at: https://www.lawsociety.org.uk/support-services/diversity-inclusion.</w:t>
      </w:r>
    </w:p>
    <w:p w14:paraId="61300F5E" w14:textId="7DEDD122" w:rsidR="00C57E5B" w:rsidRPr="00C57E5B" w:rsidRDefault="00C57E5B" w:rsidP="00767761">
      <w:pPr>
        <w:pStyle w:val="ListParagraph"/>
        <w:numPr>
          <w:ilvl w:val="0"/>
          <w:numId w:val="20"/>
        </w:numPr>
      </w:pPr>
      <w:r w:rsidRPr="00C57E5B">
        <w:t>Alderman, J. (2019). 'Diversity in the Legal Profession: A Call to Action', Business Law Today, 28(4), pp. 9-12. Available at: https://www.americanbar.org/groups/business_law/publications/blt/2019/04/diversity-in-legal-profession/</w:t>
      </w:r>
    </w:p>
    <w:p w14:paraId="6EFC4D4D" w14:textId="2A8171E8" w:rsidR="00C57E5B" w:rsidRPr="00C57E5B" w:rsidRDefault="00C57E5B" w:rsidP="00C57E5B">
      <w:pPr>
        <w:pStyle w:val="ListParagraph"/>
        <w:numPr>
          <w:ilvl w:val="0"/>
          <w:numId w:val="20"/>
        </w:numPr>
      </w:pPr>
      <w:r w:rsidRPr="00C57E5B">
        <w:t>Corbin, A. (2019). 'Creating a Culture of Inclusion in Law Firms', Texas Bar Journal, 82(8), pp. 562-566. Available at: https://www.texasbar.com/AM/Template.cfm?Section=Texas_Bar_Journal&amp;Template=/CM/ContentDisplay.cfm&amp;ContentID=46612</w:t>
      </w:r>
    </w:p>
    <w:p w14:paraId="7411DF97" w14:textId="5602A700" w:rsidR="00C57E5B" w:rsidRPr="00C57E5B" w:rsidRDefault="00C57E5B" w:rsidP="00C57E5B">
      <w:pPr>
        <w:pStyle w:val="ListParagraph"/>
        <w:numPr>
          <w:ilvl w:val="0"/>
          <w:numId w:val="20"/>
        </w:numPr>
      </w:pPr>
      <w:r w:rsidRPr="00C57E5B">
        <w:t>Law Society of England and Wales. (2020). Promoting inclusion in the legal profession. Retrieved from https://www.lawsociety.org.uk/support-services/advice/practice-notes/promoting-inclusion-in-the-legal-profession</w:t>
      </w:r>
    </w:p>
    <w:p w14:paraId="75388921" w14:textId="6AC2DF68" w:rsidR="00C57E5B" w:rsidRPr="00C57E5B" w:rsidRDefault="00C57E5B" w:rsidP="00C57E5B">
      <w:pPr>
        <w:pStyle w:val="ListParagraph"/>
        <w:numPr>
          <w:ilvl w:val="0"/>
          <w:numId w:val="20"/>
        </w:numPr>
      </w:pPr>
      <w:r w:rsidRPr="00C57E5B">
        <w:t>Legal Services Board. (2019). Advancing Equality and Diversity in the Legal Services Sector. Retrieved from https://www.legalservicesboard.org.uk/wp-content/uploads/2019/03/Advancing-Equality-and-Diversity-in-the-Legal-Services-Sector-1.pdf</w:t>
      </w:r>
    </w:p>
    <w:p w14:paraId="1425518E" w14:textId="7C0F978F" w:rsidR="00C57E5B" w:rsidRPr="00C57E5B" w:rsidRDefault="00C57E5B" w:rsidP="00C57E5B">
      <w:pPr>
        <w:pStyle w:val="ListParagraph"/>
        <w:numPr>
          <w:ilvl w:val="0"/>
          <w:numId w:val="20"/>
        </w:numPr>
      </w:pPr>
      <w:r w:rsidRPr="00C57E5B">
        <w:t xml:space="preserve">Richards, D. (2018). 'Equality, Diversity and Inclusion in the Legal Profession: A Call to Arms', International Bar Association, pp. 24-25. Retrieved from </w:t>
      </w:r>
      <w:r w:rsidRPr="00C57E5B">
        <w:lastRenderedPageBreak/>
        <w:t>https://www.ibanet.org/Document/Default.aspx?DocumentUid=017D1A8B-8422-4B4F-AFE4-6E69DB6B9D16</w:t>
      </w:r>
    </w:p>
    <w:p w14:paraId="51F07AE2" w14:textId="4931D76B" w:rsidR="00C57E5B" w:rsidRPr="00C57E5B" w:rsidRDefault="00C57E5B" w:rsidP="00767761">
      <w:pPr>
        <w:pStyle w:val="ListParagraph"/>
        <w:numPr>
          <w:ilvl w:val="0"/>
          <w:numId w:val="20"/>
        </w:numPr>
      </w:pPr>
      <w:r w:rsidRPr="00C57E5B">
        <w:t>House of Commons Library. (2021). Discrimination law in the UK: An overview. Retrieved from https://commonslibrary.parliament.uk/research-briefings/cbp-7432/</w:t>
      </w:r>
    </w:p>
    <w:p w14:paraId="53994D2A" w14:textId="75AC22D7" w:rsidR="00C57E5B" w:rsidRPr="00C57E5B" w:rsidRDefault="00C57E5B" w:rsidP="00C57E5B">
      <w:pPr>
        <w:pStyle w:val="ListParagraph"/>
        <w:numPr>
          <w:ilvl w:val="0"/>
          <w:numId w:val="20"/>
        </w:numPr>
      </w:pPr>
      <w:r w:rsidRPr="00C57E5B">
        <w:t>Law Commission. (2014). Technical Issues in Charity Law: A Consultation Paper. Retrieved from https://www.lawcom.gov.uk/app/uploads/2015/03/Technical_issues_in_charity_law_CP_214.pdf</w:t>
      </w:r>
    </w:p>
    <w:p w14:paraId="7B95675C" w14:textId="3B323314" w:rsidR="00AE2F50" w:rsidRDefault="00C57E5B" w:rsidP="00C57E5B">
      <w:pPr>
        <w:pStyle w:val="ListParagraph"/>
        <w:numPr>
          <w:ilvl w:val="0"/>
          <w:numId w:val="20"/>
        </w:numPr>
      </w:pPr>
      <w:r w:rsidRPr="00C57E5B">
        <w:t>Equality and Human Rights Commission. (n.d.). Case law. Retrieved from https://www.equalityhumanrights.com/en/case-law</w:t>
      </w:r>
    </w:p>
    <w:sectPr w:rsidR="00AE2F50" w:rsidSect="00540158">
      <w:headerReference w:type="default" r:id="rId8"/>
      <w:headerReference w:type="first" r:id="rId9"/>
      <w:footnotePr>
        <w:pos w:val="beneathText"/>
      </w:footnotePr>
      <w:pgSz w:w="12240" w:h="15840"/>
      <w:pgMar w:top="1440" w:right="1440" w:bottom="1440" w:left="1440" w:header="720" w:footer="720" w:gutter="0"/>
      <w:pgBorders w:offsetFrom="page">
        <w:top w:val="thinThickLargeGap" w:sz="24" w:space="24" w:color="auto"/>
        <w:left w:val="thinThickLargeGap" w:sz="24" w:space="24" w:color="auto"/>
        <w:bottom w:val="thickThinLargeGap" w:sz="24" w:space="24" w:color="auto"/>
        <w:right w:val="thickThinLargeGap" w:sz="24" w:space="24" w:color="auto"/>
      </w:pgBorders>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310E09" w14:textId="77777777" w:rsidR="001C4B85" w:rsidRDefault="001C4B85">
      <w:pPr>
        <w:spacing w:line="240" w:lineRule="auto"/>
      </w:pPr>
      <w:r>
        <w:separator/>
      </w:r>
    </w:p>
    <w:p w14:paraId="23F47146" w14:textId="77777777" w:rsidR="001C4B85" w:rsidRDefault="001C4B85"/>
  </w:endnote>
  <w:endnote w:type="continuationSeparator" w:id="0">
    <w:p w14:paraId="65F0351F" w14:textId="77777777" w:rsidR="001C4B85" w:rsidRDefault="001C4B85">
      <w:pPr>
        <w:spacing w:line="240" w:lineRule="auto"/>
      </w:pPr>
      <w:r>
        <w:continuationSeparator/>
      </w:r>
    </w:p>
    <w:p w14:paraId="4B32DFDF" w14:textId="77777777" w:rsidR="001C4B85" w:rsidRDefault="001C4B8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064F79" w14:textId="77777777" w:rsidR="001C4B85" w:rsidRDefault="001C4B85">
      <w:pPr>
        <w:spacing w:line="240" w:lineRule="auto"/>
      </w:pPr>
      <w:r>
        <w:separator/>
      </w:r>
    </w:p>
    <w:p w14:paraId="1023CDE5" w14:textId="77777777" w:rsidR="001C4B85" w:rsidRDefault="001C4B85"/>
  </w:footnote>
  <w:footnote w:type="continuationSeparator" w:id="0">
    <w:p w14:paraId="043F0FAD" w14:textId="77777777" w:rsidR="001C4B85" w:rsidRDefault="001C4B85">
      <w:pPr>
        <w:spacing w:line="240" w:lineRule="auto"/>
      </w:pPr>
      <w:r>
        <w:continuationSeparator/>
      </w:r>
    </w:p>
    <w:p w14:paraId="024909BD" w14:textId="77777777" w:rsidR="001C4B85" w:rsidRDefault="001C4B8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2"/>
        <w:szCs w:val="22"/>
      </w:rPr>
      <w:id w:val="727584761"/>
      <w:docPartObj>
        <w:docPartGallery w:val="Page Numbers (Top of Page)"/>
        <w:docPartUnique/>
      </w:docPartObj>
    </w:sdtPr>
    <w:sdtEndPr>
      <w:rPr>
        <w:noProof/>
        <w:color w:val="DDDDDD" w:themeColor="accent1"/>
        <w:sz w:val="28"/>
        <w:szCs w:val="28"/>
      </w:rPr>
    </w:sdtEndPr>
    <w:sdtContent>
      <w:p w14:paraId="11714F01" w14:textId="5C933044" w:rsidR="00540158" w:rsidRDefault="00540158">
        <w:pPr>
          <w:pStyle w:val="Header"/>
          <w:jc w:val="right"/>
          <w:rPr>
            <w:color w:val="DDDDDD" w:themeColor="accent1"/>
            <w:sz w:val="28"/>
            <w:szCs w:val="28"/>
          </w:rPr>
        </w:pPr>
        <w:r>
          <w:rPr>
            <w:sz w:val="22"/>
            <w:szCs w:val="22"/>
          </w:rPr>
          <w:fldChar w:fldCharType="begin"/>
        </w:r>
        <w:r>
          <w:instrText xml:space="preserve"> PAGE  \* ROMAN  \* MERGEFORMAT </w:instrText>
        </w:r>
        <w:r>
          <w:rPr>
            <w:sz w:val="22"/>
            <w:szCs w:val="22"/>
          </w:rPr>
          <w:fldChar w:fldCharType="separate"/>
        </w:r>
        <w:r>
          <w:rPr>
            <w:noProof/>
            <w:color w:val="DDDDDD" w:themeColor="accent1"/>
            <w:sz w:val="28"/>
            <w:szCs w:val="28"/>
          </w:rPr>
          <w:t>II</w:t>
        </w:r>
        <w:r>
          <w:rPr>
            <w:noProof/>
            <w:color w:val="DDDDDD" w:themeColor="accent1"/>
            <w:sz w:val="28"/>
            <w:szCs w:val="28"/>
          </w:rPr>
          <w:fldChar w:fldCharType="end"/>
        </w:r>
      </w:p>
    </w:sdtContent>
  </w:sdt>
  <w:p w14:paraId="15477B0C" w14:textId="77777777" w:rsidR="00540158" w:rsidRDefault="005401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E188DD" w14:textId="5EE83850" w:rsidR="007C3AF6" w:rsidRPr="007C3AF6" w:rsidRDefault="007C3AF6" w:rsidP="007C3AF6">
    <w:pPr>
      <w:pStyle w:val="Header"/>
      <w:rPr>
        <w:lang w:val="en-GB"/>
      </w:rPr>
    </w:pPr>
  </w:p>
  <w:p w14:paraId="16889F9C" w14:textId="0D843837" w:rsidR="00E81978" w:rsidRPr="007C3AF6" w:rsidRDefault="00E81978" w:rsidP="007C3AF6">
    <w:pPr>
      <w:pStyle w:val="Header"/>
      <w:rPr>
        <w:rStyle w:val="Strong"/>
        <w:caps w:val="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6940901"/>
    <w:multiLevelType w:val="hybridMultilevel"/>
    <w:tmpl w:val="12ACB65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0F10786B"/>
    <w:multiLevelType w:val="hybridMultilevel"/>
    <w:tmpl w:val="E10ABE5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25E614A6"/>
    <w:multiLevelType w:val="multilevel"/>
    <w:tmpl w:val="D5F491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55126BC0"/>
    <w:multiLevelType w:val="multilevel"/>
    <w:tmpl w:val="FC2476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DF552A3"/>
    <w:multiLevelType w:val="hybridMultilevel"/>
    <w:tmpl w:val="ED289D8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85084301">
    <w:abstractNumId w:val="9"/>
  </w:num>
  <w:num w:numId="2" w16cid:durableId="912087039">
    <w:abstractNumId w:val="7"/>
  </w:num>
  <w:num w:numId="3" w16cid:durableId="1319769917">
    <w:abstractNumId w:val="6"/>
  </w:num>
  <w:num w:numId="4" w16cid:durableId="1508713581">
    <w:abstractNumId w:val="5"/>
  </w:num>
  <w:num w:numId="5" w16cid:durableId="1340624808">
    <w:abstractNumId w:val="4"/>
  </w:num>
  <w:num w:numId="6" w16cid:durableId="1788960250">
    <w:abstractNumId w:val="8"/>
  </w:num>
  <w:num w:numId="7" w16cid:durableId="1417088448">
    <w:abstractNumId w:val="3"/>
  </w:num>
  <w:num w:numId="8" w16cid:durableId="787159490">
    <w:abstractNumId w:val="2"/>
  </w:num>
  <w:num w:numId="9" w16cid:durableId="1847207971">
    <w:abstractNumId w:val="1"/>
  </w:num>
  <w:num w:numId="10" w16cid:durableId="483469834">
    <w:abstractNumId w:val="0"/>
  </w:num>
  <w:num w:numId="11" w16cid:durableId="2009868704">
    <w:abstractNumId w:val="9"/>
    <w:lvlOverride w:ilvl="0">
      <w:startOverride w:val="1"/>
    </w:lvlOverride>
  </w:num>
  <w:num w:numId="12" w16cid:durableId="1558203030">
    <w:abstractNumId w:val="18"/>
  </w:num>
  <w:num w:numId="13" w16cid:durableId="869102989">
    <w:abstractNumId w:val="14"/>
  </w:num>
  <w:num w:numId="14" w16cid:durableId="1768304128">
    <w:abstractNumId w:val="13"/>
  </w:num>
  <w:num w:numId="15" w16cid:durableId="869800691">
    <w:abstractNumId w:val="17"/>
  </w:num>
  <w:num w:numId="16" w16cid:durableId="1337154658">
    <w:abstractNumId w:val="15"/>
  </w:num>
  <w:num w:numId="17" w16cid:durableId="1722512980">
    <w:abstractNumId w:val="12"/>
  </w:num>
  <w:num w:numId="18" w16cid:durableId="1087117475">
    <w:abstractNumId w:val="16"/>
  </w:num>
  <w:num w:numId="19" w16cid:durableId="1900051391">
    <w:abstractNumId w:val="11"/>
  </w:num>
  <w:num w:numId="20" w16cid:durableId="33287765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AF6"/>
    <w:rsid w:val="000D3F41"/>
    <w:rsid w:val="001C4B85"/>
    <w:rsid w:val="001E5E83"/>
    <w:rsid w:val="0024395A"/>
    <w:rsid w:val="00322892"/>
    <w:rsid w:val="00355DCA"/>
    <w:rsid w:val="0039535D"/>
    <w:rsid w:val="004B63D5"/>
    <w:rsid w:val="00514D5D"/>
    <w:rsid w:val="00540158"/>
    <w:rsid w:val="00551A02"/>
    <w:rsid w:val="005534FA"/>
    <w:rsid w:val="005C5FC3"/>
    <w:rsid w:val="005D3A03"/>
    <w:rsid w:val="005F569E"/>
    <w:rsid w:val="006A7DB9"/>
    <w:rsid w:val="006F444C"/>
    <w:rsid w:val="006F4CB6"/>
    <w:rsid w:val="00730B3C"/>
    <w:rsid w:val="00767761"/>
    <w:rsid w:val="007A0191"/>
    <w:rsid w:val="007C3AF6"/>
    <w:rsid w:val="008002C0"/>
    <w:rsid w:val="00811999"/>
    <w:rsid w:val="008C5323"/>
    <w:rsid w:val="009767B7"/>
    <w:rsid w:val="009A6A3B"/>
    <w:rsid w:val="00A133E3"/>
    <w:rsid w:val="00A20E0B"/>
    <w:rsid w:val="00AB146D"/>
    <w:rsid w:val="00AE2F50"/>
    <w:rsid w:val="00B823AA"/>
    <w:rsid w:val="00BA45DB"/>
    <w:rsid w:val="00BE2289"/>
    <w:rsid w:val="00BF2EB4"/>
    <w:rsid w:val="00BF4184"/>
    <w:rsid w:val="00C0601E"/>
    <w:rsid w:val="00C1014B"/>
    <w:rsid w:val="00C31D30"/>
    <w:rsid w:val="00C57E5B"/>
    <w:rsid w:val="00CD6E39"/>
    <w:rsid w:val="00CF6E91"/>
    <w:rsid w:val="00D85B68"/>
    <w:rsid w:val="00DA5F32"/>
    <w:rsid w:val="00E0158D"/>
    <w:rsid w:val="00E13E58"/>
    <w:rsid w:val="00E6004D"/>
    <w:rsid w:val="00E81978"/>
    <w:rsid w:val="00E9200E"/>
    <w:rsid w:val="00EF0B87"/>
    <w:rsid w:val="00F264D5"/>
    <w:rsid w:val="00F379B7"/>
    <w:rsid w:val="00F473D0"/>
    <w:rsid w:val="00F525FA"/>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26D4E0"/>
  <w15:chartTrackingRefBased/>
  <w15:docId w15:val="{68C6B72D-3807-4932-9E54-B1A113A9D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link w:val="NoSpacingChar"/>
    <w:uiPriority w:val="1"/>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rsid w:val="00E0158D"/>
    <w:pPr>
      <w:spacing w:before="2400"/>
      <w:ind w:firstLine="0"/>
      <w:contextualSpacing/>
      <w:jc w:val="center"/>
    </w:pPr>
    <w:rPr>
      <w:rFonts w:asciiTheme="majorHAnsi" w:eastAsiaTheme="majorEastAsia" w:hAnsiTheme="majorHAnsi" w:cstheme="majorBidi"/>
      <w:b/>
    </w:rPr>
  </w:style>
  <w:style w:type="character" w:customStyle="1" w:styleId="TitleChar">
    <w:name w:val="Title Char"/>
    <w:basedOn w:val="DefaultParagraphFont"/>
    <w:link w:val="Title"/>
    <w:rsid w:val="00E0158D"/>
    <w:rPr>
      <w:rFonts w:asciiTheme="majorHAnsi" w:eastAsiaTheme="majorEastAsia" w:hAnsiTheme="majorHAnsi" w:cstheme="majorBidi"/>
      <w:b/>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semiHidden/>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9767B7"/>
    <w:pPr>
      <w:ind w:firstLine="0"/>
      <w:jc w:val="center"/>
    </w:pPr>
    <w:rPr>
      <w:b/>
    </w:rPr>
  </w:style>
  <w:style w:type="character" w:styleId="Hyperlink">
    <w:name w:val="Hyperlink"/>
    <w:basedOn w:val="DefaultParagraphFont"/>
    <w:uiPriority w:val="99"/>
    <w:unhideWhenUsed/>
    <w:rsid w:val="00F473D0"/>
    <w:rPr>
      <w:color w:val="5F5F5F" w:themeColor="hyperlink"/>
      <w:u w:val="single"/>
    </w:rPr>
  </w:style>
  <w:style w:type="character" w:styleId="UnresolvedMention">
    <w:name w:val="Unresolved Mention"/>
    <w:basedOn w:val="DefaultParagraphFont"/>
    <w:uiPriority w:val="99"/>
    <w:semiHidden/>
    <w:unhideWhenUsed/>
    <w:rsid w:val="00F473D0"/>
    <w:rPr>
      <w:color w:val="605E5C"/>
      <w:shd w:val="clear" w:color="auto" w:fill="E1DFDD"/>
    </w:rPr>
  </w:style>
  <w:style w:type="character" w:customStyle="1" w:styleId="NoSpacingChar">
    <w:name w:val="No Spacing Char"/>
    <w:aliases w:val="No Indent Char"/>
    <w:basedOn w:val="DefaultParagraphFont"/>
    <w:link w:val="NoSpacing"/>
    <w:uiPriority w:val="1"/>
    <w:rsid w:val="005401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534928">
      <w:bodyDiv w:val="1"/>
      <w:marLeft w:val="0"/>
      <w:marRight w:val="0"/>
      <w:marTop w:val="0"/>
      <w:marBottom w:val="0"/>
      <w:divBdr>
        <w:top w:val="none" w:sz="0" w:space="0" w:color="auto"/>
        <w:left w:val="none" w:sz="0" w:space="0" w:color="auto"/>
        <w:bottom w:val="none" w:sz="0" w:space="0" w:color="auto"/>
        <w:right w:val="none" w:sz="0" w:space="0" w:color="auto"/>
      </w:divBdr>
    </w:div>
    <w:div w:id="97141614">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56270194">
      <w:bodyDiv w:val="1"/>
      <w:marLeft w:val="0"/>
      <w:marRight w:val="0"/>
      <w:marTop w:val="0"/>
      <w:marBottom w:val="0"/>
      <w:divBdr>
        <w:top w:val="none" w:sz="0" w:space="0" w:color="auto"/>
        <w:left w:val="none" w:sz="0" w:space="0" w:color="auto"/>
        <w:bottom w:val="none" w:sz="0" w:space="0" w:color="auto"/>
        <w:right w:val="none" w:sz="0" w:space="0" w:color="auto"/>
      </w:divBdr>
    </w:div>
    <w:div w:id="194975274">
      <w:bodyDiv w:val="1"/>
      <w:marLeft w:val="0"/>
      <w:marRight w:val="0"/>
      <w:marTop w:val="0"/>
      <w:marBottom w:val="0"/>
      <w:divBdr>
        <w:top w:val="none" w:sz="0" w:space="0" w:color="auto"/>
        <w:left w:val="none" w:sz="0" w:space="0" w:color="auto"/>
        <w:bottom w:val="none" w:sz="0" w:space="0" w:color="auto"/>
        <w:right w:val="none" w:sz="0" w:space="0" w:color="auto"/>
      </w:divBdr>
    </w:div>
    <w:div w:id="200215463">
      <w:bodyDiv w:val="1"/>
      <w:marLeft w:val="0"/>
      <w:marRight w:val="0"/>
      <w:marTop w:val="0"/>
      <w:marBottom w:val="0"/>
      <w:divBdr>
        <w:top w:val="none" w:sz="0" w:space="0" w:color="auto"/>
        <w:left w:val="none" w:sz="0" w:space="0" w:color="auto"/>
        <w:bottom w:val="none" w:sz="0" w:space="0" w:color="auto"/>
        <w:right w:val="none" w:sz="0" w:space="0" w:color="auto"/>
      </w:divBdr>
    </w:div>
    <w:div w:id="243927034">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68391189">
      <w:bodyDiv w:val="1"/>
      <w:marLeft w:val="0"/>
      <w:marRight w:val="0"/>
      <w:marTop w:val="0"/>
      <w:marBottom w:val="0"/>
      <w:divBdr>
        <w:top w:val="none" w:sz="0" w:space="0" w:color="auto"/>
        <w:left w:val="none" w:sz="0" w:space="0" w:color="auto"/>
        <w:bottom w:val="none" w:sz="0" w:space="0" w:color="auto"/>
        <w:right w:val="none" w:sz="0" w:space="0" w:color="auto"/>
      </w:divBdr>
    </w:div>
    <w:div w:id="281233309">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3796686">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96785118">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62118184">
      <w:bodyDiv w:val="1"/>
      <w:marLeft w:val="0"/>
      <w:marRight w:val="0"/>
      <w:marTop w:val="0"/>
      <w:marBottom w:val="0"/>
      <w:divBdr>
        <w:top w:val="none" w:sz="0" w:space="0" w:color="auto"/>
        <w:left w:val="none" w:sz="0" w:space="0" w:color="auto"/>
        <w:bottom w:val="none" w:sz="0" w:space="0" w:color="auto"/>
        <w:right w:val="none" w:sz="0" w:space="0" w:color="auto"/>
      </w:divBdr>
    </w:div>
    <w:div w:id="492912071">
      <w:bodyDiv w:val="1"/>
      <w:marLeft w:val="0"/>
      <w:marRight w:val="0"/>
      <w:marTop w:val="0"/>
      <w:marBottom w:val="0"/>
      <w:divBdr>
        <w:top w:val="none" w:sz="0" w:space="0" w:color="auto"/>
        <w:left w:val="none" w:sz="0" w:space="0" w:color="auto"/>
        <w:bottom w:val="none" w:sz="0" w:space="0" w:color="auto"/>
        <w:right w:val="none" w:sz="0" w:space="0" w:color="auto"/>
      </w:divBdr>
    </w:div>
    <w:div w:id="626476621">
      <w:bodyDiv w:val="1"/>
      <w:marLeft w:val="0"/>
      <w:marRight w:val="0"/>
      <w:marTop w:val="0"/>
      <w:marBottom w:val="0"/>
      <w:divBdr>
        <w:top w:val="none" w:sz="0" w:space="0" w:color="auto"/>
        <w:left w:val="none" w:sz="0" w:space="0" w:color="auto"/>
        <w:bottom w:val="none" w:sz="0" w:space="0" w:color="auto"/>
        <w:right w:val="none" w:sz="0" w:space="0" w:color="auto"/>
      </w:divBdr>
    </w:div>
    <w:div w:id="638458036">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683629016">
      <w:bodyDiv w:val="1"/>
      <w:marLeft w:val="0"/>
      <w:marRight w:val="0"/>
      <w:marTop w:val="0"/>
      <w:marBottom w:val="0"/>
      <w:divBdr>
        <w:top w:val="none" w:sz="0" w:space="0" w:color="auto"/>
        <w:left w:val="none" w:sz="0" w:space="0" w:color="auto"/>
        <w:bottom w:val="none" w:sz="0" w:space="0" w:color="auto"/>
        <w:right w:val="none" w:sz="0" w:space="0" w:color="auto"/>
      </w:divBdr>
    </w:div>
    <w:div w:id="792405213">
      <w:bodyDiv w:val="1"/>
      <w:marLeft w:val="0"/>
      <w:marRight w:val="0"/>
      <w:marTop w:val="0"/>
      <w:marBottom w:val="0"/>
      <w:divBdr>
        <w:top w:val="none" w:sz="0" w:space="0" w:color="auto"/>
        <w:left w:val="none" w:sz="0" w:space="0" w:color="auto"/>
        <w:bottom w:val="none" w:sz="0" w:space="0" w:color="auto"/>
        <w:right w:val="none" w:sz="0" w:space="0" w:color="auto"/>
      </w:divBdr>
    </w:div>
    <w:div w:id="808210066">
      <w:bodyDiv w:val="1"/>
      <w:marLeft w:val="0"/>
      <w:marRight w:val="0"/>
      <w:marTop w:val="0"/>
      <w:marBottom w:val="0"/>
      <w:divBdr>
        <w:top w:val="none" w:sz="0" w:space="0" w:color="auto"/>
        <w:left w:val="none" w:sz="0" w:space="0" w:color="auto"/>
        <w:bottom w:val="none" w:sz="0" w:space="0" w:color="auto"/>
        <w:right w:val="none" w:sz="0" w:space="0" w:color="auto"/>
      </w:divBdr>
    </w:div>
    <w:div w:id="907156448">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75202245">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187253599">
      <w:bodyDiv w:val="1"/>
      <w:marLeft w:val="0"/>
      <w:marRight w:val="0"/>
      <w:marTop w:val="0"/>
      <w:marBottom w:val="0"/>
      <w:divBdr>
        <w:top w:val="none" w:sz="0" w:space="0" w:color="auto"/>
        <w:left w:val="none" w:sz="0" w:space="0" w:color="auto"/>
        <w:bottom w:val="none" w:sz="0" w:space="0" w:color="auto"/>
        <w:right w:val="none" w:sz="0" w:space="0" w:color="auto"/>
      </w:divBdr>
    </w:div>
    <w:div w:id="1277910516">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291285872">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81332559">
      <w:bodyDiv w:val="1"/>
      <w:marLeft w:val="0"/>
      <w:marRight w:val="0"/>
      <w:marTop w:val="0"/>
      <w:marBottom w:val="0"/>
      <w:divBdr>
        <w:top w:val="none" w:sz="0" w:space="0" w:color="auto"/>
        <w:left w:val="none" w:sz="0" w:space="0" w:color="auto"/>
        <w:bottom w:val="none" w:sz="0" w:space="0" w:color="auto"/>
        <w:right w:val="none" w:sz="0" w:space="0" w:color="auto"/>
      </w:divBdr>
    </w:div>
    <w:div w:id="1592928102">
      <w:bodyDiv w:val="1"/>
      <w:marLeft w:val="0"/>
      <w:marRight w:val="0"/>
      <w:marTop w:val="0"/>
      <w:marBottom w:val="0"/>
      <w:divBdr>
        <w:top w:val="none" w:sz="0" w:space="0" w:color="auto"/>
        <w:left w:val="none" w:sz="0" w:space="0" w:color="auto"/>
        <w:bottom w:val="none" w:sz="0" w:space="0" w:color="auto"/>
        <w:right w:val="none" w:sz="0" w:space="0" w:color="auto"/>
      </w:divBdr>
    </w:div>
    <w:div w:id="1599561930">
      <w:bodyDiv w:val="1"/>
      <w:marLeft w:val="0"/>
      <w:marRight w:val="0"/>
      <w:marTop w:val="0"/>
      <w:marBottom w:val="0"/>
      <w:divBdr>
        <w:top w:val="none" w:sz="0" w:space="0" w:color="auto"/>
        <w:left w:val="none" w:sz="0" w:space="0" w:color="auto"/>
        <w:bottom w:val="none" w:sz="0" w:space="0" w:color="auto"/>
        <w:right w:val="none" w:sz="0" w:space="0" w:color="auto"/>
      </w:divBdr>
    </w:div>
    <w:div w:id="1645156598">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27486643">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55800181">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63994052">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24817518">
      <w:bodyDiv w:val="1"/>
      <w:marLeft w:val="0"/>
      <w:marRight w:val="0"/>
      <w:marTop w:val="0"/>
      <w:marBottom w:val="0"/>
      <w:divBdr>
        <w:top w:val="none" w:sz="0" w:space="0" w:color="auto"/>
        <w:left w:val="none" w:sz="0" w:space="0" w:color="auto"/>
        <w:bottom w:val="none" w:sz="0" w:space="0" w:color="auto"/>
        <w:right w:val="none" w:sz="0" w:space="0" w:color="auto"/>
      </w:divBdr>
    </w:div>
    <w:div w:id="2052727646">
      <w:bodyDiv w:val="1"/>
      <w:marLeft w:val="0"/>
      <w:marRight w:val="0"/>
      <w:marTop w:val="0"/>
      <w:marBottom w:val="0"/>
      <w:divBdr>
        <w:top w:val="none" w:sz="0" w:space="0" w:color="auto"/>
        <w:left w:val="none" w:sz="0" w:space="0" w:color="auto"/>
        <w:bottom w:val="none" w:sz="0" w:space="0" w:color="auto"/>
        <w:right w:val="none" w:sz="0" w:space="0" w:color="auto"/>
      </w:divBdr>
    </w:div>
    <w:div w:id="2091388169">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096969574">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anna\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04255A016874D7091B2B8ED9DED7971"/>
        <w:category>
          <w:name w:val="General"/>
          <w:gallery w:val="placeholder"/>
        </w:category>
        <w:types>
          <w:type w:val="bbPlcHdr"/>
        </w:types>
        <w:behaviors>
          <w:behavior w:val="content"/>
        </w:behaviors>
        <w:guid w:val="{E47BCED2-B06F-4D19-9715-831FB11C764E}"/>
      </w:docPartPr>
      <w:docPartBody>
        <w:p w:rsidR="001E30F6" w:rsidRDefault="00000000">
          <w:pPr>
            <w:pStyle w:val="804255A016874D7091B2B8ED9DED7971"/>
          </w:pPr>
          <w:r>
            <w:t>[Author Name(s), First M. Last, Omit Titles and Degrees]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AEC"/>
    <w:rsid w:val="001E30F6"/>
    <w:rsid w:val="003B6AEC"/>
    <w:rsid w:val="005E349F"/>
    <w:rsid w:val="006677F5"/>
    <w:rsid w:val="008E43A9"/>
    <w:rsid w:val="00C252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04255A016874D7091B2B8ED9DED7971">
    <w:name w:val="804255A016874D7091B2B8ED9DED7971"/>
  </w:style>
  <w:style w:type="character" w:styleId="Emphasis">
    <w:name w:val="Emphasis"/>
    <w:basedOn w:val="DefaultParagraphFont"/>
    <w:uiPriority w:val="4"/>
    <w:unhideWhenUsed/>
    <w:qFormat/>
    <w:rPr>
      <w:i/>
      <w:iC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82DBADFB-1DDD-494B-BD57-A57FFC80C6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129</TotalTime>
  <Pages>10</Pages>
  <Words>1959</Words>
  <Characters>11172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Faculty of Education Health and Wellbeing, School of Public Health Studies
5HW047: Holistic Approaches to Healthcare</vt:lpstr>
    </vt:vector>
  </TitlesOfParts>
  <Company/>
  <LinksUpToDate>false</LinksUpToDate>
  <CharactersWithSpaces>13105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Faculty of Education Health and Wellbeing, School of Public Health Studies
5HW047: Holistic Approaches to Healthcare</dc:title>
  <dc:subject/>
  <dc:creator>Agha Hannan</dc:creator>
  <cp:keywords/>
  <dc:description/>
  <cp:lastModifiedBy>Agha Muhammad Hannan Jillani</cp:lastModifiedBy>
  <cp:revision>19</cp:revision>
  <dcterms:created xsi:type="dcterms:W3CDTF">2023-04-29T02:16:00Z</dcterms:created>
  <dcterms:modified xsi:type="dcterms:W3CDTF">2023-04-29T18:13:00Z</dcterms:modified>
</cp:coreProperties>
</file>