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82678" w14:textId="6AB24062" w:rsidR="0028141A" w:rsidRPr="0028141A" w:rsidRDefault="0028141A" w:rsidP="0028141A">
      <w:pPr>
        <w:rPr>
          <w:b/>
          <w:bCs/>
        </w:rPr>
      </w:pPr>
      <w:r w:rsidRPr="0028141A">
        <w:rPr>
          <w:b/>
          <w:bCs/>
        </w:rPr>
        <w:t>Research conducted on behalf of HMICFRS found that if people do not believe that the police treat the public fairly and with respect, they are significantly less likely to report crime either as a victim or a witness (BMG Research, 2018). How effective are measures in place to ensure that officers act with integrity and treat the public fairly and with respect?</w:t>
      </w:r>
    </w:p>
    <w:p w14:paraId="25DEF319" w14:textId="77777777" w:rsidR="00057861" w:rsidRDefault="00057861" w:rsidP="00057861">
      <w:r>
        <w:t xml:space="preserve">Recent news stories of police officers such as Wayne Couzens being found guilty of the kidnap, rape and murder of Sarah Everard has had a detrimental impact on the </w:t>
      </w:r>
      <w:proofErr w:type="spellStart"/>
      <w:proofErr w:type="gramStart"/>
      <w:r>
        <w:t>publics</w:t>
      </w:r>
      <w:proofErr w:type="spellEnd"/>
      <w:proofErr w:type="gramEnd"/>
      <w:r>
        <w:t xml:space="preserve"> confidence in the service in which the police provide (</w:t>
      </w:r>
      <w:proofErr w:type="spellStart"/>
      <w:r>
        <w:t>Lowerson</w:t>
      </w:r>
      <w:proofErr w:type="spellEnd"/>
      <w:r>
        <w:t xml:space="preserve"> 2022).  </w:t>
      </w:r>
    </w:p>
    <w:p w14:paraId="7520CBFD" w14:textId="77777777" w:rsidR="00057861" w:rsidRDefault="00057861" w:rsidP="00057861">
      <w:r>
        <w:t xml:space="preserve">This increased lack of confidence in the police was then made worse </w:t>
      </w:r>
      <w:proofErr w:type="gramStart"/>
      <w:r>
        <w:t>by the way the</w:t>
      </w:r>
      <w:proofErr w:type="gramEnd"/>
      <w:r>
        <w:t xml:space="preserve"> police handled the vigil for Sarah 10 days after her death, whereby attendees were arrested for breaking covid regulations which were in place at the time (</w:t>
      </w:r>
      <w:proofErr w:type="spellStart"/>
      <w:r>
        <w:t>Horeck</w:t>
      </w:r>
      <w:proofErr w:type="spellEnd"/>
      <w:r>
        <w:t xml:space="preserve">, et al 2023). This vigil was 4 days after Wayne had been arrested. </w:t>
      </w:r>
    </w:p>
    <w:p w14:paraId="063E94D0" w14:textId="77777777" w:rsidR="00057861" w:rsidRDefault="00057861" w:rsidP="00057861">
      <w:r>
        <w:t>Following this vigil, thousands of women posted videos on TikTok and other social media platforms talking about their experiences with sexual abuse and how they never bothered reporting it due to the little faith they had in the police (Bain, 2021).</w:t>
      </w:r>
    </w:p>
    <w:p w14:paraId="29DF9242" w14:textId="77777777" w:rsidR="00057861" w:rsidRDefault="00057861" w:rsidP="00057861">
      <w:r>
        <w:t xml:space="preserve">This is not the only news story to make headlines in recent times, there have been many other news stories involving serving police officers which have heavily impacted the reputation of the police. </w:t>
      </w:r>
    </w:p>
    <w:p w14:paraId="00FAA547" w14:textId="77777777" w:rsidR="00057861" w:rsidRDefault="00057861" w:rsidP="00057861">
      <w:r>
        <w:t xml:space="preserve">Stories such as Deniz Jaffer and Jamie Lewis, who took photos of two murdered sisters and shared them into a WhatsApp group (Metropolitan Police, 2021), and another story of 6 police officers who were found guilty of sharing misogynistic and racist messages to a WhatsApp group (NPCC 2022). These stories add to the </w:t>
      </w:r>
      <w:proofErr w:type="spellStart"/>
      <w:r>
        <w:t>publics</w:t>
      </w:r>
      <w:proofErr w:type="spellEnd"/>
      <w:r>
        <w:t xml:space="preserve"> perception that the police do not act with </w:t>
      </w:r>
      <w:proofErr w:type="gramStart"/>
      <w:r>
        <w:t>integrity</w:t>
      </w:r>
      <w:proofErr w:type="gramEnd"/>
      <w:r>
        <w:t xml:space="preserve"> nor do they treat the public with respect.</w:t>
      </w:r>
    </w:p>
    <w:p w14:paraId="2AA34A38" w14:textId="77777777" w:rsidR="00057861" w:rsidRDefault="00057861" w:rsidP="00057861">
      <w:r>
        <w:t xml:space="preserve">In 2022 the Independent Office for Police Conduct published the Hotton Report, this was following complaints into sexism, </w:t>
      </w:r>
      <w:proofErr w:type="gramStart"/>
      <w:r>
        <w:t>racism</w:t>
      </w:r>
      <w:proofErr w:type="gramEnd"/>
      <w:r>
        <w:t xml:space="preserve"> and misogyny within Charing Cross Police Station. The Hotton Report details that they do not believe that the incidents which they refer to were isolated or down to a ‘few bad </w:t>
      </w:r>
      <w:proofErr w:type="gramStart"/>
      <w:r>
        <w:t>apples’</w:t>
      </w:r>
      <w:proofErr w:type="gramEnd"/>
      <w:r>
        <w:t xml:space="preserve">. (IOPC, 2022). Again, this is will only ever have an adverse impact on the </w:t>
      </w:r>
      <w:proofErr w:type="spellStart"/>
      <w:proofErr w:type="gramStart"/>
      <w:r>
        <w:t>publics</w:t>
      </w:r>
      <w:proofErr w:type="spellEnd"/>
      <w:proofErr w:type="gramEnd"/>
      <w:r>
        <w:t xml:space="preserve"> perception of the police and the confidence the public have in reporting crimes. </w:t>
      </w:r>
    </w:p>
    <w:p w14:paraId="55630D60" w14:textId="77777777" w:rsidR="00057861" w:rsidRDefault="00057861" w:rsidP="00057861">
      <w:r>
        <w:t xml:space="preserve">There is a strong consensus that victims in England and Wales are likely to encounter barriers when reporting crimes and concerns to the police (Taylor-Dun et al, 2021). A large section of the public </w:t>
      </w:r>
      <w:proofErr w:type="gramStart"/>
      <w:r>
        <w:t>are</w:t>
      </w:r>
      <w:proofErr w:type="gramEnd"/>
      <w:r>
        <w:t xml:space="preserve"> of the opinion that they will not be taken seriously (</w:t>
      </w:r>
      <w:proofErr w:type="spellStart"/>
      <w:r>
        <w:t>Korkodeilou</w:t>
      </w:r>
      <w:proofErr w:type="spellEnd"/>
      <w:r>
        <w:t xml:space="preserve">, 2014) and they don’t deem the police to be helpful (Galeazzi et al, 2009). </w:t>
      </w:r>
      <w:proofErr w:type="spellStart"/>
      <w:r>
        <w:t>Korkodeilou</w:t>
      </w:r>
      <w:proofErr w:type="spellEnd"/>
      <w:r>
        <w:t xml:space="preserve"> has also raised concerns that there is a perception from the public that they may face a victim blaming response from the police or that the police may be insensitive to their situation (</w:t>
      </w:r>
      <w:proofErr w:type="spellStart"/>
      <w:r>
        <w:t>Korkodeilou</w:t>
      </w:r>
      <w:proofErr w:type="spellEnd"/>
      <w:r>
        <w:t>, 2014) (Melton 2005).</w:t>
      </w:r>
    </w:p>
    <w:p w14:paraId="540508B5" w14:textId="77777777" w:rsidR="00057861" w:rsidRDefault="00057861" w:rsidP="00057861">
      <w:r>
        <w:t xml:space="preserve">Brady and Nobels also highlight that there is a common belief that police won’t </w:t>
      </w:r>
      <w:proofErr w:type="gramStart"/>
      <w:r>
        <w:t>take action</w:t>
      </w:r>
      <w:proofErr w:type="gramEnd"/>
      <w:r>
        <w:t xml:space="preserve">, which then makes witnesses and victims fearful to engage in fear of retaliation offences committed by a suspect following a report to the police (Brady and Nobles, 2017). </w:t>
      </w:r>
    </w:p>
    <w:p w14:paraId="602BEE67" w14:textId="77777777" w:rsidR="00057861" w:rsidRDefault="00057861" w:rsidP="00057861">
      <w:r>
        <w:t xml:space="preserve">Deputy Chief Constable, Janette McCormick who at the time was the director of the College of Policing stated that “The principle of impartiality is a cornerstone of British policing. Whenever there is a perception that impartiality has been eroded it damages police legitimacy and undermines effective and objective investigations”, Janette then goes onto say that “The public must trust the police, otherwise we risk those genuinely reporting crime no longer coming forwards”. (The College of Policing, 2019). </w:t>
      </w:r>
      <w:proofErr w:type="gramStart"/>
      <w:r>
        <w:t>In order to</w:t>
      </w:r>
      <w:proofErr w:type="gramEnd"/>
      <w:r>
        <w:t xml:space="preserve"> have uniformity across the different police </w:t>
      </w:r>
      <w:r>
        <w:lastRenderedPageBreak/>
        <w:t xml:space="preserve">services within England &amp; Wales and to increase the </w:t>
      </w:r>
      <w:proofErr w:type="spellStart"/>
      <w:r>
        <w:t>publics</w:t>
      </w:r>
      <w:proofErr w:type="spellEnd"/>
      <w:r>
        <w:t xml:space="preserve"> confidence in policing, the College of Policing have created the Code of Ethics which officers should adhere to when dealing with all areas of policing.</w:t>
      </w:r>
    </w:p>
    <w:p w14:paraId="1065DFC7" w14:textId="77777777" w:rsidR="00057861" w:rsidRDefault="00057861" w:rsidP="00057861">
      <w:r>
        <w:t xml:space="preserve">The College of Policing have updated these in 2024 and they get reiterated to police officers on a regular basis to set out guidance on how they should act as a serving police officer, both on duty and off duty. The Code of Ethics aims for police to act in the highest of standards in their service to the public. Examples of what is contained in The Code are principles such as respect and fairness. (College of Policing, 2014). </w:t>
      </w:r>
    </w:p>
    <w:p w14:paraId="2F46A086" w14:textId="77777777" w:rsidR="00057861" w:rsidRDefault="00057861" w:rsidP="00057861">
      <w:r>
        <w:t xml:space="preserve">The Code of Ethics is part of the College of Policing’s plan to make the police force more professional by providing a formal set of guidelines that officers must adhere to. The code of ethics makes it a requirement for officers to report any misconduct or misdemeanours that an officer might see another officer commit (Rowe et al, 2016). </w:t>
      </w:r>
    </w:p>
    <w:p w14:paraId="4388F63E" w14:textId="77777777" w:rsidR="00057861" w:rsidRDefault="00057861" w:rsidP="00057861">
      <w:r>
        <w:t xml:space="preserve">However (Campell, et al. 2019) states that ensuring that justice prevails is more important to police officers than being bound to any principles. If you read (Bowling et al, 2019), they suggest that </w:t>
      </w:r>
      <w:proofErr w:type="gramStart"/>
      <w:r>
        <w:t>there</w:t>
      </w:r>
      <w:proofErr w:type="gramEnd"/>
      <w:r>
        <w:t xml:space="preserve"> other versions of ethics set out within police forces, these principles are more commonly known as ‘cop culture’. </w:t>
      </w:r>
    </w:p>
    <w:p w14:paraId="785B7FE3" w14:textId="77777777" w:rsidR="00057861" w:rsidRDefault="00057861" w:rsidP="00057861">
      <w:r>
        <w:t xml:space="preserve">Research has been conducted in 3 different force areas, including rural and metropolitan areas into how effective the Code of Ethics is in dealing with different scenarios the police might face, for example the code would unacceptable behaviours such as an officer stealing money or </w:t>
      </w:r>
      <w:proofErr w:type="gramStart"/>
      <w:r>
        <w:t>goods</w:t>
      </w:r>
      <w:proofErr w:type="gramEnd"/>
      <w:r>
        <w:t xml:space="preserve"> but the code might not stretch to covering using ‘dirty’ actions for ‘good means’. The example they give is an officer using excessive force following a lengthy foot chase with a suspect as ‘punishment’ (</w:t>
      </w:r>
      <w:proofErr w:type="spellStart"/>
      <w:r>
        <w:t>Westmarland</w:t>
      </w:r>
      <w:proofErr w:type="spellEnd"/>
      <w:r>
        <w:t xml:space="preserve"> et al, 2018). This is also referred to </w:t>
      </w:r>
      <w:proofErr w:type="spellStart"/>
      <w:r>
        <w:t>has</w:t>
      </w:r>
      <w:proofErr w:type="spellEnd"/>
      <w:r>
        <w:t xml:space="preserve"> ‘Dirty Harry’ syndrome (Punch, 2009).  </w:t>
      </w:r>
      <w:proofErr w:type="gramStart"/>
      <w:r>
        <w:t>Both of these</w:t>
      </w:r>
      <w:proofErr w:type="gramEnd"/>
      <w:r>
        <w:t xml:space="preserve"> academics argue that the policing bending rules put in place for either a personal gain or for a job gain undermined the </w:t>
      </w:r>
      <w:proofErr w:type="spellStart"/>
      <w:r>
        <w:t>publics</w:t>
      </w:r>
      <w:proofErr w:type="spellEnd"/>
      <w:r>
        <w:t xml:space="preserve"> faith in police and back up the argument that the police do not treat the public fairly and that it is one rule for them and another for us attitude. </w:t>
      </w:r>
    </w:p>
    <w:p w14:paraId="69461FB9" w14:textId="77777777" w:rsidR="00057861" w:rsidRDefault="00057861" w:rsidP="00057861">
      <w:r>
        <w:t xml:space="preserve">Myhill comments that police officers need to reconnect with the public to create stronger links within different communities which could in turn help build communities confidence in policing if each community feels that the police is engaging with them and that the police force is representative of their believes, views and values (Myhill, et al 2013). </w:t>
      </w:r>
    </w:p>
    <w:p w14:paraId="423BEA94" w14:textId="77777777" w:rsidR="00057861" w:rsidRDefault="00057861" w:rsidP="00057861">
      <w:r>
        <w:t xml:space="preserve">The Ministry of Justice has created the Victim’s Code of Practice which sets out the minimum service that victims should receive. This ensures that victims are treated with respect and dignity and have services available to them to engage in the criminal justice procedure without facing any discrimination (Ministry of Justice, 2024). It is important to remember that it only takes a person to have one negative interaction with the police for them to change their view on the police force as a whole – therefore it is important that officers are consistently treating victims and witnesses fairly and with the upmost respect, as without engagement from victims and witnesses we would not be able to investigate crime effectively. </w:t>
      </w:r>
    </w:p>
    <w:p w14:paraId="0FA2F899" w14:textId="77777777" w:rsidR="00057861" w:rsidRDefault="00057861" w:rsidP="00057861"/>
    <w:p w14:paraId="7A27CE56" w14:textId="77777777" w:rsidR="00057861" w:rsidRDefault="00057861" w:rsidP="00057861">
      <w:r>
        <w:t>Word Count: 1099</w:t>
      </w:r>
    </w:p>
    <w:p w14:paraId="4E9D1FB4" w14:textId="77777777" w:rsidR="00D41DB1" w:rsidRDefault="00D41DB1" w:rsidP="0028141A"/>
    <w:p w14:paraId="0AE52D4E" w14:textId="77777777" w:rsidR="00D41DB1" w:rsidRDefault="00D41DB1" w:rsidP="0028141A"/>
    <w:p w14:paraId="5109C94D" w14:textId="77777777" w:rsidR="00D41DB1" w:rsidRPr="00D41DB1" w:rsidRDefault="00D41DB1" w:rsidP="00D41DB1">
      <w:pPr>
        <w:rPr>
          <w:b/>
          <w:bCs/>
        </w:rPr>
      </w:pPr>
      <w:r w:rsidRPr="00D41DB1">
        <w:rPr>
          <w:b/>
          <w:bCs/>
        </w:rPr>
        <w:lastRenderedPageBreak/>
        <w:t>Assess the extent of response officers’ role in dealing with critical and major incidents.</w:t>
      </w:r>
    </w:p>
    <w:p w14:paraId="58D5C310" w14:textId="77777777" w:rsidR="00E425E7" w:rsidRDefault="00E425E7" w:rsidP="00E425E7">
      <w:bookmarkStart w:id="0" w:name="_Hlk170738824"/>
      <w:r>
        <w:t xml:space="preserve">Being a response police officer requires numerous different skills, including critical thinking skills and </w:t>
      </w:r>
      <w:proofErr w:type="gramStart"/>
      <w:r>
        <w:t>problem solving</w:t>
      </w:r>
      <w:proofErr w:type="gramEnd"/>
      <w:r>
        <w:t xml:space="preserve"> skills. It requires the ability to remain calm when the situation around is fast paced and ever changing. Response police officers need to take control and use a dynamic </w:t>
      </w:r>
      <w:proofErr w:type="gramStart"/>
      <w:r>
        <w:t>decision making</w:t>
      </w:r>
      <w:proofErr w:type="gramEnd"/>
      <w:r>
        <w:t xml:space="preserve"> model, this is so important as the circumstances are developing and potentially uncertain. According to (Roycroft, et al. 2019), even with all the advanced technology available, humans are still the ones making the decisions, not the machines. </w:t>
      </w:r>
    </w:p>
    <w:p w14:paraId="1BA92D6F" w14:textId="77777777" w:rsidR="00E425E7" w:rsidRDefault="00E425E7" w:rsidP="00E425E7">
      <w:r>
        <w:t xml:space="preserve">When dealing with critical and major incidents which involve numerous different emergencies services, a JESIP model is undertaken. </w:t>
      </w:r>
    </w:p>
    <w:p w14:paraId="4440AF06" w14:textId="77777777" w:rsidR="00E425E7" w:rsidRDefault="00E425E7" w:rsidP="00E425E7">
      <w:r>
        <w:t>JESIP is the Joint Emergency Services Interoperability Programme, it has been created to provide structure during a response to all major incidents to ensure that all emergency services are working effectively. Multi agency working can be complex, made worse by different agencies having different structures and operating guidelines and safeguarding policies. (Dixson et al 2022).</w:t>
      </w:r>
    </w:p>
    <w:p w14:paraId="00875FC3" w14:textId="77777777" w:rsidR="00E425E7" w:rsidRDefault="00E425E7" w:rsidP="00E425E7">
      <w:r>
        <w:t xml:space="preserve">JESIP was introduced in 2012 after a report was submitted to the Home Secretary by the Association of Chief Police Officers, Chief Fire Officers Association and Association of Ambulance Chief Executives. The report was submitted following failings in joint emergency services responses to serious incidents such as the 2005 July London bombings and the Cumbria shootings whereby Derrick Bird shot 12 people in 2010 (His Majesty’s Inspectorate of Constabulary and Fire &amp; Rescue Services, 2018). </w:t>
      </w:r>
    </w:p>
    <w:p w14:paraId="64716280" w14:textId="77777777" w:rsidR="00E425E7" w:rsidRDefault="00E425E7" w:rsidP="00E425E7">
      <w:r>
        <w:t>Research shows that there are frequent and persistent issues when dealing with a multi-agency response during a critical incident. Many of these problems centre around communication and coordination. Poor communication and coordination were found to be contributing factors in 32 incidents between 1986 – 2010, this includes the Hillsborough disaster (Pollock, 2013). Whilst these incidents are historic, they have contributed to the development of practices which are now in place.</w:t>
      </w:r>
    </w:p>
    <w:p w14:paraId="6CDCBE36" w14:textId="77777777" w:rsidR="00E425E7" w:rsidRDefault="00E425E7" w:rsidP="00E425E7">
      <w:r>
        <w:t xml:space="preserve">JESIP creates five standardized and simple principles which should be implemented by response officers and other emergency services as early on in a critical incident as possible (JESIP, 2021). The principles are as follows; co-locate, communicate, coordination joint understanding of risk and shared situational awareness. </w:t>
      </w:r>
    </w:p>
    <w:p w14:paraId="6B7A10A1" w14:textId="77777777" w:rsidR="00E425E7" w:rsidRDefault="00E425E7" w:rsidP="00E425E7">
      <w:r>
        <w:t xml:space="preserve">JESIP has also established the M/ETHANE method and a joint </w:t>
      </w:r>
      <w:proofErr w:type="gramStart"/>
      <w:r>
        <w:t>decision making</w:t>
      </w:r>
      <w:proofErr w:type="gramEnd"/>
      <w:r>
        <w:t xml:space="preserve"> model. These should also be utilised in the event of a major incident. M/ETHANE is also a common structure which is taught and understood across different emergency services. The M/ETHANE model requires the first responders on scene to send a M/ETHANE message to their control room to give an early update so that an adequate response can be established without any delay. </w:t>
      </w:r>
    </w:p>
    <w:p w14:paraId="44DCE9CC" w14:textId="77777777" w:rsidR="00E425E7" w:rsidRDefault="00E425E7" w:rsidP="00E425E7">
      <w:r>
        <w:t>Academics such as Rachel Bayliss and Tom Hurst state that the environmental factors could influence which service takes the lead and which service is required, hazardous or firearms teams might be required to make the scene safe (Bayliss et al, 2023).</w:t>
      </w:r>
    </w:p>
    <w:p w14:paraId="6A0213F1" w14:textId="77777777" w:rsidR="00E425E7" w:rsidRDefault="00E425E7" w:rsidP="00E425E7">
      <w:r>
        <w:t>During a major incident, the polices role should be flexible, as they may have to do the role of another emergency service until that service arrives. E.g. medical assistance.</w:t>
      </w:r>
      <w:r>
        <w:br/>
        <w:t xml:space="preserve">However whilst saving life and limb and the safety of everyone at the scene is paramount, a cordon should be established </w:t>
      </w:r>
      <w:proofErr w:type="gramStart"/>
      <w:r>
        <w:t>in order to</w:t>
      </w:r>
      <w:proofErr w:type="gramEnd"/>
      <w:r>
        <w:t xml:space="preserve"> prevent any contamination of any potential crime </w:t>
      </w:r>
      <w:r>
        <w:lastRenderedPageBreak/>
        <w:t xml:space="preserve">scene. Officers will be unable to recover evidence that has been damaged or destroyed from inadequate decision making or subsequent poor scene management (Rose 2021). </w:t>
      </w:r>
    </w:p>
    <w:p w14:paraId="6CC406C6" w14:textId="77777777" w:rsidR="00E425E7" w:rsidRDefault="00E425E7" w:rsidP="00E425E7">
      <w:r>
        <w:t xml:space="preserve">Once safety of everyone at scene has been established and a scene has been set up and co-ordinated, the police should look at the wider picture as to what has happened. Officers should adopt the golden hour principles and establish who is involved, witnesses and their connection to the incident, any vulnerabilities with suspect/victim/witnesses. Officers should </w:t>
      </w:r>
      <w:proofErr w:type="gramStart"/>
      <w:r>
        <w:t>look into</w:t>
      </w:r>
      <w:proofErr w:type="gramEnd"/>
      <w:r>
        <w:t xml:space="preserve"> taking relevant statements and relaying this information back to control and supervisors. Relevant CCTV should also be established and secured (Stainton et al 2022). College of Policing’s Authorised Professional Practice details that a log should also be commenced, intelligence gathered along with physical evidence being recovered and seized correctly. </w:t>
      </w:r>
    </w:p>
    <w:p w14:paraId="3744CE4B" w14:textId="77777777" w:rsidR="00E425E7" w:rsidRDefault="00E425E7" w:rsidP="00E425E7">
      <w:proofErr w:type="gramStart"/>
      <w:r>
        <w:t>However</w:t>
      </w:r>
      <w:proofErr w:type="gramEnd"/>
      <w:r>
        <w:t xml:space="preserve"> there is still evidence of basic evidence gathering not being undertaken by police officers who have initially attended the scene during major incidents which have </w:t>
      </w:r>
      <w:proofErr w:type="spellStart"/>
      <w:r>
        <w:t>lead</w:t>
      </w:r>
      <w:proofErr w:type="spellEnd"/>
      <w:r>
        <w:t xml:space="preserve"> to major investigations. This then means that vital evidence is </w:t>
      </w:r>
      <w:proofErr w:type="gramStart"/>
      <w:r>
        <w:t>lost</w:t>
      </w:r>
      <w:proofErr w:type="gramEnd"/>
      <w:r>
        <w:t xml:space="preserve"> and prospects of convictions are reduced to poor/inadmissible evidence (Roycroft, 2021). Roycroft details examples of investigations whereby response officers to SIO’s have failed to identify potential witnesses in time or recover exhibits, or on the other end of the scale have become so overwhelmed with information and evidence that they have gathered they simply could not cope. Roycroft sates that this was the case with the Soham murders. Roycroft highlights that further training is required to all areas of policing to ensure that repeated failures do not occur. </w:t>
      </w:r>
    </w:p>
    <w:p w14:paraId="65AAF088" w14:textId="77777777" w:rsidR="00E425E7" w:rsidRDefault="00E425E7" w:rsidP="00E425E7">
      <w:proofErr w:type="gramStart"/>
      <w:r>
        <w:t>Unfortunately</w:t>
      </w:r>
      <w:proofErr w:type="gramEnd"/>
      <w:r>
        <w:t xml:space="preserve"> inquiries on major incidents that have occurred following the introduction of JESIP still show that there are significant challenges in emergency services adopting the JESIP approach (Davidson, et al. 2022). An enquiry following the Manchester Arena bombings found that important information regarding the suspected nature of the ongoing incident was not shared between agencies, this is then said to have affected how the services have approached and responded to the incident. Had the updates been shared effectively, the response police could have established potential witnesses earlier on and undertaken the relevant golden hour enquiries (Kerslake, 2018).</w:t>
      </w:r>
    </w:p>
    <w:p w14:paraId="69DA70B6" w14:textId="77777777" w:rsidR="00E425E7" w:rsidRDefault="00E425E7" w:rsidP="00E425E7">
      <w:r>
        <w:t>A report following Grenfell highlighted failures in the control room communication information about how fast the fire was spreading inside the building (Moore-</w:t>
      </w:r>
      <w:proofErr w:type="spellStart"/>
      <w:r>
        <w:t>bick</w:t>
      </w:r>
      <w:proofErr w:type="spellEnd"/>
      <w:r>
        <w:t xml:space="preserve">, 2019). The public inquiry that followed Grenfell showed that each emergency service in attendance declared a major incident however this information was not shared to other emergency services, the report by Sir Martin Moore-Bick stated that the “lack of communication was a serious failure to comply with the joint working arrangements and protocols designed for major emergencies in London” the report also goes onto say that “the conversations that should have taken place between the supervisors of different control rooms did not happen”. Had this been communicated effectively whilst the fire </w:t>
      </w:r>
      <w:proofErr w:type="gramStart"/>
      <w:r>
        <w:t>were</w:t>
      </w:r>
      <w:proofErr w:type="gramEnd"/>
      <w:r>
        <w:t xml:space="preserve"> dealing with their aspect of the investigation, the police could have been gathering other information and intelligence early on at scene to aid in the investigation – something which is an integral part of a response officers role (Moore-</w:t>
      </w:r>
      <w:proofErr w:type="spellStart"/>
      <w:r>
        <w:t>bick</w:t>
      </w:r>
      <w:proofErr w:type="spellEnd"/>
      <w:r>
        <w:t>, 2019).</w:t>
      </w:r>
    </w:p>
    <w:p w14:paraId="7C22F81D" w14:textId="77777777" w:rsidR="00E425E7" w:rsidRDefault="00E425E7" w:rsidP="00E425E7">
      <w:r>
        <w:t>These reports highlight that whilst JESIP has improved communication and coordination between resources it is important that each response officer who is first on scene is familiar with the JESIP principles and the M/ETHANE approach and response officers are adequately trained in what their initial role at scene should involve following the preservation of life and limb.</w:t>
      </w:r>
    </w:p>
    <w:p w14:paraId="6495765B" w14:textId="77777777" w:rsidR="00E425E7" w:rsidRDefault="00E425E7" w:rsidP="00E425E7"/>
    <w:p w14:paraId="54EA6AC8" w14:textId="77777777" w:rsidR="00E425E7" w:rsidRDefault="00E425E7" w:rsidP="00E425E7">
      <w:r>
        <w:lastRenderedPageBreak/>
        <w:t>Word Count: 1087</w:t>
      </w:r>
    </w:p>
    <w:p w14:paraId="400F5FCF" w14:textId="77777777" w:rsidR="00E425E7" w:rsidRPr="00236A3E" w:rsidRDefault="00E425E7" w:rsidP="00E425E7"/>
    <w:p w14:paraId="5C36A812" w14:textId="77777777" w:rsidR="00DF38ED" w:rsidRDefault="00DF38ED" w:rsidP="00D41DB1"/>
    <w:p w14:paraId="38166C1A" w14:textId="77777777" w:rsidR="00E425E7" w:rsidRDefault="00E425E7" w:rsidP="00D41DB1"/>
    <w:p w14:paraId="1531CFF9" w14:textId="77777777" w:rsidR="00E425E7" w:rsidRDefault="00E425E7" w:rsidP="00D41DB1"/>
    <w:p w14:paraId="46EC9BC4" w14:textId="77777777" w:rsidR="00E425E7" w:rsidRDefault="00E425E7" w:rsidP="00D41DB1"/>
    <w:p w14:paraId="43D2FFDB" w14:textId="77777777" w:rsidR="00E425E7" w:rsidRDefault="00E425E7" w:rsidP="00D41DB1"/>
    <w:p w14:paraId="077E8DB3" w14:textId="77777777" w:rsidR="00E425E7" w:rsidRDefault="00E425E7" w:rsidP="00D41DB1"/>
    <w:p w14:paraId="5A20462C" w14:textId="77777777" w:rsidR="00E425E7" w:rsidRDefault="00E425E7" w:rsidP="00D41DB1"/>
    <w:p w14:paraId="2626E665" w14:textId="77777777" w:rsidR="00E425E7" w:rsidRDefault="00E425E7" w:rsidP="00D41DB1"/>
    <w:p w14:paraId="5DB6C6FF" w14:textId="77777777" w:rsidR="00E425E7" w:rsidRDefault="00E425E7" w:rsidP="00D41DB1"/>
    <w:p w14:paraId="525641FD" w14:textId="77777777" w:rsidR="00E425E7" w:rsidRDefault="00E425E7" w:rsidP="00D41DB1"/>
    <w:p w14:paraId="58A43306" w14:textId="77777777" w:rsidR="00E425E7" w:rsidRDefault="00E425E7" w:rsidP="00D41DB1"/>
    <w:p w14:paraId="5B0DC63E" w14:textId="77777777" w:rsidR="00E425E7" w:rsidRDefault="00E425E7" w:rsidP="00D41DB1"/>
    <w:p w14:paraId="216D6993" w14:textId="77777777" w:rsidR="00E425E7" w:rsidRDefault="00E425E7" w:rsidP="00D41DB1"/>
    <w:p w14:paraId="5AE4F798" w14:textId="77777777" w:rsidR="00DF38ED" w:rsidRDefault="00DF38ED" w:rsidP="00D41DB1"/>
    <w:bookmarkEnd w:id="0"/>
    <w:p w14:paraId="73F02722" w14:textId="77777777" w:rsidR="00DF38ED" w:rsidRDefault="00DF38ED" w:rsidP="00D41DB1"/>
    <w:p w14:paraId="0C0C0271" w14:textId="77777777" w:rsidR="00DF38ED" w:rsidRDefault="00DF38ED" w:rsidP="00D41DB1"/>
    <w:p w14:paraId="2D0C0AE1" w14:textId="77777777" w:rsidR="00DF38ED" w:rsidRDefault="00DF38ED" w:rsidP="00D41DB1"/>
    <w:p w14:paraId="198107EF" w14:textId="77777777" w:rsidR="00DF38ED" w:rsidRDefault="00DF38ED" w:rsidP="00D41DB1"/>
    <w:p w14:paraId="3572B8FA" w14:textId="77777777" w:rsidR="00DF38ED" w:rsidRDefault="00DF38ED" w:rsidP="00D41DB1"/>
    <w:p w14:paraId="61D0B440" w14:textId="77777777" w:rsidR="00DF38ED" w:rsidRDefault="00DF38ED" w:rsidP="00D41DB1"/>
    <w:p w14:paraId="77D52176" w14:textId="77777777" w:rsidR="00DF38ED" w:rsidRDefault="00DF38ED" w:rsidP="00D41DB1"/>
    <w:p w14:paraId="0EB584D0" w14:textId="77777777" w:rsidR="00DF38ED" w:rsidRDefault="00DF38ED" w:rsidP="00D41DB1"/>
    <w:p w14:paraId="0A4CFE93" w14:textId="77777777" w:rsidR="00DF38ED" w:rsidRDefault="00DF38ED" w:rsidP="00D41DB1"/>
    <w:p w14:paraId="0C258326" w14:textId="77777777" w:rsidR="00DF38ED" w:rsidRDefault="00DF38ED" w:rsidP="00D41DB1"/>
    <w:p w14:paraId="2608AFA5" w14:textId="77777777" w:rsidR="00DF38ED" w:rsidRDefault="00DF38ED" w:rsidP="00D41DB1"/>
    <w:p w14:paraId="6214FEEC" w14:textId="77777777" w:rsidR="00DF38ED" w:rsidRDefault="00DF38ED" w:rsidP="00D41DB1"/>
    <w:p w14:paraId="2A81432B" w14:textId="77777777" w:rsidR="00DF38ED" w:rsidRDefault="00DF38ED" w:rsidP="00D41DB1"/>
    <w:p w14:paraId="154667EF" w14:textId="77777777" w:rsidR="00DF38ED" w:rsidRDefault="00DF38ED" w:rsidP="00D41DB1"/>
    <w:p w14:paraId="3A9EA0BC" w14:textId="77777777" w:rsidR="00DF38ED" w:rsidRDefault="00DF38ED" w:rsidP="00D41DB1"/>
    <w:p w14:paraId="11B14817" w14:textId="77777777" w:rsidR="00DF38ED" w:rsidRDefault="00DF38ED" w:rsidP="00D41DB1"/>
    <w:p w14:paraId="414EBE84" w14:textId="77777777" w:rsidR="00DF38ED" w:rsidRPr="00DF38ED" w:rsidRDefault="00DF38ED" w:rsidP="00DF38ED">
      <w:pPr>
        <w:rPr>
          <w:b/>
          <w:bCs/>
        </w:rPr>
      </w:pPr>
      <w:r w:rsidRPr="00DF38ED">
        <w:rPr>
          <w:b/>
          <w:bCs/>
        </w:rPr>
        <w:t xml:space="preserve">Examine the various socio-economic and psychological characteristics which can make people vulnerable to exploitation by criminal </w:t>
      </w:r>
      <w:proofErr w:type="gramStart"/>
      <w:r w:rsidRPr="00DF38ED">
        <w:rPr>
          <w:b/>
          <w:bCs/>
        </w:rPr>
        <w:t>gangs</w:t>
      </w:r>
      <w:proofErr w:type="gramEnd"/>
      <w:r w:rsidRPr="00DF38ED">
        <w:rPr>
          <w:b/>
          <w:bCs/>
        </w:rPr>
        <w:t xml:space="preserve"> </w:t>
      </w:r>
    </w:p>
    <w:p w14:paraId="1E5A62FB" w14:textId="6113444D" w:rsidR="00E4767A" w:rsidRDefault="00E4767A" w:rsidP="00E4767A">
      <w:bookmarkStart w:id="1" w:name="_Hlk170745094"/>
      <w:r>
        <w:t xml:space="preserve">According to the Children’s Commissioner, the word ‘gang’ can mean different things to different people. It can range </w:t>
      </w:r>
      <w:proofErr w:type="gramStart"/>
      <w:r>
        <w:t>from a small social grouping,</w:t>
      </w:r>
      <w:proofErr w:type="gramEnd"/>
      <w:r>
        <w:t xml:space="preserve"> to a group of young people who view their group’s identity as being involved in crime and violence, to an organised criminal gang. </w:t>
      </w:r>
      <w:proofErr w:type="spellStart"/>
      <w:r>
        <w:t>Its</w:t>
      </w:r>
      <w:proofErr w:type="spellEnd"/>
      <w:r>
        <w:t xml:space="preserve"> important to remember that not every gang is dangerous and not every gang is criminal, however gangs can be linked to criminal activity such as drugs, </w:t>
      </w:r>
      <w:proofErr w:type="gramStart"/>
      <w:r>
        <w:t>trafficking</w:t>
      </w:r>
      <w:proofErr w:type="gramEnd"/>
      <w:r>
        <w:t xml:space="preserve"> and violent crime. (Children's Commissioner, 2019).</w:t>
      </w:r>
    </w:p>
    <w:p w14:paraId="0C93EB69" w14:textId="77777777" w:rsidR="00E4767A" w:rsidRDefault="00E4767A" w:rsidP="00E4767A">
      <w:r>
        <w:t xml:space="preserve">The word vulnerability can be defined in </w:t>
      </w:r>
      <w:proofErr w:type="gramStart"/>
      <w:r>
        <w:t>many different ways</w:t>
      </w:r>
      <w:proofErr w:type="gramEnd"/>
      <w:r>
        <w:t xml:space="preserve">. Oxford Dictionary defines being vulnerable as being weak and easily hurt either physically or emotionally. Whereas Neil Adger defines vulnerability in his article as the “state of susceptibility to harm from exposure to stresses associated with environmental and social change and from the absence of capacity to adapt” (Adger, 2006). </w:t>
      </w:r>
    </w:p>
    <w:p w14:paraId="21BAE5C6" w14:textId="77777777" w:rsidR="00E4767A" w:rsidRDefault="00E4767A" w:rsidP="00E4767A">
      <w:r>
        <w:t>Criminal gangs or organised crime groups (OCG’s) tend to target vulnerable people from low socio-economic backgrounds and exploit them.</w:t>
      </w:r>
      <w:r>
        <w:br/>
        <w:t xml:space="preserve">Children can be seen to be at risk of exploitation by OCG’s for numerous reasons. Research into child exploitation by criminal gangs is in its infancy due to small number of children willing to engage with studies (Windle et al, 2018). </w:t>
      </w:r>
      <w:proofErr w:type="gramStart"/>
      <w:r>
        <w:t>However</w:t>
      </w:r>
      <w:proofErr w:type="gramEnd"/>
      <w:r>
        <w:t xml:space="preserve"> in another article involving child participants, the children have stated that their involvement in OCG’s started due to peer pressure and that they did not initially want to engage (Ashton et al, 2020). </w:t>
      </w:r>
    </w:p>
    <w:p w14:paraId="1A0DB379" w14:textId="77777777" w:rsidR="00E4767A" w:rsidRDefault="00E4767A" w:rsidP="00E4767A">
      <w:r>
        <w:t xml:space="preserve">OCG’s and county lines utilise children as they are cheap to employ, easier to control and are less likely to be detected by the police due to the fact they do not have a criminal record (Williams, et al 2019). OCG’s tend to target children based on their vulnerability, 15% of police forces state that they have evidence that OCG’s are specifically targeting children in care homes, whilst 50% of children involved in OCG’s are from a care home setting (NCA 2017). </w:t>
      </w:r>
    </w:p>
    <w:p w14:paraId="1AAAFAEE" w14:textId="77777777" w:rsidR="00E4767A" w:rsidRDefault="00E4767A" w:rsidP="00E4767A">
      <w:r>
        <w:t xml:space="preserve">Other socio-economic and psychological vulnerabilities which OCG’s target include children who are </w:t>
      </w:r>
      <w:proofErr w:type="gramStart"/>
      <w:r>
        <w:t>isolated, or</w:t>
      </w:r>
      <w:proofErr w:type="gramEnd"/>
      <w:r>
        <w:t xml:space="preserve"> have mental health/substance abuse issues or previous trauma. Involvement in OCG’s could also be a generational problem, a child’s family might already be involved in criminal activity or the area which they live might have higher crime rates. All of these factors are linked to </w:t>
      </w:r>
      <w:proofErr w:type="gramStart"/>
      <w:r>
        <w:t>low income</w:t>
      </w:r>
      <w:proofErr w:type="gramEnd"/>
      <w:r>
        <w:t xml:space="preserve"> areas. (James et al 2017).  </w:t>
      </w:r>
    </w:p>
    <w:p w14:paraId="2C694B5D" w14:textId="77777777" w:rsidR="00E4767A" w:rsidRDefault="00E4767A" w:rsidP="00E4767A">
      <w:r>
        <w:t xml:space="preserve">Statistics contained in the Children’s Commissioners report show that children who have been recruited into OCG’s are 95% more likely to have social or emotional health issues, 41% more likely to have a parent misusing substances or are 8 times more likely to be abusing substances themselves (Children’s Commissioner, 2019). These children are more likely to remain within the OCG setting due to their backgrounds, if themselves/their parents are abusing drugs then there may be a financial tie to the gang as they might not be able to afford to fund their habit on their own, especially if they are of a </w:t>
      </w:r>
      <w:proofErr w:type="gramStart"/>
      <w:r>
        <w:t>low income</w:t>
      </w:r>
      <w:proofErr w:type="gramEnd"/>
      <w:r>
        <w:t xml:space="preserve"> background (Harding, 2020).</w:t>
      </w:r>
    </w:p>
    <w:p w14:paraId="5E7CEC86" w14:textId="77777777" w:rsidR="00E4767A" w:rsidRDefault="00E4767A" w:rsidP="00E4767A">
      <w:r>
        <w:t xml:space="preserve">OCG’s often groom children into their gangs and often children who are in these gangs are at high risk of child sexual exploitation (CSE). Children are seen to be more easily groomed by OCG’s due to the fact they might be more naïve and easily controlled. When working for an OCG, these children then become trapped by debt bondages, this then becomes a slippery </w:t>
      </w:r>
      <w:r>
        <w:lastRenderedPageBreak/>
        <w:t xml:space="preserve">slope for the child as it leads them to further criminal activity and exploitation </w:t>
      </w:r>
      <w:proofErr w:type="gramStart"/>
      <w:r>
        <w:t>in order to</w:t>
      </w:r>
      <w:proofErr w:type="gramEnd"/>
      <w:r>
        <w:t xml:space="preserve"> ‘pay’ the debt (Harding, 2020). </w:t>
      </w:r>
    </w:p>
    <w:p w14:paraId="798AC44A" w14:textId="77777777" w:rsidR="00E4767A" w:rsidRDefault="00E4767A" w:rsidP="00E4767A">
      <w:r>
        <w:t xml:space="preserve">It is not just children who are at risk of being exploited by criminal gangs. OCG’s target drug users and exploit them </w:t>
      </w:r>
      <w:proofErr w:type="gramStart"/>
      <w:r>
        <w:t>in order to</w:t>
      </w:r>
      <w:proofErr w:type="gramEnd"/>
      <w:r>
        <w:t xml:space="preserve"> sell drugs. OCG’s often feel that they </w:t>
      </w:r>
      <w:proofErr w:type="gramStart"/>
      <w:r>
        <w:t>are able to</w:t>
      </w:r>
      <w:proofErr w:type="gramEnd"/>
      <w:r>
        <w:t xml:space="preserve"> exploit drug users due to the fact they feel that they would not go to the police to report their victimisation due to their lifestyle choices (Spicer, 2018). Research suggests that those battling hard drug addictions or are in extreme poverty are vulnerable as an OCG could promise a financial reward or a ‘job’, something which would be appealing to the individuals as their job prospects in conventional settings would be classed as ‘poor’ (Bonning, et al. 2021). </w:t>
      </w:r>
    </w:p>
    <w:p w14:paraId="5B995580" w14:textId="77777777" w:rsidR="00E4767A" w:rsidRDefault="00E4767A" w:rsidP="00E4767A">
      <w:r>
        <w:t xml:space="preserve">Other vulnerabilities which can be exploited could be someone who has low </w:t>
      </w:r>
      <w:proofErr w:type="gramStart"/>
      <w:r>
        <w:t>intelligence, or</w:t>
      </w:r>
      <w:proofErr w:type="gramEnd"/>
      <w:r>
        <w:t xml:space="preserve"> is easily lead by someone else and therefore is easily manipulated. It could be someone with mental health problems and they feel like they have not had the adequate support. It could be an adult who had </w:t>
      </w:r>
      <w:proofErr w:type="gramStart"/>
      <w:r>
        <w:t>a</w:t>
      </w:r>
      <w:proofErr w:type="gramEnd"/>
      <w:r>
        <w:t xml:space="preserve"> unstable childhood or suffered abuse. These are linked to socio-economic factors as those living in poverty are less likely to receive higher education (Bonning, et al. 2021). </w:t>
      </w:r>
    </w:p>
    <w:p w14:paraId="2471EAD7" w14:textId="77777777" w:rsidR="00E4767A" w:rsidRDefault="00E4767A" w:rsidP="00E4767A">
      <w:r>
        <w:t xml:space="preserve">Adults are also vulnerable to exploitation by OCG’s </w:t>
      </w:r>
      <w:proofErr w:type="gramStart"/>
      <w:r>
        <w:t>by the way of</w:t>
      </w:r>
      <w:proofErr w:type="gramEnd"/>
      <w:r>
        <w:t xml:space="preserve"> cuckooing. Cuckooing is where vulnerable people are threatened, conned, </w:t>
      </w:r>
      <w:proofErr w:type="gramStart"/>
      <w:r>
        <w:t>coerced</w:t>
      </w:r>
      <w:proofErr w:type="gramEnd"/>
      <w:r>
        <w:t xml:space="preserve"> or intimidated into sharing or giving their home to the gang members. These gang members then use this address as a base for their criminal activity. (Harding, 2020). There is a strong link between cuckooing and ‘mate crime’, whereby a criminal establishes a fake friendship with a disabled person </w:t>
      </w:r>
      <w:proofErr w:type="gramStart"/>
      <w:r>
        <w:t>in order to</w:t>
      </w:r>
      <w:proofErr w:type="gramEnd"/>
      <w:r>
        <w:t xml:space="preserve"> exploit them for gain. </w:t>
      </w:r>
      <w:proofErr w:type="gramStart"/>
      <w:r>
        <w:t>Again</w:t>
      </w:r>
      <w:proofErr w:type="gramEnd"/>
      <w:r>
        <w:t xml:space="preserve"> this is seen more in lower education and social housing areas (Thomas, 2013). </w:t>
      </w:r>
    </w:p>
    <w:p w14:paraId="414AFDB1" w14:textId="77777777" w:rsidR="00E4767A" w:rsidRDefault="00E4767A" w:rsidP="00E4767A">
      <w:r>
        <w:t>Europol suggests that OCG’s will also try to gain money from non-integrated minorities as this is a community which is marginalised and classed as vulnerable, again there is suggestion here that these individuals will not come forward to the police as there may be a negative connotation to the police in their home country due to police brutality and corruption (</w:t>
      </w:r>
      <w:proofErr w:type="spellStart"/>
      <w:r>
        <w:t>Gounev</w:t>
      </w:r>
      <w:proofErr w:type="spellEnd"/>
      <w:r>
        <w:t xml:space="preserve"> et al, 2012). </w:t>
      </w:r>
    </w:p>
    <w:p w14:paraId="74F342FE" w14:textId="77777777" w:rsidR="00E4767A" w:rsidRDefault="00E4767A" w:rsidP="00E4767A">
      <w:r>
        <w:t xml:space="preserve">There are policies in place within the police which aim to help vulnerable people who </w:t>
      </w:r>
      <w:proofErr w:type="gramStart"/>
      <w:r>
        <w:t>come into contact with</w:t>
      </w:r>
      <w:proofErr w:type="gramEnd"/>
      <w:r>
        <w:t xml:space="preserve"> the police and are being criminally exploited. E.g. Safeguarding measures are implemented if an individual in custody is suspected of being exploited. </w:t>
      </w:r>
    </w:p>
    <w:p w14:paraId="335E065B" w14:textId="77777777" w:rsidR="00E4767A" w:rsidRDefault="00E4767A" w:rsidP="00E4767A">
      <w:r>
        <w:t xml:space="preserve">It is important for police and other agencies to be mindful that whilst it may appear that an </w:t>
      </w:r>
      <w:proofErr w:type="spellStart"/>
      <w:proofErr w:type="gramStart"/>
      <w:r>
        <w:t>individuals</w:t>
      </w:r>
      <w:proofErr w:type="spellEnd"/>
      <w:proofErr w:type="gramEnd"/>
      <w:r>
        <w:t xml:space="preserve"> activities within an OCG or county line might be consensual, they might not be and they might be being exploited.</w:t>
      </w:r>
    </w:p>
    <w:p w14:paraId="3926A31B" w14:textId="77777777" w:rsidR="00E4767A" w:rsidRDefault="00E4767A" w:rsidP="00E4767A">
      <w:r>
        <w:t xml:space="preserve">Williams suggests in her article that further training is required from all public sector areas, starting with midwifery, police, social services, </w:t>
      </w:r>
      <w:proofErr w:type="gramStart"/>
      <w:r>
        <w:t>health</w:t>
      </w:r>
      <w:proofErr w:type="gramEnd"/>
      <w:r>
        <w:t xml:space="preserve"> and education. This is to try and nurture family relationships and create stable relationships and educate young people on the consequences of gang crime early on and to keep them engaged in the education system </w:t>
      </w:r>
      <w:proofErr w:type="gramStart"/>
      <w:r>
        <w:t>in order to</w:t>
      </w:r>
      <w:proofErr w:type="gramEnd"/>
      <w:r>
        <w:t xml:space="preserve"> try and break what might have been a generational cycle of crime (Williams et al 2019). </w:t>
      </w:r>
    </w:p>
    <w:bookmarkEnd w:id="1"/>
    <w:p w14:paraId="2F242135" w14:textId="31DA0E1D" w:rsidR="00DF38ED" w:rsidRDefault="00DF38ED" w:rsidP="00DF38ED"/>
    <w:p w14:paraId="52E61BA5" w14:textId="516D8073" w:rsidR="00DF38ED" w:rsidRDefault="00DF38ED" w:rsidP="00DF38ED">
      <w:r>
        <w:t>Word Count: 10</w:t>
      </w:r>
      <w:r w:rsidR="00E4767A">
        <w:t>79</w:t>
      </w:r>
    </w:p>
    <w:p w14:paraId="0AA28011" w14:textId="77777777" w:rsidR="0097451E" w:rsidRDefault="0097451E" w:rsidP="00DF38ED"/>
    <w:p w14:paraId="05CCB396" w14:textId="77777777" w:rsidR="0097451E" w:rsidRDefault="0097451E" w:rsidP="00DF38ED"/>
    <w:p w14:paraId="67E63E07" w14:textId="77777777" w:rsidR="0097451E" w:rsidRDefault="0097451E" w:rsidP="00DF38ED"/>
    <w:p w14:paraId="5190B4FF" w14:textId="77777777" w:rsidR="0097451E" w:rsidRDefault="0097451E" w:rsidP="00DF38ED"/>
    <w:p w14:paraId="4BB2153C" w14:textId="77777777" w:rsidR="0097451E" w:rsidRPr="0097451E" w:rsidRDefault="0097451E" w:rsidP="0097451E">
      <w:pPr>
        <w:rPr>
          <w:b/>
          <w:bCs/>
        </w:rPr>
      </w:pPr>
      <w:r w:rsidRPr="0097451E">
        <w:rPr>
          <w:b/>
          <w:bCs/>
        </w:rPr>
        <w:t xml:space="preserve">Critically assess the effectiveness of options available to reduce re-offending. </w:t>
      </w:r>
    </w:p>
    <w:p w14:paraId="5C9EB13D" w14:textId="77777777" w:rsidR="00C414C9" w:rsidRDefault="00C414C9" w:rsidP="00C414C9">
      <w:r>
        <w:t xml:space="preserve">According to the Office for National Statistics, sexual offences accounts for just 3% of crimes reported and recorded by the police. This figure is for the year ending March 2022 (Office for National Statistics, 2023). This essay will look at the measures and support that is in place </w:t>
      </w:r>
      <w:proofErr w:type="gramStart"/>
      <w:r>
        <w:t>in order to</w:t>
      </w:r>
      <w:proofErr w:type="gramEnd"/>
      <w:r>
        <w:t xml:space="preserve"> ensure that an offender does not reoffend. </w:t>
      </w:r>
    </w:p>
    <w:p w14:paraId="4F02691F" w14:textId="77777777" w:rsidR="00C414C9" w:rsidRDefault="00C414C9" w:rsidP="00C414C9">
      <w:r>
        <w:t xml:space="preserve">Whilst this is the figure which we have, it is well known that victims do not report sexual offences to the police for a variety of reasons, one of them being the </w:t>
      </w:r>
      <w:proofErr w:type="spellStart"/>
      <w:r>
        <w:t>publics</w:t>
      </w:r>
      <w:proofErr w:type="spellEnd"/>
      <w:r>
        <w:t xml:space="preserve"> confidence in the police investigating sexual offences (Taylor et al. 2010).</w:t>
      </w:r>
    </w:p>
    <w:p w14:paraId="2A879CAF" w14:textId="77777777" w:rsidR="00C414C9" w:rsidRDefault="00C414C9" w:rsidP="00C414C9">
      <w:r>
        <w:t>There are several orders which can be put in place for convicted sex offenders to help manage offenders and reduce their risk of reoffending. Examples would be Sexual Risk Orders (SRO’s) and Sexual Harm Prevention Orders (SHPO’s).</w:t>
      </w:r>
      <w:r>
        <w:br/>
        <w:t xml:space="preserve">These orders were implemented in March 2015 and aim to minimise the risk that offenders pose. </w:t>
      </w:r>
      <w:proofErr w:type="gramStart"/>
      <w:r>
        <w:t>A</w:t>
      </w:r>
      <w:proofErr w:type="gramEnd"/>
      <w:r>
        <w:t xml:space="preserve"> SRO is a civil order put in place without a need for a criminal conviction and according to S122A of the Sexual Offences Act ‘prohibits a defendant from doing anything described in the order’ (Kingston et al, 2018). </w:t>
      </w:r>
    </w:p>
    <w:p w14:paraId="2F92B7EC" w14:textId="77777777" w:rsidR="00C414C9" w:rsidRDefault="00C414C9" w:rsidP="00C414C9">
      <w:r>
        <w:t xml:space="preserve">As SRO’s are civil and can be made without a criminal conviction, they have been subjected to more scrutiny. In 2016 a male was made subject of an SRO which banned him from having sex unless the police were notified 24 hours in advance and were informed who his proposed partner would be (BBC News, 2016). It has been argued that this is </w:t>
      </w:r>
      <w:proofErr w:type="gramStart"/>
      <w:r>
        <w:t>an</w:t>
      </w:r>
      <w:proofErr w:type="gramEnd"/>
      <w:r>
        <w:t xml:space="preserve"> disproportionate intrusion into someone’s private life (Finnigan, 2016). This example contradicts the Home Office’s view when they were first reforming the law in relation to sexual offences in 2000, whereby they stated that the criminal law and the state shouldn’t intrude into people’s private lives (Home Office, 2000).</w:t>
      </w:r>
    </w:p>
    <w:p w14:paraId="2AA6A41D" w14:textId="77777777" w:rsidR="00C414C9" w:rsidRDefault="00C414C9" w:rsidP="00C414C9">
      <w:proofErr w:type="gramStart"/>
      <w:r>
        <w:t>However</w:t>
      </w:r>
      <w:proofErr w:type="gramEnd"/>
      <w:r>
        <w:t xml:space="preserve"> whilst orders like this might cause criticism that it undermines Article 8 of the ECHR, there is an argument that these civil orders are the polices way of taking positive action in order to prevent any sexual offences occurring. It should also be noted that these </w:t>
      </w:r>
      <w:proofErr w:type="gramStart"/>
      <w:r>
        <w:t>SRO’s</w:t>
      </w:r>
      <w:proofErr w:type="gramEnd"/>
      <w:r>
        <w:t xml:space="preserve"> are notoriously difficult to obtain and therefore are not available as an easy option to avoid police having to prosecute and convict sex offenders (Kingston et al, 2018). </w:t>
      </w:r>
      <w:proofErr w:type="gramStart"/>
      <w:r>
        <w:t>SRO’s</w:t>
      </w:r>
      <w:proofErr w:type="gramEnd"/>
      <w:r>
        <w:t xml:space="preserve"> are there to stop potential offenders offending and to stop those who have been arrested but might not have enough evidence to prosecute (i.e. victim not engaging) from reoffending. </w:t>
      </w:r>
    </w:p>
    <w:p w14:paraId="55F2BC08" w14:textId="77777777" w:rsidR="00C414C9" w:rsidRDefault="00C414C9" w:rsidP="00C414C9">
      <w:r>
        <w:t xml:space="preserve">Once someone is convicted of a sexual offence the courts can apply to have an order placed against them, the most common would be a SHPO. This helps monitor the offender and could help prevent any future reoffending that may occur (Home Office, 2016). There are wide parameters as to what can be contained on a SHPO, these include living arrangements with children to previously having blanket bans on internet use (Jackson, 2018). There have been many arguments which have gone to the Court of Appeal though on whether banning someone’s internet use would affect them from living a normal life (R v Smith 2011), the Court of Appeal has highlighted that restrictions should be placed on internet use rather than overarching bans. </w:t>
      </w:r>
    </w:p>
    <w:p w14:paraId="5C247464" w14:textId="77777777" w:rsidR="00C414C9" w:rsidRDefault="00C414C9" w:rsidP="00C414C9">
      <w:r>
        <w:t xml:space="preserve">If </w:t>
      </w:r>
      <w:proofErr w:type="spellStart"/>
      <w:proofErr w:type="gramStart"/>
      <w:r>
        <w:t>a</w:t>
      </w:r>
      <w:proofErr w:type="spellEnd"/>
      <w:proofErr w:type="gramEnd"/>
      <w:r>
        <w:t xml:space="preserve"> offender fails to comply with the order they will be liable for arrest. (HM Inspectorate of Probation, 2021). </w:t>
      </w:r>
    </w:p>
    <w:p w14:paraId="7D921955" w14:textId="77777777" w:rsidR="00C414C9" w:rsidRDefault="00C414C9" w:rsidP="00C414C9">
      <w:r>
        <w:lastRenderedPageBreak/>
        <w:t>There are very serious consequences of being subject to a SHPO. Academics have also commented on “the great stigma” of being subjected to a SHPO (</w:t>
      </w:r>
      <w:proofErr w:type="spellStart"/>
      <w:r>
        <w:t>Horder</w:t>
      </w:r>
      <w:proofErr w:type="spellEnd"/>
      <w:r>
        <w:t xml:space="preserve"> 2019). This seriousness ensures that SHPO’s are only implemented when ‘necessary’ to ensure that police and courts are using them effectively (Kelly et al, 2020). </w:t>
      </w:r>
      <w:proofErr w:type="gramStart"/>
      <w:r>
        <w:t>In order for</w:t>
      </w:r>
      <w:proofErr w:type="gramEnd"/>
      <w:r>
        <w:t xml:space="preserve"> a SHPO to be implemented there must be a risk that the defendant poses a risk of sexual harm to the public and that this order will be an effective response to reducing the risk to ensure that the defendant does not reoffend. The conditions set out in the SHPO should be tailored to target the offence which the defendant was initially convicted of. For example, there is no point putting an internet condition on someone who has been convicted of a stranger rape. This was established in R v Parsons in the Court of Appeal. </w:t>
      </w:r>
    </w:p>
    <w:p w14:paraId="68E2DF7E" w14:textId="77777777" w:rsidR="00C414C9" w:rsidRDefault="00C414C9" w:rsidP="00C414C9">
      <w:r>
        <w:t xml:space="preserve">If the offender were to breach their SHPO the offender could potentially receive a </w:t>
      </w:r>
      <w:proofErr w:type="gramStart"/>
      <w:r>
        <w:t>5 year</w:t>
      </w:r>
      <w:proofErr w:type="gramEnd"/>
      <w:r>
        <w:t xml:space="preserve"> prison sentence. There is the potential here for an offender to then face 2 charges, one for breaking the prohibits set out in the order and then potentially a sexual offence charge if the offender has broken the prohibitions by committing a sexual offence. It has been highlighted in several court cases that the basis for these orders however is for the prevention of further sexual offences being committed rather than triggering additional punishments for the offender (Kelly et al, 2020). </w:t>
      </w:r>
    </w:p>
    <w:p w14:paraId="62A4CA4D" w14:textId="77777777" w:rsidR="00C414C9" w:rsidRDefault="00C414C9" w:rsidP="00C414C9">
      <w:r>
        <w:t xml:space="preserve">These individuals who are subject to these orders then get managed by police officers to monitor their behaviour and highlight any concerns. Kelly also argues in her article that the effectiveness of SHPO’s and </w:t>
      </w:r>
      <w:proofErr w:type="gramStart"/>
      <w:r>
        <w:t>SRO’s</w:t>
      </w:r>
      <w:proofErr w:type="gramEnd"/>
      <w:r>
        <w:t xml:space="preserve"> to ensure offenders are not reoffending does rely on the availability of police resources to investigate any potential breach/wrong doing (Kelly et al, 2020).</w:t>
      </w:r>
    </w:p>
    <w:p w14:paraId="66F1CA88" w14:textId="77777777" w:rsidR="00C414C9" w:rsidRDefault="00C414C9" w:rsidP="00C414C9">
      <w:r>
        <w:t>There are other systems in place to help prevent further offending are organisations and charities which aim to support offenders and offer them mentoring to try to not reoffend. An example of this would be Circles (also known as Circles of Support and Accountability). These are support groups set up by volunteers who try and support sex offenders after their release from prison and help them integrate with the community again (College of Policing, 2020).</w:t>
      </w:r>
      <w:r>
        <w:br/>
        <w:t xml:space="preserve">Circles is aimed at medium to </w:t>
      </w:r>
      <w:proofErr w:type="gramStart"/>
      <w:r>
        <w:t>high risk</w:t>
      </w:r>
      <w:proofErr w:type="gramEnd"/>
      <w:r>
        <w:t xml:space="preserve"> sex offenders. These offenders are only eligible for </w:t>
      </w:r>
      <w:proofErr w:type="spellStart"/>
      <w:r>
        <w:t>Cricles</w:t>
      </w:r>
      <w:proofErr w:type="spellEnd"/>
      <w:r>
        <w:t xml:space="preserve"> if they are motivated to not re-offend, have received treatment for being a sex offender and are willing to attend Circles voluntarily (</w:t>
      </w:r>
      <w:proofErr w:type="spellStart"/>
      <w:r w:rsidRPr="003E6B7E">
        <w:t>Höing</w:t>
      </w:r>
      <w:proofErr w:type="spellEnd"/>
      <w:r>
        <w:t xml:space="preserve"> et al, 2017). Circles helps reduce reoffending by changing an </w:t>
      </w:r>
      <w:proofErr w:type="gramStart"/>
      <w:r>
        <w:t>offenders</w:t>
      </w:r>
      <w:proofErr w:type="gramEnd"/>
      <w:r>
        <w:t xml:space="preserve"> inhibitions or overriding impulses and habits (Hofmann et al, 2008). According to </w:t>
      </w:r>
      <w:proofErr w:type="spellStart"/>
      <w:r w:rsidRPr="001C0087">
        <w:t>Höing</w:t>
      </w:r>
      <w:proofErr w:type="spellEnd"/>
      <w:r>
        <w:t xml:space="preserve">, Circles has been successful in the UK, </w:t>
      </w:r>
      <w:proofErr w:type="gramStart"/>
      <w:r>
        <w:t>USA</w:t>
      </w:r>
      <w:proofErr w:type="gramEnd"/>
      <w:r>
        <w:t xml:space="preserve"> and Canada at reducing reoffending.  </w:t>
      </w:r>
    </w:p>
    <w:p w14:paraId="64F3A616" w14:textId="77777777" w:rsidR="00C414C9" w:rsidRDefault="00C414C9" w:rsidP="00C414C9">
      <w:r>
        <w:t xml:space="preserve">There are also organisations set up to try and prevent child sex abuse offenders stop reoffending. Examples of this would be Lucy Faithfull and the Stop it Now </w:t>
      </w:r>
      <w:proofErr w:type="gramStart"/>
      <w:r>
        <w:t>helpline.  .</w:t>
      </w:r>
      <w:proofErr w:type="gramEnd"/>
      <w:r>
        <w:t xml:space="preserve"> </w:t>
      </w:r>
    </w:p>
    <w:p w14:paraId="72377C4C" w14:textId="77777777" w:rsidR="00C414C9" w:rsidRDefault="00C414C9" w:rsidP="00C414C9">
      <w:r>
        <w:t>As you can see, there are numerous different measures that are in place to help stop an offender from reoffending – these range from court orders to charities, all with the same aim of protecting people from further risk or harm from the offender.</w:t>
      </w:r>
    </w:p>
    <w:p w14:paraId="55A85570" w14:textId="77777777" w:rsidR="00C414C9" w:rsidRDefault="00C414C9" w:rsidP="00C414C9">
      <w:r>
        <w:t>Word Count: 1086</w:t>
      </w:r>
    </w:p>
    <w:p w14:paraId="35E27DD5" w14:textId="77777777" w:rsidR="00C414C9" w:rsidRPr="005477BE" w:rsidRDefault="00C414C9" w:rsidP="00C414C9"/>
    <w:p w14:paraId="3A739415" w14:textId="77777777" w:rsidR="0097451E" w:rsidRDefault="0097451E" w:rsidP="0097451E"/>
    <w:p w14:paraId="75ABDA2D" w14:textId="77777777" w:rsidR="0097451E" w:rsidRDefault="0097451E" w:rsidP="0097451E"/>
    <w:p w14:paraId="47233CD6" w14:textId="77777777" w:rsidR="0097451E" w:rsidRDefault="0097451E" w:rsidP="0097451E"/>
    <w:p w14:paraId="454FD7B1" w14:textId="77777777" w:rsidR="0097451E" w:rsidRDefault="0097451E" w:rsidP="0097451E"/>
    <w:p w14:paraId="170DC5A0" w14:textId="77777777" w:rsidR="0097451E" w:rsidRDefault="0097451E" w:rsidP="0097451E"/>
    <w:p w14:paraId="27B61382" w14:textId="77777777" w:rsidR="0097451E" w:rsidRDefault="0097451E" w:rsidP="0097451E"/>
    <w:p w14:paraId="06C4A83E" w14:textId="77777777" w:rsidR="0097451E" w:rsidRDefault="0097451E" w:rsidP="0097451E"/>
    <w:p w14:paraId="77B77EB8" w14:textId="2B74F1CB" w:rsidR="0097451E" w:rsidRDefault="0097451E" w:rsidP="0097451E">
      <w:r>
        <w:rPr>
          <w:b/>
          <w:bCs/>
          <w:u w:val="single"/>
        </w:rPr>
        <w:t>Bibliography</w:t>
      </w:r>
    </w:p>
    <w:p w14:paraId="53843193" w14:textId="77777777" w:rsidR="00C414C9" w:rsidRDefault="00C414C9" w:rsidP="00C414C9">
      <w:pPr>
        <w:pStyle w:val="ListParagraph"/>
        <w:numPr>
          <w:ilvl w:val="0"/>
          <w:numId w:val="1"/>
        </w:numPr>
      </w:pPr>
      <w:r w:rsidRPr="00097490">
        <w:t>Adger, W. N. (2006). Vulnerability. Global Environmental Change, 16(3), 268–281</w:t>
      </w:r>
    </w:p>
    <w:p w14:paraId="116EA58E" w14:textId="77777777" w:rsidR="00C414C9" w:rsidRDefault="00C414C9" w:rsidP="00C414C9">
      <w:pPr>
        <w:pStyle w:val="ListParagraph"/>
        <w:numPr>
          <w:ilvl w:val="0"/>
          <w:numId w:val="1"/>
        </w:numPr>
      </w:pPr>
      <w:r>
        <w:t xml:space="preserve">Alessandra Glover Williams and Finlay Fiona (2019) County lines: how gang crime is affecting our young people. Archives of Disease in Childhood Vol 2014 issue 8. </w:t>
      </w:r>
    </w:p>
    <w:p w14:paraId="5CD1E132" w14:textId="77777777" w:rsidR="00C414C9" w:rsidRDefault="00C414C9" w:rsidP="00C414C9">
      <w:pPr>
        <w:pStyle w:val="ListParagraph"/>
        <w:numPr>
          <w:ilvl w:val="0"/>
          <w:numId w:val="1"/>
        </w:numPr>
      </w:pPr>
      <w:r w:rsidRPr="005D20D2">
        <w:t xml:space="preserve">Bain E (2021) What is the ‘97 percent’ on TikTok? Sexual harassment statistic explained. HITC, 17 March. Available at: </w:t>
      </w:r>
      <w:hyperlink r:id="rId7" w:history="1">
        <w:r w:rsidRPr="00CA21B2">
          <w:rPr>
            <w:rStyle w:val="Hyperlink"/>
          </w:rPr>
          <w:t>https://www.hitc.com/en-gb/2021/03/17/97-percent-tiktok/</w:t>
        </w:r>
      </w:hyperlink>
      <w:r>
        <w:t xml:space="preserve"> </w:t>
      </w:r>
    </w:p>
    <w:p w14:paraId="7AB9263C" w14:textId="77777777" w:rsidR="00C414C9" w:rsidRDefault="00C414C9" w:rsidP="00C414C9">
      <w:pPr>
        <w:pStyle w:val="ListParagraph"/>
        <w:numPr>
          <w:ilvl w:val="0"/>
          <w:numId w:val="1"/>
        </w:numPr>
      </w:pPr>
      <w:r w:rsidRPr="000B08E9">
        <w:t xml:space="preserve">BBC News (2016) Man ordered to tell police if he plans to have sex, 22 January. Available at: </w:t>
      </w:r>
      <w:hyperlink r:id="rId8" w:history="1">
        <w:r w:rsidRPr="005D4C41">
          <w:rPr>
            <w:rStyle w:val="Hyperlink"/>
          </w:rPr>
          <w:t>http://www.bbc.co.uk/news/uk-england-york-north-yorkshire-35385227</w:t>
        </w:r>
      </w:hyperlink>
    </w:p>
    <w:p w14:paraId="2BFCBB4B" w14:textId="77777777" w:rsidR="00C414C9" w:rsidRDefault="00C414C9" w:rsidP="00C414C9">
      <w:pPr>
        <w:pStyle w:val="ListParagraph"/>
        <w:numPr>
          <w:ilvl w:val="0"/>
          <w:numId w:val="1"/>
        </w:numPr>
      </w:pPr>
      <w:r>
        <w:t xml:space="preserve">Bonning, J., &amp; Cleaver, K. (2021). ‘There is no “war on drugs”’: An investigation into county line drug networks from the perspective of a London borough. The Police Journal, 94(4), 443-461. </w:t>
      </w:r>
      <w:hyperlink r:id="rId9" w:history="1">
        <w:r w:rsidRPr="005D4C41">
          <w:rPr>
            <w:rStyle w:val="Hyperlink"/>
          </w:rPr>
          <w:t>https://doi.org/10.1177/0032258X20956682</w:t>
        </w:r>
      </w:hyperlink>
    </w:p>
    <w:p w14:paraId="19A9EA84" w14:textId="77777777" w:rsidR="00C414C9" w:rsidRDefault="00C414C9" w:rsidP="00C414C9">
      <w:pPr>
        <w:pStyle w:val="ListParagraph"/>
        <w:numPr>
          <w:ilvl w:val="0"/>
          <w:numId w:val="1"/>
        </w:numPr>
      </w:pPr>
      <w:r w:rsidRPr="0065445F">
        <w:t>Brady P., Nobles M. (2017). The dark figure of stalking: Examining law enforcement response. Journal of Interpersonal Violence, 32, 3149-3173.</w:t>
      </w:r>
    </w:p>
    <w:p w14:paraId="26967B42" w14:textId="77777777" w:rsidR="00C414C9" w:rsidRDefault="00C414C9" w:rsidP="00C414C9">
      <w:pPr>
        <w:pStyle w:val="ListParagraph"/>
        <w:numPr>
          <w:ilvl w:val="0"/>
          <w:numId w:val="1"/>
        </w:numPr>
      </w:pPr>
      <w:r w:rsidRPr="00216D6F">
        <w:t>Children's Commissioner (2019). Keeping kids safe. [online] Available at: https://assets.childrenscommissioner.gov.uk/wpuploads/2019/02/CCO-Gangs.pdf.</w:t>
      </w:r>
    </w:p>
    <w:p w14:paraId="76035A61" w14:textId="77777777" w:rsidR="00C414C9" w:rsidRDefault="00C414C9" w:rsidP="00C414C9">
      <w:pPr>
        <w:pStyle w:val="ListParagraph"/>
        <w:numPr>
          <w:ilvl w:val="0"/>
          <w:numId w:val="1"/>
        </w:numPr>
      </w:pPr>
      <w:r>
        <w:t>College of Policing (2014) Code of Ethics. Available at: http://www.college.police.uk/What-we-do/Ethics/Documents/Code_of_Ethics.pdf</w:t>
      </w:r>
    </w:p>
    <w:p w14:paraId="79AF3F69" w14:textId="77777777" w:rsidR="00C414C9" w:rsidRDefault="00C414C9" w:rsidP="00C414C9">
      <w:pPr>
        <w:pStyle w:val="ListParagraph"/>
        <w:numPr>
          <w:ilvl w:val="0"/>
          <w:numId w:val="1"/>
        </w:numPr>
      </w:pPr>
      <w:r>
        <w:t>College of Policing. (2019). Further clarity needed to deliver impartial investigations say College of Policing. [online] Available at: https://collegeofpolicing-newsroom.prgloo.com/news/further-clarity-needed-to-deliver-impartial-investigations-say-college-of-policing#:~:text=%E2%80%9CThe%20principle%20of%20impartiality%20is [Accessed 25 May 2024].</w:t>
      </w:r>
    </w:p>
    <w:p w14:paraId="532088DE" w14:textId="77777777" w:rsidR="00C414C9" w:rsidRDefault="00C414C9" w:rsidP="00C414C9">
      <w:pPr>
        <w:pStyle w:val="ListParagraph"/>
        <w:numPr>
          <w:ilvl w:val="0"/>
          <w:numId w:val="1"/>
        </w:numPr>
      </w:pPr>
      <w:r>
        <w:t>College of Policing. (2020). Circles of support and accountability for sex offenders. [online] Available at: https://www.college.police.uk/research/crime-reduction-toolkit/circles#:~:text=Circles%20of%20support%20and%20accountability%20(also%20known%20as%20Circles)%20are.</w:t>
      </w:r>
    </w:p>
    <w:p w14:paraId="222F91E1" w14:textId="77777777" w:rsidR="00C414C9" w:rsidRDefault="00C414C9" w:rsidP="00C414C9">
      <w:pPr>
        <w:pStyle w:val="ListParagraph"/>
        <w:numPr>
          <w:ilvl w:val="0"/>
          <w:numId w:val="1"/>
        </w:numPr>
      </w:pPr>
      <w:r w:rsidRPr="006C1474">
        <w:t>Finnigan L (2016) Man ordered to give police 24-hour notice before sex has order lifted. Daily Telegraph, 23 September.</w:t>
      </w:r>
    </w:p>
    <w:p w14:paraId="15FC276D" w14:textId="77777777" w:rsidR="00C414C9" w:rsidRDefault="00C414C9" w:rsidP="00C414C9">
      <w:pPr>
        <w:pStyle w:val="ListParagraph"/>
        <w:numPr>
          <w:ilvl w:val="0"/>
          <w:numId w:val="1"/>
        </w:numPr>
      </w:pPr>
      <w:r w:rsidRPr="00656A1B">
        <w:t>Galeazzi G., Bucar-</w:t>
      </w:r>
      <w:proofErr w:type="spellStart"/>
      <w:r w:rsidRPr="00656A1B">
        <w:t>Rucman</w:t>
      </w:r>
      <w:proofErr w:type="spellEnd"/>
      <w:r w:rsidRPr="00656A1B">
        <w:t xml:space="preserve"> A., DeFazio L., </w:t>
      </w:r>
      <w:proofErr w:type="spellStart"/>
      <w:r w:rsidRPr="00656A1B">
        <w:t>Groenen</w:t>
      </w:r>
      <w:proofErr w:type="spellEnd"/>
      <w:r w:rsidRPr="00656A1B">
        <w:t xml:space="preserve"> A. (2009). Experiences of stalking victims and requests for help in three European countries: A survey. European Journal on Criminal Policy Research, 15, 243-260.</w:t>
      </w:r>
    </w:p>
    <w:p w14:paraId="05814D67" w14:textId="77777777" w:rsidR="00C414C9" w:rsidRDefault="00C414C9" w:rsidP="00C414C9">
      <w:pPr>
        <w:pStyle w:val="ListParagraph"/>
        <w:numPr>
          <w:ilvl w:val="0"/>
          <w:numId w:val="1"/>
        </w:numPr>
      </w:pPr>
      <w:r>
        <w:t>Harding S (2020) County Lines. Exploitation and Drug Dealing Among Urban Street Gangs. Bristol: Bristol University Press.</w:t>
      </w:r>
    </w:p>
    <w:p w14:paraId="4C8322DD" w14:textId="77777777" w:rsidR="00C414C9" w:rsidRDefault="00C414C9" w:rsidP="00C414C9">
      <w:pPr>
        <w:pStyle w:val="ListParagraph"/>
        <w:numPr>
          <w:ilvl w:val="0"/>
          <w:numId w:val="1"/>
        </w:numPr>
      </w:pPr>
      <w:r>
        <w:t>Harding, S. (2020). Cuckooing and Nuanced Dealing Relationships. In County Lines: Exploitation and Drug Dealing amongst Urban Street Gangs (1st ed., pp. 179–222). Bristol University Press. https://doi.org/10.2307/j.ctv114c782.12</w:t>
      </w:r>
    </w:p>
    <w:p w14:paraId="5DDD45D6" w14:textId="77777777" w:rsidR="00C414C9" w:rsidRDefault="00C414C9" w:rsidP="00C414C9">
      <w:pPr>
        <w:pStyle w:val="ListParagraph"/>
        <w:numPr>
          <w:ilvl w:val="0"/>
          <w:numId w:val="1"/>
        </w:numPr>
      </w:pPr>
      <w:r>
        <w:lastRenderedPageBreak/>
        <w:t xml:space="preserve">His Majesty’s Inspectorate of Constabulary and Fire &amp; Rescue Services. (2018). Joint Emergency Services Interoperability Principles. [online] Available at: </w:t>
      </w:r>
      <w:hyperlink r:id="rId10" w:history="1">
        <w:r w:rsidRPr="00CA21B2">
          <w:rPr>
            <w:rStyle w:val="Hyperlink"/>
          </w:rPr>
          <w:t>https://hmicfrs.justiceinspectorates.gov.uk/our-work/article/joint-emergency-services-interoperabilityprinciples/#:~:text=The%20Joint%20Emergency%20Services%20Interoperability</w:t>
        </w:r>
      </w:hyperlink>
      <w:r>
        <w:t xml:space="preserve"> </w:t>
      </w:r>
    </w:p>
    <w:p w14:paraId="0CCCFC82" w14:textId="77777777" w:rsidR="00C414C9" w:rsidRDefault="00C414C9" w:rsidP="00C414C9">
      <w:pPr>
        <w:pStyle w:val="ListParagraph"/>
        <w:numPr>
          <w:ilvl w:val="0"/>
          <w:numId w:val="1"/>
        </w:numPr>
      </w:pPr>
      <w:r>
        <w:t>HM Inspectorate of Probation (2021). Sexual offending. [online] www.justiceinspectorates.gov.uk. Available at: https://www.justiceinspectorates.gov.uk/hmiprobation/research/the-evidence-base-probation/specific-sub-groups/sexual-offending/.</w:t>
      </w:r>
    </w:p>
    <w:p w14:paraId="2EFFD1EE" w14:textId="77777777" w:rsidR="00C414C9" w:rsidRDefault="00C414C9" w:rsidP="00C414C9">
      <w:pPr>
        <w:pStyle w:val="ListParagraph"/>
        <w:numPr>
          <w:ilvl w:val="0"/>
          <w:numId w:val="1"/>
        </w:numPr>
      </w:pPr>
      <w:r w:rsidRPr="003E6B7E">
        <w:t xml:space="preserve">Hofmann W., Friese M., Wiers R. W. (2008). Impulsive versus reflective influences on health </w:t>
      </w:r>
      <w:proofErr w:type="spellStart"/>
      <w:r w:rsidRPr="003E6B7E">
        <w:t>behavior</w:t>
      </w:r>
      <w:proofErr w:type="spellEnd"/>
      <w:r w:rsidRPr="003E6B7E">
        <w:t>: A theoretical framework and empirical review. Health Psychology Review, 2, 111-137</w:t>
      </w:r>
    </w:p>
    <w:p w14:paraId="272574F9" w14:textId="77777777" w:rsidR="00C414C9" w:rsidRDefault="00C414C9" w:rsidP="00C414C9">
      <w:pPr>
        <w:pStyle w:val="ListParagraph"/>
        <w:numPr>
          <w:ilvl w:val="0"/>
          <w:numId w:val="1"/>
        </w:numPr>
      </w:pPr>
      <w:proofErr w:type="spellStart"/>
      <w:r w:rsidRPr="003E6B7E">
        <w:t>Höing</w:t>
      </w:r>
      <w:proofErr w:type="spellEnd"/>
      <w:r w:rsidRPr="003E6B7E">
        <w:t xml:space="preserve">, M., </w:t>
      </w:r>
      <w:proofErr w:type="spellStart"/>
      <w:r w:rsidRPr="003E6B7E">
        <w:t>Vogelvang</w:t>
      </w:r>
      <w:proofErr w:type="spellEnd"/>
      <w:r w:rsidRPr="003E6B7E">
        <w:t>, B., &amp; Bogaerts, S. (2017). “I Am a Different Man Now”—Sex Offenders in Circles of Support and Accountability: A Prospective Study. International Journal of Offender Therapy and Comparative Criminology, 61(7), 751-772. https://doiorg.ezproxy.uwtsd.ac.uk/10.1177/0306624X15612431</w:t>
      </w:r>
    </w:p>
    <w:p w14:paraId="6305424E" w14:textId="77777777" w:rsidR="00C414C9" w:rsidRDefault="00C414C9" w:rsidP="00C414C9">
      <w:pPr>
        <w:pStyle w:val="ListParagraph"/>
        <w:numPr>
          <w:ilvl w:val="0"/>
          <w:numId w:val="1"/>
        </w:numPr>
      </w:pPr>
      <w:r w:rsidRPr="006C1474">
        <w:t xml:space="preserve">Home Office (2000) Setting the Boundaries: Reforming the Law on Sex Offences, Vol. 1. London: Home Office. Available at: </w:t>
      </w:r>
      <w:hyperlink r:id="rId11" w:history="1">
        <w:r w:rsidRPr="005D4C41">
          <w:rPr>
            <w:rStyle w:val="Hyperlink"/>
          </w:rPr>
          <w:t>http://webarchive.nationalarchives.gov.uk/+/http://www.homeoffice.gov.uk/documents/vol1main.pdf</w:t>
        </w:r>
      </w:hyperlink>
    </w:p>
    <w:p w14:paraId="5BCD9FF9" w14:textId="77777777" w:rsidR="00C414C9" w:rsidRDefault="00C414C9" w:rsidP="00C414C9">
      <w:pPr>
        <w:pStyle w:val="ListParagraph"/>
        <w:numPr>
          <w:ilvl w:val="0"/>
          <w:numId w:val="1"/>
        </w:numPr>
      </w:pPr>
      <w:r w:rsidRPr="00686EAE">
        <w:t xml:space="preserve">Home Office (2016) Guidance on Part Two of the Sexual Offences Act 2003. London: Home Office. Available at: </w:t>
      </w:r>
      <w:hyperlink r:id="rId12" w:history="1">
        <w:r w:rsidRPr="005D4C41">
          <w:rPr>
            <w:rStyle w:val="Hyperlink"/>
          </w:rPr>
          <w:t>https://www.gov.uk/government/uploads/system/uploads/attachment_data/file/576226/Guidance_on_part_2_of_the_sexual_offences_act_2003_2.pdf</w:t>
        </w:r>
      </w:hyperlink>
      <w:r>
        <w:t xml:space="preserve"> </w:t>
      </w:r>
    </w:p>
    <w:p w14:paraId="7A7EF409" w14:textId="77777777" w:rsidR="00C414C9" w:rsidRDefault="00C414C9" w:rsidP="00C414C9">
      <w:pPr>
        <w:pStyle w:val="ListParagraph"/>
        <w:numPr>
          <w:ilvl w:val="0"/>
          <w:numId w:val="1"/>
        </w:numPr>
      </w:pPr>
      <w:proofErr w:type="spellStart"/>
      <w:r w:rsidRPr="005D20D2">
        <w:t>Horeck</w:t>
      </w:r>
      <w:proofErr w:type="spellEnd"/>
      <w:r w:rsidRPr="005D20D2">
        <w:t xml:space="preserve">, T., Ringrose, J., Milne, B., &amp; Mendes, K. (2023). #MeToo in British schools: Gendered differences in teenagers’ awareness of sexual violence. European Journal of Cultural Studies, 0(0). </w:t>
      </w:r>
      <w:hyperlink r:id="rId13" w:history="1">
        <w:r w:rsidRPr="00CA21B2">
          <w:rPr>
            <w:rStyle w:val="Hyperlink"/>
          </w:rPr>
          <w:t>https://doi.org/10.1177/13675494231191490</w:t>
        </w:r>
      </w:hyperlink>
      <w:r>
        <w:t xml:space="preserve"> </w:t>
      </w:r>
    </w:p>
    <w:p w14:paraId="736502A4" w14:textId="77777777" w:rsidR="00C414C9" w:rsidRDefault="00C414C9" w:rsidP="00C414C9">
      <w:pPr>
        <w:pStyle w:val="ListParagraph"/>
        <w:numPr>
          <w:ilvl w:val="0"/>
          <w:numId w:val="1"/>
        </w:numPr>
      </w:pPr>
      <w:r>
        <w:t xml:space="preserve">Iain Stainton and Robert Ewin (2022) Criminal Investigation </w:t>
      </w:r>
      <w:proofErr w:type="gramStart"/>
      <w:r>
        <w:t>The</w:t>
      </w:r>
      <w:proofErr w:type="gramEnd"/>
      <w:r>
        <w:t xml:space="preserve"> Professional Policing Curriculum in Practice, Critical Publishing Ltd. P.23</w:t>
      </w:r>
    </w:p>
    <w:p w14:paraId="052333B6" w14:textId="77777777" w:rsidR="00C414C9" w:rsidRDefault="00C414C9" w:rsidP="00C414C9">
      <w:pPr>
        <w:pStyle w:val="ListParagraph"/>
        <w:numPr>
          <w:ilvl w:val="0"/>
          <w:numId w:val="1"/>
        </w:numPr>
      </w:pPr>
      <w:r>
        <w:t>IOPC (2022). Operation Hotton - Learning Report. [online] Available at: https://www.policeconduct.gov.uk/sites/default/files/documents/Operation%20Hotton%20Learning%20report%20-%20January%202022.pdf.</w:t>
      </w:r>
    </w:p>
    <w:p w14:paraId="32837069" w14:textId="77777777" w:rsidR="00C414C9" w:rsidRDefault="00C414C9" w:rsidP="00C414C9">
      <w:pPr>
        <w:pStyle w:val="ListParagraph"/>
        <w:numPr>
          <w:ilvl w:val="0"/>
          <w:numId w:val="1"/>
        </w:numPr>
      </w:pPr>
      <w:r>
        <w:t xml:space="preserve">J Windle, L Moyle, R Coomber (2020) Vulnerable Kids going country: children and young </w:t>
      </w:r>
      <w:proofErr w:type="spellStart"/>
      <w:proofErr w:type="gramStart"/>
      <w:r>
        <w:t>peoples</w:t>
      </w:r>
      <w:proofErr w:type="spellEnd"/>
      <w:proofErr w:type="gramEnd"/>
      <w:r>
        <w:t xml:space="preserve"> involvement in county lines drug dealing. Youth Justice vol. 20 issue ½ 64-78</w:t>
      </w:r>
    </w:p>
    <w:p w14:paraId="777C34D2" w14:textId="77777777" w:rsidR="00C414C9" w:rsidRDefault="00C414C9" w:rsidP="00C414C9">
      <w:pPr>
        <w:pStyle w:val="ListParagraph"/>
        <w:numPr>
          <w:ilvl w:val="0"/>
          <w:numId w:val="1"/>
        </w:numPr>
      </w:pPr>
      <w:r w:rsidRPr="00660C1D">
        <w:t xml:space="preserve">J. </w:t>
      </w:r>
      <w:proofErr w:type="spellStart"/>
      <w:r w:rsidRPr="00660C1D">
        <w:t>Horder</w:t>
      </w:r>
      <w:proofErr w:type="spellEnd"/>
      <w:r>
        <w:t xml:space="preserve"> (2019)</w:t>
      </w:r>
      <w:r w:rsidRPr="00660C1D">
        <w:t xml:space="preserve"> Ashworth’s Principles of Criminal Law (9th </w:t>
      </w:r>
      <w:proofErr w:type="spellStart"/>
      <w:r w:rsidRPr="00660C1D">
        <w:t>edn</w:t>
      </w:r>
      <w:proofErr w:type="spellEnd"/>
      <w:r w:rsidRPr="00660C1D">
        <w:t>, OU</w:t>
      </w:r>
      <w:r>
        <w:t>P</w:t>
      </w:r>
      <w:r w:rsidRPr="00660C1D">
        <w:t>) p.19</w:t>
      </w:r>
    </w:p>
    <w:p w14:paraId="730363D5" w14:textId="77777777" w:rsidR="00C414C9" w:rsidRDefault="00C414C9" w:rsidP="00C414C9">
      <w:pPr>
        <w:pStyle w:val="ListParagraph"/>
        <w:numPr>
          <w:ilvl w:val="0"/>
          <w:numId w:val="1"/>
        </w:numPr>
      </w:pPr>
      <w:r w:rsidRPr="00E2590B">
        <w:t xml:space="preserve">Jackson, A. (2018). Court of Appeal: Sexual Harm Prevention Orders: Appropriate Restrictions on Internet Access and the Use of Digital Devices R v Parsons; Morgan [2017] EWCA Crim 2163. The Journal of Criminal Law, 82(1), 11-13. </w:t>
      </w:r>
      <w:hyperlink r:id="rId14" w:history="1">
        <w:r w:rsidRPr="005D4C41">
          <w:rPr>
            <w:rStyle w:val="Hyperlink"/>
          </w:rPr>
          <w:t>https://doiorg.ezproxy.uwtsd.ac.uk/10.1177/0022018318762892</w:t>
        </w:r>
      </w:hyperlink>
      <w:r>
        <w:t xml:space="preserve"> </w:t>
      </w:r>
    </w:p>
    <w:p w14:paraId="6419D2D8" w14:textId="77777777" w:rsidR="00C414C9" w:rsidRDefault="00C414C9" w:rsidP="00C414C9">
      <w:pPr>
        <w:pStyle w:val="ListParagraph"/>
        <w:numPr>
          <w:ilvl w:val="0"/>
          <w:numId w:val="1"/>
        </w:numPr>
      </w:pPr>
      <w:r>
        <w:t xml:space="preserve">James, Sargant and Bostock (2017) New Challenges in Adolescent Safeguarding. Postgrad Med J Vol 93. 96-102 </w:t>
      </w:r>
    </w:p>
    <w:p w14:paraId="4DBA9B09" w14:textId="77777777" w:rsidR="00C414C9" w:rsidRDefault="00C414C9" w:rsidP="00C414C9">
      <w:pPr>
        <w:pStyle w:val="ListParagraph"/>
        <w:numPr>
          <w:ilvl w:val="0"/>
          <w:numId w:val="1"/>
        </w:numPr>
      </w:pPr>
      <w:r>
        <w:t xml:space="preserve">Joint Emergency Services Interoperability Principles [JESIP] 2021. Joint Doctrine: the Interoperability Framework; Edition 3 (October </w:t>
      </w:r>
      <w:proofErr w:type="gramStart"/>
      <w:r>
        <w:t>2021)https://www.jesip.org.uk/uploads/media/pdf/JESIP_Joint_Doctrine_Guide_OCT21.pdf</w:t>
      </w:r>
      <w:proofErr w:type="gramEnd"/>
    </w:p>
    <w:p w14:paraId="0ADA77B2" w14:textId="77777777" w:rsidR="00C414C9" w:rsidRDefault="00C414C9" w:rsidP="00C414C9">
      <w:pPr>
        <w:pStyle w:val="ListParagraph"/>
        <w:numPr>
          <w:ilvl w:val="0"/>
          <w:numId w:val="1"/>
        </w:numPr>
      </w:pPr>
      <w:r w:rsidRPr="005B4DCA">
        <w:t xml:space="preserve">Kelly, R; </w:t>
      </w:r>
      <w:proofErr w:type="spellStart"/>
      <w:r w:rsidRPr="005B4DCA">
        <w:t>Picton</w:t>
      </w:r>
      <w:proofErr w:type="spellEnd"/>
      <w:r w:rsidRPr="005B4DCA">
        <w:t xml:space="preserve">, MHHJ; (2020) Sexual harm prevention orders and necessity. Criminal Law </w:t>
      </w:r>
      <w:proofErr w:type="gramStart"/>
      <w:r w:rsidRPr="005B4DCA">
        <w:t>Review ,</w:t>
      </w:r>
      <w:proofErr w:type="gramEnd"/>
      <w:r w:rsidRPr="005B4DCA">
        <w:t xml:space="preserve"> 2020 (5) pp. 411-428</w:t>
      </w:r>
    </w:p>
    <w:p w14:paraId="7A2EAFD1" w14:textId="77777777" w:rsidR="00C414C9" w:rsidRDefault="00C414C9" w:rsidP="00C414C9">
      <w:pPr>
        <w:pStyle w:val="ListParagraph"/>
        <w:numPr>
          <w:ilvl w:val="0"/>
          <w:numId w:val="1"/>
        </w:numPr>
      </w:pPr>
      <w:r>
        <w:lastRenderedPageBreak/>
        <w:t xml:space="preserve">Kerslake (2018). The Kerslake Report: </w:t>
      </w:r>
      <w:proofErr w:type="gramStart"/>
      <w:r>
        <w:t>an</w:t>
      </w:r>
      <w:proofErr w:type="gramEnd"/>
      <w:r>
        <w:t xml:space="preserve"> Independent Review into the Preparedness for, and Emergency Response to the Manchester Arena Attack on 22nd May 2017. Retrieved from: https://www.jesip.org.uk/uploads/media/Documents%20Products/Kerslake_Report_Manchester_Are.pdf.</w:t>
      </w:r>
    </w:p>
    <w:p w14:paraId="6C1BE20E" w14:textId="77777777" w:rsidR="00C414C9" w:rsidRDefault="00C414C9" w:rsidP="00C414C9">
      <w:pPr>
        <w:pStyle w:val="ListParagraph"/>
        <w:numPr>
          <w:ilvl w:val="0"/>
          <w:numId w:val="1"/>
        </w:numPr>
      </w:pPr>
      <w:r w:rsidRPr="00427DB5">
        <w:t xml:space="preserve">Kingston, S., &amp; Thomas, T. (2018). The Sexual Risk Order and the Sexual Harm Prevention Order: The first two years. Probation Journal, 65(1), 77-88. </w:t>
      </w:r>
      <w:hyperlink r:id="rId15" w:history="1">
        <w:r w:rsidRPr="005D4C41">
          <w:rPr>
            <w:rStyle w:val="Hyperlink"/>
          </w:rPr>
          <w:t>https://doiorg.ezproxy.uwtsd.ac.uk/10.1177/0264550517748359</w:t>
        </w:r>
      </w:hyperlink>
      <w:r>
        <w:t xml:space="preserve"> </w:t>
      </w:r>
    </w:p>
    <w:p w14:paraId="04BC1A1E" w14:textId="77777777" w:rsidR="00C414C9" w:rsidRDefault="00C414C9" w:rsidP="00C414C9">
      <w:pPr>
        <w:pStyle w:val="ListParagraph"/>
        <w:numPr>
          <w:ilvl w:val="0"/>
          <w:numId w:val="1"/>
        </w:numPr>
      </w:pPr>
      <w:proofErr w:type="spellStart"/>
      <w:r w:rsidRPr="00656A1B">
        <w:t>Korkodeilou</w:t>
      </w:r>
      <w:proofErr w:type="spellEnd"/>
      <w:r w:rsidRPr="00656A1B">
        <w:t xml:space="preserve"> J. (2014). Dealing with the unknown: Learning from stalking victims’ experiences. Crime Prevention &amp; Community Safety, 16, 253-268.</w:t>
      </w:r>
    </w:p>
    <w:p w14:paraId="3F429B15" w14:textId="77777777" w:rsidR="00C414C9" w:rsidRDefault="00C414C9" w:rsidP="00C414C9">
      <w:pPr>
        <w:pStyle w:val="ListParagraph"/>
        <w:numPr>
          <w:ilvl w:val="0"/>
          <w:numId w:val="1"/>
        </w:numPr>
      </w:pPr>
      <w:r>
        <w:t xml:space="preserve">Lindsey Brine and Mark Roycroft (2021) Modern Police Leadership; Operational Effectiveness at Every Level, Sringer International Publishing. P.134 </w:t>
      </w:r>
    </w:p>
    <w:p w14:paraId="79445894" w14:textId="77777777" w:rsidR="00C414C9" w:rsidRDefault="00C414C9" w:rsidP="00C414C9">
      <w:pPr>
        <w:pStyle w:val="ListParagraph"/>
        <w:numPr>
          <w:ilvl w:val="0"/>
          <w:numId w:val="1"/>
        </w:numPr>
      </w:pPr>
      <w:proofErr w:type="spellStart"/>
      <w:r w:rsidRPr="0045632D">
        <w:t>Lowerson</w:t>
      </w:r>
      <w:proofErr w:type="spellEnd"/>
      <w:r w:rsidRPr="0045632D">
        <w:t xml:space="preserve">, A. J. (2022). Proportionate? The Metropolitan Police Service Response to the Sarah Everard Vigil: Leigh v Commissioner of Police of the Metropolis [2022] EWHC 527 (Admin). The Journal of Criminal Law, 86(4), 287-291. </w:t>
      </w:r>
      <w:hyperlink r:id="rId16" w:history="1">
        <w:r w:rsidRPr="00CA21B2">
          <w:rPr>
            <w:rStyle w:val="Hyperlink"/>
          </w:rPr>
          <w:t>https://doiorg.ezproxy.uwtsd.ac.uk/10.1177/00220183221101957</w:t>
        </w:r>
      </w:hyperlink>
      <w:r>
        <w:t xml:space="preserve"> </w:t>
      </w:r>
    </w:p>
    <w:p w14:paraId="4E0731CE" w14:textId="77777777" w:rsidR="00C414C9" w:rsidRDefault="00C414C9" w:rsidP="00C414C9">
      <w:pPr>
        <w:pStyle w:val="ListParagraph"/>
        <w:numPr>
          <w:ilvl w:val="0"/>
          <w:numId w:val="1"/>
        </w:numPr>
      </w:pPr>
      <w:r>
        <w:t xml:space="preserve">Mark Roycroft, and Jason Roach (2019) Decision Making in Police Enquiries and Critical </w:t>
      </w:r>
      <w:proofErr w:type="gramStart"/>
      <w:r>
        <w:t>Incidents :</w:t>
      </w:r>
      <w:proofErr w:type="gramEnd"/>
      <w:r>
        <w:t xml:space="preserve"> What Really Works? Palgrave Macmillan UK, 2019. ProQuest </w:t>
      </w:r>
      <w:proofErr w:type="spellStart"/>
      <w:r>
        <w:t>Ebook</w:t>
      </w:r>
      <w:proofErr w:type="spellEnd"/>
      <w:r>
        <w:t xml:space="preserve"> Central, https://ebookcentral.proquest.com/lib/trinity/detail.action?docID=5646010.</w:t>
      </w:r>
    </w:p>
    <w:p w14:paraId="050E9869" w14:textId="77777777" w:rsidR="00C414C9" w:rsidRDefault="00C414C9" w:rsidP="00C414C9">
      <w:pPr>
        <w:pStyle w:val="ListParagraph"/>
        <w:numPr>
          <w:ilvl w:val="0"/>
          <w:numId w:val="1"/>
        </w:numPr>
      </w:pPr>
      <w:r w:rsidRPr="00701B5D">
        <w:t>Melton H. (2005). Stalking in the context of domestic violence. Women and Criminal Justice, 15(3-4), 33-58.</w:t>
      </w:r>
    </w:p>
    <w:p w14:paraId="1BF9AF31" w14:textId="77777777" w:rsidR="00C414C9" w:rsidRDefault="00C414C9" w:rsidP="00C414C9">
      <w:pPr>
        <w:pStyle w:val="ListParagraph"/>
        <w:numPr>
          <w:ilvl w:val="0"/>
          <w:numId w:val="1"/>
        </w:numPr>
      </w:pPr>
      <w:r>
        <w:t>Metropolitan Police. (2021, November 24). Accelerated Misconduct Hearing of PC Jamie Lewis and former PC Deniz Jaffer, held on 24th November 2021 [Review of Accelerated Misconduct Hearing of PC Jamie Lewis and former PC Deniz Jaffer, held on 24th November 2021]. https://www.met.police.uk/contentassets/081a7c60d7834628bec2781f1fef79be/former-pc-jaffer-and-pc-lewis---notice-of-outcome.pdf</w:t>
      </w:r>
    </w:p>
    <w:p w14:paraId="54C2A35F" w14:textId="77777777" w:rsidR="00C414C9" w:rsidRDefault="00C414C9" w:rsidP="00C414C9">
      <w:pPr>
        <w:pStyle w:val="ListParagraph"/>
        <w:numPr>
          <w:ilvl w:val="0"/>
          <w:numId w:val="1"/>
        </w:numPr>
      </w:pPr>
      <w:r>
        <w:t>Moore-Bick M. (2019). https://www.grenfelltowerinquiry.org.uk/phase-1-report (Grenfell Tower Inquiry: Phase 1 Report; Report of the Public Inquiry into the Fire at Grenfell Tower on 14 June 2017).</w:t>
      </w:r>
    </w:p>
    <w:p w14:paraId="4A0252AC" w14:textId="77777777" w:rsidR="00C414C9" w:rsidRDefault="00C414C9" w:rsidP="00C414C9">
      <w:pPr>
        <w:pStyle w:val="ListParagraph"/>
        <w:numPr>
          <w:ilvl w:val="0"/>
          <w:numId w:val="1"/>
        </w:numPr>
      </w:pPr>
      <w:r>
        <w:t xml:space="preserve">Moore-Bick, M. (2017). GRENFELL TOWER INQUIRY: PHASE 1 REPORT OVERVIEW REPORT of the PUBLIC INQUIRY into the FIRE at GRENFELL TOWER Chairman: The Rt Hon Sir Martin Moore-Bick. [online] Available at: </w:t>
      </w:r>
      <w:hyperlink r:id="rId17" w:history="1">
        <w:r w:rsidRPr="00CA21B2">
          <w:rPr>
            <w:rStyle w:val="Hyperlink"/>
          </w:rPr>
          <w:t>https://assets.grenfelltowerinquiry.org.uk/GTI%20-%20Phase%201%20report%20Executive%20Summary.pdf</w:t>
        </w:r>
      </w:hyperlink>
      <w:r>
        <w:t>.</w:t>
      </w:r>
    </w:p>
    <w:p w14:paraId="562A5E2F" w14:textId="77777777" w:rsidR="00C414C9" w:rsidRDefault="00C414C9" w:rsidP="00C414C9">
      <w:pPr>
        <w:pStyle w:val="ListParagraph"/>
        <w:numPr>
          <w:ilvl w:val="0"/>
          <w:numId w:val="1"/>
        </w:numPr>
      </w:pPr>
      <w:r w:rsidRPr="00533AD9">
        <w:t>M</w:t>
      </w:r>
      <w:r>
        <w:t>yhill</w:t>
      </w:r>
      <w:r w:rsidRPr="00533AD9">
        <w:t xml:space="preserve">, A. and </w:t>
      </w:r>
      <w:proofErr w:type="spellStart"/>
      <w:r w:rsidRPr="00533AD9">
        <w:t>B</w:t>
      </w:r>
      <w:r>
        <w:t>radfprd</w:t>
      </w:r>
      <w:proofErr w:type="spellEnd"/>
      <w:r w:rsidRPr="00533AD9">
        <w:t xml:space="preserve">, B., </w:t>
      </w:r>
      <w:r>
        <w:t>(</w:t>
      </w:r>
      <w:r w:rsidRPr="00533AD9">
        <w:t>2013</w:t>
      </w:r>
      <w:r>
        <w:t>)</w:t>
      </w:r>
      <w:r w:rsidRPr="00533AD9">
        <w:t>. Overcoming cop culture? Organizational justice and police officers' attitudes toward the public. Policing, 36(2), pp. 338-356.</w:t>
      </w:r>
    </w:p>
    <w:p w14:paraId="326C18C7" w14:textId="77777777" w:rsidR="00C414C9" w:rsidRDefault="00C414C9" w:rsidP="00C414C9">
      <w:pPr>
        <w:pStyle w:val="ListParagraph"/>
        <w:numPr>
          <w:ilvl w:val="0"/>
          <w:numId w:val="1"/>
        </w:numPr>
      </w:pPr>
      <w:r w:rsidRPr="002A0434">
        <w:t>National Crime Agency publication.</w:t>
      </w:r>
      <w:r w:rsidRPr="007667C1">
        <w:rPr>
          <w:rFonts w:ascii="Arial" w:hAnsi="Arial" w:cs="Arial"/>
        </w:rPr>
        <w:t> </w:t>
      </w:r>
      <w:r w:rsidRPr="002A0434">
        <w:t xml:space="preserve">2017. </w:t>
      </w:r>
      <w:r>
        <w:t xml:space="preserve">County lines violence, exploitation and drug supply </w:t>
      </w:r>
      <w:hyperlink w:history="1">
        <w:r w:rsidRPr="00CA21B2">
          <w:rPr>
            <w:rStyle w:val="Hyperlink"/>
          </w:rPr>
          <w:t>www.nationalcrimeagency.gov.uk%2Fpublications%2F832-county-lines-violence-exploitation-and-drug-supply-2017%2Ffile&amp;usg=AOvVaw1l1eH2uj-iKKGH0im71g9o</w:t>
        </w:r>
      </w:hyperlink>
    </w:p>
    <w:p w14:paraId="77FF4CC0" w14:textId="77777777" w:rsidR="00C414C9" w:rsidRDefault="00C414C9" w:rsidP="00C414C9">
      <w:pPr>
        <w:pStyle w:val="ListParagraph"/>
        <w:numPr>
          <w:ilvl w:val="0"/>
          <w:numId w:val="1"/>
        </w:numPr>
      </w:pPr>
      <w:r>
        <w:t xml:space="preserve">NPCC (2022). officers found guilty of sending grossly offensive messages on WhatsApp group. [online] National Police </w:t>
      </w:r>
      <w:proofErr w:type="spellStart"/>
      <w:r>
        <w:t>Cheifs</w:t>
      </w:r>
      <w:proofErr w:type="spellEnd"/>
      <w:r>
        <w:t>’ Council. Available at: https://www.npcc.police.uk/SysSiteAssets/media/downloads/publications/disclosure-logs/workforce-coordination-committee/2023/139-2023-1.-30.11.2022iuimsm-wg-minutes-embedded-doc-02-l.pdf.</w:t>
      </w:r>
    </w:p>
    <w:p w14:paraId="18306660" w14:textId="77777777" w:rsidR="00C414C9" w:rsidRDefault="00C414C9" w:rsidP="00C414C9">
      <w:pPr>
        <w:pStyle w:val="ListParagraph"/>
        <w:numPr>
          <w:ilvl w:val="0"/>
          <w:numId w:val="1"/>
        </w:numPr>
      </w:pPr>
      <w:r>
        <w:lastRenderedPageBreak/>
        <w:t xml:space="preserve">Philip </w:t>
      </w:r>
      <w:proofErr w:type="spellStart"/>
      <w:r>
        <w:t>Gounev</w:t>
      </w:r>
      <w:proofErr w:type="spellEnd"/>
      <w:r>
        <w:t xml:space="preserve"> and Vincenzo Ruggiero (2012) Corruption and Organized Crime in Europe, Taylor &amp; Francis. P88 </w:t>
      </w:r>
    </w:p>
    <w:p w14:paraId="13D437D6" w14:textId="77777777" w:rsidR="00C414C9" w:rsidRDefault="00C414C9" w:rsidP="00C414C9">
      <w:pPr>
        <w:pStyle w:val="ListParagraph"/>
        <w:numPr>
          <w:ilvl w:val="0"/>
          <w:numId w:val="1"/>
        </w:numPr>
      </w:pPr>
      <w:r>
        <w:t>Pollock K. 2013. Review of Persistent Lessons Identified Relating to Interoperability from Emergencies and Major Incidents Since 1986. Retrieved from http://www.jesip.org.uk/wp-content/uploads/2013/07/Pollock-Review-Oct-2013.pdf.</w:t>
      </w:r>
    </w:p>
    <w:p w14:paraId="4F6EC0BE" w14:textId="77777777" w:rsidR="00C414C9" w:rsidRDefault="00C414C9" w:rsidP="00C414C9">
      <w:pPr>
        <w:pStyle w:val="ListParagraph"/>
        <w:numPr>
          <w:ilvl w:val="0"/>
          <w:numId w:val="1"/>
        </w:numPr>
      </w:pPr>
      <w:r w:rsidRPr="003A5269">
        <w:t>Punch, M., 2009. Police corruption. Cullompton: Willan Publishing.</w:t>
      </w:r>
    </w:p>
    <w:p w14:paraId="66E5151C" w14:textId="77777777" w:rsidR="00C414C9" w:rsidRDefault="00C414C9" w:rsidP="00C414C9">
      <w:pPr>
        <w:pStyle w:val="ListParagraph"/>
        <w:numPr>
          <w:ilvl w:val="0"/>
          <w:numId w:val="1"/>
        </w:numPr>
      </w:pPr>
      <w:r>
        <w:t>Richard Bayliss and Tom Hurst (2023) Major Incidents, Anaesthesia and Intensive Care Medicine, ISSN 1472-0299</w:t>
      </w:r>
    </w:p>
    <w:p w14:paraId="7D67B613" w14:textId="77777777" w:rsidR="00C414C9" w:rsidRDefault="00C414C9" w:rsidP="00C414C9">
      <w:pPr>
        <w:pStyle w:val="ListParagraph"/>
        <w:numPr>
          <w:ilvl w:val="0"/>
          <w:numId w:val="1"/>
        </w:numPr>
      </w:pPr>
      <w:r w:rsidRPr="009F3E6B">
        <w:t xml:space="preserve">Rose, A. (2021). Forensics: The Golden Hour. In: Roycroft, M., Brine, L. (eds) Modern Police Leadership. Palgrave Macmillan, Cham. </w:t>
      </w:r>
      <w:hyperlink r:id="rId18" w:history="1">
        <w:r w:rsidRPr="00CA21B2">
          <w:rPr>
            <w:rStyle w:val="Hyperlink"/>
          </w:rPr>
          <w:t>https://doi.org/10.1007/978-3-030-63930-3_18</w:t>
        </w:r>
      </w:hyperlink>
    </w:p>
    <w:p w14:paraId="0EC0EE1E" w14:textId="77777777" w:rsidR="00C414C9" w:rsidRDefault="00C414C9" w:rsidP="00C414C9">
      <w:pPr>
        <w:pStyle w:val="ListParagraph"/>
        <w:numPr>
          <w:ilvl w:val="0"/>
          <w:numId w:val="1"/>
        </w:numPr>
      </w:pPr>
      <w:r w:rsidRPr="000E405F">
        <w:t xml:space="preserve">Rowe, M., </w:t>
      </w:r>
      <w:proofErr w:type="spellStart"/>
      <w:r w:rsidRPr="000E405F">
        <w:t>Westmarland</w:t>
      </w:r>
      <w:proofErr w:type="spellEnd"/>
      <w:r w:rsidRPr="000E405F">
        <w:t xml:space="preserve">, L., and Hougham, C. </w:t>
      </w:r>
      <w:r>
        <w:t>(</w:t>
      </w:r>
      <w:r w:rsidRPr="000E405F">
        <w:t>2016</w:t>
      </w:r>
      <w:r>
        <w:t>)</w:t>
      </w:r>
      <w:r w:rsidRPr="000E405F">
        <w:t>. Getting behind the blue curtain. In: S. Lister and M. Rowe, eds. Managing police integrity in accountability of policing. London: Routledge, 69–85.</w:t>
      </w:r>
    </w:p>
    <w:p w14:paraId="1A7BA814" w14:textId="77777777" w:rsidR="00C414C9" w:rsidRDefault="00C414C9" w:rsidP="00C414C9">
      <w:pPr>
        <w:pStyle w:val="ListParagraph"/>
        <w:numPr>
          <w:ilvl w:val="0"/>
          <w:numId w:val="1"/>
        </w:numPr>
      </w:pPr>
      <w:r>
        <w:t xml:space="preserve">Sally-Ann Ashton and Anna Bussa (2020) Peer groups, street gangs and organised crime in the narratives of adolescent male offenders. Journal of criminal psychology Vol 1- issue 4 277-292 </w:t>
      </w:r>
    </w:p>
    <w:p w14:paraId="14EBBD11" w14:textId="77777777" w:rsidR="00C414C9" w:rsidRDefault="00C414C9" w:rsidP="00C414C9">
      <w:pPr>
        <w:pStyle w:val="ListParagraph"/>
        <w:numPr>
          <w:ilvl w:val="0"/>
          <w:numId w:val="1"/>
        </w:numPr>
      </w:pPr>
      <w:r>
        <w:t>Sharon Dixon, Bryony Kendall, Jenny Driscoll, Catherine Pope (2022) Supporting the ‘multi’ in multi-agency working: learning with and from each other could enable multi-agency safeguarding. British Journal of General Practice; 72 (722): 438-439</w:t>
      </w:r>
    </w:p>
    <w:p w14:paraId="32C0F8B0" w14:textId="77777777" w:rsidR="00C414C9" w:rsidRDefault="00C414C9" w:rsidP="00C414C9">
      <w:pPr>
        <w:pStyle w:val="ListParagraph"/>
        <w:numPr>
          <w:ilvl w:val="0"/>
          <w:numId w:val="1"/>
        </w:numPr>
      </w:pPr>
      <w:r>
        <w:t>Spicer J (2018) ‘That’s their brand, their business’: how police officers are interpreting County Lines. Policing and Society 29: 873–886.</w:t>
      </w:r>
    </w:p>
    <w:p w14:paraId="301144AA" w14:textId="77777777" w:rsidR="00C414C9" w:rsidRDefault="00C414C9" w:rsidP="00C414C9">
      <w:pPr>
        <w:pStyle w:val="ListParagraph"/>
        <w:numPr>
          <w:ilvl w:val="0"/>
          <w:numId w:val="1"/>
        </w:numPr>
      </w:pPr>
      <w:r>
        <w:t xml:space="preserve">Taylor, S. C., &amp; Gassner, L. (2010). Stemming the flow: challenges for policing adult sexual assault </w:t>
      </w:r>
      <w:proofErr w:type="gramStart"/>
      <w:r>
        <w:t>with regard to</w:t>
      </w:r>
      <w:proofErr w:type="gramEnd"/>
      <w:r>
        <w:t xml:space="preserve"> attrition rates and under</w:t>
      </w:r>
      <w:r w:rsidRPr="007667C1">
        <w:rPr>
          <w:rFonts w:ascii="Cambria Math" w:hAnsi="Cambria Math" w:cs="Cambria Math"/>
        </w:rPr>
        <w:t>‐</w:t>
      </w:r>
      <w:r>
        <w:t>reporting of sexual offences. Police Practice and Research, 11(3), 240</w:t>
      </w:r>
      <w:r w:rsidRPr="007667C1">
        <w:rPr>
          <w:rFonts w:ascii="Aptos" w:hAnsi="Aptos" w:cs="Aptos"/>
        </w:rPr>
        <w:t>–</w:t>
      </w:r>
      <w:r>
        <w:t>255. https://doi-org.ezproxy.uwtsd.ac.uk/10.1080/15614260902830153</w:t>
      </w:r>
    </w:p>
    <w:p w14:paraId="21840799" w14:textId="77777777" w:rsidR="00C414C9" w:rsidRDefault="00C414C9" w:rsidP="00C414C9">
      <w:pPr>
        <w:pStyle w:val="ListParagraph"/>
        <w:numPr>
          <w:ilvl w:val="0"/>
          <w:numId w:val="1"/>
        </w:numPr>
      </w:pPr>
      <w:r w:rsidRPr="00656A1B">
        <w:t xml:space="preserve">Taylor-Dunn, H., Bowen, E., &amp; Gilchrist, E. A. (2021). Reporting Harassment and Stalking to the Police: A Qualitative Study of Victims’ Experiences. Journal of Interpersonal Violence, 36(11-12), NP5965-NP5992. </w:t>
      </w:r>
      <w:hyperlink r:id="rId19" w:history="1">
        <w:r w:rsidRPr="00CA21B2">
          <w:rPr>
            <w:rStyle w:val="Hyperlink"/>
          </w:rPr>
          <w:t>https://doi-org.ezproxy.uwtsd.ac.uk/10.1177/0886260518811423</w:t>
        </w:r>
      </w:hyperlink>
      <w:r>
        <w:t xml:space="preserve"> </w:t>
      </w:r>
    </w:p>
    <w:p w14:paraId="61244A41" w14:textId="77777777" w:rsidR="00C414C9" w:rsidRDefault="00C414C9" w:rsidP="00C414C9">
      <w:pPr>
        <w:pStyle w:val="ListParagraph"/>
        <w:numPr>
          <w:ilvl w:val="0"/>
          <w:numId w:val="1"/>
        </w:numPr>
      </w:pPr>
      <w:r>
        <w:t xml:space="preserve">Thomas, P. (2013) ‘Hate crime or mate Crime: disablist hostility, contempt and ridicule’, in A. </w:t>
      </w:r>
      <w:proofErr w:type="spellStart"/>
      <w:r>
        <w:t>Roulstone</w:t>
      </w:r>
      <w:proofErr w:type="spellEnd"/>
      <w:r>
        <w:t xml:space="preserve"> and H. Mason-Bish (eds) Disability, Hate Crime and Violence, London: Routledge, pp 135–46.</w:t>
      </w:r>
    </w:p>
    <w:p w14:paraId="48417901" w14:textId="77777777" w:rsidR="00C414C9" w:rsidRDefault="00C414C9" w:rsidP="00C414C9">
      <w:pPr>
        <w:pStyle w:val="ListParagraph"/>
        <w:numPr>
          <w:ilvl w:val="0"/>
          <w:numId w:val="1"/>
        </w:numPr>
      </w:pPr>
      <w:proofErr w:type="spellStart"/>
      <w:r>
        <w:t>Westmarland</w:t>
      </w:r>
      <w:proofErr w:type="spellEnd"/>
      <w:r>
        <w:t>, Louise and Rowe, Michael (2018). Police ethics and integrity: Can a new code overturn the blue code? Policing and Society, 28(7) pp. 854–870.</w:t>
      </w:r>
    </w:p>
    <w:p w14:paraId="12CBE997" w14:textId="77777777" w:rsidR="00C414C9" w:rsidRDefault="00C414C9" w:rsidP="00C414C9">
      <w:pPr>
        <w:pStyle w:val="ListParagraph"/>
        <w:numPr>
          <w:ilvl w:val="0"/>
          <w:numId w:val="1"/>
        </w:numPr>
      </w:pPr>
      <w:r w:rsidRPr="007667C1">
        <w:t>www.ons.gov.uk. (March 2023</w:t>
      </w:r>
      <w:proofErr w:type="gramStart"/>
      <w:r w:rsidRPr="007667C1">
        <w:t>)  Sexual</w:t>
      </w:r>
      <w:proofErr w:type="gramEnd"/>
      <w:r w:rsidRPr="007667C1">
        <w:t xml:space="preserve"> offences prevalence and trends, England and Wales - Office for National Statistics. [online] Available at: </w:t>
      </w:r>
      <w:hyperlink r:id="rId20" w:history="1">
        <w:r w:rsidRPr="005D4C41">
          <w:rPr>
            <w:rStyle w:val="Hyperlink"/>
          </w:rPr>
          <w:t>https://www.ons.gov.uk/peoplepopulationandcommunity/crimeandjustice/articles/sexualoffencesprevalenceandtrendsenglandandwales/yearendingmarch2022#:~:text=Sexual%20offences%20remain%20a%20relatively</w:t>
        </w:r>
      </w:hyperlink>
      <w:r w:rsidRPr="007667C1">
        <w:t>.</w:t>
      </w:r>
    </w:p>
    <w:p w14:paraId="280BAADC" w14:textId="77777777" w:rsidR="0097451E" w:rsidRPr="0097451E" w:rsidRDefault="0097451E" w:rsidP="00C414C9"/>
    <w:sectPr w:rsidR="0097451E" w:rsidRPr="0097451E">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8058C0" w14:textId="77777777" w:rsidR="00E027B5" w:rsidRDefault="00E027B5" w:rsidP="00E027B5">
      <w:pPr>
        <w:spacing w:after="0" w:line="240" w:lineRule="auto"/>
      </w:pPr>
      <w:r>
        <w:separator/>
      </w:r>
    </w:p>
  </w:endnote>
  <w:endnote w:type="continuationSeparator" w:id="0">
    <w:p w14:paraId="48C7E253" w14:textId="77777777" w:rsidR="00E027B5" w:rsidRDefault="00E027B5" w:rsidP="00E02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BD8546" w14:textId="77777777" w:rsidR="00E027B5" w:rsidRDefault="00E027B5" w:rsidP="00E027B5">
      <w:pPr>
        <w:spacing w:after="0" w:line="240" w:lineRule="auto"/>
      </w:pPr>
      <w:r>
        <w:separator/>
      </w:r>
    </w:p>
  </w:footnote>
  <w:footnote w:type="continuationSeparator" w:id="0">
    <w:p w14:paraId="192E8CBA" w14:textId="77777777" w:rsidR="00E027B5" w:rsidRDefault="00E027B5" w:rsidP="00E02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65843" w14:textId="7E2F443E" w:rsidR="00E027B5" w:rsidRDefault="00E027B5">
    <w:pPr>
      <w:pStyle w:val="Header"/>
    </w:pPr>
    <w:r>
      <w:t xml:space="preserve">Samara Hennah </w:t>
    </w:r>
    <w:r>
      <w:ptab w:relativeTo="margin" w:alignment="right" w:leader="none"/>
    </w:r>
    <w:r>
      <w:t>Student Number: 2222253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FB4475"/>
    <w:multiLevelType w:val="hybridMultilevel"/>
    <w:tmpl w:val="0DCA3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898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41A"/>
    <w:rsid w:val="00057861"/>
    <w:rsid w:val="002143B3"/>
    <w:rsid w:val="0028141A"/>
    <w:rsid w:val="002F59A5"/>
    <w:rsid w:val="00370A43"/>
    <w:rsid w:val="003E7F2C"/>
    <w:rsid w:val="004774B4"/>
    <w:rsid w:val="005133F6"/>
    <w:rsid w:val="00556B88"/>
    <w:rsid w:val="00593BC5"/>
    <w:rsid w:val="00611CF2"/>
    <w:rsid w:val="006F62FE"/>
    <w:rsid w:val="00702E39"/>
    <w:rsid w:val="00812CEE"/>
    <w:rsid w:val="00857161"/>
    <w:rsid w:val="0097451E"/>
    <w:rsid w:val="00AB6FC3"/>
    <w:rsid w:val="00B0264E"/>
    <w:rsid w:val="00B143A6"/>
    <w:rsid w:val="00BC0C19"/>
    <w:rsid w:val="00BC2ACA"/>
    <w:rsid w:val="00C414C9"/>
    <w:rsid w:val="00C57988"/>
    <w:rsid w:val="00D0796B"/>
    <w:rsid w:val="00D41DB1"/>
    <w:rsid w:val="00DF38ED"/>
    <w:rsid w:val="00E027B5"/>
    <w:rsid w:val="00E425E7"/>
    <w:rsid w:val="00E4767A"/>
    <w:rsid w:val="00E627AA"/>
    <w:rsid w:val="00E63F10"/>
    <w:rsid w:val="00EC4FC9"/>
    <w:rsid w:val="00F220B7"/>
    <w:rsid w:val="00F27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CD2BF"/>
  <w15:chartTrackingRefBased/>
  <w15:docId w15:val="{9383815D-ABAD-4494-9FB2-6106D48B2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4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14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4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4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4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4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4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4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4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4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14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4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4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4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4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4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4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41A"/>
    <w:rPr>
      <w:rFonts w:eastAsiaTheme="majorEastAsia" w:cstheme="majorBidi"/>
      <w:color w:val="272727" w:themeColor="text1" w:themeTint="D8"/>
    </w:rPr>
  </w:style>
  <w:style w:type="paragraph" w:styleId="Title">
    <w:name w:val="Title"/>
    <w:basedOn w:val="Normal"/>
    <w:next w:val="Normal"/>
    <w:link w:val="TitleChar"/>
    <w:uiPriority w:val="10"/>
    <w:qFormat/>
    <w:rsid w:val="002814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4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4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4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41A"/>
    <w:pPr>
      <w:spacing w:before="160"/>
      <w:jc w:val="center"/>
    </w:pPr>
    <w:rPr>
      <w:i/>
      <w:iCs/>
      <w:color w:val="404040" w:themeColor="text1" w:themeTint="BF"/>
    </w:rPr>
  </w:style>
  <w:style w:type="character" w:customStyle="1" w:styleId="QuoteChar">
    <w:name w:val="Quote Char"/>
    <w:basedOn w:val="DefaultParagraphFont"/>
    <w:link w:val="Quote"/>
    <w:uiPriority w:val="29"/>
    <w:rsid w:val="0028141A"/>
    <w:rPr>
      <w:i/>
      <w:iCs/>
      <w:color w:val="404040" w:themeColor="text1" w:themeTint="BF"/>
    </w:rPr>
  </w:style>
  <w:style w:type="paragraph" w:styleId="ListParagraph">
    <w:name w:val="List Paragraph"/>
    <w:basedOn w:val="Normal"/>
    <w:uiPriority w:val="34"/>
    <w:qFormat/>
    <w:rsid w:val="0028141A"/>
    <w:pPr>
      <w:ind w:left="720"/>
      <w:contextualSpacing/>
    </w:pPr>
  </w:style>
  <w:style w:type="character" w:styleId="IntenseEmphasis">
    <w:name w:val="Intense Emphasis"/>
    <w:basedOn w:val="DefaultParagraphFont"/>
    <w:uiPriority w:val="21"/>
    <w:qFormat/>
    <w:rsid w:val="0028141A"/>
    <w:rPr>
      <w:i/>
      <w:iCs/>
      <w:color w:val="0F4761" w:themeColor="accent1" w:themeShade="BF"/>
    </w:rPr>
  </w:style>
  <w:style w:type="paragraph" w:styleId="IntenseQuote">
    <w:name w:val="Intense Quote"/>
    <w:basedOn w:val="Normal"/>
    <w:next w:val="Normal"/>
    <w:link w:val="IntenseQuoteChar"/>
    <w:uiPriority w:val="30"/>
    <w:qFormat/>
    <w:rsid w:val="002814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41A"/>
    <w:rPr>
      <w:i/>
      <w:iCs/>
      <w:color w:val="0F4761" w:themeColor="accent1" w:themeShade="BF"/>
    </w:rPr>
  </w:style>
  <w:style w:type="character" w:styleId="IntenseReference">
    <w:name w:val="Intense Reference"/>
    <w:basedOn w:val="DefaultParagraphFont"/>
    <w:uiPriority w:val="32"/>
    <w:qFormat/>
    <w:rsid w:val="0028141A"/>
    <w:rPr>
      <w:b/>
      <w:bCs/>
      <w:smallCaps/>
      <w:color w:val="0F4761" w:themeColor="accent1" w:themeShade="BF"/>
      <w:spacing w:val="5"/>
    </w:rPr>
  </w:style>
  <w:style w:type="paragraph" w:styleId="Header">
    <w:name w:val="header"/>
    <w:basedOn w:val="Normal"/>
    <w:link w:val="HeaderChar"/>
    <w:uiPriority w:val="99"/>
    <w:unhideWhenUsed/>
    <w:rsid w:val="00E02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7B5"/>
  </w:style>
  <w:style w:type="paragraph" w:styleId="Footer">
    <w:name w:val="footer"/>
    <w:basedOn w:val="Normal"/>
    <w:link w:val="FooterChar"/>
    <w:uiPriority w:val="99"/>
    <w:unhideWhenUsed/>
    <w:rsid w:val="00E02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7B5"/>
  </w:style>
  <w:style w:type="character" w:styleId="Hyperlink">
    <w:name w:val="Hyperlink"/>
    <w:basedOn w:val="DefaultParagraphFont"/>
    <w:uiPriority w:val="99"/>
    <w:unhideWhenUsed/>
    <w:rsid w:val="00C414C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england-york-north-yorkshire-35385227" TargetMode="External"/><Relationship Id="rId13" Type="http://schemas.openxmlformats.org/officeDocument/2006/relationships/hyperlink" Target="https://doi.org/10.1177/13675494231191490" TargetMode="External"/><Relationship Id="rId18" Type="http://schemas.openxmlformats.org/officeDocument/2006/relationships/hyperlink" Target="https://doi.org/10.1007/978-3-030-63930-3_18"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hitc.com/en-gb/2021/03/17/97-percent-tiktok/" TargetMode="External"/><Relationship Id="rId12" Type="http://schemas.openxmlformats.org/officeDocument/2006/relationships/hyperlink" Target="https://www.gov.uk/government/uploads/system/uploads/attachment_data/file/576226/Guidance_on_part_2_of_the_sexual_offences_act_2003_2.pdf" TargetMode="External"/><Relationship Id="rId17" Type="http://schemas.openxmlformats.org/officeDocument/2006/relationships/hyperlink" Target="https://assets.grenfelltowerinquiry.org.uk/GTI%20-%20Phase%201%20report%20Executive%20Summary.pdf" TargetMode="External"/><Relationship Id="rId2" Type="http://schemas.openxmlformats.org/officeDocument/2006/relationships/styles" Target="styles.xml"/><Relationship Id="rId16" Type="http://schemas.openxmlformats.org/officeDocument/2006/relationships/hyperlink" Target="https://doiorg.ezproxy.uwtsd.ac.uk/10.1177/00220183221101957" TargetMode="External"/><Relationship Id="rId20" Type="http://schemas.openxmlformats.org/officeDocument/2006/relationships/hyperlink" Target="https://www.ons.gov.uk/peoplepopulationandcommunity/crimeandjustice/articles/sexualoffencesprevalenceandtrendsenglandandwales/yearendingmarch2022#:~:text=Sexual%20offences%20remain%20a%20relative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archive.nationalarchives.gov.uk/+/http://www.homeoffice.gov.uk/documents/vol1main.pdf" TargetMode="External"/><Relationship Id="rId5" Type="http://schemas.openxmlformats.org/officeDocument/2006/relationships/footnotes" Target="footnotes.xml"/><Relationship Id="rId15" Type="http://schemas.openxmlformats.org/officeDocument/2006/relationships/hyperlink" Target="https://doiorg.ezproxy.uwtsd.ac.uk/10.1177/0264550517748359" TargetMode="External"/><Relationship Id="rId23" Type="http://schemas.openxmlformats.org/officeDocument/2006/relationships/theme" Target="theme/theme1.xml"/><Relationship Id="rId10" Type="http://schemas.openxmlformats.org/officeDocument/2006/relationships/hyperlink" Target="https://hmicfrs.justiceinspectorates.gov.uk/our-work/article/joint-emergency-services-interoperabilityprinciples/#:~:text=The%20Joint%20Emergency%20Services%20Interoperability" TargetMode="External"/><Relationship Id="rId19" Type="http://schemas.openxmlformats.org/officeDocument/2006/relationships/hyperlink" Target="https://doi-org.ezproxy.uwtsd.ac.uk/10.1177/0886260518811423" TargetMode="External"/><Relationship Id="rId4" Type="http://schemas.openxmlformats.org/officeDocument/2006/relationships/webSettings" Target="webSettings.xml"/><Relationship Id="rId9" Type="http://schemas.openxmlformats.org/officeDocument/2006/relationships/hyperlink" Target="https://doi.org/10.1177/0032258X20956682" TargetMode="External"/><Relationship Id="rId14" Type="http://schemas.openxmlformats.org/officeDocument/2006/relationships/hyperlink" Target="https://doiorg.ezproxy.uwtsd.ac.uk/10.1177/002201831876289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6054</Words>
  <Characters>34511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Hennah,Samara swp8497</dc:creator>
  <cp:keywords/>
  <dc:description/>
  <cp:lastModifiedBy>Hennah,Samara swp8497</cp:lastModifiedBy>
  <cp:revision>2</cp:revision>
  <dcterms:created xsi:type="dcterms:W3CDTF">2024-07-01T20:03:00Z</dcterms:created>
  <dcterms:modified xsi:type="dcterms:W3CDTF">2024-07-01T20:03:00Z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2024-05-26T16:39:56Z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ae3b93df-bedf-4dbe-9995-66a8d7ec4b39</vt:lpwstr>
  </property>
  <property fmtid="{D5CDD505-2E9C-101B-9397-08002B2CF9AE}" pid="8" name="MSIP_Label_66cf8fe5-b7b7-4df7-b38d-1c61ac2f6639_ContentBits">
    <vt:lpwstr>0</vt:lpwstr>
  </property>
</Properties>
</file>