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6251488"/>
        <w:docPartObj>
          <w:docPartGallery w:val="Cover Pages"/>
          <w:docPartUnique/>
        </w:docPartObj>
      </w:sdtPr>
      <w:sdtEndPr>
        <w:rPr>
          <w:rFonts w:ascii="Arial" w:hAnsi="Arial" w:cs="Arial"/>
          <w:b/>
          <w:bCs/>
          <w:sz w:val="22"/>
          <w:szCs w:val="22"/>
        </w:rPr>
      </w:sdtEndPr>
      <w:sdtContent>
        <w:p w14:paraId="72C3C7E7" w14:textId="6635CFF3" w:rsidR="000C755B" w:rsidRDefault="00390350">
          <w:r>
            <w:rPr>
              <w:rFonts w:ascii="Arial" w:hAnsi="Arial" w:cs="Arial"/>
              <w:b/>
              <w:bCs/>
              <w:noProof/>
              <w:sz w:val="22"/>
              <w:szCs w:val="22"/>
            </w:rPr>
            <mc:AlternateContent>
              <mc:Choice Requires="wps">
                <w:drawing>
                  <wp:anchor distT="0" distB="0" distL="114300" distR="114300" simplePos="0" relativeHeight="251663360" behindDoc="0" locked="0" layoutInCell="1" allowOverlap="1" wp14:anchorId="02711BE4" wp14:editId="39778787">
                    <wp:simplePos x="0" y="0"/>
                    <wp:positionH relativeFrom="margin">
                      <wp:align>center</wp:align>
                    </wp:positionH>
                    <wp:positionV relativeFrom="paragraph">
                      <wp:posOffset>11769</wp:posOffset>
                    </wp:positionV>
                    <wp:extent cx="5760720" cy="518160"/>
                    <wp:effectExtent l="0" t="0" r="11430" b="15240"/>
                    <wp:wrapNone/>
                    <wp:docPr id="1797669146" name="Text Box 1"/>
                    <wp:cNvGraphicFramePr/>
                    <a:graphic xmlns:a="http://schemas.openxmlformats.org/drawingml/2006/main">
                      <a:graphicData uri="http://schemas.microsoft.com/office/word/2010/wordprocessingShape">
                        <wps:wsp>
                          <wps:cNvSpPr txBox="1"/>
                          <wps:spPr>
                            <a:xfrm>
                              <a:off x="0" y="0"/>
                              <a:ext cx="5760720" cy="518160"/>
                            </a:xfrm>
                            <a:prstGeom prst="rect">
                              <a:avLst/>
                            </a:prstGeom>
                            <a:solidFill>
                              <a:schemeClr val="lt1"/>
                            </a:solidFill>
                            <a:ln w="6350">
                              <a:solidFill>
                                <a:prstClr val="black"/>
                              </a:solidFill>
                            </a:ln>
                          </wps:spPr>
                          <wps:txbx>
                            <w:txbxContent>
                              <w:p w14:paraId="7E74B62A" w14:textId="344AEF1D" w:rsidR="00CF07C0" w:rsidRPr="00F91213" w:rsidRDefault="00CF07C0">
                                <w:pPr>
                                  <w:rPr>
                                    <w:rFonts w:ascii="Arial" w:hAnsi="Arial" w:cs="Arial"/>
                                    <w:b/>
                                    <w:bCs/>
                                    <w:sz w:val="48"/>
                                    <w:szCs w:val="48"/>
                                  </w:rPr>
                                </w:pPr>
                                <w:r w:rsidRPr="00F91213">
                                  <w:rPr>
                                    <w:rFonts w:ascii="Arial" w:hAnsi="Arial" w:cs="Arial"/>
                                    <w:b/>
                                    <w:bCs/>
                                    <w:sz w:val="48"/>
                                    <w:szCs w:val="48"/>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2711BE4" id="_x0000_t202" coordsize="21600,21600" o:spt="202" path="m,l,21600r21600,l21600,xe">
                    <v:stroke joinstyle="miter"/>
                    <v:path gradientshapeok="t" o:connecttype="rect"/>
                  </v:shapetype>
                  <v:shape id="Text Box 1" o:spid="_x0000_s1026" type="#_x0000_t202" style="position:absolute;margin-left:0;margin-top:.95pt;width:453.6pt;height:40.8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" fillcolor="white [3201]" strokeweight=".5pt">
                    <v:textbox>
                      <w:txbxContent>
                        <w:p w14:paraId="7E74B62A" w14:textId="344AEF1D" w:rsidR="00CF07C0" w:rsidRPr="00F91213" w:rsidRDefault="00CF07C0">
                          <w:pPr>
                            <w:rPr>
                              <w:rFonts w:ascii="Arial" w:hAnsi="Arial" w:cs="Arial"/>
                              <w:b/>
                              <w:bCs/>
                              <w:sz w:val="48"/>
                              <w:szCs w:val="48"/>
                            </w:rPr>
                          </w:pPr>
                          <w:r w:rsidRPr="00F91213">
                            <w:rPr>
                              <w:rFonts w:ascii="Arial" w:hAnsi="Arial" w:cs="Arial"/>
                              <w:b/>
                              <w:bCs/>
                              <w:sz w:val="48"/>
                              <w:szCs w:val="48"/>
                            </w:rPr>
                            <w:t>University of Wales Trinity Saint David</w:t>
                          </w:r>
                        </w:p>
                      </w:txbxContent>
                    </v:textbox>
                    <w10:wrap anchorx="margin"/>
                  </v:shape>
                </w:pict>
              </mc:Fallback>
            </mc:AlternateContent>
          </w:r>
          <w:r w:rsidR="000C755B">
            <w:rPr>
              <w:noProof/>
            </w:rPr>
            <mc:AlternateContent>
              <mc:Choice Requires="wpg">
                <w:drawing>
                  <wp:anchor distT="0" distB="0" distL="114300" distR="114300" simplePos="0" relativeHeight="251662336" behindDoc="0" locked="0" layoutInCell="1" allowOverlap="1" wp14:anchorId="5BD8D3FD" wp14:editId="2849807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16D09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000C755B">
            <w:rPr>
              <w:noProof/>
            </w:rPr>
            <mc:AlternateContent>
              <mc:Choice Requires="wps">
                <w:drawing>
                  <wp:anchor distT="0" distB="0" distL="114300" distR="114300" simplePos="0" relativeHeight="251660288" behindDoc="0" locked="0" layoutInCell="1" allowOverlap="1" wp14:anchorId="26D2B3EB" wp14:editId="7C4D11E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5A87D9D" w14:textId="5D3FB409" w:rsidR="000C755B" w:rsidRPr="009D5125" w:rsidRDefault="005963A0">
                                    <w:pPr>
                                      <w:pStyle w:val="NoSpacing"/>
                                      <w:jc w:val="right"/>
                                      <w:rPr>
                                        <w:color w:val="595959" w:themeColor="text1" w:themeTint="A6"/>
                                        <w:sz w:val="24"/>
                                        <w:szCs w:val="24"/>
                                      </w:rPr>
                                    </w:pPr>
                                    <w:r w:rsidRPr="009D5125">
                                      <w:rPr>
                                        <w:rFonts w:ascii="Arial" w:hAnsi="Arial" w:cs="Arial"/>
                                        <w:b/>
                                        <w:bCs/>
                                        <w:sz w:val="24"/>
                                        <w:szCs w:val="24"/>
                                      </w:rPr>
                                      <w:t>Submitted by: Yuliia Matytsyna ID number: 2507682</w:t>
                                    </w:r>
                                  </w:p>
                                </w:sdtContent>
                              </w:sdt>
                              <w:p w14:paraId="1BE7B772" w14:textId="0EB8D9CC" w:rsidR="000C755B" w:rsidRDefault="006844F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B649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6D2B3EB"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rFonts w:ascii="Arial" w:hAnsi="Arial" w:cs="Arial"/>
                              <w:b/>
                              <w:bCs/>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5A87D9D" w14:textId="5D3FB409" w:rsidR="000C755B" w:rsidRPr="009D5125" w:rsidRDefault="005963A0">
                              <w:pPr>
                                <w:pStyle w:val="NoSpacing"/>
                                <w:jc w:val="right"/>
                                <w:rPr>
                                  <w:color w:val="595959" w:themeColor="text1" w:themeTint="A6"/>
                                  <w:sz w:val="24"/>
                                  <w:szCs w:val="24"/>
                                </w:rPr>
                              </w:pPr>
                              <w:r w:rsidRPr="009D5125">
                                <w:rPr>
                                  <w:rFonts w:ascii="Arial" w:hAnsi="Arial" w:cs="Arial"/>
                                  <w:b/>
                                  <w:bCs/>
                                  <w:sz w:val="24"/>
                                  <w:szCs w:val="24"/>
                                </w:rPr>
                                <w:t>Submitted by: Yuliia Matytsyna ID number: 2507682</w:t>
                              </w:r>
                            </w:p>
                          </w:sdtContent>
                        </w:sdt>
                        <w:p w14:paraId="1BE7B772" w14:textId="0EB8D9CC" w:rsidR="000C755B" w:rsidRDefault="00433E6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6B649F">
                                <w:rPr>
                                  <w:color w:val="595959" w:themeColor="text1" w:themeTint="A6"/>
                                  <w:sz w:val="18"/>
                                  <w:szCs w:val="18"/>
                                </w:rPr>
                                <w:t xml:space="preserve">     </w:t>
                              </w:r>
                            </w:sdtContent>
                          </w:sdt>
                        </w:p>
                      </w:txbxContent>
                    </v:textbox>
                    <w10:wrap type="square" anchorx="page" anchory="page"/>
                  </v:shape>
                </w:pict>
              </mc:Fallback>
            </mc:AlternateContent>
          </w:r>
          <w:r w:rsidR="000C755B">
            <w:rPr>
              <w:noProof/>
            </w:rPr>
            <mc:AlternateContent>
              <mc:Choice Requires="wps">
                <w:drawing>
                  <wp:anchor distT="0" distB="0" distL="114300" distR="114300" simplePos="0" relativeHeight="251661312" behindDoc="0" locked="0" layoutInCell="1" allowOverlap="1" wp14:anchorId="33B52C27" wp14:editId="486BAE9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2ACA5" w14:textId="60D1E0D3" w:rsidR="000C755B" w:rsidRDefault="000C755B">
                                <w:pPr>
                                  <w:pStyle w:val="NoSpacing"/>
                                  <w:jc w:val="right"/>
                                  <w:rPr>
                                    <w:color w:val="156082" w:themeColor="accent1"/>
                                    <w:sz w:val="28"/>
                                    <w:szCs w:val="28"/>
                                  </w:rPr>
                                </w:pP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FB61B19" w14:textId="5321CA12" w:rsidR="000C755B" w:rsidRPr="00257CF3" w:rsidRDefault="002C39A5">
                                    <w:pPr>
                                      <w:pStyle w:val="NoSpacing"/>
                                      <w:jc w:val="right"/>
                                      <w:rPr>
                                        <w:rFonts w:ascii="Arial" w:hAnsi="Arial" w:cs="Arial"/>
                                        <w:color w:val="595959" w:themeColor="text1" w:themeTint="A6"/>
                                        <w:sz w:val="28"/>
                                        <w:szCs w:val="28"/>
                                      </w:rPr>
                                    </w:pPr>
                                    <w:r w:rsidRPr="00257CF3">
                                      <w:rPr>
                                        <w:rFonts w:ascii="Arial" w:hAnsi="Arial" w:cs="Arial"/>
                                        <w:color w:val="595959" w:themeColor="text1" w:themeTint="A6"/>
                                        <w:sz w:val="28"/>
                                        <w:szCs w:val="28"/>
                                      </w:rPr>
                                      <w:t>Module: Introduction to Health and Social Care</w:t>
                                    </w:r>
                                    <w:r w:rsidRPr="00257CF3">
                                      <w:rPr>
                                        <w:rFonts w:ascii="Arial" w:hAnsi="Arial" w:cs="Arial"/>
                                        <w:color w:val="595959" w:themeColor="text1" w:themeTint="A6"/>
                                        <w:sz w:val="28"/>
                                        <w:szCs w:val="28"/>
                                      </w:rPr>
                                      <w:br/>
                                      <w:t>Module code: LCHS4003</w:t>
                                    </w:r>
                                    <w:r w:rsidRPr="00257CF3">
                                      <w:rPr>
                                        <w:rFonts w:ascii="Arial" w:hAnsi="Arial" w:cs="Arial"/>
                                        <w:color w:val="595959" w:themeColor="text1" w:themeTint="A6"/>
                                        <w:sz w:val="28"/>
                                        <w:szCs w:val="28"/>
                                      </w:rPr>
                                      <w:br/>
                                      <w:t>Lecturer: Ayazullah Safi</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3B52C27" id="Text Box 161" o:spid="_x0000_s1028"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" filled="f" stroked="f" strokeweight=".5pt">
                    <v:textbox style="mso-fit-shape-to-text:t" inset="126pt,0,54pt,0">
                      <w:txbxContent>
                        <w:p w14:paraId="6552ACA5" w14:textId="60D1E0D3" w:rsidR="000C755B" w:rsidRDefault="000C755B">
                          <w:pPr>
                            <w:pStyle w:val="NoSpacing"/>
                            <w:jc w:val="right"/>
                            <w:rPr>
                              <w:color w:val="156082" w:themeColor="accent1"/>
                              <w:sz w:val="28"/>
                              <w:szCs w:val="28"/>
                            </w:rPr>
                          </w:pP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FB61B19" w14:textId="5321CA12" w:rsidR="000C755B" w:rsidRPr="00257CF3" w:rsidRDefault="002C39A5">
                              <w:pPr>
                                <w:pStyle w:val="NoSpacing"/>
                                <w:jc w:val="right"/>
                                <w:rPr>
                                  <w:rFonts w:ascii="Arial" w:hAnsi="Arial" w:cs="Arial"/>
                                  <w:color w:val="595959" w:themeColor="text1" w:themeTint="A6"/>
                                  <w:sz w:val="28"/>
                                  <w:szCs w:val="28"/>
                                </w:rPr>
                              </w:pPr>
                              <w:r w:rsidRPr="00257CF3">
                                <w:rPr>
                                  <w:rFonts w:ascii="Arial" w:hAnsi="Arial" w:cs="Arial"/>
                                  <w:color w:val="595959" w:themeColor="text1" w:themeTint="A6"/>
                                  <w:sz w:val="28"/>
                                  <w:szCs w:val="28"/>
                                </w:rPr>
                                <w:t>Module: Introduction to Health and Social Care</w:t>
                              </w:r>
                              <w:r w:rsidRPr="00257CF3">
                                <w:rPr>
                                  <w:rFonts w:ascii="Arial" w:hAnsi="Arial" w:cs="Arial"/>
                                  <w:color w:val="595959" w:themeColor="text1" w:themeTint="A6"/>
                                  <w:sz w:val="28"/>
                                  <w:szCs w:val="28"/>
                                </w:rPr>
                                <w:br/>
                                <w:t>Module code: LCHS4003</w:t>
                              </w:r>
                              <w:r w:rsidRPr="00257CF3">
                                <w:rPr>
                                  <w:rFonts w:ascii="Arial" w:hAnsi="Arial" w:cs="Arial"/>
                                  <w:color w:val="595959" w:themeColor="text1" w:themeTint="A6"/>
                                  <w:sz w:val="28"/>
                                  <w:szCs w:val="28"/>
                                </w:rPr>
                                <w:br/>
                                <w:t xml:space="preserve">Lecturer: </w:t>
                              </w:r>
                              <w:proofErr w:type="spellStart"/>
                              <w:r w:rsidRPr="00257CF3">
                                <w:rPr>
                                  <w:rFonts w:ascii="Arial" w:hAnsi="Arial" w:cs="Arial"/>
                                  <w:color w:val="595959" w:themeColor="text1" w:themeTint="A6"/>
                                  <w:sz w:val="28"/>
                                  <w:szCs w:val="28"/>
                                </w:rPr>
                                <w:t>Ayazullah</w:t>
                              </w:r>
                              <w:proofErr w:type="spellEnd"/>
                              <w:r w:rsidRPr="00257CF3">
                                <w:rPr>
                                  <w:rFonts w:ascii="Arial" w:hAnsi="Arial" w:cs="Arial"/>
                                  <w:color w:val="595959" w:themeColor="text1" w:themeTint="A6"/>
                                  <w:sz w:val="28"/>
                                  <w:szCs w:val="28"/>
                                </w:rPr>
                                <w:t xml:space="preserve"> Safi</w:t>
                              </w:r>
                            </w:p>
                          </w:sdtContent>
                        </w:sdt>
                      </w:txbxContent>
                    </v:textbox>
                    <w10:wrap type="square" anchorx="page" anchory="page"/>
                  </v:shape>
                </w:pict>
              </mc:Fallback>
            </mc:AlternateContent>
          </w:r>
          <w:r w:rsidR="000C755B">
            <w:rPr>
              <w:noProof/>
            </w:rPr>
            <mc:AlternateContent>
              <mc:Choice Requires="wps">
                <w:drawing>
                  <wp:anchor distT="0" distB="0" distL="114300" distR="114300" simplePos="0" relativeHeight="251659264" behindDoc="0" locked="0" layoutInCell="1" allowOverlap="1" wp14:anchorId="6616535D" wp14:editId="0188F59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E0E65" w14:textId="1EEBCBBD" w:rsidR="000C755B" w:rsidRDefault="006844F6">
                                <w:pPr>
                                  <w:jc w:val="right"/>
                                  <w:rPr>
                                    <w:color w:val="156082" w:themeColor="accent1"/>
                                    <w:sz w:val="64"/>
                                    <w:szCs w:val="64"/>
                                  </w:rPr>
                                </w:pPr>
                                <w:sdt>
                                  <w:sdtPr>
                                    <w:rPr>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210C" w:rsidRPr="00136063">
                                      <w:rPr>
                                        <w:caps/>
                                        <w:color w:val="000000" w:themeColor="text1"/>
                                        <w:sz w:val="64"/>
                                        <w:szCs w:val="64"/>
                                      </w:rPr>
                                      <w:t>Written assi</w:t>
                                    </w:r>
                                    <w:r w:rsidR="007B444C" w:rsidRPr="00136063">
                                      <w:rPr>
                                        <w:caps/>
                                        <w:color w:val="000000" w:themeColor="text1"/>
                                        <w:sz w:val="64"/>
                                        <w:szCs w:val="64"/>
                                      </w:rPr>
                                      <w:t>gnment</w:t>
                                    </w:r>
                                  </w:sdtContent>
                                </w:sdt>
                              </w:p>
                              <w:sdt>
                                <w:sdtPr>
                                  <w:rPr>
                                    <w:rFonts w:ascii="Arial" w:hAnsi="Arial" w:cs="Arial"/>
                                    <w:b/>
                                    <w:b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EB1920" w14:textId="29AE9C5C" w:rsidR="000C755B" w:rsidRPr="00257CF3" w:rsidRDefault="002201AD">
                                    <w:pPr>
                                      <w:jc w:val="right"/>
                                      <w:rPr>
                                        <w:smallCaps/>
                                        <w:color w:val="404040" w:themeColor="text1" w:themeTint="BF"/>
                                        <w:sz w:val="28"/>
                                        <w:szCs w:val="28"/>
                                      </w:rPr>
                                    </w:pPr>
                                    <w:r w:rsidRPr="00257CF3">
                                      <w:rPr>
                                        <w:rFonts w:ascii="Arial" w:hAnsi="Arial" w:cs="Arial"/>
                                        <w:b/>
                                        <w:bCs/>
                                        <w:sz w:val="28"/>
                                        <w:szCs w:val="28"/>
                                      </w:rPr>
                                      <w:t>Effective Communication, Administration and Collaborative Working in Health and Social Care: A Case Study of Mr Ahmed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16535D" id="Text Box 163" o:spid="_x0000_s1029"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CzFbgIAAEA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" filled="f" stroked="f" strokeweight=".5pt">
                    <v:textbox inset="126pt,0,54pt,0">
                      <w:txbxContent>
                        <w:p w14:paraId="6F2E0E65" w14:textId="1EEBCBBD" w:rsidR="000C755B" w:rsidRDefault="00433E66">
                          <w:pPr>
                            <w:jc w:val="right"/>
                            <w:rPr>
                              <w:color w:val="156082" w:themeColor="accent1"/>
                              <w:sz w:val="64"/>
                              <w:szCs w:val="64"/>
                            </w:rPr>
                          </w:pPr>
                          <w:sdt>
                            <w:sdtPr>
                              <w:rPr>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210C" w:rsidRPr="00136063">
                                <w:rPr>
                                  <w:caps/>
                                  <w:color w:val="000000" w:themeColor="text1"/>
                                  <w:sz w:val="64"/>
                                  <w:szCs w:val="64"/>
                                </w:rPr>
                                <w:t>Written assi</w:t>
                              </w:r>
                              <w:r w:rsidR="007B444C" w:rsidRPr="00136063">
                                <w:rPr>
                                  <w:caps/>
                                  <w:color w:val="000000" w:themeColor="text1"/>
                                  <w:sz w:val="64"/>
                                  <w:szCs w:val="64"/>
                                </w:rPr>
                                <w:t>gnment</w:t>
                              </w:r>
                            </w:sdtContent>
                          </w:sdt>
                        </w:p>
                        <w:sdt>
                          <w:sdtPr>
                            <w:rPr>
                              <w:rFonts w:ascii="Arial" w:hAnsi="Arial" w:cs="Arial"/>
                              <w:b/>
                              <w:b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EB1920" w14:textId="29AE9C5C" w:rsidR="000C755B" w:rsidRPr="00257CF3" w:rsidRDefault="002201AD">
                              <w:pPr>
                                <w:jc w:val="right"/>
                                <w:rPr>
                                  <w:smallCaps/>
                                  <w:color w:val="404040" w:themeColor="text1" w:themeTint="BF"/>
                                  <w:sz w:val="28"/>
                                  <w:szCs w:val="28"/>
                                </w:rPr>
                              </w:pPr>
                              <w:r w:rsidRPr="00257CF3">
                                <w:rPr>
                                  <w:rFonts w:ascii="Arial" w:hAnsi="Arial" w:cs="Arial"/>
                                  <w:b/>
                                  <w:bCs/>
                                  <w:sz w:val="28"/>
                                  <w:szCs w:val="28"/>
                                </w:rPr>
                                <w:t>Effective Communication, Administration and Collaborative Working in Health and Social Care: A Case Study of Mr Ahmed</w:t>
                              </w:r>
                            </w:p>
                          </w:sdtContent>
                        </w:sdt>
                      </w:txbxContent>
                    </v:textbox>
                    <w10:wrap type="square" anchorx="page" anchory="page"/>
                  </v:shape>
                </w:pict>
              </mc:Fallback>
            </mc:AlternateContent>
          </w:r>
        </w:p>
        <w:p w14:paraId="5FE9BC4D" w14:textId="3B0266FD" w:rsidR="000C755B" w:rsidRDefault="00030674">
          <w:pPr>
            <w:rPr>
              <w:rFonts w:ascii="Arial" w:hAnsi="Arial" w:cs="Arial"/>
              <w:b/>
              <w:bCs/>
              <w:sz w:val="22"/>
              <w:szCs w:val="22"/>
            </w:rPr>
          </w:pPr>
          <w:r>
            <w:rPr>
              <w:rFonts w:ascii="Arial" w:hAnsi="Arial" w:cs="Arial"/>
              <w:b/>
              <w:bCs/>
              <w:sz w:val="22"/>
              <w:szCs w:val="22"/>
            </w:rPr>
            <w:t>Un</w:t>
          </w:r>
          <w:r w:rsidR="000C755B">
            <w:rPr>
              <w:rFonts w:ascii="Arial" w:hAnsi="Arial" w:cs="Arial"/>
              <w:b/>
              <w:bCs/>
              <w:sz w:val="22"/>
              <w:szCs w:val="22"/>
            </w:rPr>
            <w:br w:type="page"/>
          </w:r>
        </w:p>
      </w:sdtContent>
    </w:sdt>
    <w:sdt>
      <w:sdtPr>
        <w:rPr>
          <w:rFonts w:asciiTheme="minorHAnsi" w:eastAsiaTheme="minorHAnsi" w:hAnsiTheme="minorHAnsi" w:cstheme="minorBidi"/>
          <w:color w:val="auto"/>
          <w:kern w:val="2"/>
          <w:sz w:val="24"/>
          <w:szCs w:val="24"/>
          <w:lang w:val="en-GB"/>
          <w14:ligatures w14:val="standardContextual"/>
        </w:rPr>
        <w:id w:val="1900635897"/>
        <w:docPartObj>
          <w:docPartGallery w:val="Table of Contents"/>
          <w:docPartUnique/>
        </w:docPartObj>
      </w:sdtPr>
      <w:sdtEndPr>
        <w:rPr>
          <w:b/>
          <w:bCs/>
          <w:noProof/>
        </w:rPr>
      </w:sdtEndPr>
      <w:sdtContent>
        <w:p w14:paraId="08C501CE" w14:textId="0D8EC195" w:rsidR="00D77BAE" w:rsidRDefault="00D77BAE">
          <w:pPr>
            <w:pStyle w:val="TOCHeading"/>
          </w:pPr>
          <w:r>
            <w:t>Table of Contents</w:t>
          </w:r>
        </w:p>
        <w:p w14:paraId="67327143" w14:textId="5039C274" w:rsidR="00E9463B" w:rsidRDefault="00D77BA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460285" w:history="1">
            <w:r w:rsidR="00E9463B" w:rsidRPr="00874C7E">
              <w:rPr>
                <w:rStyle w:val="Hyperlink"/>
                <w:noProof/>
              </w:rPr>
              <w:t>Introduction</w:t>
            </w:r>
            <w:r w:rsidR="00E9463B">
              <w:rPr>
                <w:noProof/>
                <w:webHidden/>
              </w:rPr>
              <w:tab/>
            </w:r>
            <w:r w:rsidR="00E9463B">
              <w:rPr>
                <w:noProof/>
                <w:webHidden/>
              </w:rPr>
              <w:fldChar w:fldCharType="begin"/>
            </w:r>
            <w:r w:rsidR="00E9463B">
              <w:rPr>
                <w:noProof/>
                <w:webHidden/>
              </w:rPr>
              <w:instrText xml:space="preserve"> PAGEREF _Toc225460285 \h </w:instrText>
            </w:r>
            <w:r w:rsidR="00E9463B">
              <w:rPr>
                <w:noProof/>
                <w:webHidden/>
              </w:rPr>
            </w:r>
            <w:r w:rsidR="00E9463B">
              <w:rPr>
                <w:noProof/>
                <w:webHidden/>
              </w:rPr>
              <w:fldChar w:fldCharType="separate"/>
            </w:r>
            <w:r w:rsidR="00E9463B">
              <w:rPr>
                <w:noProof/>
                <w:webHidden/>
              </w:rPr>
              <w:t>2</w:t>
            </w:r>
            <w:r w:rsidR="00E9463B">
              <w:rPr>
                <w:noProof/>
                <w:webHidden/>
              </w:rPr>
              <w:fldChar w:fldCharType="end"/>
            </w:r>
          </w:hyperlink>
        </w:p>
        <w:p w14:paraId="152FFCDF" w14:textId="5499AC4A" w:rsidR="00E9463B" w:rsidRDefault="00E9463B">
          <w:pPr>
            <w:pStyle w:val="TOC1"/>
            <w:tabs>
              <w:tab w:val="right" w:leader="dot" w:pos="9016"/>
            </w:tabs>
            <w:rPr>
              <w:rFonts w:eastAsiaTheme="minorEastAsia"/>
              <w:noProof/>
              <w:lang w:eastAsia="en-GB"/>
            </w:rPr>
          </w:pPr>
          <w:hyperlink w:anchor="_Toc225460286" w:history="1">
            <w:r w:rsidRPr="00874C7E">
              <w:rPr>
                <w:rStyle w:val="Hyperlink"/>
                <w:noProof/>
              </w:rPr>
              <w:t>1. Importance of Effective Communication within the context of Mr Ahmed’s Care</w:t>
            </w:r>
            <w:r>
              <w:rPr>
                <w:noProof/>
                <w:webHidden/>
              </w:rPr>
              <w:tab/>
            </w:r>
            <w:r>
              <w:rPr>
                <w:noProof/>
                <w:webHidden/>
              </w:rPr>
              <w:fldChar w:fldCharType="begin"/>
            </w:r>
            <w:r>
              <w:rPr>
                <w:noProof/>
                <w:webHidden/>
              </w:rPr>
              <w:instrText xml:space="preserve"> PAGEREF _Toc225460286 \h </w:instrText>
            </w:r>
            <w:r>
              <w:rPr>
                <w:noProof/>
                <w:webHidden/>
              </w:rPr>
            </w:r>
            <w:r>
              <w:rPr>
                <w:noProof/>
                <w:webHidden/>
              </w:rPr>
              <w:fldChar w:fldCharType="separate"/>
            </w:r>
            <w:r>
              <w:rPr>
                <w:noProof/>
                <w:webHidden/>
              </w:rPr>
              <w:t>2</w:t>
            </w:r>
            <w:r>
              <w:rPr>
                <w:noProof/>
                <w:webHidden/>
              </w:rPr>
              <w:fldChar w:fldCharType="end"/>
            </w:r>
          </w:hyperlink>
        </w:p>
        <w:p w14:paraId="6D04AF35" w14:textId="37B10944" w:rsidR="00E9463B" w:rsidRDefault="00E9463B">
          <w:pPr>
            <w:pStyle w:val="TOC1"/>
            <w:tabs>
              <w:tab w:val="right" w:leader="dot" w:pos="9016"/>
            </w:tabs>
            <w:rPr>
              <w:rFonts w:eastAsiaTheme="minorEastAsia"/>
              <w:noProof/>
              <w:lang w:eastAsia="en-GB"/>
            </w:rPr>
          </w:pPr>
          <w:hyperlink w:anchor="_Toc225460287" w:history="1">
            <w:r w:rsidRPr="00874C7E">
              <w:rPr>
                <w:rStyle w:val="Hyperlink"/>
                <w:noProof/>
              </w:rPr>
              <w:t>2. Importance of Good Administrative Skills</w:t>
            </w:r>
            <w:r>
              <w:rPr>
                <w:noProof/>
                <w:webHidden/>
              </w:rPr>
              <w:tab/>
            </w:r>
            <w:r>
              <w:rPr>
                <w:noProof/>
                <w:webHidden/>
              </w:rPr>
              <w:fldChar w:fldCharType="begin"/>
            </w:r>
            <w:r>
              <w:rPr>
                <w:noProof/>
                <w:webHidden/>
              </w:rPr>
              <w:instrText xml:space="preserve"> PAGEREF _Toc225460287 \h </w:instrText>
            </w:r>
            <w:r>
              <w:rPr>
                <w:noProof/>
                <w:webHidden/>
              </w:rPr>
            </w:r>
            <w:r>
              <w:rPr>
                <w:noProof/>
                <w:webHidden/>
              </w:rPr>
              <w:fldChar w:fldCharType="separate"/>
            </w:r>
            <w:r>
              <w:rPr>
                <w:noProof/>
                <w:webHidden/>
              </w:rPr>
              <w:t>3</w:t>
            </w:r>
            <w:r>
              <w:rPr>
                <w:noProof/>
                <w:webHidden/>
              </w:rPr>
              <w:fldChar w:fldCharType="end"/>
            </w:r>
          </w:hyperlink>
        </w:p>
        <w:p w14:paraId="67C266EF" w14:textId="7F1DA1A5" w:rsidR="00E9463B" w:rsidRDefault="00E9463B">
          <w:pPr>
            <w:pStyle w:val="TOC1"/>
            <w:tabs>
              <w:tab w:val="right" w:leader="dot" w:pos="9016"/>
            </w:tabs>
            <w:rPr>
              <w:rFonts w:eastAsiaTheme="minorEastAsia"/>
              <w:noProof/>
              <w:lang w:eastAsia="en-GB"/>
            </w:rPr>
          </w:pPr>
          <w:hyperlink w:anchor="_Toc225460288" w:history="1">
            <w:r w:rsidRPr="00874C7E">
              <w:rPr>
                <w:rStyle w:val="Hyperlink"/>
                <w:noProof/>
              </w:rPr>
              <w:t>3. Importance of Collaborative Working in Mr Ahmed’s Care</w:t>
            </w:r>
            <w:r>
              <w:rPr>
                <w:noProof/>
                <w:webHidden/>
              </w:rPr>
              <w:tab/>
            </w:r>
            <w:r>
              <w:rPr>
                <w:noProof/>
                <w:webHidden/>
              </w:rPr>
              <w:fldChar w:fldCharType="begin"/>
            </w:r>
            <w:r>
              <w:rPr>
                <w:noProof/>
                <w:webHidden/>
              </w:rPr>
              <w:instrText xml:space="preserve"> PAGEREF _Toc225460288 \h </w:instrText>
            </w:r>
            <w:r>
              <w:rPr>
                <w:noProof/>
                <w:webHidden/>
              </w:rPr>
            </w:r>
            <w:r>
              <w:rPr>
                <w:noProof/>
                <w:webHidden/>
              </w:rPr>
              <w:fldChar w:fldCharType="separate"/>
            </w:r>
            <w:r>
              <w:rPr>
                <w:noProof/>
                <w:webHidden/>
              </w:rPr>
              <w:t>5</w:t>
            </w:r>
            <w:r>
              <w:rPr>
                <w:noProof/>
                <w:webHidden/>
              </w:rPr>
              <w:fldChar w:fldCharType="end"/>
            </w:r>
          </w:hyperlink>
        </w:p>
        <w:p w14:paraId="27F3C135" w14:textId="5C4751D9" w:rsidR="00E9463B" w:rsidRDefault="00E9463B">
          <w:pPr>
            <w:pStyle w:val="TOC1"/>
            <w:tabs>
              <w:tab w:val="right" w:leader="dot" w:pos="9016"/>
            </w:tabs>
            <w:rPr>
              <w:rFonts w:eastAsiaTheme="minorEastAsia"/>
              <w:noProof/>
              <w:lang w:eastAsia="en-GB"/>
            </w:rPr>
          </w:pPr>
          <w:hyperlink w:anchor="_Toc225460289" w:history="1">
            <w:r w:rsidRPr="00874C7E">
              <w:rPr>
                <w:rStyle w:val="Hyperlink"/>
                <w:noProof/>
              </w:rPr>
              <w:t>Conclusion</w:t>
            </w:r>
            <w:r>
              <w:rPr>
                <w:noProof/>
                <w:webHidden/>
              </w:rPr>
              <w:tab/>
            </w:r>
            <w:r>
              <w:rPr>
                <w:noProof/>
                <w:webHidden/>
              </w:rPr>
              <w:fldChar w:fldCharType="begin"/>
            </w:r>
            <w:r>
              <w:rPr>
                <w:noProof/>
                <w:webHidden/>
              </w:rPr>
              <w:instrText xml:space="preserve"> PAGEREF _Toc225460289 \h </w:instrText>
            </w:r>
            <w:r>
              <w:rPr>
                <w:noProof/>
                <w:webHidden/>
              </w:rPr>
            </w:r>
            <w:r>
              <w:rPr>
                <w:noProof/>
                <w:webHidden/>
              </w:rPr>
              <w:fldChar w:fldCharType="separate"/>
            </w:r>
            <w:r>
              <w:rPr>
                <w:noProof/>
                <w:webHidden/>
              </w:rPr>
              <w:t>6</w:t>
            </w:r>
            <w:r>
              <w:rPr>
                <w:noProof/>
                <w:webHidden/>
              </w:rPr>
              <w:fldChar w:fldCharType="end"/>
            </w:r>
          </w:hyperlink>
        </w:p>
        <w:p w14:paraId="4D47D4B0" w14:textId="427ADEF9" w:rsidR="00E9463B" w:rsidRDefault="00E9463B">
          <w:pPr>
            <w:pStyle w:val="TOC1"/>
            <w:tabs>
              <w:tab w:val="right" w:leader="dot" w:pos="9016"/>
            </w:tabs>
            <w:rPr>
              <w:rFonts w:eastAsiaTheme="minorEastAsia"/>
              <w:noProof/>
              <w:lang w:eastAsia="en-GB"/>
            </w:rPr>
          </w:pPr>
          <w:hyperlink w:anchor="_Toc225460290" w:history="1">
            <w:r w:rsidRPr="00874C7E">
              <w:rPr>
                <w:rStyle w:val="Hyperlink"/>
                <w:noProof/>
              </w:rPr>
              <w:t>Reference List</w:t>
            </w:r>
            <w:r>
              <w:rPr>
                <w:noProof/>
                <w:webHidden/>
              </w:rPr>
              <w:tab/>
            </w:r>
            <w:r>
              <w:rPr>
                <w:noProof/>
                <w:webHidden/>
              </w:rPr>
              <w:fldChar w:fldCharType="begin"/>
            </w:r>
            <w:r>
              <w:rPr>
                <w:noProof/>
                <w:webHidden/>
              </w:rPr>
              <w:instrText xml:space="preserve"> PAGEREF _Toc225460290 \h </w:instrText>
            </w:r>
            <w:r>
              <w:rPr>
                <w:noProof/>
                <w:webHidden/>
              </w:rPr>
            </w:r>
            <w:r>
              <w:rPr>
                <w:noProof/>
                <w:webHidden/>
              </w:rPr>
              <w:fldChar w:fldCharType="separate"/>
            </w:r>
            <w:r>
              <w:rPr>
                <w:noProof/>
                <w:webHidden/>
              </w:rPr>
              <w:t>7</w:t>
            </w:r>
            <w:r>
              <w:rPr>
                <w:noProof/>
                <w:webHidden/>
              </w:rPr>
              <w:fldChar w:fldCharType="end"/>
            </w:r>
          </w:hyperlink>
        </w:p>
        <w:p w14:paraId="08E2F71C" w14:textId="57B733E3" w:rsidR="00D77BAE" w:rsidRDefault="00D77BAE">
          <w:r>
            <w:rPr>
              <w:b/>
              <w:bCs/>
              <w:noProof/>
            </w:rPr>
            <w:fldChar w:fldCharType="end"/>
          </w:r>
        </w:p>
      </w:sdtContent>
    </w:sdt>
    <w:p w14:paraId="250FA252" w14:textId="77777777" w:rsidR="005760D8" w:rsidRDefault="005760D8">
      <w:pPr>
        <w:rPr>
          <w:rFonts w:ascii="Arial" w:hAnsi="Arial" w:cs="Arial"/>
          <w:b/>
          <w:bCs/>
          <w:sz w:val="28"/>
          <w:szCs w:val="28"/>
        </w:rPr>
      </w:pPr>
      <w:r>
        <w:rPr>
          <w:rFonts w:ascii="Arial" w:hAnsi="Arial" w:cs="Arial"/>
          <w:b/>
          <w:bCs/>
          <w:sz w:val="28"/>
          <w:szCs w:val="28"/>
        </w:rPr>
        <w:br w:type="page"/>
      </w:r>
    </w:p>
    <w:p w14:paraId="5D572439" w14:textId="5FAA5870" w:rsidR="009052BC" w:rsidRPr="009052BC" w:rsidRDefault="009052BC" w:rsidP="00EA01A5">
      <w:pPr>
        <w:pStyle w:val="Heading1"/>
      </w:pPr>
      <w:bookmarkStart w:id="0" w:name="_Toc225460285"/>
      <w:r w:rsidRPr="009052BC">
        <w:lastRenderedPageBreak/>
        <w:t>Introduction</w:t>
      </w:r>
      <w:bookmarkEnd w:id="0"/>
      <w:r w:rsidRPr="009052BC">
        <w:t xml:space="preserve"> </w:t>
      </w:r>
    </w:p>
    <w:p w14:paraId="28E67757" w14:textId="77777777" w:rsidR="009255E2" w:rsidRPr="009255E2" w:rsidRDefault="009255E2" w:rsidP="009255E2">
      <w:pPr>
        <w:spacing w:line="360" w:lineRule="auto"/>
        <w:ind w:firstLine="720"/>
        <w:rPr>
          <w:rFonts w:ascii="Arial" w:hAnsi="Arial" w:cs="Arial"/>
          <w:sz w:val="22"/>
          <w:szCs w:val="22"/>
        </w:rPr>
      </w:pPr>
      <w:r w:rsidRPr="009255E2">
        <w:rPr>
          <w:rFonts w:ascii="Arial" w:hAnsi="Arial" w:cs="Arial"/>
          <w:sz w:val="22"/>
          <w:szCs w:val="22"/>
        </w:rPr>
        <w:t>Effective practice within health and social care depends on clear communication, efficient administrative systems and strong collaboration between professionals. These components are especially crucial when providing care for individuals with complex needs, including older adults recovering from a stroke. This report examines the case of Mr Ahmed, a 68</w:t>
      </w:r>
      <w:r w:rsidRPr="009255E2">
        <w:rPr>
          <w:rFonts w:ascii="Arial" w:hAnsi="Arial" w:cs="Arial"/>
          <w:sz w:val="22"/>
          <w:szCs w:val="22"/>
        </w:rPr>
        <w:noBreakHyphen/>
        <w:t>year</w:t>
      </w:r>
      <w:r w:rsidRPr="009255E2">
        <w:rPr>
          <w:rFonts w:ascii="Arial" w:hAnsi="Arial" w:cs="Arial"/>
          <w:sz w:val="22"/>
          <w:szCs w:val="22"/>
        </w:rPr>
        <w:noBreakHyphen/>
        <w:t>old man who has recently returned home following hospital treatment for a stroke. He lives with his wife and is supported by a domiciliary care service alongside a multidisciplinary team that includes his GP, district nurse and speech and language therapist. Mr Ahmed’s care is further complicated by limited proficiency in English and communication difficulties resulting from his stroke. A recent missed care visit, which led to delayed medication administration, highlights the potential risks associated with poor communication and administrative breakdowns. This report explores the significance of effective communication, robust administrative practice and collaborative working in Mr Ahmed’s care, drawing on relevant legislation, policy guidance and academic literature to demonstrate safe, inclusive and person</w:t>
      </w:r>
      <w:r w:rsidRPr="009255E2">
        <w:rPr>
          <w:rFonts w:ascii="Arial" w:hAnsi="Arial" w:cs="Arial"/>
          <w:sz w:val="22"/>
          <w:szCs w:val="22"/>
        </w:rPr>
        <w:noBreakHyphen/>
        <w:t>centred professional practice.</w:t>
      </w:r>
    </w:p>
    <w:p w14:paraId="1E6FEE7A" w14:textId="5772791A" w:rsidR="009052BC" w:rsidRPr="009052BC" w:rsidRDefault="009052BC" w:rsidP="004E68DD">
      <w:pPr>
        <w:spacing w:line="360" w:lineRule="auto"/>
        <w:rPr>
          <w:rFonts w:ascii="Arial" w:hAnsi="Arial" w:cs="Arial"/>
          <w:sz w:val="22"/>
          <w:szCs w:val="22"/>
        </w:rPr>
      </w:pPr>
    </w:p>
    <w:p w14:paraId="471C7518" w14:textId="371E04B5" w:rsidR="009052BC" w:rsidRPr="009052BC" w:rsidRDefault="009052BC" w:rsidP="00EA01A5">
      <w:pPr>
        <w:pStyle w:val="Heading1"/>
      </w:pPr>
      <w:bookmarkStart w:id="1" w:name="_Toc225460286"/>
      <w:r w:rsidRPr="009052BC">
        <w:t xml:space="preserve">1. Importance of Effective Communication </w:t>
      </w:r>
      <w:r w:rsidR="007E29DF">
        <w:t>wit</w:t>
      </w:r>
      <w:r w:rsidR="000F2628">
        <w:t>h</w:t>
      </w:r>
      <w:r w:rsidRPr="009052BC">
        <w:t xml:space="preserve">in </w:t>
      </w:r>
      <w:r w:rsidR="000F2628">
        <w:t xml:space="preserve">the context of </w:t>
      </w:r>
      <w:r w:rsidRPr="009052BC">
        <w:t>Mr Ahmed’s Care</w:t>
      </w:r>
      <w:bookmarkEnd w:id="1"/>
      <w:r w:rsidRPr="009052BC">
        <w:t xml:space="preserve"> </w:t>
      </w:r>
    </w:p>
    <w:p w14:paraId="29C4EB18" w14:textId="13FE5692" w:rsidR="009052BC" w:rsidRPr="009052BC" w:rsidRDefault="009052BC" w:rsidP="00A46917">
      <w:pPr>
        <w:spacing w:line="360" w:lineRule="auto"/>
        <w:ind w:firstLine="720"/>
        <w:rPr>
          <w:rFonts w:ascii="Arial" w:hAnsi="Arial" w:cs="Arial"/>
          <w:sz w:val="22"/>
          <w:szCs w:val="22"/>
        </w:rPr>
      </w:pPr>
      <w:r w:rsidRPr="009052BC">
        <w:rPr>
          <w:rFonts w:ascii="Arial" w:hAnsi="Arial" w:cs="Arial"/>
          <w:sz w:val="22"/>
          <w:szCs w:val="22"/>
        </w:rPr>
        <w:t>Effective communication is central to high</w:t>
      </w:r>
      <w:r w:rsidRPr="009052BC">
        <w:rPr>
          <w:rFonts w:ascii="Arial" w:hAnsi="Arial" w:cs="Arial"/>
          <w:sz w:val="22"/>
          <w:szCs w:val="22"/>
        </w:rPr>
        <w:noBreakHyphen/>
        <w:t>quality health and social care and underpins dignity, safety and person</w:t>
      </w:r>
      <w:r w:rsidRPr="009052BC">
        <w:rPr>
          <w:rFonts w:ascii="Arial" w:hAnsi="Arial" w:cs="Arial"/>
          <w:sz w:val="22"/>
          <w:szCs w:val="22"/>
        </w:rPr>
        <w:noBreakHyphen/>
        <w:t xml:space="preserve">centred practice (Barnard, 2023). </w:t>
      </w:r>
      <w:r w:rsidR="00A46917" w:rsidRPr="00A46917">
        <w:rPr>
          <w:rFonts w:ascii="Arial" w:hAnsi="Arial" w:cs="Arial"/>
          <w:sz w:val="22"/>
          <w:szCs w:val="22"/>
        </w:rPr>
        <w:t>In Mr Ahmed’s situation, communication is especially crucial because the stroke has affected his speech, understanding and confidence, combined with language barrier</w:t>
      </w:r>
      <w:r w:rsidRPr="009052BC">
        <w:rPr>
          <w:rFonts w:ascii="Arial" w:hAnsi="Arial" w:cs="Arial"/>
          <w:sz w:val="22"/>
          <w:szCs w:val="22"/>
        </w:rPr>
        <w:t>. Stroke survivors commonly experience aphasia or cognitive difficulties, which can significantly affect their ability to express needs and understand information (Haugan and Eriksson, 2021</w:t>
      </w:r>
      <w:r w:rsidR="00C65422">
        <w:rPr>
          <w:rFonts w:ascii="Arial" w:hAnsi="Arial" w:cs="Arial"/>
          <w:sz w:val="22"/>
          <w:szCs w:val="22"/>
        </w:rPr>
        <w:t xml:space="preserve">; </w:t>
      </w:r>
      <w:r w:rsidR="00C65422" w:rsidRPr="00C65422">
        <w:rPr>
          <w:rFonts w:ascii="Arial" w:hAnsi="Arial" w:cs="Arial"/>
          <w:sz w:val="22"/>
          <w:szCs w:val="22"/>
        </w:rPr>
        <w:t>Stroke Association, 2024</w:t>
      </w:r>
      <w:r w:rsidRPr="009052BC">
        <w:rPr>
          <w:rFonts w:ascii="Arial" w:hAnsi="Arial" w:cs="Arial"/>
          <w:sz w:val="22"/>
          <w:szCs w:val="22"/>
        </w:rPr>
        <w:t>).</w:t>
      </w:r>
    </w:p>
    <w:p w14:paraId="027BB53D" w14:textId="192C9AC0" w:rsidR="009052BC" w:rsidRPr="009052BC" w:rsidRDefault="00B76B3D" w:rsidP="00B41E3B">
      <w:pPr>
        <w:spacing w:line="360" w:lineRule="auto"/>
        <w:ind w:firstLine="720"/>
        <w:rPr>
          <w:rFonts w:ascii="Arial" w:hAnsi="Arial" w:cs="Arial"/>
          <w:sz w:val="22"/>
          <w:szCs w:val="22"/>
        </w:rPr>
      </w:pPr>
      <w:r w:rsidRPr="00B76B3D">
        <w:rPr>
          <w:rFonts w:ascii="Arial" w:hAnsi="Arial" w:cs="Arial"/>
          <w:sz w:val="22"/>
          <w:szCs w:val="22"/>
        </w:rPr>
        <w:t>Professionals involved in Mr Ahmed’s care need to adjust their communication approaches to suit his specific needs, using clear and simple language, avoiding technical terminology, speaking at an appropriate pace and allowing adequate time for him to respond.</w:t>
      </w:r>
      <w:r w:rsidR="00B41E3B">
        <w:rPr>
          <w:rFonts w:ascii="Arial" w:hAnsi="Arial" w:cs="Arial"/>
          <w:sz w:val="22"/>
          <w:szCs w:val="22"/>
        </w:rPr>
        <w:t xml:space="preserve"> </w:t>
      </w:r>
      <w:r w:rsidR="009052BC" w:rsidRPr="009052BC">
        <w:rPr>
          <w:rFonts w:ascii="Arial" w:hAnsi="Arial" w:cs="Arial"/>
          <w:sz w:val="22"/>
          <w:szCs w:val="22"/>
        </w:rPr>
        <w:t>Visual aids, gestures and written prompts can support understanding, particularly when verbal communication is challenging</w:t>
      </w:r>
      <w:r w:rsidR="00124355" w:rsidRPr="00124355">
        <w:rPr>
          <w:rFonts w:ascii="Segoe UI" w:eastAsia="Times New Roman" w:hAnsi="Segoe UI" w:cs="Segoe UI"/>
          <w:kern w:val="0"/>
          <w:sz w:val="21"/>
          <w:szCs w:val="21"/>
          <w:lang w:eastAsia="en-GB"/>
          <w14:ligatures w14:val="none"/>
        </w:rPr>
        <w:t xml:space="preserve"> </w:t>
      </w:r>
      <w:r w:rsidR="00124355" w:rsidRPr="00124355">
        <w:rPr>
          <w:rFonts w:ascii="Arial" w:hAnsi="Arial" w:cs="Arial"/>
          <w:sz w:val="22"/>
          <w:szCs w:val="22"/>
        </w:rPr>
        <w:t>(Stroke Association, 2024)</w:t>
      </w:r>
      <w:r w:rsidR="009052BC" w:rsidRPr="009052BC">
        <w:rPr>
          <w:rFonts w:ascii="Arial" w:hAnsi="Arial" w:cs="Arial"/>
          <w:sz w:val="22"/>
          <w:szCs w:val="22"/>
        </w:rPr>
        <w:t>. Checking understanding through repetition or demonstration helps ensure information has been understood correctly. These adaptations promote inclusion and reduce the risk of misunderstanding.</w:t>
      </w:r>
    </w:p>
    <w:p w14:paraId="5EE49D81" w14:textId="77777777" w:rsidR="009052BC" w:rsidRPr="009052BC" w:rsidRDefault="009052BC" w:rsidP="008E37F0">
      <w:pPr>
        <w:spacing w:line="360" w:lineRule="auto"/>
        <w:ind w:firstLine="720"/>
        <w:rPr>
          <w:rFonts w:ascii="Arial" w:hAnsi="Arial" w:cs="Arial"/>
          <w:sz w:val="22"/>
          <w:szCs w:val="22"/>
        </w:rPr>
      </w:pPr>
      <w:r w:rsidRPr="009052BC">
        <w:rPr>
          <w:rFonts w:ascii="Arial" w:hAnsi="Arial" w:cs="Arial"/>
          <w:sz w:val="22"/>
          <w:szCs w:val="22"/>
        </w:rPr>
        <w:lastRenderedPageBreak/>
        <w:t>Although Mr Ahmed’s wife often communicates with professionals on his behalf, it is essential that Mr Ahmed remains central to all discussions. With his consent, his wife can provide valuable support, but professionals should avoid relying solely on family members for interpretation during complex or sensitive conversations. Where necessary, professional interpreter services should be used to ensure accuracy, confidentiality and informed decision</w:t>
      </w:r>
      <w:r w:rsidRPr="009052BC">
        <w:rPr>
          <w:rFonts w:ascii="Arial" w:hAnsi="Arial" w:cs="Arial"/>
          <w:sz w:val="22"/>
          <w:szCs w:val="22"/>
        </w:rPr>
        <w:noBreakHyphen/>
        <w:t>making.</w:t>
      </w:r>
    </w:p>
    <w:p w14:paraId="037B4E7D" w14:textId="77777777" w:rsidR="009052BC" w:rsidRPr="009052BC" w:rsidRDefault="009052BC" w:rsidP="008E37F0">
      <w:pPr>
        <w:spacing w:line="360" w:lineRule="auto"/>
        <w:ind w:firstLine="720"/>
        <w:rPr>
          <w:rFonts w:ascii="Arial" w:hAnsi="Arial" w:cs="Arial"/>
          <w:sz w:val="22"/>
          <w:szCs w:val="22"/>
        </w:rPr>
      </w:pPr>
      <w:r w:rsidRPr="009052BC">
        <w:rPr>
          <w:rFonts w:ascii="Arial" w:hAnsi="Arial" w:cs="Arial"/>
          <w:sz w:val="22"/>
          <w:szCs w:val="22"/>
        </w:rPr>
        <w:t>The Equality Act 2010 places a legal duty on health and social care providers to make reasonable adjustments to prevent discrimination against individuals with disabilities or language barriers. In practice, this means ensuring that Mr Ahmed can access information and services in ways that meet his communication needs. Reasonable adjustments may include interpreter services, extended appointment times and accessible information formats. These measures promote equity by enabling Mr Ahmed to receive care of the same standard as others.</w:t>
      </w:r>
    </w:p>
    <w:p w14:paraId="2C7EB5C0" w14:textId="51B710B7" w:rsidR="009052BC" w:rsidRPr="009052BC" w:rsidRDefault="00067B89" w:rsidP="00067B89">
      <w:pPr>
        <w:spacing w:line="360" w:lineRule="auto"/>
        <w:ind w:firstLine="720"/>
        <w:rPr>
          <w:rFonts w:ascii="Arial" w:hAnsi="Arial" w:cs="Arial"/>
          <w:sz w:val="22"/>
          <w:szCs w:val="22"/>
        </w:rPr>
      </w:pPr>
      <w:r w:rsidRPr="00067B89">
        <w:rPr>
          <w:rFonts w:ascii="Arial" w:hAnsi="Arial" w:cs="Arial"/>
          <w:sz w:val="22"/>
          <w:szCs w:val="22"/>
        </w:rPr>
        <w:t>The SOLER model is especially applicable to this case, as it highlights the role of non</w:t>
      </w:r>
      <w:r w:rsidRPr="00067B89">
        <w:rPr>
          <w:rFonts w:ascii="Arial" w:hAnsi="Arial" w:cs="Arial"/>
          <w:sz w:val="22"/>
          <w:szCs w:val="22"/>
        </w:rPr>
        <w:noBreakHyphen/>
        <w:t>verbal communication and active listening in fostering positive therapeutic relationships (Egan, 2014).</w:t>
      </w:r>
      <w:r>
        <w:rPr>
          <w:rFonts w:ascii="Arial" w:hAnsi="Arial" w:cs="Arial"/>
          <w:sz w:val="22"/>
          <w:szCs w:val="22"/>
        </w:rPr>
        <w:t xml:space="preserve"> </w:t>
      </w:r>
      <w:r w:rsidR="009052BC" w:rsidRPr="009052BC">
        <w:rPr>
          <w:rFonts w:ascii="Arial" w:hAnsi="Arial" w:cs="Arial"/>
          <w:sz w:val="22"/>
          <w:szCs w:val="22"/>
        </w:rPr>
        <w:t>SOLER emphasises sitting squarely, maintaining an open posture, leaning slightly towards the service user, appropriate eye contact and remaining relaxed. For Mr Ahmed, who may experience frustration or anxiety due to communication difficulties, this approach helps professionals convey attentiveness, respect and empathy. Non</w:t>
      </w:r>
      <w:r w:rsidR="009052BC" w:rsidRPr="009052BC">
        <w:rPr>
          <w:rFonts w:ascii="Arial" w:hAnsi="Arial" w:cs="Arial"/>
          <w:sz w:val="22"/>
          <w:szCs w:val="22"/>
        </w:rPr>
        <w:noBreakHyphen/>
        <w:t>verbal communication is particularly important when verbal communication is limited.</w:t>
      </w:r>
    </w:p>
    <w:p w14:paraId="140F6443" w14:textId="3E122201" w:rsidR="009052BC" w:rsidRPr="009052BC" w:rsidRDefault="006264AE" w:rsidP="006264AE">
      <w:pPr>
        <w:spacing w:line="360" w:lineRule="auto"/>
        <w:ind w:firstLine="720"/>
        <w:rPr>
          <w:rFonts w:ascii="Arial" w:hAnsi="Arial" w:cs="Arial"/>
          <w:sz w:val="22"/>
          <w:szCs w:val="22"/>
        </w:rPr>
      </w:pPr>
      <w:r w:rsidRPr="006264AE">
        <w:rPr>
          <w:rFonts w:ascii="Arial" w:hAnsi="Arial" w:cs="Arial"/>
          <w:sz w:val="22"/>
          <w:szCs w:val="22"/>
        </w:rPr>
        <w:t>Communication is equally important in managing risk, with the missed domiciliary care visit and subsequent delay in medication highlighting how breakdowns in communication can threaten service user safety.</w:t>
      </w:r>
      <w:r>
        <w:rPr>
          <w:rFonts w:ascii="Arial" w:hAnsi="Arial" w:cs="Arial"/>
          <w:sz w:val="22"/>
          <w:szCs w:val="22"/>
        </w:rPr>
        <w:t xml:space="preserve"> </w:t>
      </w:r>
      <w:r w:rsidR="009052BC" w:rsidRPr="009052BC">
        <w:rPr>
          <w:rFonts w:ascii="Arial" w:hAnsi="Arial" w:cs="Arial"/>
          <w:sz w:val="22"/>
          <w:szCs w:val="22"/>
        </w:rPr>
        <w:t>Clear handovers, accurate reporting and shared understanding between professionals reduce the likelihood of errors and safeguarding concerns (Salt, 2021). Therefore, inclusive and effective communication is vital in promoting Mr Ahmed’s safety, dignity and recovery.</w:t>
      </w:r>
    </w:p>
    <w:p w14:paraId="2D862C31" w14:textId="3FF5E582" w:rsidR="009052BC" w:rsidRPr="009052BC" w:rsidRDefault="009052BC" w:rsidP="004E68DD">
      <w:pPr>
        <w:spacing w:line="360" w:lineRule="auto"/>
        <w:rPr>
          <w:rFonts w:ascii="Arial" w:hAnsi="Arial" w:cs="Arial"/>
          <w:sz w:val="22"/>
          <w:szCs w:val="22"/>
        </w:rPr>
      </w:pPr>
    </w:p>
    <w:p w14:paraId="0F5A2314" w14:textId="58A06EF7" w:rsidR="009052BC" w:rsidRPr="009052BC" w:rsidRDefault="009052BC" w:rsidP="00EA01A5">
      <w:pPr>
        <w:pStyle w:val="Heading1"/>
      </w:pPr>
      <w:bookmarkStart w:id="2" w:name="_Toc225460287"/>
      <w:r w:rsidRPr="009052BC">
        <w:t>2. Importance of Good Administrative Skills</w:t>
      </w:r>
      <w:bookmarkEnd w:id="2"/>
    </w:p>
    <w:p w14:paraId="00B29B91" w14:textId="77777777" w:rsidR="00BA3C3E" w:rsidRPr="00BA3C3E" w:rsidRDefault="00E446A9" w:rsidP="00BA3C3E">
      <w:pPr>
        <w:spacing w:line="360" w:lineRule="auto"/>
        <w:ind w:firstLine="720"/>
        <w:rPr>
          <w:rFonts w:ascii="Arial" w:hAnsi="Arial" w:cs="Arial"/>
          <w:sz w:val="22"/>
          <w:szCs w:val="22"/>
        </w:rPr>
      </w:pPr>
      <w:r w:rsidRPr="00E446A9">
        <w:rPr>
          <w:rFonts w:ascii="Arial" w:hAnsi="Arial" w:cs="Arial"/>
          <w:sz w:val="22"/>
          <w:szCs w:val="22"/>
        </w:rPr>
        <w:t>Good administrative skills and effective record keeping are fundamental to safe, high</w:t>
      </w:r>
      <w:r w:rsidRPr="00E446A9">
        <w:rPr>
          <w:rFonts w:ascii="Arial" w:hAnsi="Arial" w:cs="Arial"/>
          <w:sz w:val="22"/>
          <w:szCs w:val="22"/>
        </w:rPr>
        <w:noBreakHyphen/>
        <w:t xml:space="preserve">quality practice in health and social care. Administration underpins continuity of care, accountability and clear communication between professionals, particularly where multiple agencies are involved in supporting an individual. </w:t>
      </w:r>
      <w:r w:rsidR="00BA3C3E" w:rsidRPr="00BA3C3E">
        <w:rPr>
          <w:rFonts w:ascii="Arial" w:hAnsi="Arial" w:cs="Arial"/>
          <w:sz w:val="22"/>
          <w:szCs w:val="22"/>
        </w:rPr>
        <w:t xml:space="preserve">Given Mr Ahmed’s complex needs after experiencing a stroke, his reliance on domiciliary care and the involvement of multiple </w:t>
      </w:r>
      <w:r w:rsidR="00BA3C3E" w:rsidRPr="00BA3C3E">
        <w:rPr>
          <w:rFonts w:ascii="Arial" w:hAnsi="Arial" w:cs="Arial"/>
          <w:sz w:val="22"/>
          <w:szCs w:val="22"/>
        </w:rPr>
        <w:lastRenderedPageBreak/>
        <w:t>professionals, effective administrative systems are essential to ensure coordinated and safe care.</w:t>
      </w:r>
    </w:p>
    <w:p w14:paraId="038AF84F" w14:textId="4F53D8E4" w:rsidR="00E446A9" w:rsidRPr="00E446A9" w:rsidRDefault="00B46A1A" w:rsidP="00585965">
      <w:pPr>
        <w:spacing w:line="360" w:lineRule="auto"/>
        <w:ind w:firstLine="720"/>
        <w:rPr>
          <w:rFonts w:ascii="Arial" w:hAnsi="Arial" w:cs="Arial"/>
          <w:sz w:val="22"/>
          <w:szCs w:val="22"/>
        </w:rPr>
      </w:pPr>
      <w:r w:rsidRPr="00B46A1A">
        <w:rPr>
          <w:rFonts w:ascii="Arial" w:hAnsi="Arial" w:cs="Arial"/>
          <w:sz w:val="22"/>
          <w:szCs w:val="22"/>
        </w:rPr>
        <w:t>Maintaining accurate and current records allows professionals supporting Mr Ahmed to share consistent information about his health, care requirements, risks and preferences</w:t>
      </w:r>
      <w:r w:rsidR="00E446A9" w:rsidRPr="00E446A9">
        <w:rPr>
          <w:rFonts w:ascii="Arial" w:hAnsi="Arial" w:cs="Arial"/>
          <w:sz w:val="22"/>
          <w:szCs w:val="22"/>
        </w:rPr>
        <w:t>. Care records should clearly document assessments, care plans, medication administration, scheduled visits and any changes in Mr Ahmed’s condition. Glasby (2017) highlights that effective record keeping supports continuity of care by enabling professionals to make informed decisions and deliver coordinated support. Without accurate documentation, care can become fragmented, increasing the risk of errors and unmet needs.</w:t>
      </w:r>
    </w:p>
    <w:p w14:paraId="0564ADB8" w14:textId="77777777" w:rsidR="00E446A9" w:rsidRPr="00E446A9" w:rsidRDefault="00E446A9" w:rsidP="00E446A9">
      <w:pPr>
        <w:spacing w:line="360" w:lineRule="auto"/>
        <w:ind w:firstLine="720"/>
        <w:rPr>
          <w:rFonts w:ascii="Arial" w:hAnsi="Arial" w:cs="Arial"/>
          <w:sz w:val="22"/>
          <w:szCs w:val="22"/>
        </w:rPr>
      </w:pPr>
      <w:r w:rsidRPr="00E446A9">
        <w:rPr>
          <w:rFonts w:ascii="Arial" w:hAnsi="Arial" w:cs="Arial"/>
          <w:sz w:val="22"/>
          <w:szCs w:val="22"/>
        </w:rPr>
        <w:t>The missed domiciliary care visit in Mr Ahmed’s case illustrates the potential consequences of poor administration. This incident resulted in delayed medication administration, posing a risk to Mr Ahmed’s health and wellbeing. Such incidents must be recorded accurately and reported through organisational incident reporting systems. Clear documentation supports transparency and accountability, while also enabling organisations to reflect on practice and implement improvements to reduce the likelihood of similar incidents occurring in the future (Salt, 2021). Effective administrative systems therefore play a key role in risk management and safeguarding.</w:t>
      </w:r>
    </w:p>
    <w:p w14:paraId="0269161B" w14:textId="4D0CBA96" w:rsidR="00E446A9" w:rsidRPr="00E446A9" w:rsidRDefault="00E446A9" w:rsidP="008E2B88">
      <w:pPr>
        <w:spacing w:line="360" w:lineRule="auto"/>
        <w:ind w:firstLine="720"/>
        <w:rPr>
          <w:rFonts w:ascii="Arial" w:hAnsi="Arial" w:cs="Arial"/>
          <w:sz w:val="22"/>
          <w:szCs w:val="22"/>
        </w:rPr>
      </w:pPr>
      <w:r w:rsidRPr="00E446A9">
        <w:rPr>
          <w:rFonts w:ascii="Arial" w:hAnsi="Arial" w:cs="Arial"/>
          <w:sz w:val="22"/>
          <w:szCs w:val="22"/>
        </w:rPr>
        <w:t>Good administrative practice is also closely linked to legal and ethical responsibilities surrounding information governance</w:t>
      </w:r>
      <w:r w:rsidR="008E2B88">
        <w:rPr>
          <w:rFonts w:ascii="Arial" w:hAnsi="Arial" w:cs="Arial"/>
          <w:sz w:val="22"/>
          <w:szCs w:val="22"/>
        </w:rPr>
        <w:t>.</w:t>
      </w:r>
      <w:r w:rsidR="003A72F2" w:rsidRPr="003A72F2">
        <w:rPr>
          <w:rFonts w:ascii="Segoe UI" w:eastAsia="Times New Roman" w:hAnsi="Segoe UI" w:cs="Segoe UI"/>
          <w:kern w:val="0"/>
          <w:sz w:val="21"/>
          <w:szCs w:val="21"/>
          <w:lang w:eastAsia="en-GB"/>
          <w14:ligatures w14:val="none"/>
        </w:rPr>
        <w:t xml:space="preserve"> </w:t>
      </w:r>
      <w:r w:rsidR="003A72F2" w:rsidRPr="003A72F2">
        <w:rPr>
          <w:rFonts w:ascii="Arial" w:hAnsi="Arial" w:cs="Arial"/>
          <w:sz w:val="22"/>
          <w:szCs w:val="22"/>
        </w:rPr>
        <w:t>Under the Data Protection Act 2018 and UK GDPR, health and social care professionals have a legal responsibility to manage personal data appropriately. This requires Mr Ahmed’s information to be processed fairly and lawfully, while ensuring records remain accurate, relevant and securely protected.</w:t>
      </w:r>
      <w:r w:rsidR="008E2B88">
        <w:rPr>
          <w:rFonts w:ascii="Arial" w:hAnsi="Arial" w:cs="Arial"/>
          <w:sz w:val="22"/>
          <w:szCs w:val="22"/>
        </w:rPr>
        <w:t xml:space="preserve"> </w:t>
      </w:r>
      <w:r w:rsidRPr="00E446A9">
        <w:rPr>
          <w:rFonts w:ascii="Arial" w:hAnsi="Arial" w:cs="Arial"/>
          <w:sz w:val="22"/>
          <w:szCs w:val="22"/>
        </w:rPr>
        <w:t>Information should only be shared with authorised individuals who require it to provide care, ensuring confidentiality is maintained.</w:t>
      </w:r>
    </w:p>
    <w:p w14:paraId="1481CE5F" w14:textId="700E68E7" w:rsidR="00E446A9" w:rsidRPr="00E446A9" w:rsidRDefault="00E446A9" w:rsidP="00B10489">
      <w:pPr>
        <w:spacing w:line="360" w:lineRule="auto"/>
        <w:ind w:firstLine="720"/>
        <w:rPr>
          <w:rFonts w:ascii="Arial" w:hAnsi="Arial" w:cs="Arial"/>
          <w:sz w:val="22"/>
          <w:szCs w:val="22"/>
        </w:rPr>
      </w:pPr>
      <w:r w:rsidRPr="00E446A9">
        <w:rPr>
          <w:rFonts w:ascii="Arial" w:hAnsi="Arial" w:cs="Arial"/>
          <w:sz w:val="22"/>
          <w:szCs w:val="22"/>
        </w:rPr>
        <w:t xml:space="preserve">Confidentiality is particularly important in Mr Ahmed’s situation, as his wife frequently communicates with professionals on his behalf. While her involvement is valuable, professionals must ensure that information sharing occurs with Mr Ahmed’s consent and in line with organisational policies. Barnard (2023) emphasises that effective information governance not only protects service users’ rights but also fosters trust between individuals and professionals. </w:t>
      </w:r>
      <w:r w:rsidR="00CA5166" w:rsidRPr="00CA5166">
        <w:rPr>
          <w:rFonts w:ascii="Arial" w:hAnsi="Arial" w:cs="Arial"/>
          <w:sz w:val="22"/>
          <w:szCs w:val="22"/>
        </w:rPr>
        <w:t>Taken together, robust administrative practice and accurate record keeping play a key role in delivering safe, coordinated and person</w:t>
      </w:r>
      <w:r w:rsidR="00CA5166" w:rsidRPr="00CA5166">
        <w:rPr>
          <w:rFonts w:ascii="Arial" w:hAnsi="Arial" w:cs="Arial"/>
          <w:sz w:val="22"/>
          <w:szCs w:val="22"/>
        </w:rPr>
        <w:noBreakHyphen/>
        <w:t>centred care for Mr Ahmed, while upholding legal requirements and professional responsibility.</w:t>
      </w:r>
    </w:p>
    <w:p w14:paraId="7AC3515F" w14:textId="69E98DE8" w:rsidR="009052BC" w:rsidRPr="009052BC" w:rsidRDefault="009052BC" w:rsidP="004E68DD">
      <w:pPr>
        <w:spacing w:line="360" w:lineRule="auto"/>
        <w:rPr>
          <w:rFonts w:ascii="Arial" w:hAnsi="Arial" w:cs="Arial"/>
          <w:sz w:val="22"/>
          <w:szCs w:val="22"/>
        </w:rPr>
      </w:pPr>
    </w:p>
    <w:p w14:paraId="321599E8" w14:textId="7516C328" w:rsidR="009052BC" w:rsidRPr="009052BC" w:rsidRDefault="009052BC" w:rsidP="00EA01A5">
      <w:pPr>
        <w:pStyle w:val="Heading1"/>
      </w:pPr>
      <w:bookmarkStart w:id="3" w:name="_Toc225460288"/>
      <w:r w:rsidRPr="009052BC">
        <w:lastRenderedPageBreak/>
        <w:t xml:space="preserve">3. </w:t>
      </w:r>
      <w:r w:rsidR="004D0561">
        <w:t xml:space="preserve">Importance of </w:t>
      </w:r>
      <w:r w:rsidRPr="009052BC">
        <w:t>Collaborative Working in Mr Ahmed’s Care</w:t>
      </w:r>
      <w:bookmarkEnd w:id="3"/>
      <w:r w:rsidRPr="009052BC">
        <w:t xml:space="preserve"> </w:t>
      </w:r>
    </w:p>
    <w:p w14:paraId="6D476F8B" w14:textId="6616BB45" w:rsidR="002B243B" w:rsidRPr="002B243B" w:rsidRDefault="002B243B" w:rsidP="001B2C39">
      <w:pPr>
        <w:spacing w:line="360" w:lineRule="auto"/>
        <w:ind w:firstLine="720"/>
        <w:rPr>
          <w:rFonts w:ascii="Arial" w:hAnsi="Arial" w:cs="Arial"/>
          <w:sz w:val="22"/>
          <w:szCs w:val="22"/>
        </w:rPr>
      </w:pPr>
      <w:r w:rsidRPr="002B243B">
        <w:rPr>
          <w:rFonts w:ascii="Arial" w:hAnsi="Arial" w:cs="Arial"/>
          <w:sz w:val="22"/>
          <w:szCs w:val="22"/>
        </w:rPr>
        <w:t>Alongside effective communication and sound administrative practice, collaborative working is a key element of high</w:t>
      </w:r>
      <w:r w:rsidRPr="002B243B">
        <w:rPr>
          <w:rFonts w:ascii="Arial" w:hAnsi="Arial" w:cs="Arial"/>
          <w:sz w:val="22"/>
          <w:szCs w:val="22"/>
        </w:rPr>
        <w:noBreakHyphen/>
        <w:t xml:space="preserve">quality health and social care, </w:t>
      </w:r>
      <w:r w:rsidR="001B2C39" w:rsidRPr="001B2C39">
        <w:rPr>
          <w:rFonts w:ascii="Arial" w:hAnsi="Arial" w:cs="Arial"/>
          <w:sz w:val="22"/>
          <w:szCs w:val="22"/>
        </w:rPr>
        <w:t>in situations involving individuals with complex and persistent care needs</w:t>
      </w:r>
      <w:r w:rsidRPr="002B243B">
        <w:rPr>
          <w:rFonts w:ascii="Arial" w:hAnsi="Arial" w:cs="Arial"/>
          <w:sz w:val="22"/>
          <w:szCs w:val="22"/>
        </w:rPr>
        <w:t>. Mr Ahmed’s care is delivered by a multidisciplinary team that includes his GP, district nurse, speech and language therapist and domiciliary care staff. Close cooperation between these professionals is essential to ensure that care is well</w:t>
      </w:r>
      <w:r w:rsidRPr="002B243B">
        <w:rPr>
          <w:rFonts w:ascii="Arial" w:hAnsi="Arial" w:cs="Arial"/>
          <w:sz w:val="22"/>
          <w:szCs w:val="22"/>
        </w:rPr>
        <w:noBreakHyphen/>
        <w:t>coordinated, person</w:t>
      </w:r>
      <w:r w:rsidRPr="002B243B">
        <w:rPr>
          <w:rFonts w:ascii="Arial" w:hAnsi="Arial" w:cs="Arial"/>
          <w:sz w:val="22"/>
          <w:szCs w:val="22"/>
        </w:rPr>
        <w:noBreakHyphen/>
        <w:t>centred and responsive to Mr Ahmed’s physical, emotional and communication needs following his stroke.</w:t>
      </w:r>
    </w:p>
    <w:p w14:paraId="72EC858C" w14:textId="77777777" w:rsidR="006D79A5" w:rsidRPr="006D79A5" w:rsidRDefault="006D79A5" w:rsidP="005D6951">
      <w:pPr>
        <w:spacing w:line="360" w:lineRule="auto"/>
        <w:ind w:firstLine="720"/>
        <w:rPr>
          <w:rFonts w:ascii="Arial" w:hAnsi="Arial" w:cs="Arial"/>
          <w:sz w:val="22"/>
          <w:szCs w:val="22"/>
        </w:rPr>
      </w:pPr>
      <w:r w:rsidRPr="006D79A5">
        <w:rPr>
          <w:rFonts w:ascii="Arial" w:hAnsi="Arial" w:cs="Arial"/>
          <w:sz w:val="22"/>
          <w:szCs w:val="22"/>
        </w:rPr>
        <w:t>Partnership working promotes a holistic approach to care by bringing together the knowledge and expertise of different professionals. Glasby and Dickinson (2014) emphasise that collaborative working improves outcomes by reducing duplication, improving communication and ensuring that all aspects of a service user’s needs are addressed. In Mr Ahmed’s case, collaboration between the speech and language therapist and domiciliary care staff is particularly important to ensure consistent communication strategies and safe swallowing practices are followed during daily care visits.</w:t>
      </w:r>
    </w:p>
    <w:p w14:paraId="76CC331C" w14:textId="6EEC75E5" w:rsidR="006D79A5" w:rsidRPr="006D79A5" w:rsidRDefault="006D79A5" w:rsidP="005D6951">
      <w:pPr>
        <w:spacing w:line="360" w:lineRule="auto"/>
        <w:ind w:firstLine="720"/>
        <w:rPr>
          <w:rFonts w:ascii="Arial" w:hAnsi="Arial" w:cs="Arial"/>
          <w:sz w:val="22"/>
          <w:szCs w:val="22"/>
        </w:rPr>
      </w:pPr>
      <w:r w:rsidRPr="006D79A5">
        <w:rPr>
          <w:rFonts w:ascii="Arial" w:hAnsi="Arial" w:cs="Arial"/>
          <w:sz w:val="22"/>
          <w:szCs w:val="22"/>
        </w:rPr>
        <w:t>Clear communication and shared care planning are key features of effective collaborative working. Regular information sharing, with appropriate consent, enables professionals to stay informed about changes in Mr Ahmed’s condition, risks or preferences. Person</w:t>
      </w:r>
      <w:r w:rsidRPr="006D79A5">
        <w:rPr>
          <w:rFonts w:ascii="Arial" w:hAnsi="Arial" w:cs="Arial"/>
          <w:sz w:val="22"/>
          <w:szCs w:val="22"/>
        </w:rPr>
        <w:noBreakHyphen/>
        <w:t>centred care planning, which actively involves Mr Ahmed and his wife, supports shared decision</w:t>
      </w:r>
      <w:r w:rsidRPr="006D79A5">
        <w:rPr>
          <w:rFonts w:ascii="Arial" w:hAnsi="Arial" w:cs="Arial"/>
          <w:sz w:val="22"/>
          <w:szCs w:val="22"/>
        </w:rPr>
        <w:noBreakHyphen/>
        <w:t xml:space="preserve">making and helps ensure that care remains aligned with his wishes and goals (Day, 2013). Multidisciplinary meetings and accurate </w:t>
      </w:r>
      <w:r w:rsidR="00740420">
        <w:rPr>
          <w:rFonts w:ascii="Arial" w:hAnsi="Arial" w:cs="Arial"/>
          <w:sz w:val="22"/>
          <w:szCs w:val="22"/>
        </w:rPr>
        <w:t>information transfer</w:t>
      </w:r>
      <w:r w:rsidRPr="006D79A5">
        <w:rPr>
          <w:rFonts w:ascii="Arial" w:hAnsi="Arial" w:cs="Arial"/>
          <w:sz w:val="22"/>
          <w:szCs w:val="22"/>
        </w:rPr>
        <w:t xml:space="preserve"> further support coordinated care delivery.</w:t>
      </w:r>
    </w:p>
    <w:p w14:paraId="12D19EB4" w14:textId="00330804" w:rsidR="006D79A5" w:rsidRPr="006D79A5" w:rsidRDefault="00243A63" w:rsidP="002D09D9">
      <w:pPr>
        <w:spacing w:line="360" w:lineRule="auto"/>
        <w:ind w:firstLine="720"/>
        <w:rPr>
          <w:rFonts w:ascii="Arial" w:hAnsi="Arial" w:cs="Arial"/>
          <w:sz w:val="22"/>
          <w:szCs w:val="22"/>
        </w:rPr>
      </w:pPr>
      <w:r w:rsidRPr="00243A63">
        <w:rPr>
          <w:rFonts w:ascii="Arial" w:hAnsi="Arial" w:cs="Arial"/>
          <w:sz w:val="22"/>
          <w:szCs w:val="22"/>
        </w:rPr>
        <w:t>Despite its benefits, collaborative working can be challenging, with variations in professional responsibilities, organisational demands and communication processes potentially leading to miscommunication or discontinuities in care.</w:t>
      </w:r>
      <w:r w:rsidR="005878A9">
        <w:rPr>
          <w:rFonts w:ascii="Arial" w:hAnsi="Arial" w:cs="Arial"/>
          <w:sz w:val="22"/>
          <w:szCs w:val="22"/>
        </w:rPr>
        <w:t xml:space="preserve"> </w:t>
      </w:r>
      <w:r w:rsidR="002D09D9" w:rsidRPr="002D09D9">
        <w:rPr>
          <w:rFonts w:ascii="Arial" w:hAnsi="Arial" w:cs="Arial"/>
          <w:sz w:val="22"/>
          <w:szCs w:val="22"/>
        </w:rPr>
        <w:t>The failure to attend a scheduled domiciliary care visit in Mr Ahmed’s case highlights how ineffective coordination can negatively impact service delivery.</w:t>
      </w:r>
      <w:r w:rsidR="006D79A5" w:rsidRPr="006D79A5">
        <w:rPr>
          <w:rFonts w:ascii="Arial" w:hAnsi="Arial" w:cs="Arial"/>
          <w:sz w:val="22"/>
          <w:szCs w:val="22"/>
        </w:rPr>
        <w:t xml:space="preserve"> Thomas (2014) note that such challenges can be addressed through clear role definition, shared protocols and a culture of mutual respect and accountability.</w:t>
      </w:r>
    </w:p>
    <w:p w14:paraId="0EC217AA" w14:textId="77777777" w:rsidR="006D79A5" w:rsidRPr="006D79A5" w:rsidRDefault="006D79A5" w:rsidP="005D6951">
      <w:pPr>
        <w:spacing w:line="360" w:lineRule="auto"/>
        <w:ind w:firstLine="720"/>
        <w:rPr>
          <w:rFonts w:ascii="Arial" w:hAnsi="Arial" w:cs="Arial"/>
          <w:sz w:val="22"/>
          <w:szCs w:val="22"/>
        </w:rPr>
      </w:pPr>
      <w:r w:rsidRPr="006D79A5">
        <w:rPr>
          <w:rFonts w:ascii="Arial" w:hAnsi="Arial" w:cs="Arial"/>
          <w:sz w:val="22"/>
          <w:szCs w:val="22"/>
        </w:rPr>
        <w:t>Overall, effective collaborative working is essential in promoting safe, integrated and person</w:t>
      </w:r>
      <w:r w:rsidRPr="006D79A5">
        <w:rPr>
          <w:rFonts w:ascii="Arial" w:hAnsi="Arial" w:cs="Arial"/>
          <w:sz w:val="22"/>
          <w:szCs w:val="22"/>
        </w:rPr>
        <w:noBreakHyphen/>
        <w:t>centred care for Mr Ahmed. When professionals work together effectively, risks are reduced, communication is improved and outcomes for service users are enhanced.</w:t>
      </w:r>
    </w:p>
    <w:p w14:paraId="7641C6E7" w14:textId="1EEC4A42" w:rsidR="009052BC" w:rsidRPr="009052BC" w:rsidRDefault="009052BC" w:rsidP="004E68DD">
      <w:pPr>
        <w:spacing w:line="360" w:lineRule="auto"/>
        <w:rPr>
          <w:rFonts w:ascii="Arial" w:hAnsi="Arial" w:cs="Arial"/>
          <w:sz w:val="22"/>
          <w:szCs w:val="22"/>
        </w:rPr>
      </w:pPr>
    </w:p>
    <w:p w14:paraId="547883A7" w14:textId="195264F0" w:rsidR="009052BC" w:rsidRPr="009052BC" w:rsidRDefault="009052BC" w:rsidP="00EA01A5">
      <w:pPr>
        <w:pStyle w:val="Heading1"/>
      </w:pPr>
      <w:bookmarkStart w:id="4" w:name="_Toc225460289"/>
      <w:r w:rsidRPr="009052BC">
        <w:t>Conclusion</w:t>
      </w:r>
      <w:bookmarkEnd w:id="4"/>
      <w:r w:rsidRPr="009052BC">
        <w:t xml:space="preserve"> </w:t>
      </w:r>
    </w:p>
    <w:p w14:paraId="142B443B" w14:textId="77777777" w:rsidR="0055797A" w:rsidRPr="0055797A" w:rsidRDefault="0055797A" w:rsidP="0055797A">
      <w:pPr>
        <w:spacing w:line="360" w:lineRule="auto"/>
        <w:ind w:firstLine="720"/>
        <w:rPr>
          <w:rFonts w:ascii="Arial" w:hAnsi="Arial" w:cs="Arial"/>
          <w:sz w:val="22"/>
          <w:szCs w:val="22"/>
        </w:rPr>
      </w:pPr>
      <w:r w:rsidRPr="0055797A">
        <w:rPr>
          <w:rFonts w:ascii="Arial" w:hAnsi="Arial" w:cs="Arial"/>
          <w:sz w:val="22"/>
          <w:szCs w:val="22"/>
        </w:rPr>
        <w:t>This report has critically examined how effective communication, robust administrative practice and collaborative working contribute to safe and high</w:t>
      </w:r>
      <w:r w:rsidRPr="0055797A">
        <w:rPr>
          <w:rFonts w:ascii="Arial" w:hAnsi="Arial" w:cs="Arial"/>
          <w:sz w:val="22"/>
          <w:szCs w:val="22"/>
        </w:rPr>
        <w:noBreakHyphen/>
        <w:t>quality care in the context of Mr Ahmed’s recovery following a stroke. Inclusive communication, supported by legislation such as the Equality Act 2010 and models including SOLER, is essential in promoting dignity, understanding and safety where language barriers and communication impairments are present. Effective administrative systems and accurate record keeping, guided by the Data Protection Act 2018, support continuity of care, accountability and learning from incidents. In addition, collaborative working between professionals enables coordinated, person</w:t>
      </w:r>
      <w:r w:rsidRPr="0055797A">
        <w:rPr>
          <w:rFonts w:ascii="Arial" w:hAnsi="Arial" w:cs="Arial"/>
          <w:sz w:val="22"/>
          <w:szCs w:val="22"/>
        </w:rPr>
        <w:noBreakHyphen/>
        <w:t>centred care and reduces the risk of errors or service gaps. Ultimately, the integration of these approaches is central to delivering safe, equitable and effective health and social care, ensuring that Mr Ahmed’s needs are met in a compassionate, coordinated and professional manner.</w:t>
      </w:r>
    </w:p>
    <w:p w14:paraId="20FF7650" w14:textId="3CA19C0C" w:rsidR="009052BC" w:rsidRPr="009052BC" w:rsidRDefault="009052BC" w:rsidP="004E68DD">
      <w:pPr>
        <w:spacing w:line="360" w:lineRule="auto"/>
        <w:rPr>
          <w:rFonts w:ascii="Arial" w:hAnsi="Arial" w:cs="Arial"/>
          <w:sz w:val="22"/>
          <w:szCs w:val="22"/>
        </w:rPr>
      </w:pPr>
    </w:p>
    <w:p w14:paraId="4ED3E065" w14:textId="77777777" w:rsidR="004E68DD" w:rsidRDefault="004E68DD" w:rsidP="004E68DD">
      <w:pPr>
        <w:spacing w:line="360" w:lineRule="auto"/>
        <w:rPr>
          <w:rFonts w:ascii="Arial" w:hAnsi="Arial" w:cs="Arial"/>
          <w:b/>
          <w:bCs/>
          <w:sz w:val="22"/>
          <w:szCs w:val="22"/>
        </w:rPr>
      </w:pPr>
    </w:p>
    <w:p w14:paraId="0CA53CA0" w14:textId="77777777" w:rsidR="004E68DD" w:rsidRDefault="004E68DD" w:rsidP="004E68DD">
      <w:pPr>
        <w:spacing w:line="360" w:lineRule="auto"/>
        <w:rPr>
          <w:rFonts w:ascii="Arial" w:hAnsi="Arial" w:cs="Arial"/>
          <w:b/>
          <w:bCs/>
          <w:sz w:val="22"/>
          <w:szCs w:val="22"/>
        </w:rPr>
      </w:pPr>
    </w:p>
    <w:p w14:paraId="23391044" w14:textId="77777777" w:rsidR="000A2691" w:rsidRDefault="000A2691">
      <w:pPr>
        <w:rPr>
          <w:rFonts w:ascii="Arial" w:hAnsi="Arial" w:cs="Arial"/>
          <w:b/>
          <w:bCs/>
          <w:sz w:val="28"/>
          <w:szCs w:val="28"/>
        </w:rPr>
      </w:pPr>
      <w:r>
        <w:rPr>
          <w:rFonts w:ascii="Arial" w:hAnsi="Arial" w:cs="Arial"/>
          <w:b/>
          <w:bCs/>
          <w:sz w:val="28"/>
          <w:szCs w:val="28"/>
        </w:rPr>
        <w:br w:type="page"/>
      </w:r>
    </w:p>
    <w:p w14:paraId="036A9D14" w14:textId="3B180308" w:rsidR="009052BC" w:rsidRPr="009052BC" w:rsidRDefault="009052BC" w:rsidP="00EA01A5">
      <w:pPr>
        <w:pStyle w:val="Heading1"/>
      </w:pPr>
      <w:bookmarkStart w:id="5" w:name="_Toc225460290"/>
      <w:r w:rsidRPr="009052BC">
        <w:lastRenderedPageBreak/>
        <w:t>Reference List</w:t>
      </w:r>
      <w:bookmarkEnd w:id="5"/>
      <w:r w:rsidRPr="009052BC">
        <w:t xml:space="preserve"> </w:t>
      </w:r>
    </w:p>
    <w:p w14:paraId="558FA857"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157EC2">
        <w:rPr>
          <w:rFonts w:ascii="Arial" w:hAnsi="Arial" w:cs="Arial"/>
          <w:sz w:val="22"/>
          <w:szCs w:val="22"/>
        </w:rPr>
        <w:t xml:space="preserve">Barnard, A., Calabria, V., &amp; Griffiths, L. (Eds.). (2023). </w:t>
      </w:r>
      <w:r w:rsidRPr="003808BC">
        <w:rPr>
          <w:rFonts w:ascii="Arial" w:hAnsi="Arial" w:cs="Arial"/>
          <w:i/>
          <w:iCs/>
          <w:sz w:val="22"/>
          <w:szCs w:val="22"/>
        </w:rPr>
        <w:t>Key Themes in Health and Social Care: A Companion to Learning</w:t>
      </w:r>
      <w:r w:rsidRPr="00157EC2">
        <w:rPr>
          <w:rFonts w:ascii="Arial" w:hAnsi="Arial" w:cs="Arial"/>
          <w:sz w:val="22"/>
          <w:szCs w:val="22"/>
        </w:rPr>
        <w:t xml:space="preserve"> (2nd ed</w:t>
      </w:r>
      <w:r>
        <w:rPr>
          <w:rFonts w:ascii="Arial" w:hAnsi="Arial" w:cs="Arial"/>
          <w:sz w:val="22"/>
          <w:szCs w:val="22"/>
        </w:rPr>
        <w:t>.</w:t>
      </w:r>
      <w:r w:rsidRPr="00157EC2">
        <w:rPr>
          <w:rFonts w:ascii="Arial" w:hAnsi="Arial" w:cs="Arial"/>
          <w:sz w:val="22"/>
          <w:szCs w:val="22"/>
        </w:rPr>
        <w:t xml:space="preserve">). Routledge. </w:t>
      </w:r>
      <w:r>
        <w:rPr>
          <w:rFonts w:ascii="Arial" w:hAnsi="Arial" w:cs="Arial"/>
          <w:sz w:val="22"/>
          <w:szCs w:val="22"/>
        </w:rPr>
        <w:t xml:space="preserve">Available at: </w:t>
      </w:r>
      <w:hyperlink r:id="rId11" w:history="1">
        <w:r w:rsidRPr="00F52BF3">
          <w:rPr>
            <w:rStyle w:val="Hyperlink"/>
            <w:rFonts w:ascii="Arial" w:hAnsi="Arial" w:cs="Arial"/>
            <w:sz w:val="22"/>
            <w:szCs w:val="22"/>
          </w:rPr>
          <w:t>https://doi.org/10.4324/9781003079873</w:t>
        </w:r>
      </w:hyperlink>
      <w:r>
        <w:rPr>
          <w:rFonts w:ascii="Arial" w:hAnsi="Arial" w:cs="Arial"/>
          <w:sz w:val="22"/>
          <w:szCs w:val="22"/>
        </w:rPr>
        <w:t xml:space="preserve"> (Accessed: 24 March 2026).</w:t>
      </w:r>
    </w:p>
    <w:p w14:paraId="0339E382" w14:textId="77777777" w:rsidR="009F7CCF"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 xml:space="preserve">Day, J. (2013) </w:t>
      </w:r>
      <w:r w:rsidRPr="004E68DD">
        <w:rPr>
          <w:rFonts w:ascii="Arial" w:hAnsi="Arial" w:cs="Arial"/>
          <w:i/>
          <w:iCs/>
          <w:sz w:val="22"/>
          <w:szCs w:val="22"/>
        </w:rPr>
        <w:t>Interprofessional working: An essential guide for health and social care professionals</w:t>
      </w:r>
      <w:r w:rsidRPr="004E68DD">
        <w:rPr>
          <w:rFonts w:ascii="Arial" w:hAnsi="Arial" w:cs="Arial"/>
          <w:sz w:val="22"/>
          <w:szCs w:val="22"/>
        </w:rPr>
        <w:t xml:space="preserve"> </w:t>
      </w:r>
      <w:r>
        <w:rPr>
          <w:rFonts w:ascii="Arial" w:hAnsi="Arial" w:cs="Arial"/>
          <w:sz w:val="22"/>
          <w:szCs w:val="22"/>
        </w:rPr>
        <w:t>(</w:t>
      </w:r>
      <w:r w:rsidRPr="004E68DD">
        <w:rPr>
          <w:rFonts w:ascii="Arial" w:hAnsi="Arial" w:cs="Arial"/>
          <w:sz w:val="22"/>
          <w:szCs w:val="22"/>
        </w:rPr>
        <w:t>2nd ed.</w:t>
      </w:r>
      <w:r>
        <w:rPr>
          <w:rFonts w:ascii="Arial" w:hAnsi="Arial" w:cs="Arial"/>
          <w:sz w:val="22"/>
          <w:szCs w:val="22"/>
        </w:rPr>
        <w:t>).</w:t>
      </w:r>
      <w:r w:rsidRPr="004E68DD">
        <w:rPr>
          <w:rFonts w:ascii="Arial" w:hAnsi="Arial" w:cs="Arial"/>
          <w:sz w:val="22"/>
          <w:szCs w:val="22"/>
        </w:rPr>
        <w:t xml:space="preserve"> Cengage Learning.</w:t>
      </w:r>
      <w:r>
        <w:rPr>
          <w:rFonts w:ascii="Arial" w:hAnsi="Arial" w:cs="Arial"/>
          <w:sz w:val="22"/>
          <w:szCs w:val="22"/>
        </w:rPr>
        <w:t xml:space="preserve"> Available at: </w:t>
      </w:r>
      <w:hyperlink r:id="rId12" w:history="1">
        <w:r w:rsidRPr="00F52BF3">
          <w:rPr>
            <w:rStyle w:val="Hyperlink"/>
            <w:rFonts w:ascii="Arial" w:hAnsi="Arial" w:cs="Arial"/>
            <w:sz w:val="22"/>
            <w:szCs w:val="22"/>
          </w:rPr>
          <w:t>https://r4-vlebooks-com.uwtsd.idm.oclc.org/Reader?ean=9781408098769</w:t>
        </w:r>
      </w:hyperlink>
      <w:r>
        <w:rPr>
          <w:rFonts w:ascii="Arial" w:hAnsi="Arial" w:cs="Arial"/>
          <w:sz w:val="22"/>
          <w:szCs w:val="22"/>
        </w:rPr>
        <w:t xml:space="preserve"> (Accessed: 24 March 2026).</w:t>
      </w:r>
    </w:p>
    <w:p w14:paraId="5ED993CB" w14:textId="77777777" w:rsidR="009F7CCF" w:rsidRPr="00A94571" w:rsidRDefault="009F7CCF" w:rsidP="00A94571">
      <w:pPr>
        <w:pStyle w:val="ListParagraph"/>
        <w:numPr>
          <w:ilvl w:val="0"/>
          <w:numId w:val="1"/>
        </w:numPr>
        <w:spacing w:after="0" w:line="360" w:lineRule="auto"/>
        <w:rPr>
          <w:rFonts w:ascii="Segoe UI" w:eastAsia="Times New Roman" w:hAnsi="Segoe UI" w:cs="Segoe UI"/>
          <w:kern w:val="0"/>
          <w:sz w:val="21"/>
          <w:szCs w:val="21"/>
          <w:lang w:eastAsia="en-GB"/>
          <w14:ligatures w14:val="none"/>
        </w:rPr>
      </w:pPr>
      <w:r w:rsidRPr="00A94571">
        <w:rPr>
          <w:rFonts w:ascii="Arial" w:eastAsia="Times New Roman" w:hAnsi="Arial" w:cs="Arial"/>
          <w:kern w:val="0"/>
          <w:sz w:val="22"/>
          <w:szCs w:val="22"/>
          <w:lang w:eastAsia="en-GB"/>
          <w14:ligatures w14:val="none"/>
        </w:rPr>
        <w:t xml:space="preserve">Egan, G. (2014) </w:t>
      </w:r>
      <w:r w:rsidRPr="00A94571">
        <w:rPr>
          <w:rFonts w:ascii="Arial" w:eastAsia="Times New Roman" w:hAnsi="Arial" w:cs="Arial"/>
          <w:i/>
          <w:iCs/>
          <w:kern w:val="0"/>
          <w:sz w:val="22"/>
          <w:szCs w:val="22"/>
          <w:lang w:eastAsia="en-GB"/>
          <w14:ligatures w14:val="none"/>
        </w:rPr>
        <w:t>The Skilled Helper: A Problem</w:t>
      </w:r>
      <w:r w:rsidRPr="00A94571">
        <w:rPr>
          <w:rFonts w:ascii="Arial" w:eastAsia="Times New Roman" w:hAnsi="Arial" w:cs="Arial"/>
          <w:i/>
          <w:iCs/>
          <w:kern w:val="0"/>
          <w:sz w:val="22"/>
          <w:szCs w:val="22"/>
          <w:lang w:eastAsia="en-GB"/>
          <w14:ligatures w14:val="none"/>
        </w:rPr>
        <w:noBreakHyphen/>
        <w:t>Management and Opportunity</w:t>
      </w:r>
      <w:r w:rsidRPr="00A94571">
        <w:rPr>
          <w:rFonts w:ascii="Arial" w:eastAsia="Times New Roman" w:hAnsi="Arial" w:cs="Arial"/>
          <w:i/>
          <w:iCs/>
          <w:kern w:val="0"/>
          <w:sz w:val="22"/>
          <w:szCs w:val="22"/>
          <w:lang w:eastAsia="en-GB"/>
          <w14:ligatures w14:val="none"/>
        </w:rPr>
        <w:noBreakHyphen/>
        <w:t>Development Approach to Helping</w:t>
      </w:r>
      <w:r w:rsidRPr="00A94571">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w:t>
      </w:r>
      <w:r w:rsidRPr="00A94571">
        <w:rPr>
          <w:rFonts w:ascii="Arial" w:eastAsia="Times New Roman" w:hAnsi="Arial" w:cs="Arial"/>
          <w:kern w:val="0"/>
          <w:sz w:val="22"/>
          <w:szCs w:val="22"/>
          <w:lang w:eastAsia="en-GB"/>
          <w14:ligatures w14:val="none"/>
        </w:rPr>
        <w:t>10th ed.</w:t>
      </w:r>
      <w:r>
        <w:rPr>
          <w:rFonts w:ascii="Arial" w:eastAsia="Times New Roman" w:hAnsi="Arial" w:cs="Arial"/>
          <w:kern w:val="0"/>
          <w:sz w:val="22"/>
          <w:szCs w:val="22"/>
          <w:lang w:eastAsia="en-GB"/>
          <w14:ligatures w14:val="none"/>
        </w:rPr>
        <w:t>).</w:t>
      </w:r>
      <w:r w:rsidRPr="00A94571">
        <w:rPr>
          <w:rFonts w:ascii="Arial" w:eastAsia="Times New Roman" w:hAnsi="Arial" w:cs="Arial"/>
          <w:kern w:val="0"/>
          <w:sz w:val="22"/>
          <w:szCs w:val="22"/>
          <w:lang w:eastAsia="en-GB"/>
          <w14:ligatures w14:val="none"/>
        </w:rPr>
        <w:t xml:space="preserve"> Cengage Learning</w:t>
      </w:r>
      <w:r w:rsidRPr="00A94571">
        <w:rPr>
          <w:rFonts w:ascii="Segoe UI" w:eastAsia="Times New Roman" w:hAnsi="Segoe UI" w:cs="Segoe UI"/>
          <w:kern w:val="0"/>
          <w:sz w:val="21"/>
          <w:szCs w:val="21"/>
          <w:lang w:eastAsia="en-GB"/>
          <w14:ligatures w14:val="none"/>
        </w:rPr>
        <w:t>.</w:t>
      </w:r>
    </w:p>
    <w:p w14:paraId="5C07BAF9"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 xml:space="preserve">Glasby, J. (2017) </w:t>
      </w:r>
      <w:r w:rsidRPr="004E68DD">
        <w:rPr>
          <w:rFonts w:ascii="Arial" w:hAnsi="Arial" w:cs="Arial"/>
          <w:i/>
          <w:iCs/>
          <w:sz w:val="22"/>
          <w:szCs w:val="22"/>
        </w:rPr>
        <w:t>Understanding health and social care</w:t>
      </w:r>
      <w:r w:rsidRPr="004E68DD">
        <w:rPr>
          <w:rFonts w:ascii="Arial" w:hAnsi="Arial" w:cs="Arial"/>
          <w:sz w:val="22"/>
          <w:szCs w:val="22"/>
        </w:rPr>
        <w:t xml:space="preserve"> </w:t>
      </w:r>
      <w:r>
        <w:rPr>
          <w:rFonts w:ascii="Arial" w:hAnsi="Arial" w:cs="Arial"/>
          <w:sz w:val="22"/>
          <w:szCs w:val="22"/>
        </w:rPr>
        <w:t>(</w:t>
      </w:r>
      <w:r w:rsidRPr="004E68DD">
        <w:rPr>
          <w:rFonts w:ascii="Arial" w:hAnsi="Arial" w:cs="Arial"/>
          <w:sz w:val="22"/>
          <w:szCs w:val="22"/>
        </w:rPr>
        <w:t>3rd ed.</w:t>
      </w:r>
      <w:r>
        <w:rPr>
          <w:rFonts w:ascii="Arial" w:hAnsi="Arial" w:cs="Arial"/>
          <w:sz w:val="22"/>
          <w:szCs w:val="22"/>
        </w:rPr>
        <w:t>).</w:t>
      </w:r>
      <w:r w:rsidRPr="004E68DD">
        <w:rPr>
          <w:rFonts w:ascii="Arial" w:hAnsi="Arial" w:cs="Arial"/>
          <w:sz w:val="22"/>
          <w:szCs w:val="22"/>
        </w:rPr>
        <w:t xml:space="preserve"> Policy Press.</w:t>
      </w:r>
      <w:r>
        <w:rPr>
          <w:rFonts w:ascii="Arial" w:hAnsi="Arial" w:cs="Arial"/>
          <w:sz w:val="22"/>
          <w:szCs w:val="22"/>
        </w:rPr>
        <w:t xml:space="preserve"> Available at: </w:t>
      </w:r>
      <w:hyperlink r:id="rId13" w:history="1">
        <w:r w:rsidRPr="00F52BF3">
          <w:rPr>
            <w:rStyle w:val="Hyperlink"/>
            <w:rFonts w:ascii="Arial" w:hAnsi="Arial" w:cs="Arial"/>
            <w:sz w:val="22"/>
            <w:szCs w:val="22"/>
          </w:rPr>
          <w:t>https://research-ebsco-com.uwtsd.idm.oclc.org/c/onvpsy/ebook-viewer/pdf/yh3m25l36v</w:t>
        </w:r>
      </w:hyperlink>
      <w:r>
        <w:rPr>
          <w:rFonts w:ascii="Arial" w:hAnsi="Arial" w:cs="Arial"/>
          <w:sz w:val="22"/>
          <w:szCs w:val="22"/>
        </w:rPr>
        <w:t xml:space="preserve"> (Accessed: 24 March 2026).</w:t>
      </w:r>
    </w:p>
    <w:p w14:paraId="2F9CC656"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 xml:space="preserve">Glasby, J. and Dickinson, H. (2014) </w:t>
      </w:r>
      <w:r w:rsidRPr="004E68DD">
        <w:rPr>
          <w:rFonts w:ascii="Arial" w:hAnsi="Arial" w:cs="Arial"/>
          <w:i/>
          <w:iCs/>
          <w:sz w:val="22"/>
          <w:szCs w:val="22"/>
        </w:rPr>
        <w:t>Partnership working in health and social care: What is integrated care and how can we deliver it?</w:t>
      </w:r>
      <w:r w:rsidRPr="004E68DD">
        <w:rPr>
          <w:rFonts w:ascii="Arial" w:hAnsi="Arial" w:cs="Arial"/>
          <w:sz w:val="22"/>
          <w:szCs w:val="22"/>
        </w:rPr>
        <w:t xml:space="preserve"> </w:t>
      </w:r>
      <w:r>
        <w:rPr>
          <w:rFonts w:ascii="Arial" w:hAnsi="Arial" w:cs="Arial"/>
          <w:sz w:val="22"/>
          <w:szCs w:val="22"/>
        </w:rPr>
        <w:t>(</w:t>
      </w:r>
      <w:r w:rsidRPr="004E68DD">
        <w:rPr>
          <w:rFonts w:ascii="Arial" w:hAnsi="Arial" w:cs="Arial"/>
          <w:sz w:val="22"/>
          <w:szCs w:val="22"/>
        </w:rPr>
        <w:t>2nd ed.</w:t>
      </w:r>
      <w:r>
        <w:rPr>
          <w:rFonts w:ascii="Arial" w:hAnsi="Arial" w:cs="Arial"/>
          <w:sz w:val="22"/>
          <w:szCs w:val="22"/>
        </w:rPr>
        <w:t>).</w:t>
      </w:r>
      <w:r w:rsidRPr="004E68DD">
        <w:rPr>
          <w:rFonts w:ascii="Arial" w:hAnsi="Arial" w:cs="Arial"/>
          <w:sz w:val="22"/>
          <w:szCs w:val="22"/>
        </w:rPr>
        <w:t xml:space="preserve"> Policy Press.</w:t>
      </w:r>
      <w:r>
        <w:rPr>
          <w:rFonts w:ascii="Arial" w:hAnsi="Arial" w:cs="Arial"/>
          <w:sz w:val="22"/>
          <w:szCs w:val="22"/>
        </w:rPr>
        <w:t xml:space="preserve"> Available at: </w:t>
      </w:r>
      <w:hyperlink r:id="rId14" w:history="1">
        <w:r w:rsidRPr="00F52BF3">
          <w:rPr>
            <w:rStyle w:val="Hyperlink"/>
            <w:rFonts w:ascii="Arial" w:hAnsi="Arial" w:cs="Arial"/>
            <w:sz w:val="22"/>
            <w:szCs w:val="22"/>
          </w:rPr>
          <w:t>https://research-ebsco-com.uwtsd.idm.oclc.org/c/onvpsy/ebook-viewer/pdf/rbadiiityz?location=https%25253A%25252F%25252Fresearch-ebsco-com.uwtsd.idm.oclc.org%25252Fc%25252Fonvpsy%25252Fsearch%25252Fdetails%25252Frbadiiityz%25253Fdb%25253Dnlebk</w:t>
        </w:r>
      </w:hyperlink>
      <w:r>
        <w:rPr>
          <w:rFonts w:ascii="Arial" w:hAnsi="Arial" w:cs="Arial"/>
          <w:sz w:val="22"/>
          <w:szCs w:val="22"/>
        </w:rPr>
        <w:t xml:space="preserve"> (Accessed: 24 March 2026).</w:t>
      </w:r>
    </w:p>
    <w:p w14:paraId="2C71AFF4" w14:textId="77777777" w:rsidR="009F7CCF" w:rsidRPr="007772B5" w:rsidRDefault="009F7CCF" w:rsidP="007772B5">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Gov UK (2010). </w:t>
      </w:r>
      <w:r w:rsidRPr="007A1486">
        <w:rPr>
          <w:rFonts w:ascii="Arial" w:hAnsi="Arial" w:cs="Arial"/>
          <w:i/>
          <w:iCs/>
          <w:sz w:val="22"/>
          <w:szCs w:val="22"/>
        </w:rPr>
        <w:t>Equality Act 2010</w:t>
      </w:r>
      <w:r w:rsidRPr="007772B5">
        <w:rPr>
          <w:rFonts w:ascii="Arial" w:hAnsi="Arial" w:cs="Arial"/>
          <w:sz w:val="22"/>
          <w:szCs w:val="22"/>
        </w:rPr>
        <w:t xml:space="preserve">. </w:t>
      </w:r>
      <w:r>
        <w:rPr>
          <w:rFonts w:ascii="Arial" w:hAnsi="Arial" w:cs="Arial"/>
          <w:sz w:val="22"/>
          <w:szCs w:val="22"/>
        </w:rPr>
        <w:t xml:space="preserve">Available at: </w:t>
      </w:r>
      <w:hyperlink r:id="rId15" w:history="1">
        <w:r w:rsidRPr="00F52BF3">
          <w:rPr>
            <w:rStyle w:val="Hyperlink"/>
            <w:rFonts w:ascii="Arial" w:hAnsi="Arial" w:cs="Arial"/>
            <w:sz w:val="22"/>
            <w:szCs w:val="22"/>
          </w:rPr>
          <w:t>https://www.legislation.gov.uk/ukpga/2010/15/contents</w:t>
        </w:r>
      </w:hyperlink>
      <w:r>
        <w:rPr>
          <w:rFonts w:ascii="Arial" w:hAnsi="Arial" w:cs="Arial"/>
          <w:sz w:val="22"/>
          <w:szCs w:val="22"/>
        </w:rPr>
        <w:t xml:space="preserve"> (Accessed: 24 March 2026).</w:t>
      </w:r>
    </w:p>
    <w:p w14:paraId="2077EDE6" w14:textId="77777777" w:rsidR="009F7CCF" w:rsidRPr="004E68DD" w:rsidRDefault="009F7CCF" w:rsidP="004E68DD">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Gov UK (2018). </w:t>
      </w:r>
      <w:r w:rsidRPr="00667690">
        <w:rPr>
          <w:rFonts w:ascii="Arial" w:hAnsi="Arial" w:cs="Arial"/>
          <w:i/>
          <w:iCs/>
          <w:sz w:val="22"/>
          <w:szCs w:val="22"/>
        </w:rPr>
        <w:t>Data Protection Act 2018</w:t>
      </w:r>
      <w:r w:rsidRPr="004E68DD">
        <w:rPr>
          <w:rFonts w:ascii="Arial" w:hAnsi="Arial" w:cs="Arial"/>
          <w:sz w:val="22"/>
          <w:szCs w:val="22"/>
        </w:rPr>
        <w:t xml:space="preserve">. </w:t>
      </w:r>
      <w:r>
        <w:rPr>
          <w:rFonts w:ascii="Arial" w:hAnsi="Arial" w:cs="Arial"/>
          <w:sz w:val="22"/>
          <w:szCs w:val="22"/>
        </w:rPr>
        <w:t xml:space="preserve">Available at: </w:t>
      </w:r>
      <w:hyperlink r:id="rId16" w:history="1">
        <w:r w:rsidRPr="00F52BF3">
          <w:rPr>
            <w:rStyle w:val="Hyperlink"/>
            <w:rFonts w:ascii="Arial" w:hAnsi="Arial" w:cs="Arial"/>
            <w:sz w:val="22"/>
            <w:szCs w:val="22"/>
          </w:rPr>
          <w:t>https://www.legislation.gov.uk/ukpga/2018/12/contents</w:t>
        </w:r>
      </w:hyperlink>
      <w:r>
        <w:rPr>
          <w:rFonts w:ascii="Arial" w:hAnsi="Arial" w:cs="Arial"/>
          <w:sz w:val="22"/>
          <w:szCs w:val="22"/>
        </w:rPr>
        <w:t xml:space="preserve"> (Accessed: 24 March 2026).</w:t>
      </w:r>
    </w:p>
    <w:p w14:paraId="33EE4442"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 xml:space="preserve">Haugan, G. and Eriksson, M. (2021) </w:t>
      </w:r>
      <w:r w:rsidRPr="004E68DD">
        <w:rPr>
          <w:rFonts w:ascii="Arial" w:hAnsi="Arial" w:cs="Arial"/>
          <w:i/>
          <w:iCs/>
          <w:sz w:val="22"/>
          <w:szCs w:val="22"/>
        </w:rPr>
        <w:t>Health promotion in health care: Vital theories and research</w:t>
      </w:r>
      <w:r w:rsidRPr="004E68DD">
        <w:rPr>
          <w:rFonts w:ascii="Arial" w:hAnsi="Arial" w:cs="Arial"/>
          <w:sz w:val="22"/>
          <w:szCs w:val="22"/>
        </w:rPr>
        <w:t>. Springer</w:t>
      </w:r>
      <w:r>
        <w:rPr>
          <w:rFonts w:ascii="Arial" w:hAnsi="Arial" w:cs="Arial"/>
          <w:sz w:val="22"/>
          <w:szCs w:val="22"/>
        </w:rPr>
        <w:t xml:space="preserve"> Nature</w:t>
      </w:r>
      <w:r w:rsidRPr="004E68DD">
        <w:rPr>
          <w:rFonts w:ascii="Arial" w:hAnsi="Arial" w:cs="Arial"/>
          <w:sz w:val="22"/>
          <w:szCs w:val="22"/>
        </w:rPr>
        <w:t>.</w:t>
      </w:r>
      <w:r>
        <w:rPr>
          <w:rFonts w:ascii="Arial" w:hAnsi="Arial" w:cs="Arial"/>
          <w:sz w:val="22"/>
          <w:szCs w:val="22"/>
        </w:rPr>
        <w:t xml:space="preserve"> Available at: </w:t>
      </w:r>
      <w:r w:rsidRPr="00414518">
        <w:rPr>
          <w:rFonts w:ascii="Arial" w:hAnsi="Arial" w:cs="Arial"/>
          <w:sz w:val="22"/>
          <w:szCs w:val="22"/>
        </w:rPr>
        <w:t>10.1007/978-3-030-63135-2</w:t>
      </w:r>
      <w:r>
        <w:rPr>
          <w:rFonts w:ascii="Arial" w:hAnsi="Arial" w:cs="Arial"/>
          <w:sz w:val="22"/>
          <w:szCs w:val="22"/>
        </w:rPr>
        <w:t xml:space="preserve"> (Accessed: 24 March 2026).</w:t>
      </w:r>
    </w:p>
    <w:p w14:paraId="56BD5830"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 xml:space="preserve">Salt, T. (2021) </w:t>
      </w:r>
      <w:r w:rsidRPr="004E68DD">
        <w:rPr>
          <w:rFonts w:ascii="Arial" w:hAnsi="Arial" w:cs="Arial"/>
          <w:i/>
          <w:iCs/>
          <w:sz w:val="22"/>
          <w:szCs w:val="22"/>
        </w:rPr>
        <w:t>Towards outstanding: A guide to excellence in health and social care</w:t>
      </w:r>
      <w:r w:rsidRPr="004E68DD">
        <w:rPr>
          <w:rFonts w:ascii="Arial" w:hAnsi="Arial" w:cs="Arial"/>
          <w:sz w:val="22"/>
          <w:szCs w:val="22"/>
        </w:rPr>
        <w:t>. Pavilion.</w:t>
      </w:r>
      <w:r>
        <w:rPr>
          <w:rFonts w:ascii="Arial" w:hAnsi="Arial" w:cs="Arial"/>
          <w:sz w:val="22"/>
          <w:szCs w:val="22"/>
        </w:rPr>
        <w:t xml:space="preserve"> Available at: </w:t>
      </w:r>
      <w:hyperlink r:id="rId17" w:history="1">
        <w:r w:rsidRPr="00F52BF3">
          <w:rPr>
            <w:rStyle w:val="Hyperlink"/>
            <w:rFonts w:ascii="Arial" w:hAnsi="Arial" w:cs="Arial"/>
            <w:sz w:val="22"/>
            <w:szCs w:val="22"/>
          </w:rPr>
          <w:t>https://research-ebsco-com.uwtsd.idm.oclc.org/c/onvpsy/ebook-viewer/pdf/2h5jlscdsr?location=https%25253A%25252F%25252Fresearch-ebsco-com.uwtsd.idm.oclc.org%25252Fc%25252Fonvpsy%25252Fsearch%25252Fdetails%25252F2h5jlscdsr%25253Fdb%25253Dnlebk</w:t>
        </w:r>
      </w:hyperlink>
      <w:r>
        <w:rPr>
          <w:rFonts w:ascii="Arial" w:hAnsi="Arial" w:cs="Arial"/>
          <w:sz w:val="22"/>
          <w:szCs w:val="22"/>
        </w:rPr>
        <w:t xml:space="preserve"> (Accessed: 24 March 2026).</w:t>
      </w:r>
    </w:p>
    <w:p w14:paraId="38ED1CD4"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 xml:space="preserve">Stroke Association (2024) </w:t>
      </w:r>
      <w:r w:rsidRPr="004E68DD">
        <w:rPr>
          <w:rFonts w:ascii="Arial" w:hAnsi="Arial" w:cs="Arial"/>
          <w:i/>
          <w:iCs/>
          <w:sz w:val="22"/>
          <w:szCs w:val="22"/>
        </w:rPr>
        <w:t>Communication problems after stroke</w:t>
      </w:r>
      <w:r w:rsidRPr="004E68DD">
        <w:rPr>
          <w:rFonts w:ascii="Arial" w:hAnsi="Arial" w:cs="Arial"/>
          <w:sz w:val="22"/>
          <w:szCs w:val="22"/>
        </w:rPr>
        <w:t>. Available at</w:t>
      </w:r>
      <w:r>
        <w:rPr>
          <w:rFonts w:ascii="Arial" w:hAnsi="Arial" w:cs="Arial"/>
          <w:sz w:val="22"/>
          <w:szCs w:val="22"/>
        </w:rPr>
        <w:t>:</w:t>
      </w:r>
      <w:r w:rsidRPr="00891868">
        <w:t xml:space="preserve"> </w:t>
      </w:r>
      <w:hyperlink r:id="rId18" w:history="1">
        <w:r w:rsidRPr="00F52BF3">
          <w:rPr>
            <w:rStyle w:val="Hyperlink"/>
            <w:rFonts w:ascii="Arial" w:hAnsi="Arial" w:cs="Arial"/>
            <w:sz w:val="22"/>
            <w:szCs w:val="22"/>
          </w:rPr>
          <w:t>https://www.stroke.org.uk/resources/communication-problems-after-stroke</w:t>
        </w:r>
      </w:hyperlink>
      <w:r>
        <w:rPr>
          <w:rFonts w:ascii="Arial" w:hAnsi="Arial" w:cs="Arial"/>
          <w:sz w:val="22"/>
          <w:szCs w:val="22"/>
        </w:rPr>
        <w:t xml:space="preserve"> </w:t>
      </w:r>
      <w:r w:rsidRPr="004E68DD">
        <w:rPr>
          <w:rFonts w:ascii="Arial" w:hAnsi="Arial" w:cs="Arial"/>
          <w:sz w:val="22"/>
          <w:szCs w:val="22"/>
        </w:rPr>
        <w:t xml:space="preserve"> (Accessed: 24 March 2026).</w:t>
      </w:r>
    </w:p>
    <w:p w14:paraId="7B77C05D" w14:textId="77777777" w:rsidR="009F7CCF" w:rsidRPr="004E68DD" w:rsidRDefault="009F7CCF" w:rsidP="004E68DD">
      <w:pPr>
        <w:pStyle w:val="ListParagraph"/>
        <w:numPr>
          <w:ilvl w:val="0"/>
          <w:numId w:val="1"/>
        </w:numPr>
        <w:spacing w:line="360" w:lineRule="auto"/>
        <w:rPr>
          <w:rFonts w:ascii="Arial" w:hAnsi="Arial" w:cs="Arial"/>
          <w:sz w:val="22"/>
          <w:szCs w:val="22"/>
        </w:rPr>
      </w:pPr>
      <w:r w:rsidRPr="004E68DD">
        <w:rPr>
          <w:rFonts w:ascii="Arial" w:hAnsi="Arial" w:cs="Arial"/>
          <w:sz w:val="22"/>
          <w:szCs w:val="22"/>
        </w:rPr>
        <w:t>Thomas, J.</w:t>
      </w:r>
      <w:r>
        <w:rPr>
          <w:rFonts w:ascii="Arial" w:hAnsi="Arial" w:cs="Arial"/>
          <w:sz w:val="22"/>
          <w:szCs w:val="22"/>
        </w:rPr>
        <w:t xml:space="preserve"> </w:t>
      </w:r>
      <w:r w:rsidRPr="004E68DD">
        <w:rPr>
          <w:rFonts w:ascii="Arial" w:hAnsi="Arial" w:cs="Arial"/>
          <w:sz w:val="22"/>
          <w:szCs w:val="22"/>
        </w:rPr>
        <w:t xml:space="preserve">(2014) </w:t>
      </w:r>
      <w:r w:rsidRPr="004E68DD">
        <w:rPr>
          <w:rFonts w:ascii="Arial" w:hAnsi="Arial" w:cs="Arial"/>
          <w:i/>
          <w:iCs/>
          <w:sz w:val="22"/>
          <w:szCs w:val="22"/>
        </w:rPr>
        <w:t>Interprofessional working in health and social care: Professional perspectives</w:t>
      </w:r>
      <w:r w:rsidRPr="004E68DD">
        <w:rPr>
          <w:rFonts w:ascii="Arial" w:hAnsi="Arial" w:cs="Arial"/>
          <w:sz w:val="22"/>
          <w:szCs w:val="22"/>
        </w:rPr>
        <w:t xml:space="preserve"> </w:t>
      </w:r>
      <w:r>
        <w:rPr>
          <w:rFonts w:ascii="Arial" w:hAnsi="Arial" w:cs="Arial"/>
          <w:sz w:val="22"/>
          <w:szCs w:val="22"/>
        </w:rPr>
        <w:t>(</w:t>
      </w:r>
      <w:r w:rsidRPr="004E68DD">
        <w:rPr>
          <w:rFonts w:ascii="Arial" w:hAnsi="Arial" w:cs="Arial"/>
          <w:sz w:val="22"/>
          <w:szCs w:val="22"/>
        </w:rPr>
        <w:t>2nd ed.</w:t>
      </w:r>
      <w:r>
        <w:rPr>
          <w:rFonts w:ascii="Arial" w:hAnsi="Arial" w:cs="Arial"/>
          <w:sz w:val="22"/>
          <w:szCs w:val="22"/>
        </w:rPr>
        <w:t>).</w:t>
      </w:r>
      <w:r w:rsidRPr="004E68DD">
        <w:rPr>
          <w:rFonts w:ascii="Arial" w:hAnsi="Arial" w:cs="Arial"/>
          <w:sz w:val="22"/>
          <w:szCs w:val="22"/>
        </w:rPr>
        <w:t xml:space="preserve"> </w:t>
      </w:r>
      <w:r>
        <w:rPr>
          <w:rFonts w:ascii="Arial" w:hAnsi="Arial" w:cs="Arial"/>
          <w:sz w:val="22"/>
          <w:szCs w:val="22"/>
        </w:rPr>
        <w:t>Red Globe Press</w:t>
      </w:r>
      <w:r w:rsidRPr="004E68DD">
        <w:rPr>
          <w:rFonts w:ascii="Arial" w:hAnsi="Arial" w:cs="Arial"/>
          <w:sz w:val="22"/>
          <w:szCs w:val="22"/>
        </w:rPr>
        <w:t>.</w:t>
      </w:r>
      <w:r>
        <w:rPr>
          <w:rFonts w:ascii="Arial" w:hAnsi="Arial" w:cs="Arial"/>
          <w:sz w:val="22"/>
          <w:szCs w:val="22"/>
        </w:rPr>
        <w:t xml:space="preserve"> Available at: </w:t>
      </w:r>
      <w:hyperlink r:id="rId19" w:history="1">
        <w:r w:rsidRPr="00F52BF3">
          <w:rPr>
            <w:rStyle w:val="Hyperlink"/>
            <w:rFonts w:ascii="Arial" w:hAnsi="Arial" w:cs="Arial"/>
            <w:sz w:val="22"/>
            <w:szCs w:val="22"/>
          </w:rPr>
          <w:t>https://r4-vlebooks-</w:t>
        </w:r>
        <w:r w:rsidRPr="00F52BF3">
          <w:rPr>
            <w:rStyle w:val="Hyperlink"/>
            <w:rFonts w:ascii="Arial" w:hAnsi="Arial" w:cs="Arial"/>
            <w:sz w:val="22"/>
            <w:szCs w:val="22"/>
          </w:rPr>
          <w:lastRenderedPageBreak/>
          <w:t>com.uwtsd.idm.oclc.org/EpubReader?ean=1781350311039</w:t>
        </w:r>
      </w:hyperlink>
      <w:r>
        <w:rPr>
          <w:rFonts w:ascii="Arial" w:hAnsi="Arial" w:cs="Arial"/>
          <w:sz w:val="22"/>
          <w:szCs w:val="22"/>
        </w:rPr>
        <w:t xml:space="preserve"> (Accessed: 24 March 2026).</w:t>
      </w:r>
    </w:p>
    <w:p w14:paraId="7C0B0741" w14:textId="77777777" w:rsidR="00014555" w:rsidRPr="004E68DD" w:rsidRDefault="00014555" w:rsidP="004E68DD">
      <w:pPr>
        <w:spacing w:line="360" w:lineRule="auto"/>
        <w:rPr>
          <w:rFonts w:ascii="Arial" w:hAnsi="Arial" w:cs="Arial"/>
          <w:sz w:val="22"/>
          <w:szCs w:val="22"/>
        </w:rPr>
      </w:pPr>
    </w:p>
    <w:sectPr w:rsidR="00014555" w:rsidRPr="004E68DD" w:rsidSect="00302F70">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F29D1" w14:textId="77777777" w:rsidR="006844F6" w:rsidRDefault="006844F6" w:rsidP="00CE69A8">
      <w:pPr>
        <w:spacing w:after="0" w:line="240" w:lineRule="auto"/>
      </w:pPr>
      <w:r>
        <w:separator/>
      </w:r>
    </w:p>
  </w:endnote>
  <w:endnote w:type="continuationSeparator" w:id="0">
    <w:p w14:paraId="5B756B9C" w14:textId="77777777" w:rsidR="006844F6" w:rsidRDefault="006844F6" w:rsidP="00CE6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604262"/>
      <w:docPartObj>
        <w:docPartGallery w:val="Page Numbers (Bottom of Page)"/>
        <w:docPartUnique/>
      </w:docPartObj>
    </w:sdtPr>
    <w:sdtEndPr>
      <w:rPr>
        <w:noProof/>
      </w:rPr>
    </w:sdtEndPr>
    <w:sdtContent>
      <w:p w14:paraId="2C34CAF2" w14:textId="5009AF8A" w:rsidR="004B3DAA" w:rsidRDefault="004B3D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03C668" w14:textId="77777777" w:rsidR="004B3DAA" w:rsidRDefault="004B3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617EA" w14:textId="77777777" w:rsidR="006844F6" w:rsidRDefault="006844F6" w:rsidP="00CE69A8">
      <w:pPr>
        <w:spacing w:after="0" w:line="240" w:lineRule="auto"/>
      </w:pPr>
      <w:r>
        <w:separator/>
      </w:r>
    </w:p>
  </w:footnote>
  <w:footnote w:type="continuationSeparator" w:id="0">
    <w:p w14:paraId="2F7C232A" w14:textId="77777777" w:rsidR="006844F6" w:rsidRDefault="006844F6" w:rsidP="00CE69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72547E"/>
    <w:multiLevelType w:val="hybridMultilevel"/>
    <w:tmpl w:val="79FAE7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45733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0F1"/>
    <w:rsid w:val="00014555"/>
    <w:rsid w:val="00030674"/>
    <w:rsid w:val="00036268"/>
    <w:rsid w:val="00067B89"/>
    <w:rsid w:val="000A2691"/>
    <w:rsid w:val="000C755B"/>
    <w:rsid w:val="000F2628"/>
    <w:rsid w:val="00114182"/>
    <w:rsid w:val="00115F9C"/>
    <w:rsid w:val="00124355"/>
    <w:rsid w:val="00136063"/>
    <w:rsid w:val="00157EC2"/>
    <w:rsid w:val="001B2C39"/>
    <w:rsid w:val="001C1799"/>
    <w:rsid w:val="002110F1"/>
    <w:rsid w:val="002201AD"/>
    <w:rsid w:val="00243A63"/>
    <w:rsid w:val="00257CF3"/>
    <w:rsid w:val="002764D3"/>
    <w:rsid w:val="002B243B"/>
    <w:rsid w:val="002C39A5"/>
    <w:rsid w:val="002D09D9"/>
    <w:rsid w:val="00302F70"/>
    <w:rsid w:val="00321C38"/>
    <w:rsid w:val="0035494E"/>
    <w:rsid w:val="00363FBB"/>
    <w:rsid w:val="003808BC"/>
    <w:rsid w:val="0038191C"/>
    <w:rsid w:val="00390350"/>
    <w:rsid w:val="003A72F2"/>
    <w:rsid w:val="003B210C"/>
    <w:rsid w:val="003C6C4C"/>
    <w:rsid w:val="003E26B6"/>
    <w:rsid w:val="003F3ED9"/>
    <w:rsid w:val="003F450C"/>
    <w:rsid w:val="00414518"/>
    <w:rsid w:val="00433E66"/>
    <w:rsid w:val="004474A3"/>
    <w:rsid w:val="00456A73"/>
    <w:rsid w:val="00462A87"/>
    <w:rsid w:val="0046351C"/>
    <w:rsid w:val="004B3DAA"/>
    <w:rsid w:val="004D0561"/>
    <w:rsid w:val="004E4DE2"/>
    <w:rsid w:val="004E68DD"/>
    <w:rsid w:val="00526663"/>
    <w:rsid w:val="005343F1"/>
    <w:rsid w:val="00535D82"/>
    <w:rsid w:val="005362E5"/>
    <w:rsid w:val="005449B2"/>
    <w:rsid w:val="0055797A"/>
    <w:rsid w:val="005760D8"/>
    <w:rsid w:val="00585965"/>
    <w:rsid w:val="005878A9"/>
    <w:rsid w:val="005963A0"/>
    <w:rsid w:val="005A5023"/>
    <w:rsid w:val="005B1613"/>
    <w:rsid w:val="005D6951"/>
    <w:rsid w:val="005F3C0C"/>
    <w:rsid w:val="006264AE"/>
    <w:rsid w:val="0063746E"/>
    <w:rsid w:val="00667690"/>
    <w:rsid w:val="006844F6"/>
    <w:rsid w:val="006965A1"/>
    <w:rsid w:val="006B09C1"/>
    <w:rsid w:val="006B649F"/>
    <w:rsid w:val="006B68ED"/>
    <w:rsid w:val="006D6EC5"/>
    <w:rsid w:val="006D79A5"/>
    <w:rsid w:val="006E112A"/>
    <w:rsid w:val="006E188D"/>
    <w:rsid w:val="006E5817"/>
    <w:rsid w:val="006E5B36"/>
    <w:rsid w:val="006E5E5C"/>
    <w:rsid w:val="00700D0F"/>
    <w:rsid w:val="0070385F"/>
    <w:rsid w:val="00740420"/>
    <w:rsid w:val="00764289"/>
    <w:rsid w:val="00776926"/>
    <w:rsid w:val="007772B5"/>
    <w:rsid w:val="007A1486"/>
    <w:rsid w:val="007B444C"/>
    <w:rsid w:val="007C29F5"/>
    <w:rsid w:val="007E29DF"/>
    <w:rsid w:val="007F4490"/>
    <w:rsid w:val="007F4660"/>
    <w:rsid w:val="00805F99"/>
    <w:rsid w:val="00825D87"/>
    <w:rsid w:val="00834688"/>
    <w:rsid w:val="008633BA"/>
    <w:rsid w:val="00891868"/>
    <w:rsid w:val="008B1354"/>
    <w:rsid w:val="008E2B88"/>
    <w:rsid w:val="008E37F0"/>
    <w:rsid w:val="009052BC"/>
    <w:rsid w:val="009255E2"/>
    <w:rsid w:val="009360C6"/>
    <w:rsid w:val="0094017B"/>
    <w:rsid w:val="009A33A5"/>
    <w:rsid w:val="009A622D"/>
    <w:rsid w:val="009B440B"/>
    <w:rsid w:val="009D5125"/>
    <w:rsid w:val="009D58D7"/>
    <w:rsid w:val="009F7CCF"/>
    <w:rsid w:val="00A46917"/>
    <w:rsid w:val="00A50E47"/>
    <w:rsid w:val="00A94571"/>
    <w:rsid w:val="00AA2229"/>
    <w:rsid w:val="00AB43ED"/>
    <w:rsid w:val="00AE24A9"/>
    <w:rsid w:val="00B07F18"/>
    <w:rsid w:val="00B10489"/>
    <w:rsid w:val="00B41E3B"/>
    <w:rsid w:val="00B46A1A"/>
    <w:rsid w:val="00B76B3D"/>
    <w:rsid w:val="00BA3C3E"/>
    <w:rsid w:val="00BB2485"/>
    <w:rsid w:val="00C65422"/>
    <w:rsid w:val="00CA322D"/>
    <w:rsid w:val="00CA5166"/>
    <w:rsid w:val="00CC0D2B"/>
    <w:rsid w:val="00CD004D"/>
    <w:rsid w:val="00CE69A8"/>
    <w:rsid w:val="00CF07C0"/>
    <w:rsid w:val="00D348A6"/>
    <w:rsid w:val="00D4353A"/>
    <w:rsid w:val="00D43CC6"/>
    <w:rsid w:val="00D537CA"/>
    <w:rsid w:val="00D77BAE"/>
    <w:rsid w:val="00E446A9"/>
    <w:rsid w:val="00E4563E"/>
    <w:rsid w:val="00E9463B"/>
    <w:rsid w:val="00EA01A5"/>
    <w:rsid w:val="00EF06D7"/>
    <w:rsid w:val="00EF3EBE"/>
    <w:rsid w:val="00F4142E"/>
    <w:rsid w:val="00F5689B"/>
    <w:rsid w:val="00F73714"/>
    <w:rsid w:val="00F74DA7"/>
    <w:rsid w:val="00F91213"/>
    <w:rsid w:val="00FE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C5D6"/>
  <w15:chartTrackingRefBased/>
  <w15:docId w15:val="{FDDFC9C8-4EEB-4E4D-B994-4DA93763B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1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10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10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10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10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10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10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10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0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10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10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10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10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1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1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1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10F1"/>
    <w:rPr>
      <w:rFonts w:eastAsiaTheme="majorEastAsia" w:cstheme="majorBidi"/>
      <w:color w:val="272727" w:themeColor="text1" w:themeTint="D8"/>
    </w:rPr>
  </w:style>
  <w:style w:type="paragraph" w:styleId="Title">
    <w:name w:val="Title"/>
    <w:basedOn w:val="Normal"/>
    <w:next w:val="Normal"/>
    <w:link w:val="TitleChar"/>
    <w:uiPriority w:val="10"/>
    <w:qFormat/>
    <w:rsid w:val="00211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1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1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1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10F1"/>
    <w:pPr>
      <w:spacing w:before="160"/>
      <w:jc w:val="center"/>
    </w:pPr>
    <w:rPr>
      <w:i/>
      <w:iCs/>
      <w:color w:val="404040" w:themeColor="text1" w:themeTint="BF"/>
    </w:rPr>
  </w:style>
  <w:style w:type="character" w:customStyle="1" w:styleId="QuoteChar">
    <w:name w:val="Quote Char"/>
    <w:basedOn w:val="DefaultParagraphFont"/>
    <w:link w:val="Quote"/>
    <w:uiPriority w:val="29"/>
    <w:rsid w:val="002110F1"/>
    <w:rPr>
      <w:i/>
      <w:iCs/>
      <w:color w:val="404040" w:themeColor="text1" w:themeTint="BF"/>
    </w:rPr>
  </w:style>
  <w:style w:type="paragraph" w:styleId="ListParagraph">
    <w:name w:val="List Paragraph"/>
    <w:basedOn w:val="Normal"/>
    <w:uiPriority w:val="34"/>
    <w:qFormat/>
    <w:rsid w:val="002110F1"/>
    <w:pPr>
      <w:ind w:left="720"/>
      <w:contextualSpacing/>
    </w:pPr>
  </w:style>
  <w:style w:type="character" w:styleId="IntenseEmphasis">
    <w:name w:val="Intense Emphasis"/>
    <w:basedOn w:val="DefaultParagraphFont"/>
    <w:uiPriority w:val="21"/>
    <w:qFormat/>
    <w:rsid w:val="002110F1"/>
    <w:rPr>
      <w:i/>
      <w:iCs/>
      <w:color w:val="0F4761" w:themeColor="accent1" w:themeShade="BF"/>
    </w:rPr>
  </w:style>
  <w:style w:type="paragraph" w:styleId="IntenseQuote">
    <w:name w:val="Intense Quote"/>
    <w:basedOn w:val="Normal"/>
    <w:next w:val="Normal"/>
    <w:link w:val="IntenseQuoteChar"/>
    <w:uiPriority w:val="30"/>
    <w:qFormat/>
    <w:rsid w:val="00211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10F1"/>
    <w:rPr>
      <w:i/>
      <w:iCs/>
      <w:color w:val="0F4761" w:themeColor="accent1" w:themeShade="BF"/>
    </w:rPr>
  </w:style>
  <w:style w:type="character" w:styleId="IntenseReference">
    <w:name w:val="Intense Reference"/>
    <w:basedOn w:val="DefaultParagraphFont"/>
    <w:uiPriority w:val="32"/>
    <w:qFormat/>
    <w:rsid w:val="002110F1"/>
    <w:rPr>
      <w:b/>
      <w:bCs/>
      <w:smallCaps/>
      <w:color w:val="0F4761" w:themeColor="accent1" w:themeShade="BF"/>
      <w:spacing w:val="5"/>
    </w:rPr>
  </w:style>
  <w:style w:type="paragraph" w:styleId="Header">
    <w:name w:val="header"/>
    <w:basedOn w:val="Normal"/>
    <w:link w:val="HeaderChar"/>
    <w:uiPriority w:val="99"/>
    <w:unhideWhenUsed/>
    <w:rsid w:val="00CE6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9A8"/>
  </w:style>
  <w:style w:type="paragraph" w:styleId="Footer">
    <w:name w:val="footer"/>
    <w:basedOn w:val="Normal"/>
    <w:link w:val="FooterChar"/>
    <w:uiPriority w:val="99"/>
    <w:unhideWhenUsed/>
    <w:rsid w:val="00CE6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9A8"/>
  </w:style>
  <w:style w:type="paragraph" w:styleId="NoSpacing">
    <w:name w:val="No Spacing"/>
    <w:link w:val="NoSpacingChar"/>
    <w:uiPriority w:val="1"/>
    <w:qFormat/>
    <w:rsid w:val="000C755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C755B"/>
    <w:rPr>
      <w:rFonts w:eastAsiaTheme="minorEastAsia"/>
      <w:kern w:val="0"/>
      <w:sz w:val="22"/>
      <w:szCs w:val="22"/>
      <w:lang w:val="en-US"/>
      <w14:ligatures w14:val="none"/>
    </w:rPr>
  </w:style>
  <w:style w:type="character" w:styleId="Strong">
    <w:name w:val="Strong"/>
    <w:basedOn w:val="DefaultParagraphFont"/>
    <w:uiPriority w:val="22"/>
    <w:qFormat/>
    <w:rsid w:val="006D6EC5"/>
    <w:rPr>
      <w:b/>
      <w:bCs/>
    </w:rPr>
  </w:style>
  <w:style w:type="character" w:styleId="Emphasis">
    <w:name w:val="Emphasis"/>
    <w:basedOn w:val="DefaultParagraphFont"/>
    <w:uiPriority w:val="20"/>
    <w:qFormat/>
    <w:rsid w:val="006D6EC5"/>
    <w:rPr>
      <w:i/>
      <w:iCs/>
    </w:rPr>
  </w:style>
  <w:style w:type="paragraph" w:styleId="TOCHeading">
    <w:name w:val="TOC Heading"/>
    <w:basedOn w:val="Heading1"/>
    <w:next w:val="Normal"/>
    <w:uiPriority w:val="39"/>
    <w:unhideWhenUsed/>
    <w:qFormat/>
    <w:rsid w:val="00F5689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A01A5"/>
    <w:pPr>
      <w:spacing w:after="100"/>
    </w:pPr>
  </w:style>
  <w:style w:type="character" w:styleId="Hyperlink">
    <w:name w:val="Hyperlink"/>
    <w:basedOn w:val="DefaultParagraphFont"/>
    <w:uiPriority w:val="99"/>
    <w:unhideWhenUsed/>
    <w:rsid w:val="00EA01A5"/>
    <w:rPr>
      <w:color w:val="467886" w:themeColor="hyperlink"/>
      <w:u w:val="single"/>
    </w:rPr>
  </w:style>
  <w:style w:type="character" w:styleId="UnresolvedMention">
    <w:name w:val="Unresolved Mention"/>
    <w:basedOn w:val="DefaultParagraphFont"/>
    <w:uiPriority w:val="99"/>
    <w:semiHidden/>
    <w:unhideWhenUsed/>
    <w:rsid w:val="00D348A6"/>
    <w:rPr>
      <w:color w:val="605E5C"/>
      <w:shd w:val="clear" w:color="auto" w:fill="E1DFDD"/>
    </w:rPr>
  </w:style>
  <w:style w:type="character" w:styleId="FollowedHyperlink">
    <w:name w:val="FollowedHyperlink"/>
    <w:basedOn w:val="DefaultParagraphFont"/>
    <w:uiPriority w:val="99"/>
    <w:semiHidden/>
    <w:unhideWhenUsed/>
    <w:rsid w:val="005B16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earch-ebsco-com.uwtsd.idm.oclc.org/c/onvpsy/ebook-viewer/pdf/yh3m25l36v" TargetMode="External"/><Relationship Id="rId18" Type="http://schemas.openxmlformats.org/officeDocument/2006/relationships/hyperlink" Target="https://www.stroke.org.uk/resources/communication-problems-after-stroke"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r4-vlebooks-com.uwtsd.idm.oclc.org/Reader?ean=9781408098769" TargetMode="External"/><Relationship Id="rId17" Type="http://schemas.openxmlformats.org/officeDocument/2006/relationships/hyperlink" Target="https://research-ebsco-com.uwtsd.idm.oclc.org/c/onvpsy/ebook-viewer/pdf/2h5jlscdsr?location=https%25253A%25252F%25252Fresearch-ebsco-com.uwtsd.idm.oclc.org%25252Fc%25252Fonvpsy%25252Fsearch%25252Fdetails%25252F2h5jlscdsr%25253Fdb%25253Dnlebk" TargetMode="External"/><Relationship Id="rId2" Type="http://schemas.openxmlformats.org/officeDocument/2006/relationships/customXml" Target="../customXml/item2.xml"/><Relationship Id="rId16" Type="http://schemas.openxmlformats.org/officeDocument/2006/relationships/hyperlink" Target="https://www.legislation.gov.uk/ukpga/2018/12/content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324/9781003079873" TargetMode="External"/><Relationship Id="rId5" Type="http://schemas.openxmlformats.org/officeDocument/2006/relationships/settings" Target="settings.xml"/><Relationship Id="rId15" Type="http://schemas.openxmlformats.org/officeDocument/2006/relationships/hyperlink" Target="https://www.legislation.gov.uk/ukpga/2010/15/contents" TargetMode="External"/><Relationship Id="rId10" Type="http://schemas.openxmlformats.org/officeDocument/2006/relationships/image" Target="media/image2.png"/><Relationship Id="rId19" Type="http://schemas.openxmlformats.org/officeDocument/2006/relationships/hyperlink" Target="https://r4-vlebooks-com.uwtsd.idm.oclc.org/EpubReader?ean=17813503110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research-ebsco-com.uwtsd.idm.oclc.org/c/onvpsy/ebook-viewer/pdf/rbadiiityz?location=https%25253A%25252F%25252Fresearch-ebsco-com.uwtsd.idm.oclc.org%25252Fc%25252Fonvpsy%25252Fsearch%25252Fdetails%25252Frbadiiityz%25253Fdb%25253Dnleb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Introduction to Health and Social Care
Module code: LCHS4003
Lecturer: Ayazullah Safi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9736D4-52D9-4427-8BC8-E3FB40A5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9</Pages>
  <Words>1969</Words>
  <Characters>13474</Characters>
  <Application>Microsoft Office Word</Application>
  <DocSecurity>0</DocSecurity>
  <Lines>220</Lines>
  <Paragraphs>54</Paragraphs>
  <ScaleCrop>false</ScaleCrop>
  <Company/>
  <LinksUpToDate>false</LinksUpToDate>
  <CharactersWithSpaces>15389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assignment</dc:title>
  <dc:subject>Effective Communication, Administration and Collaborative Working in Health and Social Care: A Case Study of Mr Ahmed</dc:subject>
  <dc:creator>Submitted by: Yuliia Matytsyna ID number: 2507682</dc:creator>
  <cp:keywords/>
  <dc:description/>
  <cp:lastModifiedBy>Yuliia Matytsyna</cp:lastModifiedBy>
  <cp:revision>136</cp:revision>
  <dcterms:created xsi:type="dcterms:W3CDTF">2026-03-24T21:27:00Z</dcterms:created>
  <dcterms:modified xsi:type="dcterms:W3CDTF">2026-03-26T23:37:00Z</dcterms:modified>
</cp:coreProperties>
</file>