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7DAA21" w14:textId="00947DFA" w:rsidR="00BE469A" w:rsidRDefault="00BE469A"/>
    <w:p w14:paraId="5BB189C7" w14:textId="7780D34A" w:rsidR="00AB00BD" w:rsidRDefault="00AB00BD"/>
    <w:sdt>
      <w:sdtPr>
        <w:rPr>
          <w:rFonts w:asciiTheme="minorHAnsi" w:eastAsiaTheme="minorHAnsi" w:hAnsiTheme="minorHAnsi" w:cstheme="minorBidi"/>
          <w:color w:val="auto"/>
          <w:sz w:val="22"/>
          <w:szCs w:val="22"/>
        </w:rPr>
        <w:id w:val="-302470540"/>
        <w:docPartObj>
          <w:docPartGallery w:val="Table of Contents"/>
          <w:docPartUnique/>
        </w:docPartObj>
      </w:sdtPr>
      <w:sdtEndPr>
        <w:rPr>
          <w:b/>
          <w:bCs/>
          <w:noProof/>
        </w:rPr>
      </w:sdtEndPr>
      <w:sdtContent>
        <w:p w14:paraId="2075E046" w14:textId="77777777" w:rsidR="00AB00BD" w:rsidRDefault="00AB00BD" w:rsidP="00AB00BD">
          <w:pPr>
            <w:pStyle w:val="TOCHeading"/>
          </w:pPr>
        </w:p>
        <w:p w14:paraId="65298E81" w14:textId="77777777" w:rsidR="00AB00BD" w:rsidRDefault="00AB00BD" w:rsidP="00AB00BD">
          <w:pPr>
            <w:pStyle w:val="TOCHeading"/>
            <w:jc w:val="center"/>
          </w:pPr>
          <w:r>
            <w:t>Table of Contents</w:t>
          </w:r>
        </w:p>
        <w:p w14:paraId="064CEA18" w14:textId="77777777" w:rsidR="00AB00BD" w:rsidRPr="00BE469A" w:rsidRDefault="00AB00BD" w:rsidP="00AB00BD"/>
        <w:p w14:paraId="5AD93395" w14:textId="1D6E8258" w:rsidR="00105A47" w:rsidRDefault="00AB00B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62843869" w:history="1">
            <w:r w:rsidR="00105A47" w:rsidRPr="00C94369">
              <w:rPr>
                <w:rStyle w:val="Hyperlink"/>
                <w:noProof/>
              </w:rPr>
              <w:t>Introduction</w:t>
            </w:r>
            <w:r w:rsidR="00105A47">
              <w:rPr>
                <w:noProof/>
                <w:webHidden/>
              </w:rPr>
              <w:tab/>
            </w:r>
            <w:r w:rsidR="00105A47">
              <w:rPr>
                <w:noProof/>
                <w:webHidden/>
              </w:rPr>
              <w:fldChar w:fldCharType="begin"/>
            </w:r>
            <w:r w:rsidR="00105A47">
              <w:rPr>
                <w:noProof/>
                <w:webHidden/>
              </w:rPr>
              <w:instrText xml:space="preserve"> PAGEREF _Toc62843869 \h </w:instrText>
            </w:r>
            <w:r w:rsidR="00105A47">
              <w:rPr>
                <w:noProof/>
                <w:webHidden/>
              </w:rPr>
            </w:r>
            <w:r w:rsidR="00105A47">
              <w:rPr>
                <w:noProof/>
                <w:webHidden/>
              </w:rPr>
              <w:fldChar w:fldCharType="separate"/>
            </w:r>
            <w:r w:rsidR="00105A47">
              <w:rPr>
                <w:noProof/>
                <w:webHidden/>
              </w:rPr>
              <w:t>2</w:t>
            </w:r>
            <w:r w:rsidR="00105A47">
              <w:rPr>
                <w:noProof/>
                <w:webHidden/>
              </w:rPr>
              <w:fldChar w:fldCharType="end"/>
            </w:r>
          </w:hyperlink>
        </w:p>
        <w:p w14:paraId="599CC587" w14:textId="23A295FD" w:rsidR="00105A47" w:rsidRDefault="00BC1251">
          <w:pPr>
            <w:pStyle w:val="TOC1"/>
            <w:tabs>
              <w:tab w:val="right" w:leader="dot" w:pos="9350"/>
            </w:tabs>
            <w:rPr>
              <w:rFonts w:eastAsiaTheme="minorEastAsia"/>
              <w:noProof/>
            </w:rPr>
          </w:pPr>
          <w:hyperlink w:anchor="_Toc62843870" w:history="1">
            <w:r w:rsidR="00105A47" w:rsidRPr="00C94369">
              <w:rPr>
                <w:rStyle w:val="Hyperlink"/>
                <w:noProof/>
              </w:rPr>
              <w:t>Chapter 1 Jesus, Paul, John and Heraclitus</w:t>
            </w:r>
            <w:r w:rsidR="00105A47">
              <w:rPr>
                <w:noProof/>
                <w:webHidden/>
              </w:rPr>
              <w:tab/>
            </w:r>
            <w:r w:rsidR="00105A47">
              <w:rPr>
                <w:noProof/>
                <w:webHidden/>
              </w:rPr>
              <w:fldChar w:fldCharType="begin"/>
            </w:r>
            <w:r w:rsidR="00105A47">
              <w:rPr>
                <w:noProof/>
                <w:webHidden/>
              </w:rPr>
              <w:instrText xml:space="preserve"> PAGEREF _Toc62843870 \h </w:instrText>
            </w:r>
            <w:r w:rsidR="00105A47">
              <w:rPr>
                <w:noProof/>
                <w:webHidden/>
              </w:rPr>
            </w:r>
            <w:r w:rsidR="00105A47">
              <w:rPr>
                <w:noProof/>
                <w:webHidden/>
              </w:rPr>
              <w:fldChar w:fldCharType="separate"/>
            </w:r>
            <w:r w:rsidR="00105A47">
              <w:rPr>
                <w:noProof/>
                <w:webHidden/>
              </w:rPr>
              <w:t>2</w:t>
            </w:r>
            <w:r w:rsidR="00105A47">
              <w:rPr>
                <w:noProof/>
                <w:webHidden/>
              </w:rPr>
              <w:fldChar w:fldCharType="end"/>
            </w:r>
          </w:hyperlink>
        </w:p>
        <w:p w14:paraId="6E52A32F" w14:textId="44D529D2" w:rsidR="00105A47" w:rsidRDefault="00BC1251">
          <w:pPr>
            <w:pStyle w:val="TOC1"/>
            <w:tabs>
              <w:tab w:val="right" w:leader="dot" w:pos="9350"/>
            </w:tabs>
            <w:rPr>
              <w:rFonts w:eastAsiaTheme="minorEastAsia"/>
              <w:noProof/>
            </w:rPr>
          </w:pPr>
          <w:hyperlink w:anchor="_Toc62843871" w:history="1">
            <w:r w:rsidR="00105A47" w:rsidRPr="00C94369">
              <w:rPr>
                <w:rStyle w:val="Hyperlink"/>
                <w:noProof/>
              </w:rPr>
              <w:t>Chapter 2 Justin Martyr</w:t>
            </w:r>
            <w:r w:rsidR="00105A47">
              <w:rPr>
                <w:noProof/>
                <w:webHidden/>
              </w:rPr>
              <w:tab/>
            </w:r>
            <w:r w:rsidR="00105A47">
              <w:rPr>
                <w:noProof/>
                <w:webHidden/>
              </w:rPr>
              <w:fldChar w:fldCharType="begin"/>
            </w:r>
            <w:r w:rsidR="00105A47">
              <w:rPr>
                <w:noProof/>
                <w:webHidden/>
              </w:rPr>
              <w:instrText xml:space="preserve"> PAGEREF _Toc62843871 \h </w:instrText>
            </w:r>
            <w:r w:rsidR="00105A47">
              <w:rPr>
                <w:noProof/>
                <w:webHidden/>
              </w:rPr>
            </w:r>
            <w:r w:rsidR="00105A47">
              <w:rPr>
                <w:noProof/>
                <w:webHidden/>
              </w:rPr>
              <w:fldChar w:fldCharType="separate"/>
            </w:r>
            <w:r w:rsidR="00105A47">
              <w:rPr>
                <w:noProof/>
                <w:webHidden/>
              </w:rPr>
              <w:t>11</w:t>
            </w:r>
            <w:r w:rsidR="00105A47">
              <w:rPr>
                <w:noProof/>
                <w:webHidden/>
              </w:rPr>
              <w:fldChar w:fldCharType="end"/>
            </w:r>
          </w:hyperlink>
        </w:p>
        <w:p w14:paraId="734B256D" w14:textId="2AAE5E11" w:rsidR="00105A47" w:rsidRDefault="00BC1251">
          <w:pPr>
            <w:pStyle w:val="TOC1"/>
            <w:tabs>
              <w:tab w:val="right" w:leader="dot" w:pos="9350"/>
            </w:tabs>
            <w:rPr>
              <w:rFonts w:eastAsiaTheme="minorEastAsia"/>
              <w:noProof/>
            </w:rPr>
          </w:pPr>
          <w:hyperlink w:anchor="_Toc62843872" w:history="1">
            <w:r w:rsidR="00105A47" w:rsidRPr="00C94369">
              <w:rPr>
                <w:rStyle w:val="Hyperlink"/>
                <w:noProof/>
              </w:rPr>
              <w:t>Chapter 3 Clement of Alexandria</w:t>
            </w:r>
            <w:r w:rsidR="00105A47">
              <w:rPr>
                <w:noProof/>
                <w:webHidden/>
              </w:rPr>
              <w:tab/>
            </w:r>
            <w:r w:rsidR="00105A47">
              <w:rPr>
                <w:noProof/>
                <w:webHidden/>
              </w:rPr>
              <w:fldChar w:fldCharType="begin"/>
            </w:r>
            <w:r w:rsidR="00105A47">
              <w:rPr>
                <w:noProof/>
                <w:webHidden/>
              </w:rPr>
              <w:instrText xml:space="preserve"> PAGEREF _Toc62843872 \h </w:instrText>
            </w:r>
            <w:r w:rsidR="00105A47">
              <w:rPr>
                <w:noProof/>
                <w:webHidden/>
              </w:rPr>
            </w:r>
            <w:r w:rsidR="00105A47">
              <w:rPr>
                <w:noProof/>
                <w:webHidden/>
              </w:rPr>
              <w:fldChar w:fldCharType="separate"/>
            </w:r>
            <w:r w:rsidR="00105A47">
              <w:rPr>
                <w:noProof/>
                <w:webHidden/>
              </w:rPr>
              <w:t>23</w:t>
            </w:r>
            <w:r w:rsidR="00105A47">
              <w:rPr>
                <w:noProof/>
                <w:webHidden/>
              </w:rPr>
              <w:fldChar w:fldCharType="end"/>
            </w:r>
          </w:hyperlink>
        </w:p>
        <w:p w14:paraId="24E7C168" w14:textId="7F55E45F" w:rsidR="00105A47" w:rsidRDefault="00BC1251">
          <w:pPr>
            <w:pStyle w:val="TOC1"/>
            <w:tabs>
              <w:tab w:val="right" w:leader="dot" w:pos="9350"/>
            </w:tabs>
            <w:rPr>
              <w:rFonts w:eastAsiaTheme="minorEastAsia"/>
              <w:noProof/>
            </w:rPr>
          </w:pPr>
          <w:hyperlink w:anchor="_Toc62843873" w:history="1">
            <w:r w:rsidR="00105A47" w:rsidRPr="00C94369">
              <w:rPr>
                <w:rStyle w:val="Hyperlink"/>
                <w:noProof/>
              </w:rPr>
              <w:t>Bibliography</w:t>
            </w:r>
            <w:r w:rsidR="00105A47">
              <w:rPr>
                <w:noProof/>
                <w:webHidden/>
              </w:rPr>
              <w:tab/>
            </w:r>
            <w:r w:rsidR="00105A47">
              <w:rPr>
                <w:noProof/>
                <w:webHidden/>
              </w:rPr>
              <w:fldChar w:fldCharType="begin"/>
            </w:r>
            <w:r w:rsidR="00105A47">
              <w:rPr>
                <w:noProof/>
                <w:webHidden/>
              </w:rPr>
              <w:instrText xml:space="preserve"> PAGEREF _Toc62843873 \h </w:instrText>
            </w:r>
            <w:r w:rsidR="00105A47">
              <w:rPr>
                <w:noProof/>
                <w:webHidden/>
              </w:rPr>
            </w:r>
            <w:r w:rsidR="00105A47">
              <w:rPr>
                <w:noProof/>
                <w:webHidden/>
              </w:rPr>
              <w:fldChar w:fldCharType="separate"/>
            </w:r>
            <w:r w:rsidR="00105A47">
              <w:rPr>
                <w:noProof/>
                <w:webHidden/>
              </w:rPr>
              <w:t>25</w:t>
            </w:r>
            <w:r w:rsidR="00105A47">
              <w:rPr>
                <w:noProof/>
                <w:webHidden/>
              </w:rPr>
              <w:fldChar w:fldCharType="end"/>
            </w:r>
          </w:hyperlink>
        </w:p>
        <w:p w14:paraId="69F38187" w14:textId="71C26ABE" w:rsidR="00105A47" w:rsidRDefault="00BC1251">
          <w:pPr>
            <w:pStyle w:val="TOC2"/>
            <w:tabs>
              <w:tab w:val="right" w:leader="dot" w:pos="9350"/>
            </w:tabs>
            <w:rPr>
              <w:rFonts w:eastAsiaTheme="minorEastAsia"/>
              <w:noProof/>
            </w:rPr>
          </w:pPr>
          <w:hyperlink w:anchor="_Toc62843874" w:history="1">
            <w:r w:rsidR="00105A47" w:rsidRPr="00C94369">
              <w:rPr>
                <w:rStyle w:val="Hyperlink"/>
                <w:noProof/>
              </w:rPr>
              <w:t>Ancient Sources</w:t>
            </w:r>
            <w:r w:rsidR="00105A47">
              <w:rPr>
                <w:noProof/>
                <w:webHidden/>
              </w:rPr>
              <w:tab/>
            </w:r>
            <w:r w:rsidR="00105A47">
              <w:rPr>
                <w:noProof/>
                <w:webHidden/>
              </w:rPr>
              <w:fldChar w:fldCharType="begin"/>
            </w:r>
            <w:r w:rsidR="00105A47">
              <w:rPr>
                <w:noProof/>
                <w:webHidden/>
              </w:rPr>
              <w:instrText xml:space="preserve"> PAGEREF _Toc62843874 \h </w:instrText>
            </w:r>
            <w:r w:rsidR="00105A47">
              <w:rPr>
                <w:noProof/>
                <w:webHidden/>
              </w:rPr>
            </w:r>
            <w:r w:rsidR="00105A47">
              <w:rPr>
                <w:noProof/>
                <w:webHidden/>
              </w:rPr>
              <w:fldChar w:fldCharType="separate"/>
            </w:r>
            <w:r w:rsidR="00105A47">
              <w:rPr>
                <w:noProof/>
                <w:webHidden/>
              </w:rPr>
              <w:t>25</w:t>
            </w:r>
            <w:r w:rsidR="00105A47">
              <w:rPr>
                <w:noProof/>
                <w:webHidden/>
              </w:rPr>
              <w:fldChar w:fldCharType="end"/>
            </w:r>
          </w:hyperlink>
        </w:p>
        <w:p w14:paraId="3DBD1493" w14:textId="75E45EC9" w:rsidR="00105A47" w:rsidRDefault="00BC1251">
          <w:pPr>
            <w:pStyle w:val="TOC2"/>
            <w:tabs>
              <w:tab w:val="right" w:leader="dot" w:pos="9350"/>
            </w:tabs>
            <w:rPr>
              <w:rFonts w:eastAsiaTheme="minorEastAsia"/>
              <w:noProof/>
            </w:rPr>
          </w:pPr>
          <w:hyperlink w:anchor="_Toc62843875" w:history="1">
            <w:r w:rsidR="00105A47" w:rsidRPr="00C94369">
              <w:rPr>
                <w:rStyle w:val="Hyperlink"/>
                <w:noProof/>
              </w:rPr>
              <w:t>Latin Language Sources</w:t>
            </w:r>
            <w:r w:rsidR="00105A47">
              <w:rPr>
                <w:noProof/>
                <w:webHidden/>
              </w:rPr>
              <w:tab/>
            </w:r>
            <w:r w:rsidR="00105A47">
              <w:rPr>
                <w:noProof/>
                <w:webHidden/>
              </w:rPr>
              <w:fldChar w:fldCharType="begin"/>
            </w:r>
            <w:r w:rsidR="00105A47">
              <w:rPr>
                <w:noProof/>
                <w:webHidden/>
              </w:rPr>
              <w:instrText xml:space="preserve"> PAGEREF _Toc62843875 \h </w:instrText>
            </w:r>
            <w:r w:rsidR="00105A47">
              <w:rPr>
                <w:noProof/>
                <w:webHidden/>
              </w:rPr>
            </w:r>
            <w:r w:rsidR="00105A47">
              <w:rPr>
                <w:noProof/>
                <w:webHidden/>
              </w:rPr>
              <w:fldChar w:fldCharType="separate"/>
            </w:r>
            <w:r w:rsidR="00105A47">
              <w:rPr>
                <w:noProof/>
                <w:webHidden/>
              </w:rPr>
              <w:t>27</w:t>
            </w:r>
            <w:r w:rsidR="00105A47">
              <w:rPr>
                <w:noProof/>
                <w:webHidden/>
              </w:rPr>
              <w:fldChar w:fldCharType="end"/>
            </w:r>
          </w:hyperlink>
        </w:p>
        <w:p w14:paraId="19CB20E6" w14:textId="3F8C88A5" w:rsidR="00105A47" w:rsidRDefault="00BC1251">
          <w:pPr>
            <w:pStyle w:val="TOC2"/>
            <w:tabs>
              <w:tab w:val="right" w:leader="dot" w:pos="9350"/>
            </w:tabs>
            <w:rPr>
              <w:rFonts w:eastAsiaTheme="minorEastAsia"/>
              <w:noProof/>
            </w:rPr>
          </w:pPr>
          <w:hyperlink w:anchor="_Toc62843876" w:history="1">
            <w:r w:rsidR="00105A47" w:rsidRPr="00C94369">
              <w:rPr>
                <w:rStyle w:val="Hyperlink"/>
                <w:noProof/>
              </w:rPr>
              <w:t>Modern Sources</w:t>
            </w:r>
            <w:r w:rsidR="00105A47">
              <w:rPr>
                <w:noProof/>
                <w:webHidden/>
              </w:rPr>
              <w:tab/>
            </w:r>
            <w:r w:rsidR="00105A47">
              <w:rPr>
                <w:noProof/>
                <w:webHidden/>
              </w:rPr>
              <w:fldChar w:fldCharType="begin"/>
            </w:r>
            <w:r w:rsidR="00105A47">
              <w:rPr>
                <w:noProof/>
                <w:webHidden/>
              </w:rPr>
              <w:instrText xml:space="preserve"> PAGEREF _Toc62843876 \h </w:instrText>
            </w:r>
            <w:r w:rsidR="00105A47">
              <w:rPr>
                <w:noProof/>
                <w:webHidden/>
              </w:rPr>
            </w:r>
            <w:r w:rsidR="00105A47">
              <w:rPr>
                <w:noProof/>
                <w:webHidden/>
              </w:rPr>
              <w:fldChar w:fldCharType="separate"/>
            </w:r>
            <w:r w:rsidR="00105A47">
              <w:rPr>
                <w:noProof/>
                <w:webHidden/>
              </w:rPr>
              <w:t>27</w:t>
            </w:r>
            <w:r w:rsidR="00105A47">
              <w:rPr>
                <w:noProof/>
                <w:webHidden/>
              </w:rPr>
              <w:fldChar w:fldCharType="end"/>
            </w:r>
          </w:hyperlink>
        </w:p>
        <w:p w14:paraId="188EAA1D" w14:textId="20B9D4B3" w:rsidR="00AB00BD" w:rsidRDefault="00AB00BD" w:rsidP="00AB00BD">
          <w:pPr>
            <w:rPr>
              <w:b/>
              <w:bCs/>
              <w:noProof/>
            </w:rPr>
          </w:pPr>
          <w:r>
            <w:rPr>
              <w:b/>
              <w:bCs/>
              <w:noProof/>
            </w:rPr>
            <w:fldChar w:fldCharType="end"/>
          </w:r>
        </w:p>
      </w:sdtContent>
    </w:sdt>
    <w:p w14:paraId="3C5B9527" w14:textId="77777777" w:rsidR="00AB00BD" w:rsidRDefault="00AB00BD"/>
    <w:p w14:paraId="4D6685BD" w14:textId="77777777" w:rsidR="00BE469A" w:rsidRDefault="00BE469A">
      <w:pPr>
        <w:rPr>
          <w:rFonts w:asciiTheme="majorHAnsi" w:eastAsiaTheme="majorEastAsia" w:hAnsiTheme="majorHAnsi" w:cstheme="majorBidi"/>
          <w:color w:val="365F91" w:themeColor="accent1" w:themeShade="BF"/>
          <w:sz w:val="26"/>
          <w:szCs w:val="26"/>
        </w:rPr>
      </w:pPr>
      <w:r>
        <w:br w:type="page"/>
      </w:r>
    </w:p>
    <w:p w14:paraId="75256E6D" w14:textId="046A1F5F" w:rsidR="00BE469A" w:rsidRPr="00BD3881" w:rsidRDefault="00D30BA6" w:rsidP="00AD75E6">
      <w:pPr>
        <w:pStyle w:val="Heading1"/>
        <w:rPr>
          <w:sz w:val="28"/>
          <w:szCs w:val="28"/>
        </w:rPr>
      </w:pPr>
      <w:bookmarkStart w:id="0" w:name="_Toc62843869"/>
      <w:r w:rsidRPr="006B31E2">
        <w:lastRenderedPageBreak/>
        <w:t>Introduction</w:t>
      </w:r>
      <w:bookmarkEnd w:id="0"/>
      <w:r w:rsidR="00BD3881">
        <w:t xml:space="preserve"> – </w:t>
      </w:r>
      <w:r w:rsidR="00BD3881" w:rsidRPr="00BD3881">
        <w:t>DRAFT</w:t>
      </w:r>
      <w:r w:rsidR="00BD3881">
        <w:t xml:space="preserve"> </w:t>
      </w:r>
      <w:r w:rsidR="00BD3881">
        <w:rPr>
          <w:sz w:val="28"/>
          <w:szCs w:val="28"/>
        </w:rPr>
        <w:t>SUBMITTED TO CHECK ORIGINALITY</w:t>
      </w:r>
      <w:bookmarkStart w:id="1" w:name="_GoBack"/>
      <w:bookmarkEnd w:id="1"/>
    </w:p>
    <w:p w14:paraId="7951EC52" w14:textId="757ABFA2" w:rsidR="002C7C76" w:rsidRPr="002C7C76" w:rsidRDefault="00F22396" w:rsidP="002C7C76">
      <w:pPr>
        <w:spacing w:line="480" w:lineRule="auto"/>
        <w:rPr>
          <w:rFonts w:ascii="Times New Roman" w:hAnsi="Times New Roman" w:cs="Times New Roman"/>
          <w:sz w:val="24"/>
          <w:szCs w:val="24"/>
        </w:rPr>
      </w:pPr>
      <w:r>
        <w:rPr>
          <w:rFonts w:ascii="Times New Roman" w:hAnsi="Times New Roman" w:cs="Times New Roman"/>
          <w:sz w:val="24"/>
          <w:szCs w:val="24"/>
        </w:rPr>
        <w:tab/>
      </w:r>
      <w:r w:rsidR="002C7C76" w:rsidRPr="002C7C76">
        <w:rPr>
          <w:rFonts w:ascii="Times New Roman" w:hAnsi="Times New Roman" w:cs="Times New Roman"/>
          <w:sz w:val="24"/>
          <w:szCs w:val="24"/>
        </w:rPr>
        <w:t xml:space="preserve">The incredible growth rate of Christianity in the Roman Empire between 40 AD and 350 AD is an interesting phenomenon given that for much of that time, its adherents were persecuted and ostracized.  In Chapter 1 in the </w:t>
      </w:r>
      <w:r w:rsidR="002C7C76" w:rsidRPr="002C7C76">
        <w:rPr>
          <w:rFonts w:ascii="Times New Roman" w:hAnsi="Times New Roman" w:cs="Times New Roman"/>
          <w:i/>
          <w:sz w:val="24"/>
          <w:szCs w:val="24"/>
        </w:rPr>
        <w:t>Rise of Christianity</w:t>
      </w:r>
      <w:r w:rsidR="002C7C76" w:rsidRPr="002C7C76">
        <w:rPr>
          <w:rFonts w:ascii="Times New Roman" w:hAnsi="Times New Roman" w:cs="Times New Roman"/>
          <w:sz w:val="24"/>
          <w:szCs w:val="24"/>
        </w:rPr>
        <w:t>, author Rodney Stark lays out a quite plausible mathematical scenario reflecting an increase of 40% per decade so that conceivably, by the year 350 AD, 33 million people called themselves Christian.</w:t>
      </w:r>
      <w:r w:rsidR="002C7C76" w:rsidRPr="002C7C76">
        <w:rPr>
          <w:rFonts w:ascii="Times New Roman" w:hAnsi="Times New Roman" w:cs="Times New Roman"/>
          <w:sz w:val="24"/>
          <w:szCs w:val="24"/>
          <w:vertAlign w:val="superscript"/>
        </w:rPr>
        <w:footnoteReference w:id="1"/>
      </w:r>
      <w:r w:rsidR="002C7C76" w:rsidRPr="002C7C76">
        <w:rPr>
          <w:rFonts w:ascii="Times New Roman" w:hAnsi="Times New Roman" w:cs="Times New Roman"/>
          <w:sz w:val="24"/>
          <w:szCs w:val="24"/>
        </w:rPr>
        <w:t xml:space="preserve">  These Christians would have represented more than half of the Roman Empire’s generally accepted population number of 60 million.</w:t>
      </w:r>
      <w:r w:rsidR="002C7C76" w:rsidRPr="002C7C76">
        <w:rPr>
          <w:rFonts w:ascii="Times New Roman" w:hAnsi="Times New Roman" w:cs="Times New Roman"/>
          <w:sz w:val="24"/>
          <w:szCs w:val="24"/>
          <w:vertAlign w:val="superscript"/>
        </w:rPr>
        <w:footnoteReference w:id="2"/>
      </w:r>
      <w:r w:rsidR="002C7C76" w:rsidRPr="002C7C76">
        <w:rPr>
          <w:rFonts w:ascii="Times New Roman" w:hAnsi="Times New Roman" w:cs="Times New Roman"/>
          <w:sz w:val="24"/>
          <w:szCs w:val="24"/>
        </w:rPr>
        <w:t xml:space="preserve">  Stark uses the number 120 as a starting point; this is the count the Book of Acts infers existed right after the crucifixion of Jesus.</w:t>
      </w:r>
      <w:r w:rsidR="002C7C76" w:rsidRPr="002C7C76">
        <w:rPr>
          <w:rFonts w:ascii="Times New Roman" w:hAnsi="Times New Roman" w:cs="Times New Roman"/>
          <w:sz w:val="24"/>
          <w:szCs w:val="24"/>
          <w:vertAlign w:val="superscript"/>
        </w:rPr>
        <w:footnoteReference w:id="3"/>
      </w:r>
      <w:r w:rsidR="002C7C76" w:rsidRPr="002C7C76">
        <w:rPr>
          <w:rFonts w:ascii="Times New Roman" w:hAnsi="Times New Roman" w:cs="Times New Roman"/>
          <w:sz w:val="24"/>
          <w:szCs w:val="24"/>
        </w:rPr>
        <w:t xml:space="preserve"> Subsequently, according to Acts, that number increased to 5000,</w:t>
      </w:r>
      <w:r w:rsidR="002C7C76" w:rsidRPr="002C7C76">
        <w:rPr>
          <w:rFonts w:ascii="Times New Roman" w:hAnsi="Times New Roman" w:cs="Times New Roman"/>
          <w:sz w:val="24"/>
          <w:szCs w:val="24"/>
          <w:vertAlign w:val="superscript"/>
        </w:rPr>
        <w:footnoteReference w:id="4"/>
      </w:r>
      <w:r w:rsidR="002C7C76" w:rsidRPr="002C7C76">
        <w:rPr>
          <w:rFonts w:ascii="Times New Roman" w:hAnsi="Times New Roman" w:cs="Times New Roman"/>
          <w:sz w:val="24"/>
          <w:szCs w:val="24"/>
        </w:rPr>
        <w:t xml:space="preserve"> so that “by the sixth decade of the 1</w:t>
      </w:r>
      <w:r w:rsidR="002C7C76" w:rsidRPr="002C7C76">
        <w:rPr>
          <w:rFonts w:ascii="Times New Roman" w:hAnsi="Times New Roman" w:cs="Times New Roman"/>
          <w:sz w:val="24"/>
          <w:szCs w:val="24"/>
          <w:vertAlign w:val="superscript"/>
        </w:rPr>
        <w:t>st</w:t>
      </w:r>
      <w:r w:rsidR="002C7C76" w:rsidRPr="002C7C76">
        <w:rPr>
          <w:rFonts w:ascii="Times New Roman" w:hAnsi="Times New Roman" w:cs="Times New Roman"/>
          <w:sz w:val="24"/>
          <w:szCs w:val="24"/>
        </w:rPr>
        <w:t xml:space="preserve"> century, there were many thousands of Jews in Jerusalem who now believed.” </w:t>
      </w:r>
      <w:r w:rsidR="002C7C76" w:rsidRPr="002C7C76">
        <w:rPr>
          <w:rFonts w:ascii="Times New Roman" w:hAnsi="Times New Roman" w:cs="Times New Roman"/>
          <w:sz w:val="24"/>
          <w:szCs w:val="24"/>
          <w:vertAlign w:val="superscript"/>
        </w:rPr>
        <w:footnoteReference w:id="5"/>
      </w:r>
      <w:r w:rsidR="002C7C76" w:rsidRPr="002C7C76">
        <w:rPr>
          <w:rFonts w:ascii="Times New Roman" w:hAnsi="Times New Roman" w:cs="Times New Roman"/>
          <w:sz w:val="24"/>
          <w:szCs w:val="24"/>
        </w:rPr>
        <w:t xml:space="preserve">  Stark cites several distinguished historians whose estimates of the number of Christians in the year 300 fall somewhere between 5-7.5 million.</w:t>
      </w:r>
      <w:r w:rsidR="002C7C76" w:rsidRPr="002C7C76">
        <w:rPr>
          <w:rFonts w:ascii="Times New Roman" w:hAnsi="Times New Roman" w:cs="Times New Roman"/>
          <w:sz w:val="24"/>
          <w:szCs w:val="24"/>
          <w:vertAlign w:val="superscript"/>
        </w:rPr>
        <w:footnoteReference w:id="6"/>
      </w:r>
      <w:r w:rsidR="002C7C76" w:rsidRPr="002C7C76">
        <w:rPr>
          <w:rFonts w:ascii="Times New Roman" w:hAnsi="Times New Roman" w:cs="Times New Roman"/>
          <w:sz w:val="24"/>
          <w:szCs w:val="24"/>
        </w:rPr>
        <w:t xml:space="preserve"> In order to reach that number, he determines the rate of growth would have been about 40% </w:t>
      </w:r>
      <w:r w:rsidR="002C7C76" w:rsidRPr="002C7C76">
        <w:rPr>
          <w:rFonts w:ascii="Times New Roman" w:hAnsi="Times New Roman" w:cs="Times New Roman"/>
          <w:i/>
          <w:sz w:val="24"/>
          <w:szCs w:val="24"/>
        </w:rPr>
        <w:t>per</w:t>
      </w:r>
      <w:r w:rsidR="002C7C76" w:rsidRPr="002C7C76">
        <w:rPr>
          <w:rFonts w:ascii="Times New Roman" w:hAnsi="Times New Roman" w:cs="Times New Roman"/>
          <w:sz w:val="24"/>
          <w:szCs w:val="24"/>
        </w:rPr>
        <w:t xml:space="preserve"> decade which lands us at a possible 33 million circa 350 AD. </w:t>
      </w:r>
      <w:r w:rsidR="002C7C76" w:rsidRPr="002C7C76">
        <w:rPr>
          <w:rFonts w:ascii="Times New Roman" w:hAnsi="Times New Roman" w:cs="Times New Roman"/>
          <w:sz w:val="24"/>
          <w:szCs w:val="24"/>
          <w:vertAlign w:val="superscript"/>
        </w:rPr>
        <w:footnoteReference w:id="7"/>
      </w:r>
      <w:r w:rsidR="002C7C76" w:rsidRPr="002C7C76">
        <w:rPr>
          <w:rFonts w:ascii="Times New Roman" w:hAnsi="Times New Roman" w:cs="Times New Roman"/>
          <w:sz w:val="24"/>
          <w:szCs w:val="24"/>
        </w:rPr>
        <w:t xml:space="preserve">  </w:t>
      </w:r>
    </w:p>
    <w:p w14:paraId="56E3ECE4" w14:textId="04AFE222" w:rsidR="002C7C76" w:rsidRPr="002C7C76" w:rsidRDefault="00F22396" w:rsidP="002C7C76">
      <w:pPr>
        <w:spacing w:line="480" w:lineRule="auto"/>
        <w:rPr>
          <w:rFonts w:ascii="Times New Roman" w:hAnsi="Times New Roman" w:cs="Times New Roman"/>
          <w:sz w:val="24"/>
          <w:szCs w:val="24"/>
        </w:rPr>
      </w:pPr>
      <w:r>
        <w:rPr>
          <w:rFonts w:ascii="Times New Roman" w:hAnsi="Times New Roman" w:cs="Times New Roman"/>
          <w:sz w:val="24"/>
          <w:szCs w:val="24"/>
        </w:rPr>
        <w:tab/>
      </w:r>
      <w:r w:rsidR="00DD5B3D">
        <w:rPr>
          <w:rFonts w:ascii="Times New Roman" w:hAnsi="Times New Roman" w:cs="Times New Roman"/>
          <w:sz w:val="24"/>
          <w:szCs w:val="24"/>
        </w:rPr>
        <w:t xml:space="preserve"> Stark s</w:t>
      </w:r>
      <w:r w:rsidR="002C7C76" w:rsidRPr="002C7C76">
        <w:rPr>
          <w:rFonts w:ascii="Times New Roman" w:hAnsi="Times New Roman" w:cs="Times New Roman"/>
          <w:sz w:val="24"/>
          <w:szCs w:val="24"/>
        </w:rPr>
        <w:t>upports his determination by pointing to the conversion of Constantine in the 4</w:t>
      </w:r>
      <w:r w:rsidR="002C7C76" w:rsidRPr="002C7C76">
        <w:rPr>
          <w:rFonts w:ascii="Times New Roman" w:hAnsi="Times New Roman" w:cs="Times New Roman"/>
          <w:sz w:val="24"/>
          <w:szCs w:val="24"/>
          <w:vertAlign w:val="superscript"/>
        </w:rPr>
        <w:t>th</w:t>
      </w:r>
      <w:r w:rsidR="00DD5B3D">
        <w:rPr>
          <w:rFonts w:ascii="Times New Roman" w:hAnsi="Times New Roman" w:cs="Times New Roman"/>
          <w:sz w:val="24"/>
          <w:szCs w:val="24"/>
        </w:rPr>
        <w:t xml:space="preserve"> century who declared </w:t>
      </w:r>
      <w:r w:rsidR="002C7C76" w:rsidRPr="002C7C76">
        <w:rPr>
          <w:rFonts w:ascii="Times New Roman" w:hAnsi="Times New Roman" w:cs="Times New Roman"/>
          <w:sz w:val="24"/>
          <w:szCs w:val="24"/>
        </w:rPr>
        <w:t>Christianity as the state religion</w:t>
      </w:r>
      <w:r w:rsidR="00DD5B3D">
        <w:rPr>
          <w:rFonts w:ascii="Times New Roman" w:hAnsi="Times New Roman" w:cs="Times New Roman"/>
          <w:sz w:val="24"/>
          <w:szCs w:val="24"/>
        </w:rPr>
        <w:t xml:space="preserve">. However, in contrast to crediting </w:t>
      </w:r>
      <w:r w:rsidR="002C7C76" w:rsidRPr="002C7C76">
        <w:rPr>
          <w:rFonts w:ascii="Times New Roman" w:hAnsi="Times New Roman" w:cs="Times New Roman"/>
          <w:sz w:val="24"/>
          <w:szCs w:val="24"/>
        </w:rPr>
        <w:t>the conver</w:t>
      </w:r>
      <w:r w:rsidR="00DD5B3D">
        <w:rPr>
          <w:rFonts w:ascii="Times New Roman" w:hAnsi="Times New Roman" w:cs="Times New Roman"/>
          <w:sz w:val="24"/>
          <w:szCs w:val="24"/>
        </w:rPr>
        <w:t>sion of Constantine, in 312 AD, f</w:t>
      </w:r>
      <w:r w:rsidR="002C7C76" w:rsidRPr="002C7C76">
        <w:rPr>
          <w:rFonts w:ascii="Times New Roman" w:hAnsi="Times New Roman" w:cs="Times New Roman"/>
          <w:sz w:val="24"/>
          <w:szCs w:val="24"/>
        </w:rPr>
        <w:t xml:space="preserve">or producing a Christian majority as do some historians, Stark argues that the Edict of Milan was merely affirming </w:t>
      </w:r>
      <w:r w:rsidR="002C7C76" w:rsidRPr="002C7C76">
        <w:rPr>
          <w:rFonts w:ascii="Times New Roman" w:hAnsi="Times New Roman" w:cs="Times New Roman"/>
          <w:i/>
          <w:sz w:val="24"/>
          <w:szCs w:val="24"/>
        </w:rPr>
        <w:t>what was already a reality.</w:t>
      </w:r>
      <w:r w:rsidR="002C7C76" w:rsidRPr="002C7C76">
        <w:rPr>
          <w:rFonts w:ascii="Times New Roman" w:hAnsi="Times New Roman" w:cs="Times New Roman"/>
          <w:i/>
          <w:sz w:val="24"/>
          <w:szCs w:val="24"/>
          <w:vertAlign w:val="superscript"/>
        </w:rPr>
        <w:footnoteReference w:id="8"/>
      </w:r>
      <w:r w:rsidR="002C7C76" w:rsidRPr="002C7C76">
        <w:rPr>
          <w:rFonts w:ascii="Times New Roman" w:hAnsi="Times New Roman" w:cs="Times New Roman"/>
          <w:sz w:val="24"/>
          <w:szCs w:val="24"/>
        </w:rPr>
        <w:t xml:space="preserve"> </w:t>
      </w:r>
      <w:r w:rsidR="002C7C76" w:rsidRPr="002C7C76">
        <w:rPr>
          <w:rFonts w:ascii="Times New Roman" w:hAnsi="Times New Roman" w:cs="Times New Roman"/>
          <w:sz w:val="24"/>
          <w:szCs w:val="24"/>
        </w:rPr>
        <w:lastRenderedPageBreak/>
        <w:t>Constantine did not create a new state policy but rather continued one that had begun earlier in the 4</w:t>
      </w:r>
      <w:r w:rsidR="002C7C76" w:rsidRPr="002C7C76">
        <w:rPr>
          <w:rFonts w:ascii="Times New Roman" w:hAnsi="Times New Roman" w:cs="Times New Roman"/>
          <w:sz w:val="24"/>
          <w:szCs w:val="24"/>
          <w:vertAlign w:val="superscript"/>
        </w:rPr>
        <w:t>th</w:t>
      </w:r>
      <w:r w:rsidR="00E3539A">
        <w:rPr>
          <w:rFonts w:ascii="Times New Roman" w:hAnsi="Times New Roman" w:cs="Times New Roman"/>
          <w:sz w:val="24"/>
          <w:szCs w:val="24"/>
        </w:rPr>
        <w:t xml:space="preserve"> century — </w:t>
      </w:r>
      <w:r w:rsidR="002C7C76" w:rsidRPr="002C7C76">
        <w:rPr>
          <w:rFonts w:ascii="Times New Roman" w:hAnsi="Times New Roman" w:cs="Times New Roman"/>
          <w:sz w:val="24"/>
          <w:szCs w:val="24"/>
        </w:rPr>
        <w:t>affirming the large population of Christians and securing their prayers for the protection of the state.  This move to placate Christians and their God came after unsuc</w:t>
      </w:r>
      <w:r w:rsidR="00A833DF">
        <w:rPr>
          <w:rFonts w:ascii="Times New Roman" w:hAnsi="Times New Roman" w:cs="Times New Roman"/>
          <w:sz w:val="24"/>
          <w:szCs w:val="24"/>
        </w:rPr>
        <w:t xml:space="preserve">cessful attempts </w:t>
      </w:r>
      <w:r w:rsidR="002C7C76" w:rsidRPr="002C7C76">
        <w:rPr>
          <w:rFonts w:ascii="Times New Roman" w:hAnsi="Times New Roman" w:cs="Times New Roman"/>
          <w:sz w:val="24"/>
          <w:szCs w:val="24"/>
        </w:rPr>
        <w:t>by the emperor Diocletian and some of his successors earlier in the century</w:t>
      </w:r>
      <w:r w:rsidR="00A833DF" w:rsidRPr="00A833DF">
        <w:rPr>
          <w:rFonts w:ascii="Times New Roman" w:hAnsi="Times New Roman" w:cs="Times New Roman"/>
          <w:sz w:val="24"/>
          <w:szCs w:val="24"/>
        </w:rPr>
        <w:t xml:space="preserve"> </w:t>
      </w:r>
      <w:r w:rsidR="00A833DF" w:rsidRPr="002C7C76">
        <w:rPr>
          <w:rFonts w:ascii="Times New Roman" w:hAnsi="Times New Roman" w:cs="Times New Roman"/>
          <w:sz w:val="24"/>
          <w:szCs w:val="24"/>
        </w:rPr>
        <w:t>to force the Christian population to return to the worship of the state’s gods</w:t>
      </w:r>
      <w:r w:rsidR="002C7C76" w:rsidRPr="002C7C76">
        <w:rPr>
          <w:rFonts w:ascii="Times New Roman" w:hAnsi="Times New Roman" w:cs="Times New Roman"/>
          <w:sz w:val="24"/>
          <w:szCs w:val="24"/>
        </w:rPr>
        <w:t>.</w:t>
      </w:r>
      <w:r w:rsidR="002C7C76" w:rsidRPr="002C7C76">
        <w:rPr>
          <w:rFonts w:ascii="Times New Roman" w:hAnsi="Times New Roman" w:cs="Times New Roman"/>
          <w:sz w:val="24"/>
          <w:szCs w:val="24"/>
          <w:vertAlign w:val="superscript"/>
        </w:rPr>
        <w:footnoteReference w:id="9"/>
      </w:r>
      <w:r w:rsidR="002C7C76" w:rsidRPr="002C7C76">
        <w:rPr>
          <w:rFonts w:ascii="Times New Roman" w:hAnsi="Times New Roman" w:cs="Times New Roman"/>
          <w:sz w:val="24"/>
          <w:szCs w:val="24"/>
        </w:rPr>
        <w:t xml:space="preserve">  </w:t>
      </w:r>
      <w:r w:rsidR="00E3539A">
        <w:rPr>
          <w:rFonts w:ascii="Times New Roman" w:hAnsi="Times New Roman" w:cs="Times New Roman"/>
          <w:sz w:val="24"/>
          <w:szCs w:val="24"/>
        </w:rPr>
        <w:t xml:space="preserve">Nonetheless, </w:t>
      </w:r>
      <w:r w:rsidR="002C7C76" w:rsidRPr="002C7C76">
        <w:rPr>
          <w:rFonts w:ascii="Times New Roman" w:hAnsi="Times New Roman" w:cs="Times New Roman"/>
          <w:sz w:val="24"/>
          <w:szCs w:val="24"/>
        </w:rPr>
        <w:t xml:space="preserve">whether or not we agree with Stark’s growth numbers or his explanation for the change of Imperial policy in 312 AD towards Christians, </w:t>
      </w:r>
      <w:r w:rsidR="00E3539A">
        <w:rPr>
          <w:rFonts w:ascii="Times New Roman" w:hAnsi="Times New Roman" w:cs="Times New Roman"/>
          <w:sz w:val="24"/>
          <w:szCs w:val="24"/>
        </w:rPr>
        <w:t>the policy did change, establishing Christianity as</w:t>
      </w:r>
      <w:r w:rsidR="002C7C76" w:rsidRPr="002C7C76">
        <w:rPr>
          <w:rFonts w:ascii="Times New Roman" w:hAnsi="Times New Roman" w:cs="Times New Roman"/>
          <w:sz w:val="24"/>
          <w:szCs w:val="24"/>
        </w:rPr>
        <w:t xml:space="preserve"> the official religion of the West for many centuries yet to take the stage.  And it is, of course</w:t>
      </w:r>
      <w:r w:rsidR="00577267">
        <w:rPr>
          <w:rFonts w:ascii="Times New Roman" w:hAnsi="Times New Roman" w:cs="Times New Roman"/>
          <w:sz w:val="24"/>
          <w:szCs w:val="24"/>
        </w:rPr>
        <w:t>, indisputable that the Christian religion</w:t>
      </w:r>
      <w:r w:rsidR="002C7C76" w:rsidRPr="002C7C76">
        <w:rPr>
          <w:rFonts w:ascii="Times New Roman" w:hAnsi="Times New Roman" w:cs="Times New Roman"/>
          <w:sz w:val="24"/>
          <w:szCs w:val="24"/>
        </w:rPr>
        <w:t xml:space="preserve"> did indeed grow in a just a few centuries to the point where it superseded a pagan religious and philosophical system that had stood at the center of G</w:t>
      </w:r>
      <w:r w:rsidR="00577267">
        <w:rPr>
          <w:rFonts w:ascii="Times New Roman" w:hAnsi="Times New Roman" w:cs="Times New Roman"/>
          <w:sz w:val="24"/>
          <w:szCs w:val="24"/>
        </w:rPr>
        <w:t>reco-Roman life for centuries.</w:t>
      </w:r>
    </w:p>
    <w:p w14:paraId="0103BE46" w14:textId="5A858E55" w:rsidR="002C7C76" w:rsidRPr="002C7C76" w:rsidRDefault="002C7C76" w:rsidP="002C7C76">
      <w:pPr>
        <w:spacing w:line="480" w:lineRule="auto"/>
        <w:rPr>
          <w:rFonts w:ascii="Times New Roman" w:hAnsi="Times New Roman" w:cs="Times New Roman"/>
          <w:sz w:val="24"/>
          <w:szCs w:val="24"/>
        </w:rPr>
      </w:pPr>
      <w:r w:rsidRPr="002C7C76">
        <w:rPr>
          <w:rFonts w:ascii="Times New Roman" w:hAnsi="Times New Roman" w:cs="Times New Roman"/>
          <w:sz w:val="24"/>
          <w:szCs w:val="24"/>
        </w:rPr>
        <w:tab/>
        <w:t>How? How did a small obscure movement overtake a culture that boasted of such literary talent as that of Homer or the wise musings of men as Socrates and Plato whose works still grace the curricula of our Universities?  One answer is that God willed it.  But aside from this theological posit, researchers and professors of religious studies at esteemed Universities have offered the following propositions:  Most importantly, Christianity offered the groundbreaking idea that all people were equal — “There is neither Jew nor Greek, there is neither slave nor free, there is no male nor female, for you are all one in Christ Jesus.”</w:t>
      </w:r>
      <w:r w:rsidRPr="002C7C76">
        <w:rPr>
          <w:rFonts w:ascii="Times New Roman" w:hAnsi="Times New Roman" w:cs="Times New Roman"/>
          <w:sz w:val="24"/>
          <w:szCs w:val="24"/>
          <w:vertAlign w:val="superscript"/>
        </w:rPr>
        <w:footnoteReference w:id="10"/>
      </w:r>
      <w:r w:rsidRPr="002C7C76">
        <w:rPr>
          <w:rFonts w:ascii="Times New Roman" w:hAnsi="Times New Roman" w:cs="Times New Roman"/>
          <w:sz w:val="24"/>
          <w:szCs w:val="24"/>
        </w:rPr>
        <w:t xml:space="preserve">  This worldview conferred dignity and status on even the lowliest slave.  And it held masters accountable to treating their slaves accordingly.  One can certainly imagine not only the improved lot a slave might experience but also the improved relations between citizens themselves. In fact, the early Christians “were most numerous in the setting of urban households where freeing [of slaves] was </w:t>
      </w:r>
      <w:r w:rsidRPr="002C7C76">
        <w:rPr>
          <w:rFonts w:ascii="Times New Roman" w:hAnsi="Times New Roman" w:cs="Times New Roman"/>
          <w:sz w:val="24"/>
          <w:szCs w:val="24"/>
        </w:rPr>
        <w:lastRenderedPageBreak/>
        <w:t xml:space="preserve">most frequent.” </w:t>
      </w:r>
      <w:r w:rsidRPr="002C7C76">
        <w:rPr>
          <w:rFonts w:ascii="Times New Roman" w:hAnsi="Times New Roman" w:cs="Times New Roman"/>
          <w:sz w:val="24"/>
          <w:szCs w:val="24"/>
          <w:vertAlign w:val="superscript"/>
        </w:rPr>
        <w:footnoteReference w:id="11"/>
      </w:r>
      <w:r w:rsidRPr="002C7C76">
        <w:rPr>
          <w:rFonts w:ascii="Times New Roman" w:hAnsi="Times New Roman" w:cs="Times New Roman"/>
          <w:sz w:val="24"/>
          <w:szCs w:val="24"/>
        </w:rPr>
        <w:t xml:space="preserve">  The Christians showed concern for the welfare of those marginalized by Roman society.  And in fact, it was the Christian Church that began such enterprises through which charity was generously disseminated.  For example, widows who lacked money suffered at the bottom of the Roman social ladder but found support and community in the Church.</w:t>
      </w:r>
      <w:r w:rsidRPr="002C7C76">
        <w:rPr>
          <w:rFonts w:ascii="Times New Roman" w:hAnsi="Times New Roman" w:cs="Times New Roman"/>
          <w:sz w:val="24"/>
          <w:szCs w:val="24"/>
          <w:vertAlign w:val="superscript"/>
        </w:rPr>
        <w:footnoteReference w:id="12"/>
      </w:r>
      <w:r w:rsidRPr="002C7C76">
        <w:rPr>
          <w:rFonts w:ascii="Times New Roman" w:hAnsi="Times New Roman" w:cs="Times New Roman"/>
          <w:sz w:val="24"/>
          <w:szCs w:val="24"/>
        </w:rPr>
        <w:t xml:space="preserve"> When epidemics raged and people scurried out of the cities, it was the Christians that stayed and nursed the sick. In fact, so obvious was it that pagans fled from their friends and family during times of pestilence whereas Christians stayed to help that the Emperor Julian the Apostate (361-363 AD) who hated the Christians lamented, “The impious Galileans [Christians] relieve both their own poor and outs; it is shameful that ours should be so destitute of our assistance.” </w:t>
      </w:r>
      <w:r w:rsidRPr="002C7C76">
        <w:rPr>
          <w:rFonts w:ascii="Times New Roman" w:hAnsi="Times New Roman" w:cs="Times New Roman"/>
          <w:sz w:val="24"/>
          <w:szCs w:val="24"/>
          <w:vertAlign w:val="superscript"/>
        </w:rPr>
        <w:footnoteReference w:id="13"/>
      </w:r>
      <w:r w:rsidRPr="002C7C76">
        <w:rPr>
          <w:rFonts w:ascii="Times New Roman" w:hAnsi="Times New Roman" w:cs="Times New Roman"/>
          <w:sz w:val="24"/>
          <w:szCs w:val="24"/>
        </w:rPr>
        <w:t xml:space="preserve"> People who were hungry and destitute could find refuge in Christian homes.  Loving and caring for strangers was not a choice; it was a requirement of the Christian religion.  Adherents to Christianity were to imitate and reflect the love the Christian God had demonstrated to them through His sacrifice on the cross.</w:t>
      </w:r>
      <w:r w:rsidRPr="002C7C76">
        <w:rPr>
          <w:rFonts w:ascii="Times New Roman" w:hAnsi="Times New Roman" w:cs="Times New Roman"/>
          <w:sz w:val="24"/>
          <w:szCs w:val="24"/>
          <w:vertAlign w:val="superscript"/>
        </w:rPr>
        <w:footnoteReference w:id="14"/>
      </w:r>
      <w:r w:rsidRPr="002C7C76">
        <w:rPr>
          <w:rFonts w:ascii="Times New Roman" w:hAnsi="Times New Roman" w:cs="Times New Roman"/>
          <w:sz w:val="24"/>
          <w:szCs w:val="24"/>
        </w:rPr>
        <w:t xml:space="preserve"> This would have been an extraordinary thing for a pagan culture that mainly recognized </w:t>
      </w:r>
      <w:r w:rsidRPr="002C7C76">
        <w:rPr>
          <w:rFonts w:ascii="Times New Roman" w:hAnsi="Times New Roman" w:cs="Times New Roman"/>
          <w:i/>
          <w:sz w:val="24"/>
          <w:szCs w:val="24"/>
        </w:rPr>
        <w:t>pietas</w:t>
      </w:r>
      <w:r w:rsidRPr="002C7C76">
        <w:rPr>
          <w:rFonts w:ascii="Times New Roman" w:hAnsi="Times New Roman" w:cs="Times New Roman"/>
          <w:sz w:val="24"/>
          <w:szCs w:val="24"/>
        </w:rPr>
        <w:t xml:space="preserve"> or duty to the state to be </w:t>
      </w:r>
      <w:r w:rsidR="00D70CBA">
        <w:rPr>
          <w:rFonts w:ascii="Times New Roman" w:hAnsi="Times New Roman" w:cs="Times New Roman"/>
          <w:sz w:val="24"/>
          <w:szCs w:val="24"/>
        </w:rPr>
        <w:t>a higher calling than even love</w:t>
      </w:r>
      <w:r w:rsidRPr="002C7C76">
        <w:rPr>
          <w:rFonts w:ascii="Times New Roman" w:hAnsi="Times New Roman" w:cs="Times New Roman"/>
          <w:sz w:val="24"/>
          <w:szCs w:val="24"/>
        </w:rPr>
        <w:t xml:space="preserve"> as reflected by Aeneas’ abandoning of his paramour, the Queen of Carthage —only after being firmly reminded of his duty by t</w:t>
      </w:r>
      <w:r w:rsidR="00D70CBA">
        <w:rPr>
          <w:rFonts w:ascii="Times New Roman" w:hAnsi="Times New Roman" w:cs="Times New Roman"/>
          <w:sz w:val="24"/>
          <w:szCs w:val="24"/>
        </w:rPr>
        <w:t xml:space="preserve">he god, Zeus —to </w:t>
      </w:r>
      <w:r w:rsidRPr="002C7C76">
        <w:rPr>
          <w:rFonts w:ascii="Times New Roman" w:hAnsi="Times New Roman" w:cs="Times New Roman"/>
          <w:sz w:val="24"/>
          <w:szCs w:val="24"/>
        </w:rPr>
        <w:t xml:space="preserve">carry on establishing the eternal city in the Roman epic, </w:t>
      </w:r>
      <w:r w:rsidRPr="002C7C76">
        <w:rPr>
          <w:rFonts w:ascii="Times New Roman" w:hAnsi="Times New Roman" w:cs="Times New Roman"/>
          <w:i/>
          <w:sz w:val="24"/>
          <w:szCs w:val="24"/>
        </w:rPr>
        <w:t>The Aeneid</w:t>
      </w:r>
      <w:r w:rsidRPr="002C7C76">
        <w:rPr>
          <w:rFonts w:ascii="Times New Roman" w:hAnsi="Times New Roman" w:cs="Times New Roman"/>
          <w:sz w:val="24"/>
          <w:szCs w:val="24"/>
        </w:rPr>
        <w:t>,</w:t>
      </w:r>
      <w:r w:rsidRPr="002C7C76">
        <w:rPr>
          <w:rFonts w:ascii="Times New Roman" w:hAnsi="Times New Roman" w:cs="Times New Roman"/>
          <w:sz w:val="24"/>
          <w:szCs w:val="24"/>
          <w:vertAlign w:val="superscript"/>
        </w:rPr>
        <w:footnoteReference w:id="15"/>
      </w:r>
      <w:r w:rsidRPr="002C7C76">
        <w:rPr>
          <w:rFonts w:ascii="Times New Roman" w:hAnsi="Times New Roman" w:cs="Times New Roman"/>
          <w:sz w:val="24"/>
          <w:szCs w:val="24"/>
        </w:rPr>
        <w:t xml:space="preserve"> the source of Roman cultural ideals. Thus, the free-will choice of an innocent Jesus to submit to the a</w:t>
      </w:r>
      <w:r w:rsidR="004732EA">
        <w:rPr>
          <w:rFonts w:ascii="Times New Roman" w:hAnsi="Times New Roman" w:cs="Times New Roman"/>
          <w:sz w:val="24"/>
          <w:szCs w:val="24"/>
        </w:rPr>
        <w:t xml:space="preserve">trocities of the cross </w:t>
      </w:r>
      <w:r w:rsidRPr="002C7C76">
        <w:rPr>
          <w:rFonts w:ascii="Times New Roman" w:hAnsi="Times New Roman" w:cs="Times New Roman"/>
          <w:sz w:val="24"/>
          <w:szCs w:val="24"/>
        </w:rPr>
        <w:t xml:space="preserve">as a demonstration of selfless love for those who even spit on Him and to whom he owed </w:t>
      </w:r>
      <w:r w:rsidRPr="004732EA">
        <w:rPr>
          <w:rFonts w:ascii="Times New Roman" w:hAnsi="Times New Roman" w:cs="Times New Roman"/>
          <w:i/>
          <w:sz w:val="24"/>
          <w:szCs w:val="24"/>
        </w:rPr>
        <w:t>no duty</w:t>
      </w:r>
      <w:r w:rsidRPr="002C7C76">
        <w:rPr>
          <w:rFonts w:ascii="Times New Roman" w:hAnsi="Times New Roman" w:cs="Times New Roman"/>
          <w:sz w:val="24"/>
          <w:szCs w:val="24"/>
        </w:rPr>
        <w:t xml:space="preserve"> would have been a remarkable thing, especially to the Roman mind. While sacrificing to honor a deity was certainly a familiar pagan </w:t>
      </w:r>
      <w:r w:rsidRPr="002C7C76">
        <w:rPr>
          <w:rFonts w:ascii="Times New Roman" w:hAnsi="Times New Roman" w:cs="Times New Roman"/>
          <w:sz w:val="24"/>
          <w:szCs w:val="24"/>
        </w:rPr>
        <w:lastRenderedPageBreak/>
        <w:t xml:space="preserve">custom, being unconditionally loved by one and having this love tangibly expressed by His followers was likely a powerful draw. </w:t>
      </w:r>
    </w:p>
    <w:p w14:paraId="07A735EF" w14:textId="79DB236C" w:rsidR="002C7C76" w:rsidRPr="002C7C76" w:rsidRDefault="002C7C76" w:rsidP="002C7C76">
      <w:pPr>
        <w:spacing w:line="480" w:lineRule="auto"/>
        <w:rPr>
          <w:rFonts w:ascii="Times New Roman" w:hAnsi="Times New Roman" w:cs="Times New Roman"/>
          <w:sz w:val="24"/>
          <w:szCs w:val="24"/>
        </w:rPr>
      </w:pPr>
      <w:r w:rsidRPr="002C7C76">
        <w:rPr>
          <w:rFonts w:ascii="Times New Roman" w:hAnsi="Times New Roman" w:cs="Times New Roman"/>
          <w:sz w:val="24"/>
          <w:szCs w:val="24"/>
        </w:rPr>
        <w:tab/>
        <w:t xml:space="preserve">Certainly the sociological reasons for the growth of Christianity in the early Roman-Greco period are demonstrable; however, what about the theology of the message itself? Did it influence the rise in converts? Eusebius of Caesarea, an early Greek convert who was probably born around 260 AD and the first to document the travails of the early Christian Church in a landmark of Christian historiography, </w:t>
      </w:r>
      <w:r w:rsidRPr="002C7C76">
        <w:rPr>
          <w:rFonts w:ascii="Times New Roman" w:hAnsi="Times New Roman" w:cs="Times New Roman"/>
          <w:i/>
          <w:sz w:val="24"/>
          <w:szCs w:val="24"/>
        </w:rPr>
        <w:t>The Church</w:t>
      </w:r>
      <w:r w:rsidRPr="002C7C76">
        <w:rPr>
          <w:rFonts w:ascii="Times New Roman" w:hAnsi="Times New Roman" w:cs="Times New Roman"/>
          <w:sz w:val="24"/>
          <w:szCs w:val="24"/>
        </w:rPr>
        <w:t xml:space="preserve"> </w:t>
      </w:r>
      <w:r w:rsidRPr="002C7C76">
        <w:rPr>
          <w:rFonts w:ascii="Times New Roman" w:hAnsi="Times New Roman" w:cs="Times New Roman"/>
          <w:i/>
          <w:sz w:val="24"/>
          <w:szCs w:val="24"/>
        </w:rPr>
        <w:t xml:space="preserve">History, </w:t>
      </w:r>
      <w:r w:rsidRPr="002C7C76">
        <w:rPr>
          <w:rFonts w:ascii="Times New Roman" w:hAnsi="Times New Roman" w:cs="Times New Roman"/>
          <w:sz w:val="24"/>
          <w:szCs w:val="24"/>
        </w:rPr>
        <w:t xml:space="preserve">defined the message in this manner: It is the “good tidings” </w:t>
      </w:r>
      <w:r w:rsidRPr="002C7C76">
        <w:rPr>
          <w:rFonts w:ascii="Times New Roman" w:hAnsi="Times New Roman" w:cs="Times New Roman"/>
          <w:sz w:val="24"/>
          <w:szCs w:val="24"/>
          <w:vertAlign w:val="superscript"/>
        </w:rPr>
        <w:footnoteReference w:id="16"/>
      </w:r>
      <w:r w:rsidRPr="002C7C76">
        <w:rPr>
          <w:rFonts w:ascii="Times New Roman" w:hAnsi="Times New Roman" w:cs="Times New Roman"/>
          <w:sz w:val="24"/>
          <w:szCs w:val="24"/>
        </w:rPr>
        <w:t xml:space="preserve"> that the One and Only God seeks friendship with mankind and reconciliation, “not imputing their trespasses unto them;” </w:t>
      </w:r>
      <w:r w:rsidRPr="002C7C76">
        <w:rPr>
          <w:rFonts w:ascii="Times New Roman" w:hAnsi="Times New Roman" w:cs="Times New Roman"/>
          <w:sz w:val="24"/>
          <w:szCs w:val="24"/>
          <w:vertAlign w:val="superscript"/>
        </w:rPr>
        <w:footnoteReference w:id="17"/>
      </w:r>
      <w:r w:rsidRPr="002C7C76">
        <w:rPr>
          <w:rFonts w:ascii="Times New Roman" w:hAnsi="Times New Roman" w:cs="Times New Roman"/>
          <w:sz w:val="24"/>
          <w:szCs w:val="24"/>
        </w:rPr>
        <w:t xml:space="preserve">  rather, He has taken those trespasses unto Himself and now offers a blessing, the gift of peace.  Eusebius asserted that this God was the maker and dispenser of all things good.  Further, he maintained that though this blessing was foretold by the Hebrew prophets, it was not meant for the Hebrew people alone but rather had been the plan of God from time memorial to bestow this blessing upon all nations.</w:t>
      </w:r>
      <w:r w:rsidRPr="002C7C76">
        <w:rPr>
          <w:rFonts w:ascii="Times New Roman" w:hAnsi="Times New Roman" w:cs="Times New Roman"/>
          <w:sz w:val="24"/>
          <w:szCs w:val="24"/>
          <w:vertAlign w:val="superscript"/>
        </w:rPr>
        <w:footnoteReference w:id="18"/>
      </w:r>
      <w:r w:rsidRPr="002C7C76">
        <w:rPr>
          <w:rFonts w:ascii="Times New Roman" w:hAnsi="Times New Roman" w:cs="Times New Roman"/>
          <w:sz w:val="24"/>
          <w:szCs w:val="24"/>
        </w:rPr>
        <w:t xml:space="preserve"> Interestingly, as part of his defense of Christianity in his </w:t>
      </w:r>
      <w:r w:rsidRPr="002C7C76">
        <w:rPr>
          <w:rFonts w:ascii="Times New Roman" w:hAnsi="Times New Roman" w:cs="Times New Roman"/>
          <w:i/>
          <w:sz w:val="24"/>
          <w:szCs w:val="24"/>
        </w:rPr>
        <w:t xml:space="preserve">Praeparatio Evangelica </w:t>
      </w:r>
      <w:r w:rsidRPr="002C7C76">
        <w:rPr>
          <w:rFonts w:ascii="Times New Roman" w:hAnsi="Times New Roman" w:cs="Times New Roman"/>
          <w:sz w:val="24"/>
          <w:szCs w:val="24"/>
        </w:rPr>
        <w:t xml:space="preserve">or </w:t>
      </w:r>
      <w:r w:rsidRPr="002C7C76">
        <w:rPr>
          <w:rFonts w:ascii="Times New Roman" w:hAnsi="Times New Roman" w:cs="Times New Roman"/>
          <w:i/>
          <w:sz w:val="24"/>
          <w:szCs w:val="24"/>
        </w:rPr>
        <w:t xml:space="preserve">The Preparation for the Gospel, </w:t>
      </w:r>
      <w:r w:rsidRPr="002C7C76">
        <w:rPr>
          <w:rFonts w:ascii="Times New Roman" w:hAnsi="Times New Roman" w:cs="Times New Roman"/>
          <w:sz w:val="24"/>
          <w:szCs w:val="24"/>
        </w:rPr>
        <w:t>he contends that God did not stray from man but rather the reverse.   Nevertheless, it is the contention of Eusebius and other early Church Fathers, namely Justin Martyr and Clement of Alexandria, that though man wandered, he, however unknowingly, manifested knowledge of God and His message through the poetic and philosophical realms, albeit an imperfect knowledge.</w:t>
      </w:r>
      <w:r w:rsidRPr="002C7C76">
        <w:rPr>
          <w:rFonts w:ascii="Times New Roman" w:hAnsi="Times New Roman" w:cs="Times New Roman"/>
          <w:sz w:val="24"/>
          <w:szCs w:val="24"/>
          <w:vertAlign w:val="superscript"/>
        </w:rPr>
        <w:footnoteReference w:id="19"/>
      </w:r>
      <w:r w:rsidRPr="002C7C76">
        <w:rPr>
          <w:rFonts w:ascii="Times New Roman" w:hAnsi="Times New Roman" w:cs="Times New Roman"/>
          <w:sz w:val="24"/>
          <w:szCs w:val="24"/>
        </w:rPr>
        <w:t xml:space="preserve">  For example, in the </w:t>
      </w:r>
      <w:r w:rsidRPr="002C7C76">
        <w:rPr>
          <w:rFonts w:ascii="Times New Roman" w:hAnsi="Times New Roman" w:cs="Times New Roman"/>
          <w:i/>
          <w:sz w:val="24"/>
          <w:szCs w:val="24"/>
        </w:rPr>
        <w:t>Praeparatio,</w:t>
      </w:r>
      <w:r w:rsidRPr="002C7C76">
        <w:rPr>
          <w:rFonts w:ascii="Times New Roman" w:hAnsi="Times New Roman" w:cs="Times New Roman"/>
          <w:sz w:val="24"/>
          <w:szCs w:val="24"/>
        </w:rPr>
        <w:t xml:space="preserve"> Books X-XII, Eusebius explores how the natur</w:t>
      </w:r>
      <w:r w:rsidR="00B45D29">
        <w:rPr>
          <w:rFonts w:ascii="Times New Roman" w:hAnsi="Times New Roman" w:cs="Times New Roman"/>
          <w:sz w:val="24"/>
          <w:szCs w:val="24"/>
        </w:rPr>
        <w:t xml:space="preserve">e of God </w:t>
      </w:r>
      <w:r w:rsidRPr="002C7C76">
        <w:rPr>
          <w:rFonts w:ascii="Times New Roman" w:hAnsi="Times New Roman" w:cs="Times New Roman"/>
          <w:sz w:val="24"/>
          <w:szCs w:val="24"/>
        </w:rPr>
        <w:t xml:space="preserve">may be seen in Plato’s works, commenting, “For what else is </w:t>
      </w:r>
      <w:r w:rsidRPr="002C7C76">
        <w:rPr>
          <w:rFonts w:ascii="Times New Roman" w:hAnsi="Times New Roman" w:cs="Times New Roman"/>
          <w:sz w:val="24"/>
          <w:szCs w:val="24"/>
        </w:rPr>
        <w:lastRenderedPageBreak/>
        <w:t>Plato than Moses speaking Attic Greek?”</w:t>
      </w:r>
      <w:r w:rsidRPr="002C7C76">
        <w:rPr>
          <w:rFonts w:ascii="Times New Roman" w:hAnsi="Times New Roman" w:cs="Times New Roman"/>
          <w:sz w:val="24"/>
          <w:szCs w:val="24"/>
          <w:vertAlign w:val="superscript"/>
        </w:rPr>
        <w:footnoteReference w:id="20"/>
      </w:r>
      <w:r w:rsidRPr="002C7C76">
        <w:rPr>
          <w:rFonts w:ascii="Times New Roman" w:hAnsi="Times New Roman" w:cs="Times New Roman"/>
          <w:sz w:val="24"/>
          <w:szCs w:val="24"/>
        </w:rPr>
        <w:t xml:space="preserve"> As we will shortly survey, these early Church Father</w:t>
      </w:r>
      <w:r w:rsidR="008C64F5">
        <w:rPr>
          <w:rFonts w:ascii="Times New Roman" w:hAnsi="Times New Roman" w:cs="Times New Roman"/>
          <w:sz w:val="24"/>
          <w:szCs w:val="24"/>
        </w:rPr>
        <w:t>s were extremely adept at building</w:t>
      </w:r>
      <w:r w:rsidRPr="002C7C76">
        <w:rPr>
          <w:rFonts w:ascii="Times New Roman" w:hAnsi="Times New Roman" w:cs="Times New Roman"/>
          <w:sz w:val="24"/>
          <w:szCs w:val="24"/>
        </w:rPr>
        <w:t xml:space="preserve"> a bridge from the literary and philosophical icons of Greek culture to faith in the Christian message.  So adept was their skill that I believe their efforts, in this regard, were a major and perhaps overlooked factor contributing to </w:t>
      </w:r>
      <w:r w:rsidR="00D70CBA">
        <w:rPr>
          <w:rFonts w:ascii="Times New Roman" w:hAnsi="Times New Roman" w:cs="Times New Roman"/>
          <w:sz w:val="24"/>
          <w:szCs w:val="24"/>
        </w:rPr>
        <w:t>the rapid rise of converts.</w:t>
      </w:r>
      <w:r w:rsidRPr="002C7C76">
        <w:rPr>
          <w:rFonts w:ascii="Times New Roman" w:hAnsi="Times New Roman" w:cs="Times New Roman"/>
          <w:sz w:val="24"/>
          <w:szCs w:val="24"/>
        </w:rPr>
        <w:tab/>
      </w:r>
    </w:p>
    <w:p w14:paraId="34CCD5A3" w14:textId="61FB7B1A" w:rsidR="002C7C76" w:rsidRPr="002C7C76" w:rsidRDefault="00736EA8" w:rsidP="002C7C76">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Even </w:t>
      </w:r>
      <w:r w:rsidR="00B45D29">
        <w:rPr>
          <w:rFonts w:ascii="Times New Roman" w:hAnsi="Times New Roman" w:cs="Times New Roman"/>
          <w:sz w:val="24"/>
          <w:szCs w:val="24"/>
        </w:rPr>
        <w:t>m</w:t>
      </w:r>
      <w:r w:rsidR="002C7C76" w:rsidRPr="002C7C76">
        <w:rPr>
          <w:rFonts w:ascii="Times New Roman" w:hAnsi="Times New Roman" w:cs="Times New Roman"/>
          <w:sz w:val="24"/>
          <w:szCs w:val="24"/>
        </w:rPr>
        <w:t>odern Chri</w:t>
      </w:r>
      <w:r w:rsidR="008C64F5">
        <w:rPr>
          <w:rFonts w:ascii="Times New Roman" w:hAnsi="Times New Roman" w:cs="Times New Roman"/>
          <w:sz w:val="24"/>
          <w:szCs w:val="24"/>
        </w:rPr>
        <w:t>stian philosophers have contended</w:t>
      </w:r>
      <w:r w:rsidR="00B45D29">
        <w:rPr>
          <w:rFonts w:ascii="Times New Roman" w:hAnsi="Times New Roman" w:cs="Times New Roman"/>
          <w:sz w:val="24"/>
          <w:szCs w:val="24"/>
        </w:rPr>
        <w:t xml:space="preserve"> that </w:t>
      </w:r>
      <w:r>
        <w:rPr>
          <w:rFonts w:ascii="Times New Roman" w:hAnsi="Times New Roman" w:cs="Times New Roman"/>
          <w:sz w:val="24"/>
          <w:szCs w:val="24"/>
        </w:rPr>
        <w:t>cultures</w:t>
      </w:r>
      <w:r w:rsidR="00EB3CED">
        <w:rPr>
          <w:rFonts w:ascii="Times New Roman" w:hAnsi="Times New Roman" w:cs="Times New Roman"/>
          <w:sz w:val="24"/>
          <w:szCs w:val="24"/>
        </w:rPr>
        <w:t xml:space="preserve"> preceding Christianity who reflected vague notions of the Faith in their works exhibited </w:t>
      </w:r>
      <w:r>
        <w:rPr>
          <w:rFonts w:ascii="Times New Roman" w:hAnsi="Times New Roman" w:cs="Times New Roman"/>
          <w:sz w:val="24"/>
          <w:szCs w:val="24"/>
        </w:rPr>
        <w:t xml:space="preserve">either Divine inspiration or </w:t>
      </w:r>
      <w:r w:rsidR="002D0808">
        <w:rPr>
          <w:rFonts w:ascii="Times New Roman" w:hAnsi="Times New Roman" w:cs="Times New Roman"/>
          <w:sz w:val="24"/>
          <w:szCs w:val="24"/>
        </w:rPr>
        <w:t xml:space="preserve">a </w:t>
      </w:r>
      <w:r w:rsidR="00EB3CED">
        <w:rPr>
          <w:rFonts w:ascii="Times New Roman" w:hAnsi="Times New Roman" w:cs="Times New Roman"/>
          <w:sz w:val="24"/>
          <w:szCs w:val="24"/>
        </w:rPr>
        <w:t>manifestation of</w:t>
      </w:r>
      <w:r>
        <w:rPr>
          <w:rFonts w:ascii="Times New Roman" w:hAnsi="Times New Roman" w:cs="Times New Roman"/>
          <w:sz w:val="24"/>
          <w:szCs w:val="24"/>
        </w:rPr>
        <w:t xml:space="preserve"> the Divi</w:t>
      </w:r>
      <w:r w:rsidR="002D0808">
        <w:rPr>
          <w:rFonts w:ascii="Times New Roman" w:hAnsi="Times New Roman" w:cs="Times New Roman"/>
          <w:sz w:val="24"/>
          <w:szCs w:val="24"/>
        </w:rPr>
        <w:t>ne spark within man</w:t>
      </w:r>
      <w:r w:rsidR="00B45D29">
        <w:rPr>
          <w:rFonts w:ascii="Times New Roman" w:hAnsi="Times New Roman" w:cs="Times New Roman"/>
          <w:sz w:val="24"/>
          <w:szCs w:val="24"/>
        </w:rPr>
        <w:t xml:space="preserve">. </w:t>
      </w:r>
      <w:r w:rsidR="008C64F5">
        <w:rPr>
          <w:rFonts w:ascii="Times New Roman" w:hAnsi="Times New Roman" w:cs="Times New Roman"/>
          <w:sz w:val="24"/>
          <w:szCs w:val="24"/>
        </w:rPr>
        <w:t xml:space="preserve"> </w:t>
      </w:r>
      <w:r w:rsidR="00B45D29">
        <w:rPr>
          <w:rFonts w:ascii="Times New Roman" w:hAnsi="Times New Roman" w:cs="Times New Roman"/>
          <w:sz w:val="24"/>
          <w:szCs w:val="24"/>
        </w:rPr>
        <w:t>In fact, t</w:t>
      </w:r>
      <w:r w:rsidR="006756BD">
        <w:rPr>
          <w:rFonts w:ascii="Times New Roman" w:hAnsi="Times New Roman" w:cs="Times New Roman"/>
          <w:sz w:val="24"/>
          <w:szCs w:val="24"/>
        </w:rPr>
        <w:t xml:space="preserve">hese stalwarts of the faith put forth the </w:t>
      </w:r>
      <w:r>
        <w:rPr>
          <w:rFonts w:ascii="Times New Roman" w:hAnsi="Times New Roman" w:cs="Times New Roman"/>
          <w:sz w:val="24"/>
          <w:szCs w:val="24"/>
        </w:rPr>
        <w:t xml:space="preserve">curious </w:t>
      </w:r>
      <w:r w:rsidR="006756BD">
        <w:rPr>
          <w:rFonts w:ascii="Times New Roman" w:hAnsi="Times New Roman" w:cs="Times New Roman"/>
          <w:sz w:val="24"/>
          <w:szCs w:val="24"/>
        </w:rPr>
        <w:t xml:space="preserve">idea that Christianity was </w:t>
      </w:r>
      <w:r w:rsidR="002C7C76" w:rsidRPr="002C7C76">
        <w:rPr>
          <w:rFonts w:ascii="Times New Roman" w:hAnsi="Times New Roman" w:cs="Times New Roman"/>
          <w:sz w:val="24"/>
          <w:szCs w:val="24"/>
        </w:rPr>
        <w:t>“the Myth [that] Became Fact,”</w:t>
      </w:r>
      <w:r w:rsidR="002C7C76" w:rsidRPr="002C7C76">
        <w:rPr>
          <w:rFonts w:ascii="Times New Roman" w:hAnsi="Times New Roman" w:cs="Times New Roman"/>
          <w:sz w:val="24"/>
          <w:szCs w:val="24"/>
          <w:vertAlign w:val="superscript"/>
        </w:rPr>
        <w:footnoteReference w:id="21"/>
      </w:r>
      <w:r w:rsidR="002C7C76" w:rsidRPr="002C7C76">
        <w:rPr>
          <w:rFonts w:ascii="Times New Roman" w:hAnsi="Times New Roman" w:cs="Times New Roman"/>
          <w:sz w:val="24"/>
          <w:szCs w:val="24"/>
        </w:rPr>
        <w:t xml:space="preserve"> the premise of which is reflected by the title of C.S. Lewis</w:t>
      </w:r>
      <w:r>
        <w:rPr>
          <w:rFonts w:ascii="Times New Roman" w:hAnsi="Times New Roman" w:cs="Times New Roman"/>
          <w:sz w:val="24"/>
          <w:szCs w:val="24"/>
        </w:rPr>
        <w:t>’</w:t>
      </w:r>
      <w:r w:rsidR="002C7C76" w:rsidRPr="002C7C76">
        <w:rPr>
          <w:rFonts w:ascii="Times New Roman" w:hAnsi="Times New Roman" w:cs="Times New Roman"/>
          <w:sz w:val="24"/>
          <w:szCs w:val="24"/>
        </w:rPr>
        <w:t xml:space="preserve"> essay thus named. C.S. Lewis, the author who is most known for his children’s series </w:t>
      </w:r>
      <w:r w:rsidR="002C7C76" w:rsidRPr="002C7C76">
        <w:rPr>
          <w:rFonts w:ascii="Times New Roman" w:hAnsi="Times New Roman" w:cs="Times New Roman"/>
          <w:i/>
          <w:sz w:val="24"/>
          <w:szCs w:val="24"/>
        </w:rPr>
        <w:t xml:space="preserve">The Lion, The Witch, and the Wardrobe </w:t>
      </w:r>
      <w:r w:rsidR="002C7C76" w:rsidRPr="002C7C76">
        <w:rPr>
          <w:rFonts w:ascii="Times New Roman" w:hAnsi="Times New Roman" w:cs="Times New Roman"/>
          <w:sz w:val="24"/>
          <w:szCs w:val="24"/>
        </w:rPr>
        <w:t>but whose works span phi</w:t>
      </w:r>
      <w:r w:rsidR="002D0808">
        <w:rPr>
          <w:rFonts w:ascii="Times New Roman" w:hAnsi="Times New Roman" w:cs="Times New Roman"/>
          <w:sz w:val="24"/>
          <w:szCs w:val="24"/>
        </w:rPr>
        <w:t xml:space="preserve">losophy and religion, shared </w:t>
      </w:r>
      <w:r w:rsidR="002C7C76" w:rsidRPr="002C7C76">
        <w:rPr>
          <w:rFonts w:ascii="Times New Roman" w:hAnsi="Times New Roman" w:cs="Times New Roman"/>
          <w:sz w:val="24"/>
          <w:szCs w:val="24"/>
        </w:rPr>
        <w:t xml:space="preserve">both in his biography and essays that his conversion to Christianity was heavily influenced by his good friend, J.R.R. Tolkien, author of classics such as </w:t>
      </w:r>
      <w:r w:rsidR="002C7C76" w:rsidRPr="002C7C76">
        <w:rPr>
          <w:rFonts w:ascii="Times New Roman" w:hAnsi="Times New Roman" w:cs="Times New Roman"/>
          <w:i/>
          <w:sz w:val="24"/>
          <w:szCs w:val="24"/>
        </w:rPr>
        <w:t>The Hobbit</w:t>
      </w:r>
      <w:r w:rsidR="002C7C76" w:rsidRPr="002C7C76">
        <w:rPr>
          <w:rFonts w:ascii="Times New Roman" w:hAnsi="Times New Roman" w:cs="Times New Roman"/>
          <w:sz w:val="24"/>
          <w:szCs w:val="24"/>
        </w:rPr>
        <w:t xml:space="preserve"> and </w:t>
      </w:r>
      <w:r w:rsidR="002C7C76" w:rsidRPr="002C7C76">
        <w:rPr>
          <w:rFonts w:ascii="Times New Roman" w:hAnsi="Times New Roman" w:cs="Times New Roman"/>
          <w:i/>
          <w:sz w:val="24"/>
          <w:szCs w:val="24"/>
        </w:rPr>
        <w:t xml:space="preserve">The Lord of the Rings.  </w:t>
      </w:r>
      <w:r w:rsidR="002C7C76" w:rsidRPr="002C7C76">
        <w:rPr>
          <w:rFonts w:ascii="Times New Roman" w:hAnsi="Times New Roman" w:cs="Times New Roman"/>
          <w:sz w:val="24"/>
          <w:szCs w:val="24"/>
        </w:rPr>
        <w:t xml:space="preserve">It was Tolkien who shared this perspective of mythology with him.  Lewis had stubbornly refused to attribute any veracity to the Christian faith due to its similarity to other myths around the world, especially those which featured a god dying and rising again.  Tolkien, a devout Catholic, challenged Lewis’ objection.  Rather than viewing the gospel as the culmination of imaginative stories created by men, Tolkien proposed that Lewis view it as the “myth that became fact.”  In Tolkien’s essay, “On Fairy Stories,” he describes the gospel as a story in which “legend and history have fused.” </w:t>
      </w:r>
      <w:r w:rsidR="002C7C76" w:rsidRPr="002C7C76">
        <w:rPr>
          <w:rFonts w:ascii="Times New Roman" w:hAnsi="Times New Roman" w:cs="Times New Roman"/>
          <w:sz w:val="24"/>
          <w:szCs w:val="24"/>
          <w:vertAlign w:val="superscript"/>
        </w:rPr>
        <w:footnoteReference w:id="22"/>
      </w:r>
      <w:r w:rsidR="00FF44CF">
        <w:rPr>
          <w:rFonts w:ascii="Times New Roman" w:hAnsi="Times New Roman" w:cs="Times New Roman"/>
          <w:sz w:val="24"/>
          <w:szCs w:val="24"/>
        </w:rPr>
        <w:t xml:space="preserve">  Tolkien’s premise is</w:t>
      </w:r>
      <w:r w:rsidR="002C7C76" w:rsidRPr="002C7C76">
        <w:rPr>
          <w:rFonts w:ascii="Times New Roman" w:hAnsi="Times New Roman" w:cs="Times New Roman"/>
          <w:sz w:val="24"/>
          <w:szCs w:val="24"/>
        </w:rPr>
        <w:t xml:space="preserve"> th</w:t>
      </w:r>
      <w:r>
        <w:rPr>
          <w:rFonts w:ascii="Times New Roman" w:hAnsi="Times New Roman" w:cs="Times New Roman"/>
          <w:sz w:val="24"/>
          <w:szCs w:val="24"/>
        </w:rPr>
        <w:t xml:space="preserve">at if the </w:t>
      </w:r>
      <w:r>
        <w:rPr>
          <w:rFonts w:ascii="Times New Roman" w:hAnsi="Times New Roman" w:cs="Times New Roman"/>
          <w:sz w:val="24"/>
          <w:szCs w:val="24"/>
        </w:rPr>
        <w:lastRenderedPageBreak/>
        <w:t>story of the gospel were</w:t>
      </w:r>
      <w:r w:rsidR="002C7C76" w:rsidRPr="002C7C76">
        <w:rPr>
          <w:rFonts w:ascii="Times New Roman" w:hAnsi="Times New Roman" w:cs="Times New Roman"/>
          <w:sz w:val="24"/>
          <w:szCs w:val="24"/>
        </w:rPr>
        <w:t xml:space="preserve"> true, namely that a God had planned to redeem man’s broken relationship with Him via a God-man born</w:t>
      </w:r>
      <w:r w:rsidR="00584FBA">
        <w:rPr>
          <w:rFonts w:ascii="Times New Roman" w:hAnsi="Times New Roman" w:cs="Times New Roman"/>
          <w:sz w:val="24"/>
          <w:szCs w:val="24"/>
        </w:rPr>
        <w:t xml:space="preserve"> of a virgin </w:t>
      </w:r>
      <w:r w:rsidR="00FF44CF">
        <w:rPr>
          <w:rFonts w:ascii="Times New Roman" w:hAnsi="Times New Roman" w:cs="Times New Roman"/>
          <w:sz w:val="24"/>
          <w:szCs w:val="24"/>
        </w:rPr>
        <w:t xml:space="preserve">who would die and rise </w:t>
      </w:r>
      <w:r w:rsidR="002C7C76" w:rsidRPr="002C7C76">
        <w:rPr>
          <w:rFonts w:ascii="Times New Roman" w:hAnsi="Times New Roman" w:cs="Times New Roman"/>
          <w:sz w:val="24"/>
          <w:szCs w:val="24"/>
        </w:rPr>
        <w:t>agai</w:t>
      </w:r>
      <w:r>
        <w:rPr>
          <w:rFonts w:ascii="Times New Roman" w:hAnsi="Times New Roman" w:cs="Times New Roman"/>
          <w:sz w:val="24"/>
          <w:szCs w:val="24"/>
        </w:rPr>
        <w:t>n</w:t>
      </w:r>
      <w:r w:rsidR="002C7C76" w:rsidRPr="002C7C76">
        <w:rPr>
          <w:rFonts w:ascii="Times New Roman" w:hAnsi="Times New Roman" w:cs="Times New Roman"/>
          <w:sz w:val="24"/>
          <w:szCs w:val="24"/>
        </w:rPr>
        <w:t>, then c</w:t>
      </w:r>
      <w:r>
        <w:rPr>
          <w:rFonts w:ascii="Times New Roman" w:hAnsi="Times New Roman" w:cs="Times New Roman"/>
          <w:sz w:val="24"/>
          <w:szCs w:val="24"/>
        </w:rPr>
        <w:t>ertainly such a God might</w:t>
      </w:r>
      <w:r w:rsidR="002C7C76" w:rsidRPr="002C7C76">
        <w:rPr>
          <w:rFonts w:ascii="Times New Roman" w:hAnsi="Times New Roman" w:cs="Times New Roman"/>
          <w:sz w:val="24"/>
          <w:szCs w:val="24"/>
        </w:rPr>
        <w:t xml:space="preserve"> have fashioned people to yearn for such a prospect.  And in their yearning, would people not create stories that refl</w:t>
      </w:r>
      <w:r w:rsidR="00ED43B1">
        <w:rPr>
          <w:rFonts w:ascii="Times New Roman" w:hAnsi="Times New Roman" w:cs="Times New Roman"/>
          <w:sz w:val="24"/>
          <w:szCs w:val="24"/>
        </w:rPr>
        <w:t>ec</w:t>
      </w:r>
      <w:r w:rsidR="00E44FAC">
        <w:rPr>
          <w:rFonts w:ascii="Times New Roman" w:hAnsi="Times New Roman" w:cs="Times New Roman"/>
          <w:sz w:val="24"/>
          <w:szCs w:val="24"/>
        </w:rPr>
        <w:t>t</w:t>
      </w:r>
      <w:r w:rsidR="00ED43B1">
        <w:rPr>
          <w:rFonts w:ascii="Times New Roman" w:hAnsi="Times New Roman" w:cs="Times New Roman"/>
          <w:sz w:val="24"/>
          <w:szCs w:val="24"/>
        </w:rPr>
        <w:t xml:space="preserve"> such a premise</w:t>
      </w:r>
      <w:r w:rsidR="002C7C76" w:rsidRPr="002C7C76">
        <w:rPr>
          <w:rFonts w:ascii="Times New Roman" w:hAnsi="Times New Roman" w:cs="Times New Roman"/>
          <w:sz w:val="24"/>
          <w:szCs w:val="24"/>
        </w:rPr>
        <w:t xml:space="preserve">? </w:t>
      </w:r>
      <w:r w:rsidR="002C7C76" w:rsidRPr="002C7C76">
        <w:rPr>
          <w:rFonts w:ascii="Times New Roman" w:hAnsi="Times New Roman" w:cs="Times New Roman"/>
          <w:sz w:val="24"/>
          <w:szCs w:val="24"/>
          <w:vertAlign w:val="superscript"/>
        </w:rPr>
        <w:footnoteReference w:id="23"/>
      </w:r>
      <w:r w:rsidR="002C7C76" w:rsidRPr="002C7C76">
        <w:rPr>
          <w:rFonts w:ascii="Times New Roman" w:hAnsi="Times New Roman" w:cs="Times New Roman"/>
          <w:sz w:val="24"/>
          <w:szCs w:val="24"/>
        </w:rPr>
        <w:t xml:space="preserve"> Lewis would eventually embrace this perspective.  In fact, in his essay, “Myth Became Fact,” Lewis states, “We must not be ashamed of the mythological radiance on our theology. We must not be nervous about ‘parallels’ and ‘pagan Chri</w:t>
      </w:r>
      <w:r w:rsidR="00ED43B1">
        <w:rPr>
          <w:rFonts w:ascii="Times New Roman" w:hAnsi="Times New Roman" w:cs="Times New Roman"/>
          <w:sz w:val="24"/>
          <w:szCs w:val="24"/>
        </w:rPr>
        <w:t xml:space="preserve">sts:’ they ought to be there — it </w:t>
      </w:r>
      <w:r w:rsidR="002C7C76" w:rsidRPr="002C7C76">
        <w:rPr>
          <w:rFonts w:ascii="Times New Roman" w:hAnsi="Times New Roman" w:cs="Times New Roman"/>
          <w:sz w:val="24"/>
          <w:szCs w:val="24"/>
        </w:rPr>
        <w:t xml:space="preserve">would be a stumbling block if they were not.” </w:t>
      </w:r>
      <w:r w:rsidR="002C7C76" w:rsidRPr="002C7C76">
        <w:rPr>
          <w:rFonts w:ascii="Times New Roman" w:hAnsi="Times New Roman" w:cs="Times New Roman"/>
          <w:sz w:val="24"/>
          <w:szCs w:val="24"/>
          <w:vertAlign w:val="superscript"/>
        </w:rPr>
        <w:footnoteReference w:id="24"/>
      </w:r>
      <w:r w:rsidR="002C7C76" w:rsidRPr="002C7C76">
        <w:rPr>
          <w:rFonts w:ascii="Times New Roman" w:hAnsi="Times New Roman" w:cs="Times New Roman"/>
          <w:sz w:val="24"/>
          <w:szCs w:val="24"/>
        </w:rPr>
        <w:t xml:space="preserve">  Just as surely as Lewis made this connecti</w:t>
      </w:r>
      <w:r w:rsidR="00E44FAC">
        <w:rPr>
          <w:rFonts w:ascii="Times New Roman" w:hAnsi="Times New Roman" w:cs="Times New Roman"/>
          <w:sz w:val="24"/>
          <w:szCs w:val="24"/>
        </w:rPr>
        <w:t>on, the ancients likely had done so before him.</w:t>
      </w:r>
      <w:r w:rsidR="002C7C76" w:rsidRPr="002C7C76">
        <w:rPr>
          <w:rFonts w:ascii="Times New Roman" w:hAnsi="Times New Roman" w:cs="Times New Roman"/>
          <w:sz w:val="24"/>
          <w:szCs w:val="24"/>
        </w:rPr>
        <w:t xml:space="preserve"> </w:t>
      </w:r>
    </w:p>
    <w:p w14:paraId="312C9BF4" w14:textId="28496C89" w:rsidR="002C7C76" w:rsidRPr="002C7C76" w:rsidRDefault="00ED43B1" w:rsidP="002C7C76">
      <w:pPr>
        <w:spacing w:line="480" w:lineRule="auto"/>
        <w:rPr>
          <w:rFonts w:ascii="Times New Roman" w:hAnsi="Times New Roman" w:cs="Times New Roman"/>
          <w:sz w:val="24"/>
          <w:szCs w:val="24"/>
        </w:rPr>
      </w:pPr>
      <w:r>
        <w:rPr>
          <w:rFonts w:ascii="Times New Roman" w:hAnsi="Times New Roman" w:cs="Times New Roman"/>
          <w:sz w:val="24"/>
          <w:szCs w:val="24"/>
        </w:rPr>
        <w:tab/>
        <w:t>B</w:t>
      </w:r>
      <w:r w:rsidR="002C7C76" w:rsidRPr="002C7C76">
        <w:rPr>
          <w:rFonts w:ascii="Times New Roman" w:hAnsi="Times New Roman" w:cs="Times New Roman"/>
          <w:sz w:val="24"/>
          <w:szCs w:val="24"/>
        </w:rPr>
        <w:t>oth Tolkien and Lewis stood upon the shoulders of an earlier 20</w:t>
      </w:r>
      <w:r w:rsidR="002C7C76" w:rsidRPr="002C7C76">
        <w:rPr>
          <w:rFonts w:ascii="Times New Roman" w:hAnsi="Times New Roman" w:cs="Times New Roman"/>
          <w:sz w:val="24"/>
          <w:szCs w:val="24"/>
          <w:vertAlign w:val="superscript"/>
        </w:rPr>
        <w:t>th</w:t>
      </w:r>
      <w:r w:rsidR="002C7C76" w:rsidRPr="002C7C76">
        <w:rPr>
          <w:rFonts w:ascii="Times New Roman" w:hAnsi="Times New Roman" w:cs="Times New Roman"/>
          <w:sz w:val="24"/>
          <w:szCs w:val="24"/>
        </w:rPr>
        <w:t xml:space="preserve"> century Christian philosopher who asserted this perspective as well — G.K. Chesterton.  Known for such erudite apologies such as </w:t>
      </w:r>
      <w:r w:rsidR="002C7C76" w:rsidRPr="002C7C76">
        <w:rPr>
          <w:rFonts w:ascii="Times New Roman" w:hAnsi="Times New Roman" w:cs="Times New Roman"/>
          <w:i/>
          <w:sz w:val="24"/>
          <w:szCs w:val="24"/>
        </w:rPr>
        <w:t>The Everlasting Man</w:t>
      </w:r>
      <w:r w:rsidR="002C7C76" w:rsidRPr="002C7C76">
        <w:rPr>
          <w:rFonts w:ascii="Times New Roman" w:hAnsi="Times New Roman" w:cs="Times New Roman"/>
          <w:sz w:val="24"/>
          <w:szCs w:val="24"/>
        </w:rPr>
        <w:t xml:space="preserve"> and </w:t>
      </w:r>
      <w:r w:rsidR="002C7C76" w:rsidRPr="002C7C76">
        <w:rPr>
          <w:rFonts w:ascii="Times New Roman" w:hAnsi="Times New Roman" w:cs="Times New Roman"/>
          <w:i/>
          <w:sz w:val="24"/>
          <w:szCs w:val="24"/>
        </w:rPr>
        <w:t xml:space="preserve">Orthodoxy, </w:t>
      </w:r>
      <w:r w:rsidR="002C7C76" w:rsidRPr="002C7C76">
        <w:rPr>
          <w:rFonts w:ascii="Times New Roman" w:hAnsi="Times New Roman" w:cs="Times New Roman"/>
          <w:sz w:val="24"/>
          <w:szCs w:val="24"/>
        </w:rPr>
        <w:t>he postulated within them the notion of the gospel as the fulfillment of myth, Greek myth in particular.  In a public debate circa 1</w:t>
      </w:r>
      <w:r w:rsidR="00D61549">
        <w:rPr>
          <w:rFonts w:ascii="Times New Roman" w:hAnsi="Times New Roman" w:cs="Times New Roman"/>
          <w:sz w:val="24"/>
          <w:szCs w:val="24"/>
        </w:rPr>
        <w:t xml:space="preserve">904 with the atheist </w:t>
      </w:r>
      <w:r w:rsidR="002C7C76" w:rsidRPr="002C7C76">
        <w:rPr>
          <w:rFonts w:ascii="Times New Roman" w:hAnsi="Times New Roman" w:cs="Times New Roman"/>
          <w:sz w:val="24"/>
          <w:szCs w:val="24"/>
        </w:rPr>
        <w:t xml:space="preserve">editor of the British newspaper, </w:t>
      </w:r>
      <w:r w:rsidR="002C7C76" w:rsidRPr="002C7C76">
        <w:rPr>
          <w:rFonts w:ascii="Times New Roman" w:hAnsi="Times New Roman" w:cs="Times New Roman"/>
          <w:i/>
          <w:sz w:val="24"/>
          <w:szCs w:val="24"/>
        </w:rPr>
        <w:t xml:space="preserve">Clarion, </w:t>
      </w:r>
      <w:r w:rsidR="002C7C76" w:rsidRPr="002C7C76">
        <w:rPr>
          <w:rFonts w:ascii="Times New Roman" w:hAnsi="Times New Roman" w:cs="Times New Roman"/>
          <w:sz w:val="24"/>
          <w:szCs w:val="24"/>
        </w:rPr>
        <w:t xml:space="preserve">who had written </w:t>
      </w:r>
      <w:r w:rsidR="002C7C76" w:rsidRPr="002C7C76">
        <w:rPr>
          <w:rFonts w:ascii="Times New Roman" w:hAnsi="Times New Roman" w:cs="Times New Roman"/>
          <w:i/>
          <w:sz w:val="24"/>
          <w:szCs w:val="24"/>
        </w:rPr>
        <w:t>God and My Neighbor</w:t>
      </w:r>
      <w:r w:rsidR="00D61549">
        <w:rPr>
          <w:rFonts w:ascii="Times New Roman" w:hAnsi="Times New Roman" w:cs="Times New Roman"/>
          <w:sz w:val="24"/>
          <w:szCs w:val="24"/>
        </w:rPr>
        <w:t xml:space="preserve">, a popular </w:t>
      </w:r>
      <w:r w:rsidR="002C7C76" w:rsidRPr="002C7C76">
        <w:rPr>
          <w:rFonts w:ascii="Times New Roman" w:hAnsi="Times New Roman" w:cs="Times New Roman"/>
          <w:sz w:val="24"/>
          <w:szCs w:val="24"/>
        </w:rPr>
        <w:t xml:space="preserve">book attacking Christianity, Chesterton confronted the argument that Christianity was just another myth. He reasoned that if the center of man’s life is a certain fact, would not those far from that center have a confused version of that fact?  If man is made to eventually be </w:t>
      </w:r>
      <w:r w:rsidR="002C7C76" w:rsidRPr="002C7C76">
        <w:rPr>
          <w:rFonts w:ascii="Times New Roman" w:hAnsi="Times New Roman" w:cs="Times New Roman"/>
          <w:sz w:val="24"/>
          <w:szCs w:val="24"/>
        </w:rPr>
        <w:lastRenderedPageBreak/>
        <w:t xml:space="preserve">redeemed by the Son of God, would not man dream of that fact and would it not permeate everything he touched? </w:t>
      </w:r>
      <w:r w:rsidR="002C7C76" w:rsidRPr="002C7C76">
        <w:rPr>
          <w:rFonts w:ascii="Times New Roman" w:hAnsi="Times New Roman" w:cs="Times New Roman"/>
          <w:sz w:val="24"/>
          <w:szCs w:val="24"/>
          <w:vertAlign w:val="superscript"/>
        </w:rPr>
        <w:footnoteReference w:id="25"/>
      </w:r>
      <w:r w:rsidR="002C7C76" w:rsidRPr="002C7C76">
        <w:rPr>
          <w:rFonts w:ascii="Times New Roman" w:hAnsi="Times New Roman" w:cs="Times New Roman"/>
          <w:sz w:val="24"/>
          <w:szCs w:val="24"/>
        </w:rPr>
        <w:t xml:space="preserve">   Blasting the position of the editor, Robert Blatchford, Chesterton argued, “The Blatchfordian position really amounts to this — that because a certain thing has impressed millions of different people as likely or necessary, therefore it cannot be true.” </w:t>
      </w:r>
      <w:r w:rsidR="002C7C76" w:rsidRPr="002C7C76">
        <w:rPr>
          <w:rFonts w:ascii="Times New Roman" w:hAnsi="Times New Roman" w:cs="Times New Roman"/>
          <w:sz w:val="24"/>
          <w:szCs w:val="24"/>
          <w:vertAlign w:val="superscript"/>
        </w:rPr>
        <w:footnoteReference w:id="26"/>
      </w:r>
      <w:r w:rsidR="00501384">
        <w:rPr>
          <w:rFonts w:ascii="Times New Roman" w:hAnsi="Times New Roman" w:cs="Times New Roman"/>
          <w:sz w:val="24"/>
          <w:szCs w:val="24"/>
        </w:rPr>
        <w:t xml:space="preserve">  Chesterton had</w:t>
      </w:r>
      <w:r w:rsidR="002C7C76" w:rsidRPr="002C7C76">
        <w:rPr>
          <w:rFonts w:ascii="Times New Roman" w:hAnsi="Times New Roman" w:cs="Times New Roman"/>
          <w:sz w:val="24"/>
          <w:szCs w:val="24"/>
        </w:rPr>
        <w:t xml:space="preserve"> a valid point.  </w:t>
      </w:r>
      <w:r w:rsidR="008E0C81">
        <w:rPr>
          <w:rFonts w:ascii="Times New Roman" w:hAnsi="Times New Roman" w:cs="Times New Roman"/>
          <w:sz w:val="24"/>
          <w:szCs w:val="24"/>
        </w:rPr>
        <w:t xml:space="preserve">In fact, centuries before him the early Church Fathers postulated the gospel as the fulfillment of both myth and philosophy. </w:t>
      </w:r>
    </w:p>
    <w:p w14:paraId="1767B7A6" w14:textId="15DA3173" w:rsidR="002C7C76" w:rsidRPr="002C7C76" w:rsidRDefault="00F22396" w:rsidP="002C7C76">
      <w:pPr>
        <w:spacing w:line="480" w:lineRule="auto"/>
        <w:rPr>
          <w:rFonts w:ascii="Times New Roman" w:hAnsi="Times New Roman" w:cs="Times New Roman"/>
          <w:sz w:val="24"/>
          <w:szCs w:val="24"/>
        </w:rPr>
      </w:pPr>
      <w:r>
        <w:rPr>
          <w:rFonts w:ascii="Times New Roman" w:hAnsi="Times New Roman" w:cs="Times New Roman"/>
          <w:sz w:val="24"/>
          <w:szCs w:val="24"/>
        </w:rPr>
        <w:tab/>
      </w:r>
      <w:r w:rsidR="002C7C76" w:rsidRPr="002C7C76">
        <w:rPr>
          <w:rFonts w:ascii="Times New Roman" w:hAnsi="Times New Roman" w:cs="Times New Roman"/>
          <w:sz w:val="24"/>
          <w:szCs w:val="24"/>
        </w:rPr>
        <w:t>Jesus came in the “fullness of time.”</w:t>
      </w:r>
      <w:r w:rsidR="002C7C76" w:rsidRPr="002C7C76">
        <w:rPr>
          <w:rFonts w:ascii="Times New Roman" w:hAnsi="Times New Roman" w:cs="Times New Roman"/>
          <w:sz w:val="24"/>
          <w:szCs w:val="24"/>
          <w:vertAlign w:val="superscript"/>
        </w:rPr>
        <w:footnoteReference w:id="27"/>
      </w:r>
      <w:r w:rsidR="002C7C76" w:rsidRPr="002C7C76">
        <w:rPr>
          <w:rFonts w:ascii="Times New Roman" w:hAnsi="Times New Roman" w:cs="Times New Roman"/>
          <w:sz w:val="24"/>
          <w:szCs w:val="24"/>
        </w:rPr>
        <w:t xml:space="preserve"> And certainly, at His coming, the status of the Roman Empire under Caesar Augustus afforded the quick spread of the gospel.  The </w:t>
      </w:r>
      <w:r w:rsidR="002C7C76" w:rsidRPr="002C7C76">
        <w:rPr>
          <w:rFonts w:ascii="Times New Roman" w:hAnsi="Times New Roman" w:cs="Times New Roman"/>
          <w:i/>
          <w:sz w:val="24"/>
          <w:szCs w:val="24"/>
        </w:rPr>
        <w:t>Pax Romana</w:t>
      </w:r>
      <w:r w:rsidR="002C7C76" w:rsidRPr="002C7C76">
        <w:rPr>
          <w:rFonts w:ascii="Times New Roman" w:hAnsi="Times New Roman" w:cs="Times New Roman"/>
          <w:sz w:val="24"/>
          <w:szCs w:val="24"/>
        </w:rPr>
        <w:t xml:space="preserve"> allowed for fairly safe travel, and the ambitious and advanced infrastructure of the Empire in terms of roads facilitated that travel. But was there a spiritual component to this “fullness?” Does it infer that people had reached a state of preparedness that better enabled them to receive Jesus and His gospel? Certainly, for those who claimed Jesus as Messiah, it inferred that the promises of long ago had come to fruition. And, while Scripture records that many early believers were Jewish converts, history shows that there was eventually a clean break between those Jews who </w:t>
      </w:r>
      <w:r w:rsidR="00BA2693">
        <w:rPr>
          <w:rFonts w:ascii="Times New Roman" w:hAnsi="Times New Roman" w:cs="Times New Roman"/>
          <w:sz w:val="24"/>
          <w:szCs w:val="24"/>
        </w:rPr>
        <w:t xml:space="preserve">believed in Jesus as the long-anticipated </w:t>
      </w:r>
      <w:r w:rsidR="002C7C76" w:rsidRPr="002C7C76">
        <w:rPr>
          <w:rFonts w:ascii="Times New Roman" w:hAnsi="Times New Roman" w:cs="Times New Roman"/>
          <w:sz w:val="24"/>
          <w:szCs w:val="24"/>
        </w:rPr>
        <w:t xml:space="preserve">Messiah and those that did not. The timing of that break is debatable, but it seems clear that the utter annihilation by the Romans of Jerusalem in 70 AD under Titus which resulted in more than a million Jewish deaths and the </w:t>
      </w:r>
      <w:r w:rsidR="002C7C76" w:rsidRPr="002C7C76">
        <w:rPr>
          <w:rFonts w:ascii="Times New Roman" w:hAnsi="Times New Roman" w:cs="Times New Roman"/>
          <w:sz w:val="24"/>
          <w:szCs w:val="24"/>
        </w:rPr>
        <w:lastRenderedPageBreak/>
        <w:t xml:space="preserve">resulting overt approval of this by Christians such as Eusebius </w:t>
      </w:r>
      <w:r w:rsidR="002C7C76" w:rsidRPr="002C7C76">
        <w:rPr>
          <w:rFonts w:ascii="Times New Roman" w:hAnsi="Times New Roman" w:cs="Times New Roman"/>
          <w:sz w:val="24"/>
          <w:szCs w:val="24"/>
          <w:vertAlign w:val="superscript"/>
        </w:rPr>
        <w:footnoteReference w:id="28"/>
      </w:r>
      <w:r w:rsidR="00BA2693">
        <w:rPr>
          <w:rFonts w:ascii="Times New Roman" w:hAnsi="Times New Roman" w:cs="Times New Roman"/>
          <w:sz w:val="24"/>
          <w:szCs w:val="24"/>
        </w:rPr>
        <w:t xml:space="preserve"> likely drew forever </w:t>
      </w:r>
      <w:r w:rsidR="002C7C76" w:rsidRPr="002C7C76">
        <w:rPr>
          <w:rFonts w:ascii="Times New Roman" w:hAnsi="Times New Roman" w:cs="Times New Roman"/>
          <w:sz w:val="24"/>
          <w:szCs w:val="24"/>
        </w:rPr>
        <w:t>distinct lines between Je</w:t>
      </w:r>
      <w:r w:rsidR="006D22E1">
        <w:rPr>
          <w:rFonts w:ascii="Times New Roman" w:hAnsi="Times New Roman" w:cs="Times New Roman"/>
          <w:sz w:val="24"/>
          <w:szCs w:val="24"/>
        </w:rPr>
        <w:t>ws and Christians.  Additionally</w:t>
      </w:r>
      <w:r w:rsidR="001651EF">
        <w:rPr>
          <w:rFonts w:ascii="Times New Roman" w:hAnsi="Times New Roman" w:cs="Times New Roman"/>
          <w:sz w:val="24"/>
          <w:szCs w:val="24"/>
        </w:rPr>
        <w:t xml:space="preserve">, </w:t>
      </w:r>
      <w:r w:rsidR="001651EF" w:rsidRPr="002C7C76">
        <w:rPr>
          <w:rFonts w:ascii="Times New Roman" w:hAnsi="Times New Roman" w:cs="Times New Roman"/>
          <w:sz w:val="24"/>
          <w:szCs w:val="24"/>
        </w:rPr>
        <w:t>the</w:t>
      </w:r>
      <w:r w:rsidR="002C7C76" w:rsidRPr="002C7C76">
        <w:rPr>
          <w:rFonts w:ascii="Times New Roman" w:hAnsi="Times New Roman" w:cs="Times New Roman"/>
          <w:sz w:val="24"/>
          <w:szCs w:val="24"/>
        </w:rPr>
        <w:t xml:space="preserve"> continuing presence of Jewish synagogues even amidst the decline of pagan houses of worship throughout the e</w:t>
      </w:r>
      <w:r w:rsidR="006D22E1">
        <w:rPr>
          <w:rFonts w:ascii="Times New Roman" w:hAnsi="Times New Roman" w:cs="Times New Roman"/>
          <w:sz w:val="24"/>
          <w:szCs w:val="24"/>
        </w:rPr>
        <w:t xml:space="preserve">arly centuries provide circumstantial evidence </w:t>
      </w:r>
      <w:r w:rsidR="002C7C76" w:rsidRPr="002C7C76">
        <w:rPr>
          <w:rFonts w:ascii="Times New Roman" w:hAnsi="Times New Roman" w:cs="Times New Roman"/>
          <w:sz w:val="24"/>
          <w:szCs w:val="24"/>
        </w:rPr>
        <w:t>that the exponential rise of converts within the Roman Empire consisted largely of the indigenous habitants, Romans and Greeks.  Had they</w:t>
      </w:r>
      <w:r w:rsidR="001651EF">
        <w:rPr>
          <w:rFonts w:ascii="Times New Roman" w:hAnsi="Times New Roman" w:cs="Times New Roman"/>
          <w:sz w:val="24"/>
          <w:szCs w:val="24"/>
        </w:rPr>
        <w:t xml:space="preserve"> been prepared in some manner</w:t>
      </w:r>
      <w:r w:rsidR="002C7C76" w:rsidRPr="002C7C76">
        <w:rPr>
          <w:rFonts w:ascii="Times New Roman" w:hAnsi="Times New Roman" w:cs="Times New Roman"/>
          <w:sz w:val="24"/>
          <w:szCs w:val="24"/>
        </w:rPr>
        <w:t xml:space="preserve"> to recognize who Jesus claimed to be? Like the Hebrew nation, the Greco-Roman culture had </w:t>
      </w:r>
      <w:r w:rsidR="00200F70">
        <w:rPr>
          <w:rFonts w:ascii="Times New Roman" w:hAnsi="Times New Roman" w:cs="Times New Roman"/>
          <w:sz w:val="24"/>
          <w:szCs w:val="24"/>
        </w:rPr>
        <w:t xml:space="preserve">its own Bible of sorts, </w:t>
      </w:r>
      <w:r w:rsidR="002C7C76" w:rsidRPr="002C7C76">
        <w:rPr>
          <w:rFonts w:ascii="Times New Roman" w:hAnsi="Times New Roman" w:cs="Times New Roman"/>
          <w:i/>
          <w:sz w:val="24"/>
          <w:szCs w:val="24"/>
        </w:rPr>
        <w:t>The Illiad</w:t>
      </w:r>
      <w:r w:rsidR="002C7C76" w:rsidRPr="002C7C76">
        <w:rPr>
          <w:rFonts w:ascii="Times New Roman" w:hAnsi="Times New Roman" w:cs="Times New Roman"/>
          <w:sz w:val="24"/>
          <w:szCs w:val="24"/>
        </w:rPr>
        <w:t xml:space="preserve"> and </w:t>
      </w:r>
      <w:r w:rsidR="002C7C76" w:rsidRPr="002C7C76">
        <w:rPr>
          <w:rFonts w:ascii="Times New Roman" w:hAnsi="Times New Roman" w:cs="Times New Roman"/>
          <w:i/>
          <w:sz w:val="24"/>
          <w:szCs w:val="24"/>
        </w:rPr>
        <w:t>The Odyssey</w:t>
      </w:r>
      <w:r w:rsidR="002C7C76" w:rsidRPr="002C7C76">
        <w:rPr>
          <w:rFonts w:ascii="Times New Roman" w:hAnsi="Times New Roman" w:cs="Times New Roman"/>
          <w:sz w:val="24"/>
          <w:szCs w:val="24"/>
        </w:rPr>
        <w:t>.  Its author, Homer, was even credited by such erudite philosophers like Plato for educating Greece.</w:t>
      </w:r>
      <w:r w:rsidR="002C7C76" w:rsidRPr="002C7C76">
        <w:rPr>
          <w:rFonts w:ascii="Times New Roman" w:hAnsi="Times New Roman" w:cs="Times New Roman"/>
          <w:sz w:val="24"/>
          <w:szCs w:val="24"/>
          <w:vertAlign w:val="superscript"/>
        </w:rPr>
        <w:footnoteReference w:id="29"/>
      </w:r>
      <w:r w:rsidR="002C7C76" w:rsidRPr="002C7C76">
        <w:rPr>
          <w:rFonts w:ascii="Times New Roman" w:hAnsi="Times New Roman" w:cs="Times New Roman"/>
          <w:sz w:val="24"/>
          <w:szCs w:val="24"/>
        </w:rPr>
        <w:t xml:space="preserve">  Plato and his excellent teacher Socrates surely played a role of their own in this education as did their philosophic predece</w:t>
      </w:r>
      <w:r w:rsidR="00200F70">
        <w:rPr>
          <w:rFonts w:ascii="Times New Roman" w:hAnsi="Times New Roman" w:cs="Times New Roman"/>
          <w:sz w:val="24"/>
          <w:szCs w:val="24"/>
        </w:rPr>
        <w:t>ssors. As the ancient poet crafted his stories and the philosopher search</w:t>
      </w:r>
      <w:r w:rsidR="00110520">
        <w:rPr>
          <w:rFonts w:ascii="Times New Roman" w:hAnsi="Times New Roman" w:cs="Times New Roman"/>
          <w:sz w:val="24"/>
          <w:szCs w:val="24"/>
        </w:rPr>
        <w:t>ed</w:t>
      </w:r>
      <w:r w:rsidR="00200F70">
        <w:rPr>
          <w:rFonts w:ascii="Times New Roman" w:hAnsi="Times New Roman" w:cs="Times New Roman"/>
          <w:sz w:val="24"/>
          <w:szCs w:val="24"/>
        </w:rPr>
        <w:t xml:space="preserve"> for truth</w:t>
      </w:r>
      <w:r w:rsidR="002C7C76" w:rsidRPr="002C7C76">
        <w:rPr>
          <w:rFonts w:ascii="Times New Roman" w:hAnsi="Times New Roman" w:cs="Times New Roman"/>
          <w:sz w:val="24"/>
          <w:szCs w:val="24"/>
        </w:rPr>
        <w:t xml:space="preserve">, would not a God who desired to reconcile them to Himself </w:t>
      </w:r>
      <w:r w:rsidR="00200F70">
        <w:rPr>
          <w:rFonts w:ascii="Times New Roman" w:hAnsi="Times New Roman" w:cs="Times New Roman"/>
          <w:sz w:val="24"/>
          <w:szCs w:val="24"/>
        </w:rPr>
        <w:t>have assisted in their endeavo</w:t>
      </w:r>
      <w:r w:rsidR="002C7C76" w:rsidRPr="002C7C76">
        <w:rPr>
          <w:rFonts w:ascii="Times New Roman" w:hAnsi="Times New Roman" w:cs="Times New Roman"/>
          <w:sz w:val="24"/>
          <w:szCs w:val="24"/>
        </w:rPr>
        <w:t>r</w:t>
      </w:r>
      <w:r w:rsidR="00200F70">
        <w:rPr>
          <w:rFonts w:ascii="Times New Roman" w:hAnsi="Times New Roman" w:cs="Times New Roman"/>
          <w:sz w:val="24"/>
          <w:szCs w:val="24"/>
        </w:rPr>
        <w:t>s</w:t>
      </w:r>
      <w:r w:rsidR="002C7C76" w:rsidRPr="002C7C76">
        <w:rPr>
          <w:rFonts w:ascii="Times New Roman" w:hAnsi="Times New Roman" w:cs="Times New Roman"/>
          <w:sz w:val="24"/>
          <w:szCs w:val="24"/>
        </w:rPr>
        <w:t>? The early Church Fathers thought so. Paul, the evangelist who wrote most of the New Testament affirms to the Greeks that God is clo</w:t>
      </w:r>
      <w:r w:rsidR="00B71C81">
        <w:rPr>
          <w:rFonts w:ascii="Times New Roman" w:hAnsi="Times New Roman" w:cs="Times New Roman"/>
          <w:sz w:val="24"/>
          <w:szCs w:val="24"/>
        </w:rPr>
        <w:t xml:space="preserve">se, asserting that “His </w:t>
      </w:r>
      <w:r w:rsidR="002C7C76" w:rsidRPr="002C7C76">
        <w:rPr>
          <w:rFonts w:ascii="Times New Roman" w:hAnsi="Times New Roman" w:cs="Times New Roman"/>
          <w:sz w:val="24"/>
          <w:szCs w:val="24"/>
        </w:rPr>
        <w:t>purpose was for the nations to seek after </w:t>
      </w:r>
      <w:r w:rsidR="002C7C76" w:rsidRPr="002C7C76">
        <w:rPr>
          <w:rFonts w:ascii="Times New Roman" w:hAnsi="Times New Roman" w:cs="Times New Roman"/>
          <w:bCs/>
          <w:sz w:val="24"/>
          <w:szCs w:val="24"/>
        </w:rPr>
        <w:t>God</w:t>
      </w:r>
      <w:r w:rsidR="002C7C76" w:rsidRPr="002C7C76">
        <w:rPr>
          <w:rFonts w:ascii="Times New Roman" w:hAnsi="Times New Roman" w:cs="Times New Roman"/>
          <w:sz w:val="24"/>
          <w:szCs w:val="24"/>
        </w:rPr>
        <w:t> and perhaps feel their way toward him and find him—though he is </w:t>
      </w:r>
      <w:r w:rsidR="002C7C76" w:rsidRPr="002C7C76">
        <w:rPr>
          <w:rFonts w:ascii="Times New Roman" w:hAnsi="Times New Roman" w:cs="Times New Roman"/>
          <w:bCs/>
          <w:sz w:val="24"/>
          <w:szCs w:val="24"/>
        </w:rPr>
        <w:t>not</w:t>
      </w:r>
      <w:r w:rsidR="002C7C76" w:rsidRPr="002C7C76">
        <w:rPr>
          <w:rFonts w:ascii="Times New Roman" w:hAnsi="Times New Roman" w:cs="Times New Roman"/>
          <w:b/>
          <w:bCs/>
          <w:sz w:val="24"/>
          <w:szCs w:val="24"/>
        </w:rPr>
        <w:t xml:space="preserve"> </w:t>
      </w:r>
      <w:r w:rsidR="002C7C76" w:rsidRPr="002C7C76">
        <w:rPr>
          <w:rFonts w:ascii="Times New Roman" w:hAnsi="Times New Roman" w:cs="Times New Roman"/>
          <w:bCs/>
          <w:sz w:val="24"/>
          <w:szCs w:val="24"/>
        </w:rPr>
        <w:t>far from any one of us</w:t>
      </w:r>
      <w:r w:rsidR="002C7C76" w:rsidRPr="002C7C76">
        <w:rPr>
          <w:rFonts w:ascii="Times New Roman" w:hAnsi="Times New Roman" w:cs="Times New Roman"/>
          <w:sz w:val="24"/>
          <w:szCs w:val="24"/>
        </w:rPr>
        <w:t>.”</w:t>
      </w:r>
      <w:r w:rsidR="002C7C76" w:rsidRPr="002C7C76">
        <w:rPr>
          <w:rFonts w:ascii="Times New Roman" w:hAnsi="Times New Roman" w:cs="Times New Roman"/>
          <w:sz w:val="24"/>
          <w:szCs w:val="24"/>
          <w:vertAlign w:val="superscript"/>
        </w:rPr>
        <w:footnoteReference w:id="30"/>
      </w:r>
      <w:r w:rsidR="002C7C76" w:rsidRPr="002C7C76">
        <w:rPr>
          <w:rFonts w:ascii="Times New Roman" w:hAnsi="Times New Roman" w:cs="Times New Roman"/>
          <w:sz w:val="24"/>
          <w:szCs w:val="24"/>
        </w:rPr>
        <w:t xml:space="preserve"> Thus, if this “fullness of time” did indeed apply to all nations, it seems reasonable to expect that all cultures would have been prepared</w:t>
      </w:r>
      <w:r w:rsidR="00AE4125">
        <w:rPr>
          <w:rFonts w:ascii="Times New Roman" w:hAnsi="Times New Roman" w:cs="Times New Roman"/>
          <w:sz w:val="24"/>
          <w:szCs w:val="24"/>
        </w:rPr>
        <w:t xml:space="preserve"> however vaguely </w:t>
      </w:r>
      <w:r w:rsidR="002C7C76" w:rsidRPr="002C7C76">
        <w:rPr>
          <w:rFonts w:ascii="Times New Roman" w:hAnsi="Times New Roman" w:cs="Times New Roman"/>
          <w:sz w:val="24"/>
          <w:szCs w:val="24"/>
        </w:rPr>
        <w:t xml:space="preserve">to recognize such a purpose. </w:t>
      </w:r>
    </w:p>
    <w:p w14:paraId="4B5BE15C" w14:textId="77CF815E" w:rsidR="007F1E3B" w:rsidRDefault="00F22396" w:rsidP="002C7C76">
      <w:pPr>
        <w:spacing w:line="480" w:lineRule="auto"/>
        <w:rPr>
          <w:rFonts w:ascii="Times New Roman" w:hAnsi="Times New Roman" w:cs="Times New Roman"/>
          <w:sz w:val="24"/>
          <w:szCs w:val="24"/>
        </w:rPr>
      </w:pPr>
      <w:r>
        <w:rPr>
          <w:rFonts w:ascii="Times New Roman" w:hAnsi="Times New Roman" w:cs="Times New Roman"/>
          <w:sz w:val="24"/>
          <w:szCs w:val="24"/>
        </w:rPr>
        <w:tab/>
      </w:r>
      <w:r w:rsidR="0019632D">
        <w:rPr>
          <w:rFonts w:ascii="Times New Roman" w:hAnsi="Times New Roman" w:cs="Times New Roman"/>
          <w:sz w:val="24"/>
          <w:szCs w:val="24"/>
        </w:rPr>
        <w:t xml:space="preserve">Though some </w:t>
      </w:r>
      <w:r w:rsidR="002C7C76" w:rsidRPr="002C7C76">
        <w:rPr>
          <w:rFonts w:ascii="Times New Roman" w:hAnsi="Times New Roman" w:cs="Times New Roman"/>
          <w:sz w:val="24"/>
          <w:szCs w:val="24"/>
        </w:rPr>
        <w:t>Church Father</w:t>
      </w:r>
      <w:r w:rsidR="0019632D">
        <w:rPr>
          <w:rFonts w:ascii="Times New Roman" w:hAnsi="Times New Roman" w:cs="Times New Roman"/>
          <w:sz w:val="24"/>
          <w:szCs w:val="24"/>
        </w:rPr>
        <w:t>s</w:t>
      </w:r>
      <w:r w:rsidR="00011E47">
        <w:rPr>
          <w:rFonts w:ascii="Times New Roman" w:hAnsi="Times New Roman" w:cs="Times New Roman"/>
          <w:sz w:val="24"/>
          <w:szCs w:val="24"/>
        </w:rPr>
        <w:t>,</w:t>
      </w:r>
      <w:r w:rsidR="0019632D">
        <w:rPr>
          <w:rFonts w:ascii="Times New Roman" w:hAnsi="Times New Roman" w:cs="Times New Roman"/>
          <w:sz w:val="24"/>
          <w:szCs w:val="24"/>
        </w:rPr>
        <w:t xml:space="preserve"> such as Tertullian (155-240AD)</w:t>
      </w:r>
      <w:r w:rsidR="00011E47">
        <w:rPr>
          <w:rFonts w:ascii="Times New Roman" w:hAnsi="Times New Roman" w:cs="Times New Roman"/>
          <w:sz w:val="24"/>
          <w:szCs w:val="24"/>
        </w:rPr>
        <w:t>,</w:t>
      </w:r>
      <w:r w:rsidR="0019632D">
        <w:rPr>
          <w:rFonts w:ascii="Times New Roman" w:hAnsi="Times New Roman" w:cs="Times New Roman"/>
          <w:sz w:val="24"/>
          <w:szCs w:val="24"/>
        </w:rPr>
        <w:t xml:space="preserve"> decried the ancient Greek poets and philosopher charging, </w:t>
      </w:r>
      <w:r w:rsidR="002C7C76" w:rsidRPr="002C7C76">
        <w:rPr>
          <w:rFonts w:ascii="Times New Roman" w:hAnsi="Times New Roman" w:cs="Times New Roman"/>
          <w:sz w:val="24"/>
          <w:szCs w:val="24"/>
        </w:rPr>
        <w:t xml:space="preserve">“What has Athens to do with Jerusalem?” </w:t>
      </w:r>
      <w:r w:rsidR="002C7C76" w:rsidRPr="002C7C76">
        <w:rPr>
          <w:rFonts w:ascii="Times New Roman" w:hAnsi="Times New Roman" w:cs="Times New Roman"/>
          <w:sz w:val="24"/>
          <w:szCs w:val="24"/>
          <w:vertAlign w:val="superscript"/>
        </w:rPr>
        <w:footnoteReference w:id="31"/>
      </w:r>
      <w:r w:rsidR="0019632D">
        <w:rPr>
          <w:rFonts w:ascii="Times New Roman" w:hAnsi="Times New Roman" w:cs="Times New Roman"/>
          <w:sz w:val="24"/>
          <w:szCs w:val="24"/>
        </w:rPr>
        <w:t xml:space="preserve"> </w:t>
      </w:r>
      <w:r w:rsidR="002C7C76" w:rsidRPr="002C7C76">
        <w:rPr>
          <w:rFonts w:ascii="Times New Roman" w:hAnsi="Times New Roman" w:cs="Times New Roman"/>
          <w:sz w:val="24"/>
          <w:szCs w:val="24"/>
        </w:rPr>
        <w:t>o</w:t>
      </w:r>
      <w:r w:rsidR="0019632D">
        <w:rPr>
          <w:rFonts w:ascii="Times New Roman" w:hAnsi="Times New Roman" w:cs="Times New Roman"/>
          <w:sz w:val="24"/>
          <w:szCs w:val="24"/>
        </w:rPr>
        <w:t xml:space="preserve">thers, </w:t>
      </w:r>
      <w:r w:rsidR="002C7C76" w:rsidRPr="002C7C76">
        <w:rPr>
          <w:rFonts w:ascii="Times New Roman" w:hAnsi="Times New Roman" w:cs="Times New Roman"/>
          <w:sz w:val="24"/>
          <w:szCs w:val="24"/>
        </w:rPr>
        <w:t>view</w:t>
      </w:r>
      <w:r w:rsidR="0019632D">
        <w:rPr>
          <w:rFonts w:ascii="Times New Roman" w:hAnsi="Times New Roman" w:cs="Times New Roman"/>
          <w:sz w:val="24"/>
          <w:szCs w:val="24"/>
        </w:rPr>
        <w:t>ed</w:t>
      </w:r>
      <w:r w:rsidR="002C7C76" w:rsidRPr="002C7C76">
        <w:rPr>
          <w:rFonts w:ascii="Times New Roman" w:hAnsi="Times New Roman" w:cs="Times New Roman"/>
          <w:sz w:val="24"/>
          <w:szCs w:val="24"/>
        </w:rPr>
        <w:t xml:space="preserve"> their</w:t>
      </w:r>
      <w:r w:rsidR="0019632D">
        <w:rPr>
          <w:rFonts w:ascii="Times New Roman" w:hAnsi="Times New Roman" w:cs="Times New Roman"/>
          <w:sz w:val="24"/>
          <w:szCs w:val="24"/>
        </w:rPr>
        <w:t xml:space="preserve"> works not only as bridges to the gospel but</w:t>
      </w:r>
      <w:r w:rsidR="002C7C76" w:rsidRPr="002C7C76">
        <w:rPr>
          <w:rFonts w:ascii="Times New Roman" w:hAnsi="Times New Roman" w:cs="Times New Roman"/>
          <w:sz w:val="24"/>
          <w:szCs w:val="24"/>
        </w:rPr>
        <w:t xml:space="preserve"> proof of the</w:t>
      </w:r>
      <w:r w:rsidR="0019632D">
        <w:rPr>
          <w:rFonts w:ascii="Times New Roman" w:hAnsi="Times New Roman" w:cs="Times New Roman"/>
          <w:sz w:val="24"/>
          <w:szCs w:val="24"/>
        </w:rPr>
        <w:t xml:space="preserve"> ultimate intent of God —the calling </w:t>
      </w:r>
      <w:r w:rsidR="002C7C76" w:rsidRPr="002C7C76">
        <w:rPr>
          <w:rFonts w:ascii="Times New Roman" w:hAnsi="Times New Roman" w:cs="Times New Roman"/>
          <w:sz w:val="24"/>
          <w:szCs w:val="24"/>
        </w:rPr>
        <w:t xml:space="preserve">and redeeming of all men. </w:t>
      </w:r>
      <w:r w:rsidR="00011E47">
        <w:rPr>
          <w:rFonts w:ascii="Times New Roman" w:hAnsi="Times New Roman" w:cs="Times New Roman"/>
          <w:sz w:val="24"/>
          <w:szCs w:val="24"/>
        </w:rPr>
        <w:t>These included Justin Martyr, Eusebius and Clement of Alexandria, all early Church Fathers who advocated that God had prepared 1</w:t>
      </w:r>
      <w:r w:rsidR="00011E47" w:rsidRPr="00011E47">
        <w:rPr>
          <w:rFonts w:ascii="Times New Roman" w:hAnsi="Times New Roman" w:cs="Times New Roman"/>
          <w:sz w:val="24"/>
          <w:szCs w:val="24"/>
          <w:vertAlign w:val="superscript"/>
        </w:rPr>
        <w:t>st</w:t>
      </w:r>
      <w:r w:rsidR="00011E47">
        <w:rPr>
          <w:rFonts w:ascii="Times New Roman" w:hAnsi="Times New Roman" w:cs="Times New Roman"/>
          <w:sz w:val="24"/>
          <w:szCs w:val="24"/>
        </w:rPr>
        <w:t xml:space="preserve"> century Rome for the gospel via </w:t>
      </w:r>
      <w:r w:rsidR="00011E47">
        <w:rPr>
          <w:rFonts w:ascii="Times New Roman" w:hAnsi="Times New Roman" w:cs="Times New Roman"/>
          <w:sz w:val="24"/>
          <w:szCs w:val="24"/>
        </w:rPr>
        <w:lastRenderedPageBreak/>
        <w:t xml:space="preserve">its own philosophers and poets. </w:t>
      </w:r>
      <w:r w:rsidR="00D57867">
        <w:rPr>
          <w:rFonts w:ascii="Times New Roman" w:hAnsi="Times New Roman" w:cs="Times New Roman"/>
          <w:sz w:val="24"/>
          <w:szCs w:val="24"/>
        </w:rPr>
        <w:t xml:space="preserve">The message </w:t>
      </w:r>
      <w:r w:rsidR="00011E47">
        <w:rPr>
          <w:rFonts w:ascii="Times New Roman" w:hAnsi="Times New Roman" w:cs="Times New Roman"/>
          <w:sz w:val="24"/>
          <w:szCs w:val="24"/>
        </w:rPr>
        <w:t xml:space="preserve">dimly </w:t>
      </w:r>
      <w:r w:rsidR="00D57867">
        <w:rPr>
          <w:rFonts w:ascii="Times New Roman" w:hAnsi="Times New Roman" w:cs="Times New Roman"/>
          <w:sz w:val="24"/>
          <w:szCs w:val="24"/>
        </w:rPr>
        <w:t>glowed</w:t>
      </w:r>
      <w:r w:rsidR="00011E47">
        <w:rPr>
          <w:rFonts w:ascii="Times New Roman" w:hAnsi="Times New Roman" w:cs="Times New Roman"/>
          <w:sz w:val="24"/>
          <w:szCs w:val="24"/>
        </w:rPr>
        <w:t xml:space="preserve"> within the culture itself —“through a glass darkly.</w:t>
      </w:r>
      <w:r w:rsidR="002C7C76" w:rsidRPr="002C7C76">
        <w:rPr>
          <w:rFonts w:ascii="Times New Roman" w:hAnsi="Times New Roman" w:cs="Times New Roman"/>
          <w:sz w:val="24"/>
          <w:szCs w:val="24"/>
        </w:rPr>
        <w:t>”</w:t>
      </w:r>
      <w:r w:rsidR="002C7C76" w:rsidRPr="002C7C76">
        <w:rPr>
          <w:rFonts w:ascii="Times New Roman" w:hAnsi="Times New Roman" w:cs="Times New Roman"/>
          <w:sz w:val="24"/>
          <w:szCs w:val="24"/>
          <w:vertAlign w:val="superscript"/>
        </w:rPr>
        <w:footnoteReference w:id="32"/>
      </w:r>
      <w:r w:rsidR="00011E47">
        <w:rPr>
          <w:rFonts w:ascii="Times New Roman" w:hAnsi="Times New Roman" w:cs="Times New Roman"/>
          <w:sz w:val="24"/>
          <w:szCs w:val="24"/>
        </w:rPr>
        <w:t xml:space="preserve">  </w:t>
      </w:r>
      <w:r w:rsidR="002C7C76" w:rsidRPr="002C7C76">
        <w:rPr>
          <w:rFonts w:ascii="Times New Roman" w:hAnsi="Times New Roman" w:cs="Times New Roman"/>
          <w:sz w:val="24"/>
          <w:szCs w:val="24"/>
        </w:rPr>
        <w:t xml:space="preserve">. While there are many valid reasons why the Christian religion attracted such a tremendous volume of converts, an important consideration highlighted by Stark is that “people are more willing to adopt a new religion to the extent that it retains cultural continuity with [the] conventional religion with which they are already familiar.” </w:t>
      </w:r>
      <w:r w:rsidR="002C7C76" w:rsidRPr="002C7C76">
        <w:rPr>
          <w:rFonts w:ascii="Times New Roman" w:hAnsi="Times New Roman" w:cs="Times New Roman"/>
          <w:sz w:val="24"/>
          <w:szCs w:val="24"/>
          <w:vertAlign w:val="superscript"/>
        </w:rPr>
        <w:footnoteReference w:id="33"/>
      </w:r>
      <w:r w:rsidR="002C7C76" w:rsidRPr="002C7C76">
        <w:rPr>
          <w:rFonts w:ascii="Times New Roman" w:hAnsi="Times New Roman" w:cs="Times New Roman"/>
          <w:sz w:val="24"/>
          <w:szCs w:val="24"/>
        </w:rPr>
        <w:t xml:space="preserve">  </w:t>
      </w:r>
      <w:r w:rsidR="0006709A">
        <w:rPr>
          <w:rFonts w:ascii="Times New Roman" w:hAnsi="Times New Roman" w:cs="Times New Roman"/>
          <w:sz w:val="24"/>
          <w:szCs w:val="24"/>
        </w:rPr>
        <w:t xml:space="preserve">A good many of the early Church Fathers seemed to operate on this principle, preaching the Christian religion as the true philosophy to which all other philosophies pointed and the ideal the myths foreshadowed. </w:t>
      </w:r>
      <w:r w:rsidR="002C7C76" w:rsidRPr="002C7C76">
        <w:rPr>
          <w:rFonts w:ascii="Times New Roman" w:hAnsi="Times New Roman" w:cs="Times New Roman"/>
          <w:sz w:val="24"/>
          <w:szCs w:val="24"/>
        </w:rPr>
        <w:t>On that supposition, the following chapters will briefly survey the writings of some early disciples of Jesus himself who allude to this link then move to canvas</w:t>
      </w:r>
      <w:r w:rsidR="0006709A">
        <w:rPr>
          <w:rFonts w:ascii="Times New Roman" w:hAnsi="Times New Roman" w:cs="Times New Roman"/>
          <w:sz w:val="24"/>
          <w:szCs w:val="24"/>
        </w:rPr>
        <w:t xml:space="preserve">s the writings </w:t>
      </w:r>
      <w:r w:rsidR="002C7C76" w:rsidRPr="002C7C76">
        <w:rPr>
          <w:rFonts w:ascii="Times New Roman" w:hAnsi="Times New Roman" w:cs="Times New Roman"/>
          <w:sz w:val="24"/>
          <w:szCs w:val="24"/>
        </w:rPr>
        <w:t>of the early</w:t>
      </w:r>
      <w:r w:rsidR="0006709A">
        <w:rPr>
          <w:rFonts w:ascii="Times New Roman" w:hAnsi="Times New Roman" w:cs="Times New Roman"/>
          <w:sz w:val="24"/>
          <w:szCs w:val="24"/>
        </w:rPr>
        <w:t xml:space="preserve"> Church Fathers as they sought to make connections between cultural icons and the tenets of Christianity. </w:t>
      </w:r>
      <w:r w:rsidR="002C7C76" w:rsidRPr="002C7C76">
        <w:rPr>
          <w:rFonts w:ascii="Times New Roman" w:hAnsi="Times New Roman" w:cs="Times New Roman"/>
          <w:sz w:val="24"/>
          <w:szCs w:val="24"/>
        </w:rPr>
        <w:t xml:space="preserve">Included in this inquiry will be </w:t>
      </w:r>
      <w:r w:rsidR="0006709A">
        <w:rPr>
          <w:rFonts w:ascii="Times New Roman" w:hAnsi="Times New Roman" w:cs="Times New Roman"/>
          <w:sz w:val="24"/>
          <w:szCs w:val="24"/>
        </w:rPr>
        <w:t xml:space="preserve">an exploration of the icons </w:t>
      </w:r>
      <w:r w:rsidR="002C7C76" w:rsidRPr="002C7C76">
        <w:rPr>
          <w:rFonts w:ascii="Times New Roman" w:hAnsi="Times New Roman" w:cs="Times New Roman"/>
          <w:sz w:val="24"/>
          <w:szCs w:val="24"/>
        </w:rPr>
        <w:t xml:space="preserve">themselves as they relate to foreshadowing the gospel.  The claims of Christianity continue to be at the heart of events that move and shake human history, and thus, understanding how the “obscure, marginal Jesus movement became the dominant religious force in the western world in a few centuries” </w:t>
      </w:r>
      <w:r w:rsidR="002C7C76" w:rsidRPr="002C7C76">
        <w:rPr>
          <w:rFonts w:ascii="Times New Roman" w:hAnsi="Times New Roman" w:cs="Times New Roman"/>
          <w:sz w:val="24"/>
          <w:szCs w:val="24"/>
          <w:vertAlign w:val="superscript"/>
        </w:rPr>
        <w:footnoteReference w:id="34"/>
      </w:r>
      <w:r w:rsidR="002C7C76" w:rsidRPr="002C7C76">
        <w:rPr>
          <w:rFonts w:ascii="Times New Roman" w:hAnsi="Times New Roman" w:cs="Times New Roman"/>
          <w:sz w:val="24"/>
          <w:szCs w:val="24"/>
        </w:rPr>
        <w:t xml:space="preserve"> is a question that continues to be both timely and relevant.</w:t>
      </w:r>
      <w:r w:rsidR="00B61AE0" w:rsidRPr="006B31E2">
        <w:rPr>
          <w:rFonts w:ascii="Times New Roman" w:hAnsi="Times New Roman" w:cs="Times New Roman"/>
          <w:sz w:val="24"/>
          <w:szCs w:val="24"/>
        </w:rPr>
        <w:tab/>
      </w:r>
    </w:p>
    <w:p w14:paraId="2A2CA62E" w14:textId="0DEFFD58" w:rsidR="004C6ADF" w:rsidRDefault="007F1E3B">
      <w:pPr>
        <w:rPr>
          <w:rFonts w:ascii="Times New Roman" w:hAnsi="Times New Roman" w:cs="Times New Roman"/>
          <w:sz w:val="24"/>
          <w:szCs w:val="24"/>
        </w:rPr>
      </w:pPr>
      <w:r>
        <w:rPr>
          <w:rFonts w:ascii="Times New Roman" w:hAnsi="Times New Roman" w:cs="Times New Roman"/>
          <w:sz w:val="24"/>
          <w:szCs w:val="24"/>
        </w:rPr>
        <w:br w:type="page"/>
      </w:r>
    </w:p>
    <w:p w14:paraId="78263D25" w14:textId="77777777" w:rsidR="007F1E3B" w:rsidRDefault="007F1E3B"/>
    <w:p w14:paraId="4287F2A9" w14:textId="3EB1B13F" w:rsidR="007F1E3B" w:rsidRPr="00BE469A" w:rsidRDefault="007F1E3B" w:rsidP="001D58C9">
      <w:pPr>
        <w:pStyle w:val="Heading1"/>
      </w:pPr>
      <w:bookmarkStart w:id="2" w:name="_Toc62843870"/>
      <w:r w:rsidRPr="007047FA">
        <w:t>Chapter 1</w:t>
      </w:r>
      <w:r w:rsidR="00BE469A">
        <w:t xml:space="preserve"> </w:t>
      </w:r>
      <w:r>
        <w:t>Jesus, Paul, John and Heraclitus</w:t>
      </w:r>
      <w:bookmarkEnd w:id="2"/>
    </w:p>
    <w:p w14:paraId="44E398FC"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tab/>
        <w:t xml:space="preserve">When asked by a Jew to define “neighbor” in the Gospel of Luke, Jesus told a story. The context of the request involved a lawyer who asked Jesus how to inherit eternal life.  Jesus responded by prompting the lawyer to express what was written in the Law.  The man answered, “You shall love the Lord your God with all your heart and with all your soul and with all your strength and with your entire mind, and your neighbor as yourself.”   After receiving commendation from Jesus for replying correctly, the man proceeded to ask for a definition of “neighbor.” </w:t>
      </w:r>
      <w:r w:rsidRPr="00D35350">
        <w:rPr>
          <w:rFonts w:ascii="Times New Roman" w:hAnsi="Times New Roman" w:cs="Times New Roman"/>
          <w:sz w:val="24"/>
          <w:szCs w:val="24"/>
          <w:vertAlign w:val="superscript"/>
        </w:rPr>
        <w:footnoteReference w:id="35"/>
      </w:r>
      <w:r w:rsidRPr="00D35350">
        <w:rPr>
          <w:rFonts w:ascii="Times New Roman" w:hAnsi="Times New Roman" w:cs="Times New Roman"/>
          <w:sz w:val="24"/>
          <w:szCs w:val="24"/>
        </w:rPr>
        <w:t xml:space="preserve"> What came next is arguably one of the most famous and well-known Bible stories ever told: The Good Samaritan. </w:t>
      </w:r>
      <w:r w:rsidRPr="00D35350">
        <w:rPr>
          <w:rFonts w:ascii="Times New Roman" w:hAnsi="Times New Roman" w:cs="Times New Roman"/>
          <w:sz w:val="24"/>
          <w:szCs w:val="24"/>
          <w:vertAlign w:val="superscript"/>
        </w:rPr>
        <w:footnoteReference w:id="36"/>
      </w:r>
      <w:r w:rsidRPr="00D35350">
        <w:rPr>
          <w:rFonts w:ascii="Times New Roman" w:hAnsi="Times New Roman" w:cs="Times New Roman"/>
          <w:sz w:val="24"/>
          <w:szCs w:val="24"/>
        </w:rPr>
        <w:t xml:space="preserve">  While Jesus could have given an abstract meaning of “neighbor,” he instead painted a picture of what it means to be a good neighbor.  He imaged forth a meaning of the word that drew his audience into the victim’s experience both at the hands of the robbers and those of his rescuer —the Samaritan; thus, his 1</w:t>
      </w:r>
      <w:r w:rsidRPr="00D35350">
        <w:rPr>
          <w:rFonts w:ascii="Times New Roman" w:hAnsi="Times New Roman" w:cs="Times New Roman"/>
          <w:sz w:val="24"/>
          <w:szCs w:val="24"/>
          <w:vertAlign w:val="superscript"/>
        </w:rPr>
        <w:t>st</w:t>
      </w:r>
      <w:r w:rsidRPr="00D35350">
        <w:rPr>
          <w:rFonts w:ascii="Times New Roman" w:hAnsi="Times New Roman" w:cs="Times New Roman"/>
          <w:sz w:val="24"/>
          <w:szCs w:val="24"/>
        </w:rPr>
        <w:t xml:space="preserve"> century Jewish audience personally experienced the definition of “neighbor.”  For those of us who are much more adept at putting an object together after watching a video of its construction rather than reading or listening to instructions, we can definitely relate to this type of teaching. </w:t>
      </w:r>
      <w:r w:rsidRPr="00D35350">
        <w:rPr>
          <w:rFonts w:ascii="Times New Roman" w:hAnsi="Times New Roman" w:cs="Times New Roman"/>
          <w:sz w:val="24"/>
          <w:szCs w:val="24"/>
          <w:vertAlign w:val="superscript"/>
        </w:rPr>
        <w:footnoteReference w:id="37"/>
      </w:r>
      <w:r w:rsidRPr="00D35350">
        <w:rPr>
          <w:rFonts w:ascii="Times New Roman" w:hAnsi="Times New Roman" w:cs="Times New Roman"/>
          <w:sz w:val="24"/>
          <w:szCs w:val="24"/>
        </w:rPr>
        <w:t xml:space="preserve">  But even more than just painting a picture of what being a neighbor means,   Jesus was able to convey deep truths about faith by employing cultural suppositions and characters familiar to his audience.</w:t>
      </w:r>
      <w:r w:rsidRPr="00D35350">
        <w:rPr>
          <w:rFonts w:ascii="Times New Roman" w:hAnsi="Times New Roman" w:cs="Times New Roman"/>
          <w:sz w:val="24"/>
          <w:szCs w:val="24"/>
          <w:vertAlign w:val="superscript"/>
        </w:rPr>
        <w:footnoteReference w:id="38"/>
      </w:r>
    </w:p>
    <w:p w14:paraId="6A70D36F"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lastRenderedPageBreak/>
        <w:tab/>
        <w:t xml:space="preserve">The adept teacher not only answers an inquiry but answers it in such a way that takes into account the listener’s framework of reference.  Certainly any good teacher knows that helping a student understand a new concept is much easier if a connection to previously understood material can be made.  Even better, if a teacher can couch the new material in an engaging story, as Jesus does repeatedly through his telling of parables in the New Testament, the student is apt to engage not only his mind but emotions, thus truly making the learning experience more relatable.  In the estimation of Louis Markos, author of </w:t>
      </w:r>
      <w:r w:rsidRPr="00D35350">
        <w:rPr>
          <w:rFonts w:ascii="Times New Roman" w:hAnsi="Times New Roman" w:cs="Times New Roman"/>
          <w:i/>
          <w:sz w:val="24"/>
          <w:szCs w:val="24"/>
        </w:rPr>
        <w:t>From Achilles to Christ</w:t>
      </w:r>
      <w:r w:rsidRPr="00D35350">
        <w:rPr>
          <w:rFonts w:ascii="Times New Roman" w:hAnsi="Times New Roman" w:cs="Times New Roman"/>
          <w:sz w:val="24"/>
          <w:szCs w:val="24"/>
        </w:rPr>
        <w:t>, Jesus seems to be doing just that in responding to a group of Greeks who sought to speak with Him shortly before the Last Supper.  In his book, Markos relates an account in Scripture where some Greeks accompany Jews to Jerusalem to worship at the Jewish Festival of Passover.</w:t>
      </w:r>
      <w:r w:rsidRPr="00D35350">
        <w:rPr>
          <w:rFonts w:ascii="Times New Roman" w:hAnsi="Times New Roman" w:cs="Times New Roman"/>
          <w:sz w:val="24"/>
          <w:szCs w:val="24"/>
          <w:vertAlign w:val="superscript"/>
        </w:rPr>
        <w:footnoteReference w:id="39"/>
      </w:r>
      <w:r w:rsidRPr="00D35350">
        <w:rPr>
          <w:rFonts w:ascii="Times New Roman" w:hAnsi="Times New Roman" w:cs="Times New Roman"/>
          <w:sz w:val="24"/>
          <w:szCs w:val="24"/>
        </w:rPr>
        <w:t xml:space="preserve">  This feast commemorated the Jews’ deliverance from Pharaoh thousands of years before in Egypt.   (The Christians know it as the Last Supper since it was celebrated the night before Jesus’ death on the cross). As Markos notes, Jesus chooses to not meet with these Greeks but rather answers them through one of his disciples saying, </w:t>
      </w:r>
    </w:p>
    <w:p w14:paraId="056C4C01" w14:textId="77777777" w:rsidR="00D35350" w:rsidRPr="00D35350" w:rsidRDefault="00D35350" w:rsidP="007571C8">
      <w:pPr>
        <w:spacing w:line="240" w:lineRule="auto"/>
        <w:ind w:left="720" w:right="720"/>
        <w:rPr>
          <w:rFonts w:ascii="Times New Roman" w:hAnsi="Times New Roman" w:cs="Times New Roman"/>
          <w:sz w:val="24"/>
          <w:szCs w:val="24"/>
        </w:rPr>
      </w:pPr>
      <w:r w:rsidRPr="00D35350">
        <w:rPr>
          <w:rFonts w:ascii="Times New Roman" w:hAnsi="Times New Roman" w:cs="Times New Roman"/>
          <w:sz w:val="24"/>
          <w:szCs w:val="24"/>
        </w:rPr>
        <w:t xml:space="preserve">Verily, verily, I say unto you, except a corn of wheat fall into the ground and die, it abideth alone: but if it die, it bringeth forth much fruit. He that loveth his life shall lose it; and he that hateth his life in this world shall keep it unto life eternal. </w:t>
      </w:r>
      <w:r w:rsidRPr="00D35350">
        <w:rPr>
          <w:rFonts w:ascii="Times New Roman" w:hAnsi="Times New Roman" w:cs="Times New Roman"/>
          <w:sz w:val="24"/>
          <w:szCs w:val="24"/>
          <w:vertAlign w:val="superscript"/>
        </w:rPr>
        <w:footnoteReference w:id="40"/>
      </w:r>
      <w:r w:rsidRPr="00D35350">
        <w:rPr>
          <w:rFonts w:ascii="Times New Roman" w:hAnsi="Times New Roman" w:cs="Times New Roman"/>
          <w:sz w:val="24"/>
          <w:szCs w:val="24"/>
        </w:rPr>
        <w:t xml:space="preserve">  </w:t>
      </w:r>
    </w:p>
    <w:p w14:paraId="26AC6D73"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t xml:space="preserve">Markos remarks that though there are many verses which use the metaphor of a seed being planted and reaping growth of some kind to illustrate gospel  teachings, Jesus explicitly pointing to a corn as worthless unless buried in the ground and essentially “dying” in order to give way to </w:t>
      </w:r>
      <w:r w:rsidRPr="00D35350">
        <w:rPr>
          <w:rFonts w:ascii="Times New Roman" w:hAnsi="Times New Roman" w:cs="Times New Roman"/>
          <w:sz w:val="24"/>
          <w:szCs w:val="24"/>
        </w:rPr>
        <w:lastRenderedPageBreak/>
        <w:t>new and abundant life (more seeds and fruit) is intriguing.</w:t>
      </w:r>
      <w:r w:rsidRPr="00D35350">
        <w:rPr>
          <w:rFonts w:ascii="Times New Roman" w:hAnsi="Times New Roman" w:cs="Times New Roman"/>
          <w:sz w:val="24"/>
          <w:szCs w:val="24"/>
          <w:vertAlign w:val="superscript"/>
        </w:rPr>
        <w:footnoteReference w:id="41"/>
      </w:r>
      <w:r w:rsidRPr="00D35350">
        <w:rPr>
          <w:rFonts w:ascii="Times New Roman" w:hAnsi="Times New Roman" w:cs="Times New Roman"/>
          <w:sz w:val="24"/>
          <w:szCs w:val="24"/>
        </w:rPr>
        <w:t xml:space="preserve"> It is intriguing because Jesus is possibly pointing to a framework in which these Greeks might be able to understand Jesus’ ultimate mission; namely, that He is the “corn” who would be crucified, buried and raised on the third day to new life, and when that happened they would then have access to the gift of redemption in keeping with God’s plan, “…to the Jew first then for the Greeks”</w:t>
      </w:r>
      <w:r w:rsidRPr="00D35350">
        <w:rPr>
          <w:rFonts w:ascii="Times New Roman" w:hAnsi="Times New Roman" w:cs="Times New Roman"/>
          <w:sz w:val="24"/>
          <w:szCs w:val="24"/>
          <w:vertAlign w:val="superscript"/>
        </w:rPr>
        <w:footnoteReference w:id="42"/>
      </w:r>
      <w:r w:rsidRPr="00D35350">
        <w:rPr>
          <w:rFonts w:ascii="Times New Roman" w:hAnsi="Times New Roman" w:cs="Times New Roman"/>
          <w:sz w:val="24"/>
          <w:szCs w:val="24"/>
        </w:rPr>
        <w:tab/>
      </w:r>
    </w:p>
    <w:p w14:paraId="3FEF9943" w14:textId="28A42C98" w:rsidR="00D35350" w:rsidRPr="00D35350" w:rsidRDefault="007571C8"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r w:rsidR="00D35350" w:rsidRPr="00D35350">
        <w:rPr>
          <w:rFonts w:ascii="Times New Roman" w:hAnsi="Times New Roman" w:cs="Times New Roman"/>
          <w:sz w:val="24"/>
          <w:szCs w:val="24"/>
        </w:rPr>
        <w:t xml:space="preserve">One of the most widespread, longstanding, and famous Greek cults sprung from the Homeric Hymn to Demeter, the sister-wife of Zeus.  She was considered the goddess of Agriculture, especially of grain and corn, and through her annual separation in the fall/winter months from her daughter, Persephone, and subsequent reunion with her in the spring/summer, the Greeks explained the annual cycle of the seasons. </w:t>
      </w:r>
      <w:r w:rsidR="00D35350" w:rsidRPr="00D35350">
        <w:rPr>
          <w:rFonts w:ascii="Times New Roman" w:hAnsi="Times New Roman" w:cs="Times New Roman"/>
          <w:sz w:val="24"/>
          <w:szCs w:val="24"/>
          <w:vertAlign w:val="superscript"/>
        </w:rPr>
        <w:footnoteReference w:id="43"/>
      </w:r>
      <w:r w:rsidR="00D35350" w:rsidRPr="00D35350">
        <w:rPr>
          <w:rFonts w:ascii="Times New Roman" w:hAnsi="Times New Roman" w:cs="Times New Roman"/>
          <w:sz w:val="24"/>
          <w:szCs w:val="24"/>
        </w:rPr>
        <w:t xml:space="preserve">  This cult of worship included what was known as the Elysian mysteries.   As told in the myth of Demeter and Persephone, Demeter, in her search for Persephone, stumbles into the town of Eleusis, fourteen miles west of Athens.  Later, when Persephone is found and the issue of her separation from her mother is resolved by Zeus, Demeter commands the people there to build a temple in celebration.  For at least two-thousand years before Christ, that celebration culminated in the Elysian mysteries. </w:t>
      </w:r>
      <w:r w:rsidR="00D35350" w:rsidRPr="00D35350">
        <w:rPr>
          <w:rFonts w:ascii="Times New Roman" w:hAnsi="Times New Roman" w:cs="Times New Roman"/>
          <w:sz w:val="24"/>
          <w:szCs w:val="24"/>
          <w:vertAlign w:val="superscript"/>
        </w:rPr>
        <w:footnoteReference w:id="44"/>
      </w:r>
      <w:r w:rsidR="00D35350" w:rsidRPr="00D35350">
        <w:rPr>
          <w:rFonts w:ascii="Times New Roman" w:hAnsi="Times New Roman" w:cs="Times New Roman"/>
          <w:sz w:val="24"/>
          <w:szCs w:val="24"/>
        </w:rPr>
        <w:t xml:space="preserve">  A few peculiarities about the cult included:  either gender of any class status, even slaves, could join as long as he or she had not shed blood through murder; a person had to be pure from pollution and not be conscious of any evil in his soul; and finally, he must have lived well and justly. </w:t>
      </w:r>
      <w:r w:rsidR="00D35350" w:rsidRPr="00D35350">
        <w:rPr>
          <w:rFonts w:ascii="Times New Roman" w:hAnsi="Times New Roman" w:cs="Times New Roman"/>
          <w:sz w:val="24"/>
          <w:szCs w:val="24"/>
          <w:vertAlign w:val="superscript"/>
        </w:rPr>
        <w:footnoteReference w:id="45"/>
      </w:r>
      <w:r w:rsidR="00D35350" w:rsidRPr="00D35350">
        <w:rPr>
          <w:rFonts w:ascii="Times New Roman" w:hAnsi="Times New Roman" w:cs="Times New Roman"/>
          <w:sz w:val="24"/>
          <w:szCs w:val="24"/>
        </w:rPr>
        <w:t xml:space="preserve"> While </w:t>
      </w:r>
      <w:r w:rsidR="00D35350" w:rsidRPr="00D35350">
        <w:rPr>
          <w:rFonts w:ascii="Times New Roman" w:hAnsi="Times New Roman" w:cs="Times New Roman"/>
          <w:sz w:val="24"/>
          <w:szCs w:val="24"/>
        </w:rPr>
        <w:lastRenderedPageBreak/>
        <w:t>some of the activities of the initiation ceremonies which included the blood of a sacrificed pig being sprinkled on the initiates for purification are well known, the ceremony and goings-on within Demeter’s sanctuary are still largely shrouded in secrecy; nevertheless, scholars know one thing for certain —the central mystery revealed to the initiated was a reaped ear of corn.</w:t>
      </w:r>
      <w:r w:rsidR="00D35350" w:rsidRPr="00D35350">
        <w:rPr>
          <w:rFonts w:ascii="Times New Roman" w:hAnsi="Times New Roman" w:cs="Times New Roman"/>
          <w:sz w:val="24"/>
          <w:szCs w:val="24"/>
          <w:vertAlign w:val="superscript"/>
        </w:rPr>
        <w:footnoteReference w:id="46"/>
      </w:r>
      <w:r w:rsidR="00D35350" w:rsidRPr="00D35350">
        <w:rPr>
          <w:rFonts w:ascii="Times New Roman" w:hAnsi="Times New Roman" w:cs="Times New Roman"/>
          <w:sz w:val="24"/>
          <w:szCs w:val="24"/>
        </w:rPr>
        <w:t xml:space="preserve">   </w:t>
      </w:r>
    </w:p>
    <w:p w14:paraId="65D779ED"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tab/>
        <w:t xml:space="preserve">It should be understood that this corn, of course, was not the “corn” many might associate with the maize of the New World since that sort of corn would not have been known in the ancient Greek world.  Rather the word “corn” as understood even in Europe now would have been translated from a word that is more or less associated with kernel, specifically a kernel of wheat.  The Eleusian Mysteries revered Demeter and the blessing of wheat, but even more interesting, it seems the annual return of Persephone from Hades, manifested through the cyclical seasons of farming wheat, is what captured initiates minds and hearts.  For them, it raised the prospect of life after death. While the ancient Greeks had some sense of eternal life as depicted in their myths, that sense was a shadowy hope at best. </w:t>
      </w:r>
      <w:r w:rsidRPr="00D35350">
        <w:rPr>
          <w:rFonts w:ascii="Times New Roman" w:hAnsi="Times New Roman" w:cs="Times New Roman"/>
          <w:sz w:val="24"/>
          <w:szCs w:val="24"/>
          <w:vertAlign w:val="superscript"/>
        </w:rPr>
        <w:footnoteReference w:id="47"/>
      </w:r>
      <w:r w:rsidRPr="00D35350">
        <w:rPr>
          <w:rFonts w:ascii="Times New Roman" w:hAnsi="Times New Roman" w:cs="Times New Roman"/>
          <w:sz w:val="24"/>
          <w:szCs w:val="24"/>
        </w:rPr>
        <w:t xml:space="preserve"> The soul did move on, but there was no meaning in death, and even the hero Achilles who presumably resided in a blessed sector of Hades nevertheless famously lamented in Homer’s </w:t>
      </w:r>
      <w:r w:rsidRPr="00D35350">
        <w:rPr>
          <w:rFonts w:ascii="Times New Roman" w:hAnsi="Times New Roman" w:cs="Times New Roman"/>
          <w:i/>
          <w:sz w:val="24"/>
          <w:szCs w:val="24"/>
        </w:rPr>
        <w:t xml:space="preserve">Odyssey, </w:t>
      </w:r>
      <w:r w:rsidRPr="00D35350">
        <w:rPr>
          <w:rFonts w:ascii="Times New Roman" w:hAnsi="Times New Roman" w:cs="Times New Roman"/>
          <w:sz w:val="24"/>
          <w:szCs w:val="24"/>
        </w:rPr>
        <w:t>“I would rather work the soil as a serf on hire to some landless impoverished peasant than be King of all these lifeless dead.”</w:t>
      </w:r>
      <w:r w:rsidRPr="00D35350">
        <w:rPr>
          <w:rFonts w:ascii="Times New Roman" w:hAnsi="Times New Roman" w:cs="Times New Roman"/>
          <w:i/>
          <w:sz w:val="24"/>
          <w:szCs w:val="24"/>
        </w:rPr>
        <w:t xml:space="preserve"> </w:t>
      </w:r>
      <w:r w:rsidRPr="00D35350">
        <w:rPr>
          <w:rFonts w:ascii="Times New Roman" w:hAnsi="Times New Roman" w:cs="Times New Roman"/>
          <w:i/>
          <w:sz w:val="24"/>
          <w:szCs w:val="24"/>
          <w:vertAlign w:val="superscript"/>
        </w:rPr>
        <w:footnoteReference w:id="48"/>
      </w:r>
      <w:r w:rsidRPr="00D35350">
        <w:rPr>
          <w:rFonts w:ascii="Times New Roman" w:hAnsi="Times New Roman" w:cs="Times New Roman"/>
          <w:i/>
          <w:sz w:val="24"/>
          <w:szCs w:val="24"/>
        </w:rPr>
        <w:t xml:space="preserve"> </w:t>
      </w:r>
      <w:r w:rsidRPr="00D35350">
        <w:rPr>
          <w:rFonts w:ascii="Times New Roman" w:hAnsi="Times New Roman" w:cs="Times New Roman"/>
          <w:sz w:val="24"/>
          <w:szCs w:val="24"/>
        </w:rPr>
        <w:t xml:space="preserve">Still there were descriptions that offered some hope that life after death was tolerable and perhaps even pleasant such as those “fields of joy” known as the Elysian Fields, reserved for honorable dead, depicted in Virgil’s </w:t>
      </w:r>
      <w:r w:rsidRPr="00D35350">
        <w:rPr>
          <w:rFonts w:ascii="Times New Roman" w:hAnsi="Times New Roman" w:cs="Times New Roman"/>
          <w:i/>
          <w:sz w:val="24"/>
          <w:szCs w:val="24"/>
        </w:rPr>
        <w:t>Aeneid,</w:t>
      </w:r>
      <w:r w:rsidRPr="00D35350">
        <w:rPr>
          <w:rFonts w:ascii="Times New Roman" w:hAnsi="Times New Roman" w:cs="Times New Roman"/>
          <w:sz w:val="24"/>
          <w:szCs w:val="24"/>
        </w:rPr>
        <w:t xml:space="preserve"> Book VI. </w:t>
      </w:r>
      <w:r w:rsidRPr="00D35350">
        <w:rPr>
          <w:rFonts w:ascii="Times New Roman" w:hAnsi="Times New Roman" w:cs="Times New Roman"/>
          <w:sz w:val="24"/>
          <w:szCs w:val="24"/>
          <w:vertAlign w:val="superscript"/>
        </w:rPr>
        <w:footnoteReference w:id="49"/>
      </w:r>
    </w:p>
    <w:p w14:paraId="166D6A18"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lastRenderedPageBreak/>
        <w:tab/>
        <w:t xml:space="preserve">Eternal life and joy despite death and, in fact, only by death were what the culmination of the Mysteries seemed to offer its initiates. Indeed Sophocles claimed, “Thrice happy for those of the mortals who having seen these rites depart for Hades; for to them alone it is granted to have true life on the other side….” </w:t>
      </w:r>
      <w:r w:rsidRPr="00D35350">
        <w:rPr>
          <w:rFonts w:ascii="Times New Roman" w:hAnsi="Times New Roman" w:cs="Times New Roman"/>
          <w:sz w:val="24"/>
          <w:szCs w:val="24"/>
          <w:vertAlign w:val="superscript"/>
        </w:rPr>
        <w:footnoteReference w:id="50"/>
      </w:r>
      <w:r w:rsidRPr="00D35350">
        <w:rPr>
          <w:rFonts w:ascii="Times New Roman" w:hAnsi="Times New Roman" w:cs="Times New Roman"/>
          <w:sz w:val="24"/>
          <w:szCs w:val="24"/>
        </w:rPr>
        <w:t xml:space="preserve">  Whatever was shown to initiates, it seems to have imparted some sort of peace for they did not seem troubled by death any longer.  Interestingly, Aristotle infers that the initiates became worthy of this peace because they suffered an experience.</w:t>
      </w:r>
      <w:r w:rsidRPr="00D35350">
        <w:rPr>
          <w:rFonts w:ascii="Times New Roman" w:hAnsi="Times New Roman" w:cs="Times New Roman"/>
          <w:sz w:val="24"/>
          <w:szCs w:val="24"/>
          <w:vertAlign w:val="superscript"/>
        </w:rPr>
        <w:footnoteReference w:id="51"/>
      </w:r>
      <w:r w:rsidRPr="00D35350">
        <w:rPr>
          <w:rFonts w:ascii="Times New Roman" w:hAnsi="Times New Roman" w:cs="Times New Roman"/>
          <w:sz w:val="24"/>
          <w:szCs w:val="24"/>
        </w:rPr>
        <w:t xml:space="preserve">  One theory regarding the nature of this experience is that initiates were made to feel the utter desperation of Demeter at the loss of Persephone.  Undoubtedly, the experience of being reunited with a long lost loved one was something that would have resonated deeply in any human.  Scripture states that God has put eternity in man’s heart. </w:t>
      </w:r>
      <w:r w:rsidRPr="00D35350">
        <w:rPr>
          <w:rFonts w:ascii="Times New Roman" w:hAnsi="Times New Roman" w:cs="Times New Roman"/>
          <w:sz w:val="24"/>
          <w:szCs w:val="24"/>
          <w:vertAlign w:val="superscript"/>
        </w:rPr>
        <w:footnoteReference w:id="52"/>
      </w:r>
      <w:r w:rsidRPr="00D35350">
        <w:rPr>
          <w:rFonts w:ascii="Times New Roman" w:hAnsi="Times New Roman" w:cs="Times New Roman"/>
          <w:sz w:val="24"/>
          <w:szCs w:val="24"/>
        </w:rPr>
        <w:t xml:space="preserve"> If so, then man has an innate sense to connect with something beyond death.  Jesus’ reply to the Greeks who sought him seems odd, but given the fact that most Greeks would have been familiar with the well-known and long heralded Elysian Mysteries and their core message of hope after death, it is reasonable to think, as Markos does, that Jesus intended to connect with these Greeks in a way that would have made sense to them.  In the Samaritan story, Jesus draws on familiar cultural suppositions to connect with those Jews who needed to understand what faith entailed beyond keeping God’s law.  What better way for Jesus to reach the Greeks than to allude to a popular rite within their own culture that offered a framework for understanding His mission and message? Notably, Paul himself, evangelist to the Gentiles, might even have had the popular mystery cult in mind when he speaks of the “mystery of Christ” that is now being revealed even to the Gentiles who are invited as </w:t>
      </w:r>
      <w:r w:rsidRPr="00D35350">
        <w:rPr>
          <w:rFonts w:ascii="Times New Roman" w:hAnsi="Times New Roman" w:cs="Times New Roman"/>
          <w:sz w:val="24"/>
          <w:szCs w:val="24"/>
        </w:rPr>
        <w:lastRenderedPageBreak/>
        <w:t>“fellow heirs” into the promise of eternal life.</w:t>
      </w:r>
      <w:r w:rsidRPr="00D35350">
        <w:rPr>
          <w:rFonts w:ascii="Times New Roman" w:hAnsi="Times New Roman" w:cs="Times New Roman"/>
          <w:sz w:val="24"/>
          <w:szCs w:val="24"/>
          <w:vertAlign w:val="superscript"/>
        </w:rPr>
        <w:footnoteReference w:id="53"/>
      </w:r>
      <w:r w:rsidRPr="00D35350">
        <w:rPr>
          <w:rFonts w:ascii="Times New Roman" w:hAnsi="Times New Roman" w:cs="Times New Roman"/>
          <w:sz w:val="24"/>
          <w:szCs w:val="24"/>
        </w:rPr>
        <w:t xml:space="preserve">  Indeed, many of those Greeks who had experienced the Mysteries later founded nascent Christian communities. </w:t>
      </w:r>
      <w:r w:rsidRPr="00D35350">
        <w:rPr>
          <w:rFonts w:ascii="Times New Roman" w:hAnsi="Times New Roman" w:cs="Times New Roman"/>
          <w:sz w:val="24"/>
          <w:szCs w:val="24"/>
          <w:vertAlign w:val="superscript"/>
        </w:rPr>
        <w:footnoteReference w:id="54"/>
      </w:r>
    </w:p>
    <w:p w14:paraId="7E8BCAE5" w14:textId="4340D124" w:rsidR="00D35350" w:rsidRPr="00D35350" w:rsidRDefault="007571C8" w:rsidP="004C6ADF">
      <w:pPr>
        <w:spacing w:line="480" w:lineRule="auto"/>
        <w:rPr>
          <w:rFonts w:ascii="Times New Roman" w:hAnsi="Times New Roman" w:cs="Times New Roman"/>
          <w:sz w:val="24"/>
          <w:szCs w:val="24"/>
        </w:rPr>
      </w:pPr>
      <w:r>
        <w:rPr>
          <w:rFonts w:ascii="Times New Roman" w:hAnsi="Times New Roman" w:cs="Times New Roman"/>
          <w:sz w:val="24"/>
          <w:szCs w:val="24"/>
        </w:rPr>
        <w:tab/>
        <w:t>Paul, a Jew</w:t>
      </w:r>
      <w:r w:rsidR="00D35350" w:rsidRPr="00D35350">
        <w:rPr>
          <w:rFonts w:ascii="Times New Roman" w:hAnsi="Times New Roman" w:cs="Times New Roman"/>
          <w:sz w:val="24"/>
          <w:szCs w:val="24"/>
        </w:rPr>
        <w:t xml:space="preserve"> and former Pharisee, wrote a large part of the New Testament; he was very adept at recognizing and using the bridge that Greek culture presented.  Walking through Athens on one of his many missionary journeys, he engaged a group of Greeks at the Areopagus or Mars Hill.  On this famous hill, northwest of the Parthenon, Paul introduced God.  His reference point is compelling.   According to Scripture, there were altars scattered around Greece and most conspicuously on the hill with the inscription “To an Unknown God.” </w:t>
      </w:r>
      <w:r w:rsidR="00D35350" w:rsidRPr="00D35350">
        <w:rPr>
          <w:rFonts w:ascii="Times New Roman" w:hAnsi="Times New Roman" w:cs="Times New Roman"/>
          <w:sz w:val="24"/>
          <w:szCs w:val="24"/>
          <w:vertAlign w:val="superscript"/>
        </w:rPr>
        <w:footnoteReference w:id="55"/>
      </w:r>
      <w:r w:rsidR="00D35350" w:rsidRPr="00D35350">
        <w:rPr>
          <w:rFonts w:ascii="Times New Roman" w:hAnsi="Times New Roman" w:cs="Times New Roman"/>
          <w:sz w:val="24"/>
          <w:szCs w:val="24"/>
        </w:rPr>
        <w:t xml:space="preserve"> Using this memorial, Paul thus began a remarkable defense of the God of Scripture, telling the Greeks that he would identify what they, in their ignorance, did not know. </w:t>
      </w:r>
      <w:r w:rsidR="00D35350" w:rsidRPr="00D35350">
        <w:rPr>
          <w:rFonts w:ascii="Times New Roman" w:hAnsi="Times New Roman" w:cs="Times New Roman"/>
          <w:sz w:val="24"/>
          <w:szCs w:val="24"/>
          <w:vertAlign w:val="superscript"/>
        </w:rPr>
        <w:footnoteReference w:id="56"/>
      </w:r>
      <w:r w:rsidR="00D35350" w:rsidRPr="00D35350">
        <w:rPr>
          <w:rFonts w:ascii="Times New Roman" w:hAnsi="Times New Roman" w:cs="Times New Roman"/>
          <w:sz w:val="24"/>
          <w:szCs w:val="24"/>
        </w:rPr>
        <w:t xml:space="preserve"> The origin of these altars is not clear. However, according to a tradition recorded as history by Diogenes Laertius, a Greek author of the third century A.D., in a classical work called </w:t>
      </w:r>
      <w:r w:rsidR="00D35350" w:rsidRPr="00D35350">
        <w:rPr>
          <w:rFonts w:ascii="Times New Roman" w:hAnsi="Times New Roman" w:cs="Times New Roman"/>
          <w:i/>
          <w:sz w:val="24"/>
          <w:szCs w:val="24"/>
        </w:rPr>
        <w:t xml:space="preserve">The Lives of Eminent Philosophers, </w:t>
      </w:r>
      <w:r w:rsidR="00D35350" w:rsidRPr="00D35350">
        <w:rPr>
          <w:rFonts w:ascii="Times New Roman" w:hAnsi="Times New Roman" w:cs="Times New Roman"/>
          <w:sz w:val="24"/>
          <w:szCs w:val="24"/>
        </w:rPr>
        <w:t xml:space="preserve">an unknown God intervened in history to save Athens from a deadly pestilence sometime in the sixth century before Christ.  Apparently, a respected Cretan hero named Epimenides responded to a request by a council at Athens to advise the city in the matter of the plague.  Arriving in Athens, he instructed the council to gather black and white sheep and release them on the hill.  He then directed men to follow the sheep and note those that lay down.  </w:t>
      </w:r>
      <w:r w:rsidR="00D35350" w:rsidRPr="00D35350">
        <w:rPr>
          <w:rFonts w:ascii="Times New Roman" w:hAnsi="Times New Roman" w:cs="Times New Roman"/>
          <w:sz w:val="24"/>
          <w:szCs w:val="24"/>
          <w:vertAlign w:val="superscript"/>
        </w:rPr>
        <w:footnoteReference w:id="57"/>
      </w:r>
      <w:r w:rsidR="00D35350" w:rsidRPr="00D35350">
        <w:rPr>
          <w:rFonts w:ascii="Times New Roman" w:hAnsi="Times New Roman" w:cs="Times New Roman"/>
          <w:sz w:val="24"/>
          <w:szCs w:val="24"/>
        </w:rPr>
        <w:t xml:space="preserve"> The apparent purpose of Epimenides was to permit any god that was concerned in the matter of the plague an opportunity to reveal his or her willingness to accept those sheep as an offering and lift the plague.  As some may know, sheep do not easily lie down, and they most certainly will not lie </w:t>
      </w:r>
      <w:r w:rsidR="00D35350" w:rsidRPr="00D35350">
        <w:rPr>
          <w:rFonts w:ascii="Times New Roman" w:hAnsi="Times New Roman" w:cs="Times New Roman"/>
          <w:sz w:val="24"/>
          <w:szCs w:val="24"/>
        </w:rPr>
        <w:lastRenderedPageBreak/>
        <w:t xml:space="preserve">down when they are hungry.  Presumably, Epimenides had the sheep released in the morning to feed.  According to the Diogenes account, many of them did indeed lay down!  Those were marked to be sacrificed, and amazingly, it was reported the plague subsided.   Assuming that the council had sacrificed to every god they knew before they reached out to Epimenides, it makes sense that altars were built in honor of an “unknown god.”   Whether this story is true or not, Plato at least verifies Epimenides as a genuine historical figure who prophesied that the Persian army would come against Athens in ten years’ time but that Athens would stand its ground and defeat it. </w:t>
      </w:r>
      <w:r w:rsidR="00D35350" w:rsidRPr="00D35350">
        <w:rPr>
          <w:rFonts w:ascii="Times New Roman" w:hAnsi="Times New Roman" w:cs="Times New Roman"/>
          <w:sz w:val="24"/>
          <w:szCs w:val="24"/>
          <w:vertAlign w:val="superscript"/>
        </w:rPr>
        <w:footnoteReference w:id="58"/>
      </w:r>
      <w:r w:rsidR="00D35350" w:rsidRPr="00D35350">
        <w:rPr>
          <w:rFonts w:ascii="Times New Roman" w:hAnsi="Times New Roman" w:cs="Times New Roman"/>
          <w:sz w:val="24"/>
          <w:szCs w:val="24"/>
        </w:rPr>
        <w:t xml:space="preserve">  Was Paul aware of this backstory?  Even if he was not, surely those who met to hear him on Mars Hill that day were mindful of it.  Paul may not have known of the sheep account as related by Diogenes, but it seems likely he knew of the man, Epimenides.  </w:t>
      </w:r>
    </w:p>
    <w:p w14:paraId="53F3AB86"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tab/>
        <w:t xml:space="preserve">Around 49 A.D., Paul visited the island of Crete in order to preach the gospel and establish Churches.  As inferred by Paul’s admonition to a fellow proselytizer, Crete was proverbial in the ancient world for its immorality.  When Paul’s short stay came to an end, he entrusted the work he had begun to Titus, a servant of God and apostle.  In handing the reins over, Paul warns Titus to exercise discernment and caution when appointing Cretans.  He cautions him that even “one of the Cretans, a prophet of their own, said, ‘Cretans are always liars, evil beasts, lazy gluttons.’ This testimony is true.” </w:t>
      </w:r>
      <w:r w:rsidRPr="00D35350">
        <w:rPr>
          <w:rFonts w:ascii="Times New Roman" w:hAnsi="Times New Roman" w:cs="Times New Roman"/>
          <w:sz w:val="24"/>
          <w:szCs w:val="24"/>
          <w:vertAlign w:val="superscript"/>
        </w:rPr>
        <w:footnoteReference w:id="59"/>
      </w:r>
      <w:r w:rsidRPr="00D35350">
        <w:rPr>
          <w:rFonts w:ascii="Times New Roman" w:hAnsi="Times New Roman" w:cs="Times New Roman"/>
          <w:sz w:val="24"/>
          <w:szCs w:val="24"/>
        </w:rPr>
        <w:t xml:space="preserve">  The prophet quoted?  None other than Epimenides.</w:t>
      </w:r>
      <w:r w:rsidRPr="00D35350">
        <w:rPr>
          <w:rFonts w:ascii="Times New Roman" w:hAnsi="Times New Roman" w:cs="Times New Roman"/>
          <w:sz w:val="24"/>
          <w:szCs w:val="24"/>
          <w:vertAlign w:val="superscript"/>
        </w:rPr>
        <w:footnoteReference w:id="60"/>
      </w:r>
      <w:r w:rsidRPr="00D35350">
        <w:rPr>
          <w:rFonts w:ascii="Times New Roman" w:hAnsi="Times New Roman" w:cs="Times New Roman"/>
          <w:sz w:val="24"/>
          <w:szCs w:val="24"/>
        </w:rPr>
        <w:t xml:space="preserve">  Accordingly, Paul must have been acquainted with the poetry of this well-known Greek poet and scholar of the 7-6</w:t>
      </w:r>
      <w:r w:rsidRPr="00D35350">
        <w:rPr>
          <w:rFonts w:ascii="Times New Roman" w:hAnsi="Times New Roman" w:cs="Times New Roman"/>
          <w:sz w:val="24"/>
          <w:szCs w:val="24"/>
          <w:vertAlign w:val="superscript"/>
        </w:rPr>
        <w:t>th</w:t>
      </w:r>
      <w:r w:rsidRPr="00D35350">
        <w:rPr>
          <w:rFonts w:ascii="Times New Roman" w:hAnsi="Times New Roman" w:cs="Times New Roman"/>
          <w:sz w:val="24"/>
          <w:szCs w:val="24"/>
        </w:rPr>
        <w:t xml:space="preserve"> century BC.  Even more interesting, Paul echoes Plato and refers to Epimenides as a prophet.   Epimenides was a poet and a philosopher who counseled </w:t>
      </w:r>
      <w:r w:rsidRPr="00D35350">
        <w:rPr>
          <w:rFonts w:ascii="Times New Roman" w:hAnsi="Times New Roman" w:cs="Times New Roman"/>
          <w:sz w:val="24"/>
          <w:szCs w:val="24"/>
        </w:rPr>
        <w:lastRenderedPageBreak/>
        <w:t>Solon, the renowned 6</w:t>
      </w:r>
      <w:r w:rsidRPr="00D35350">
        <w:rPr>
          <w:rFonts w:ascii="Times New Roman" w:hAnsi="Times New Roman" w:cs="Times New Roman"/>
          <w:sz w:val="24"/>
          <w:szCs w:val="24"/>
          <w:vertAlign w:val="superscript"/>
        </w:rPr>
        <w:t>th</w:t>
      </w:r>
      <w:r w:rsidRPr="00D35350">
        <w:rPr>
          <w:rFonts w:ascii="Times New Roman" w:hAnsi="Times New Roman" w:cs="Times New Roman"/>
          <w:sz w:val="24"/>
          <w:szCs w:val="24"/>
        </w:rPr>
        <w:t xml:space="preserve"> century ruler, whose reforms of Athens are credited with setting the earliest forms of democracy. </w:t>
      </w:r>
      <w:r w:rsidRPr="00D35350">
        <w:rPr>
          <w:rFonts w:ascii="Times New Roman" w:hAnsi="Times New Roman" w:cs="Times New Roman"/>
          <w:sz w:val="24"/>
          <w:szCs w:val="24"/>
          <w:vertAlign w:val="superscript"/>
        </w:rPr>
        <w:footnoteReference w:id="61"/>
      </w:r>
      <w:r w:rsidRPr="00D35350">
        <w:rPr>
          <w:rFonts w:ascii="Times New Roman" w:hAnsi="Times New Roman" w:cs="Times New Roman"/>
          <w:sz w:val="24"/>
          <w:szCs w:val="24"/>
        </w:rPr>
        <w:t xml:space="preserve">  It is telling that Paul described him as, prophet, rather than poet or philosopher, especially in light of the religious connotation attached to the word.  Certainly, the Athenians that day listening to Paul would have been familiar with Epimenides and known something about the history of these obscure altars.  Whether the God of Scripture truly intervened in Greek history under this “unknown” guise can only be speculated upon, but if so, then Paul made an enlightening connection for his listeners that day.  Indeed, in his address to the Athenians, Paul cites a line from Epimenides’ poem, “A Hymn to Zeus” which says, “In him we live and move and have our being.” </w:t>
      </w:r>
      <w:r w:rsidRPr="00D35350">
        <w:rPr>
          <w:rFonts w:ascii="Times New Roman" w:hAnsi="Times New Roman" w:cs="Times New Roman"/>
          <w:sz w:val="24"/>
          <w:szCs w:val="24"/>
          <w:vertAlign w:val="superscript"/>
        </w:rPr>
        <w:footnoteReference w:id="62"/>
      </w:r>
      <w:r w:rsidRPr="00D35350">
        <w:rPr>
          <w:rFonts w:ascii="Times New Roman" w:hAnsi="Times New Roman" w:cs="Times New Roman"/>
          <w:sz w:val="24"/>
          <w:szCs w:val="24"/>
        </w:rPr>
        <w:t xml:space="preserve">  According to Luke, who is credited with writing Acts, Paul segues into this direct quotation immediately after recounting both the attributes of the “unknown  god” and this God’s generosity in not only granting life to all men but more importantly waiting for men to reach out and find Him though “he is actually not far from each one of us…” </w:t>
      </w:r>
      <w:r w:rsidRPr="00D35350">
        <w:rPr>
          <w:rFonts w:ascii="Times New Roman" w:hAnsi="Times New Roman" w:cs="Times New Roman"/>
          <w:sz w:val="24"/>
          <w:szCs w:val="24"/>
          <w:vertAlign w:val="superscript"/>
        </w:rPr>
        <w:footnoteReference w:id="63"/>
      </w:r>
      <w:r w:rsidRPr="00D35350">
        <w:rPr>
          <w:rFonts w:ascii="Times New Roman" w:hAnsi="Times New Roman" w:cs="Times New Roman"/>
          <w:sz w:val="24"/>
          <w:szCs w:val="24"/>
        </w:rPr>
        <w:t xml:space="preserve">  Continuing, he assures the Greeks that God is not angry with them for their ignorance, but He does expect them to abandon that ignorance and move forward in the knowledge that Paul now shares.  In quoting the line from Epimenides’ poem, Paul highlights that Epimenides understood a higher power sustained life.   Those Athenians who knew of the obscure altar backstory and the fact that Epimenides did not call on Zeus surely were intrigued by Paul’s presentation. </w:t>
      </w:r>
    </w:p>
    <w:p w14:paraId="46082918"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tab/>
        <w:t xml:space="preserve">Paul gains a further cultural foothold by noting another Greek poet as he challenges the Greeks’ propensity to worship images of gold and silver; He notes that the poet Aratus said, “For </w:t>
      </w:r>
      <w:r w:rsidRPr="00D35350">
        <w:rPr>
          <w:rFonts w:ascii="Times New Roman" w:hAnsi="Times New Roman" w:cs="Times New Roman"/>
          <w:sz w:val="24"/>
          <w:szCs w:val="24"/>
        </w:rPr>
        <w:lastRenderedPageBreak/>
        <w:t xml:space="preserve">we are indeed his offspring.” </w:t>
      </w:r>
      <w:r w:rsidRPr="00D35350">
        <w:rPr>
          <w:rFonts w:ascii="Times New Roman" w:hAnsi="Times New Roman" w:cs="Times New Roman"/>
          <w:sz w:val="24"/>
          <w:szCs w:val="24"/>
          <w:vertAlign w:val="superscript"/>
        </w:rPr>
        <w:footnoteReference w:id="64"/>
      </w:r>
      <w:r w:rsidRPr="00D35350">
        <w:rPr>
          <w:rFonts w:ascii="Times New Roman" w:hAnsi="Times New Roman" w:cs="Times New Roman"/>
          <w:sz w:val="24"/>
          <w:szCs w:val="24"/>
        </w:rPr>
        <w:t xml:space="preserve"> The source of the quote is the fifth line of Aratus’ poem, “Phenomena.” </w:t>
      </w:r>
      <w:r w:rsidRPr="00D35350">
        <w:rPr>
          <w:rFonts w:ascii="Times New Roman" w:hAnsi="Times New Roman" w:cs="Times New Roman"/>
          <w:sz w:val="24"/>
          <w:szCs w:val="24"/>
          <w:vertAlign w:val="superscript"/>
        </w:rPr>
        <w:footnoteReference w:id="65"/>
      </w:r>
      <w:r w:rsidRPr="00D35350">
        <w:rPr>
          <w:rFonts w:ascii="Times New Roman" w:hAnsi="Times New Roman" w:cs="Times New Roman"/>
          <w:sz w:val="24"/>
          <w:szCs w:val="24"/>
        </w:rPr>
        <w:t xml:space="preserve"> In a bid to note the incongruity of worshipping idols, Paul infers that if men are God’s offspring, it is not logical to think that God was formed by man’s hands or his imagination. </w:t>
      </w:r>
      <w:r w:rsidRPr="00D35350">
        <w:rPr>
          <w:rFonts w:ascii="Times New Roman" w:hAnsi="Times New Roman" w:cs="Times New Roman"/>
          <w:sz w:val="24"/>
          <w:szCs w:val="24"/>
          <w:vertAlign w:val="superscript"/>
        </w:rPr>
        <w:footnoteReference w:id="66"/>
      </w:r>
      <w:r w:rsidRPr="00D35350">
        <w:rPr>
          <w:rFonts w:ascii="Times New Roman" w:hAnsi="Times New Roman" w:cs="Times New Roman"/>
          <w:sz w:val="24"/>
          <w:szCs w:val="24"/>
        </w:rPr>
        <w:t xml:space="preserve"> Greek philosophers such as Xenophanes of the 5</w:t>
      </w:r>
      <w:r w:rsidRPr="00D35350">
        <w:rPr>
          <w:rFonts w:ascii="Times New Roman" w:hAnsi="Times New Roman" w:cs="Times New Roman"/>
          <w:sz w:val="24"/>
          <w:szCs w:val="24"/>
          <w:vertAlign w:val="superscript"/>
        </w:rPr>
        <w:t>th</w:t>
      </w:r>
      <w:r w:rsidRPr="00D35350">
        <w:rPr>
          <w:rFonts w:ascii="Times New Roman" w:hAnsi="Times New Roman" w:cs="Times New Roman"/>
          <w:sz w:val="24"/>
          <w:szCs w:val="24"/>
        </w:rPr>
        <w:t xml:space="preserve"> century posed the same puzzle.  Xenophanes viewed the existence of the Greek gods as immoral and questioned their existence pointing out that if cattle had hands with which they might fashion some gods, they would form cattle, horses would shape horses.</w:t>
      </w:r>
      <w:r w:rsidRPr="00D35350">
        <w:rPr>
          <w:rFonts w:ascii="Times New Roman" w:hAnsi="Times New Roman" w:cs="Times New Roman"/>
          <w:sz w:val="24"/>
          <w:szCs w:val="24"/>
          <w:vertAlign w:val="superscript"/>
        </w:rPr>
        <w:footnoteReference w:id="67"/>
      </w:r>
      <w:r w:rsidRPr="00D35350">
        <w:rPr>
          <w:rFonts w:ascii="Times New Roman" w:hAnsi="Times New Roman" w:cs="Times New Roman"/>
          <w:sz w:val="24"/>
          <w:szCs w:val="24"/>
        </w:rPr>
        <w:t xml:space="preserve">  The truth is that Greek philosophers even before Socrates who was killed for supposedly being an atheist did not put much stock in the gods.  So Paul was definitely on familiar footing.  And though some that day disregarded the new teachings on which Paul expounded, others inquired further and according to Scripture believed.  Those who did believe surely viewed the memorials “To an Unknown God,” along with their own prophet, Epimenides, in an entirely new light. </w:t>
      </w:r>
    </w:p>
    <w:p w14:paraId="421D4966" w14:textId="77777777" w:rsidR="00D35350" w:rsidRPr="00D35350"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tab/>
        <w:t xml:space="preserve">Paul was not the only New Testament disciple who used Greek history and culture to establish a connection to Christianity and win new converts.  The disciple John, in the Book of John, chose to open his gospel with the words, “In the beginning was the Word, and the Word was with God and the Word was God.” </w:t>
      </w:r>
      <w:r w:rsidRPr="00D35350">
        <w:rPr>
          <w:rFonts w:ascii="Times New Roman" w:hAnsi="Times New Roman" w:cs="Times New Roman"/>
          <w:sz w:val="24"/>
          <w:szCs w:val="24"/>
          <w:vertAlign w:val="superscript"/>
        </w:rPr>
        <w:footnoteReference w:id="68"/>
      </w:r>
      <w:r w:rsidRPr="00D35350">
        <w:rPr>
          <w:rFonts w:ascii="Times New Roman" w:hAnsi="Times New Roman" w:cs="Times New Roman"/>
          <w:sz w:val="24"/>
          <w:szCs w:val="24"/>
        </w:rPr>
        <w:t xml:space="preserve">  The use of “Word” in this verse clearly manifests some profundity.  John not only endows it with an existence that precedes the world and is distinct from it, but further on he identifies it as Jesus in that it “became flesh and dwelt among us.”</w:t>
      </w:r>
      <w:r w:rsidRPr="00D35350">
        <w:rPr>
          <w:rFonts w:ascii="Times New Roman" w:hAnsi="Times New Roman" w:cs="Times New Roman"/>
          <w:sz w:val="24"/>
          <w:szCs w:val="24"/>
          <w:vertAlign w:val="superscript"/>
        </w:rPr>
        <w:footnoteReference w:id="69"/>
      </w:r>
      <w:r w:rsidRPr="00D35350">
        <w:rPr>
          <w:rFonts w:ascii="Times New Roman" w:hAnsi="Times New Roman" w:cs="Times New Roman"/>
          <w:sz w:val="24"/>
          <w:szCs w:val="24"/>
        </w:rPr>
        <w:t xml:space="preserve"> John, no doubt, intended to ascribe to Jesus several concepts unique to God: the use of the spoken word by God to create (as seen in the Genesis account) to instruct, admonish, and </w:t>
      </w:r>
      <w:r w:rsidRPr="00D35350">
        <w:rPr>
          <w:rFonts w:ascii="Times New Roman" w:hAnsi="Times New Roman" w:cs="Times New Roman"/>
          <w:sz w:val="24"/>
          <w:szCs w:val="24"/>
        </w:rPr>
        <w:lastRenderedPageBreak/>
        <w:t xml:space="preserve">facilitate a personal relationship with His people.  Scholarship generally assigns the writing of this gospel by John in Ephesus after a date of AD 70. His audience consisted of both Jews and Greco-Roman Gentiles living in Ephesus, an important urban center of the Roman Empire at the time.  This may be noted as he frequently explains Hebrew terms to his listeners. </w:t>
      </w:r>
      <w:r w:rsidRPr="00D35350">
        <w:rPr>
          <w:rFonts w:ascii="Times New Roman" w:hAnsi="Times New Roman" w:cs="Times New Roman"/>
          <w:sz w:val="24"/>
          <w:szCs w:val="24"/>
          <w:vertAlign w:val="superscript"/>
        </w:rPr>
        <w:footnoteReference w:id="70"/>
      </w:r>
      <w:r w:rsidRPr="00D35350">
        <w:rPr>
          <w:rFonts w:ascii="Times New Roman" w:hAnsi="Times New Roman" w:cs="Times New Roman"/>
          <w:sz w:val="24"/>
          <w:szCs w:val="24"/>
        </w:rPr>
        <w:t xml:space="preserve">  So it is not surprising that he employs the Greek Logos (translated as “Word” in English) to explain the identity of Jesus and the relationship He has to the God of the Old Testament.   In fact, as will be explored further on, it was a link that some of the early Church Fathers latched onto in order to argue that God had indeed prepared the Greeks through their own philosophy for the Christian gospel. </w:t>
      </w:r>
    </w:p>
    <w:p w14:paraId="7895930F" w14:textId="15DA9595" w:rsidR="00D35350" w:rsidRPr="00D35350" w:rsidRDefault="004B28FA"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r w:rsidR="00D35350" w:rsidRPr="00D35350">
        <w:rPr>
          <w:rFonts w:ascii="Times New Roman" w:hAnsi="Times New Roman" w:cs="Times New Roman"/>
          <w:sz w:val="24"/>
          <w:szCs w:val="24"/>
        </w:rPr>
        <w:t xml:space="preserve">By the time John employed this translation, Greek philosophy, from which John’s particular use of the logos sprung, had already secured a prominent place in Greek culture.  Heraclitus of Ephesus, a Greek philosopher, circa 540-480 BC, is generally attributed with moving the discussion of the existentiality of man towards an objective truth. </w:t>
      </w:r>
      <w:r w:rsidR="00D35350" w:rsidRPr="00D35350">
        <w:rPr>
          <w:rFonts w:ascii="Times New Roman" w:hAnsi="Times New Roman" w:cs="Times New Roman"/>
          <w:sz w:val="24"/>
          <w:szCs w:val="24"/>
          <w:vertAlign w:val="superscript"/>
        </w:rPr>
        <w:footnoteReference w:id="71"/>
      </w:r>
      <w:r w:rsidR="00D35350" w:rsidRPr="00D35350">
        <w:rPr>
          <w:rFonts w:ascii="Times New Roman" w:hAnsi="Times New Roman" w:cs="Times New Roman"/>
          <w:sz w:val="24"/>
          <w:szCs w:val="24"/>
        </w:rPr>
        <w:t xml:space="preserve">  Like other pre-Socratic philosophers, he wanted to find a rational basis for the world. When these early Greek philosophers observed the world, they saw not only order but also that things had a certain purpose and seemed part of a plan.  Certainly an eye has the specific purpose of seeing, and it is difficult to not see that the sun is needed for all living things to thrive.  While natural phenomena were explained by Greek myths such as the story of Proserpina and the annual return of spring, the unpredictability of the gods and their many whims displayed chaos rather than order.  Furthermore, Greek myths may have explained phenomena in one locale, but could not explain phenomena outside of it.  The formation of one particular mountain might be explained by some epic battle between gods that took place there, but that battle could not explain mountains </w:t>
      </w:r>
      <w:r w:rsidR="00D35350" w:rsidRPr="00D35350">
        <w:rPr>
          <w:rFonts w:ascii="Times New Roman" w:hAnsi="Times New Roman" w:cs="Times New Roman"/>
          <w:sz w:val="24"/>
          <w:szCs w:val="24"/>
        </w:rPr>
        <w:lastRenderedPageBreak/>
        <w:t xml:space="preserve">everywhere.  Conversely, a rational reason can be applied in more than one circumstance.  These early philosophers looked for a unifying principle underlying the order and plan they observed.  Some settled on water; some on air; Heraclitus settled on fire. </w:t>
      </w:r>
      <w:r w:rsidR="00D35350" w:rsidRPr="00D35350">
        <w:rPr>
          <w:rFonts w:ascii="Times New Roman" w:hAnsi="Times New Roman" w:cs="Times New Roman"/>
          <w:sz w:val="24"/>
          <w:szCs w:val="24"/>
          <w:vertAlign w:val="superscript"/>
        </w:rPr>
        <w:footnoteReference w:id="72"/>
      </w:r>
      <w:r w:rsidR="00D35350" w:rsidRPr="00D35350">
        <w:rPr>
          <w:rFonts w:ascii="Times New Roman" w:hAnsi="Times New Roman" w:cs="Times New Roman"/>
          <w:sz w:val="24"/>
          <w:szCs w:val="24"/>
        </w:rPr>
        <w:t xml:space="preserve">  He reasoned that since fire is warm and dead bodies are cold, fire must be the source of life.  He built on his predecessors thoughts in determining that a cosmic soul existed within nature providing the foundation of order observed and also providing the source of motion that all living things exhibited. Since dead bodies do not move, that proved the motion or soul was no longer present.  </w:t>
      </w:r>
      <w:r w:rsidR="00D35350" w:rsidRPr="00D35350">
        <w:rPr>
          <w:rFonts w:ascii="Times New Roman" w:hAnsi="Times New Roman" w:cs="Times New Roman"/>
          <w:sz w:val="24"/>
          <w:szCs w:val="24"/>
          <w:vertAlign w:val="superscript"/>
        </w:rPr>
        <w:footnoteReference w:id="73"/>
      </w:r>
      <w:r w:rsidR="00D35350" w:rsidRPr="00D35350">
        <w:rPr>
          <w:rFonts w:ascii="Times New Roman" w:hAnsi="Times New Roman" w:cs="Times New Roman"/>
          <w:sz w:val="24"/>
          <w:szCs w:val="24"/>
        </w:rPr>
        <w:t xml:space="preserve">  The Greek gods were relegated, if given a place at all by these philosophers, to being some vague creation or expression of this cosmic soul which was , in fact, decidedly divine given the enduring state of the world or cosmos.   But let’s take a look at Heraclitus’ use of the word ”logos”  in particular.</w:t>
      </w:r>
    </w:p>
    <w:p w14:paraId="1D37B1D1" w14:textId="6717C482" w:rsidR="00D35350" w:rsidRPr="00D35350" w:rsidRDefault="004B28FA"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r w:rsidR="00D35350" w:rsidRPr="00D35350">
        <w:rPr>
          <w:rFonts w:ascii="Times New Roman" w:hAnsi="Times New Roman" w:cs="Times New Roman"/>
          <w:sz w:val="24"/>
          <w:szCs w:val="24"/>
        </w:rPr>
        <w:t xml:space="preserve">First off, the use of the word “logos” is fairly infrequent in other prominent works of the time, notably that of Homer and Hesiod. When it is used, it is in relationship to conveying a story and indeed meant story or account or report.  However, more specifically, it was used to convey a structured account that was meant to be understood in a certain way irrespective of the listener’s viewpoint or belief about the account or even the reality of the situation. </w:t>
      </w:r>
      <w:r w:rsidR="00D35350" w:rsidRPr="00D35350">
        <w:rPr>
          <w:rFonts w:ascii="Times New Roman" w:hAnsi="Times New Roman" w:cs="Times New Roman"/>
          <w:sz w:val="24"/>
          <w:szCs w:val="24"/>
          <w:vertAlign w:val="superscript"/>
        </w:rPr>
        <w:footnoteReference w:id="74"/>
      </w:r>
      <w:r w:rsidR="00D35350" w:rsidRPr="00D35350">
        <w:rPr>
          <w:rFonts w:ascii="Times New Roman" w:hAnsi="Times New Roman" w:cs="Times New Roman"/>
          <w:sz w:val="24"/>
          <w:szCs w:val="24"/>
        </w:rPr>
        <w:t xml:space="preserve">  In contrast to “epea,” a Greek word more frequently used to refer to people’s actual addressing of each other or in reference to anything that happened to be said, “logos” referred to what actually was manifested </w:t>
      </w:r>
      <w:r w:rsidR="00D35350" w:rsidRPr="00D35350">
        <w:rPr>
          <w:rFonts w:ascii="Times New Roman" w:hAnsi="Times New Roman" w:cs="Times New Roman"/>
          <w:i/>
          <w:sz w:val="24"/>
          <w:szCs w:val="24"/>
        </w:rPr>
        <w:t>through</w:t>
      </w:r>
      <w:r w:rsidR="00D35350" w:rsidRPr="00D35350">
        <w:rPr>
          <w:rFonts w:ascii="Times New Roman" w:hAnsi="Times New Roman" w:cs="Times New Roman"/>
          <w:sz w:val="24"/>
          <w:szCs w:val="24"/>
        </w:rPr>
        <w:t xml:space="preserve"> the words — the argument, the reasoning, or explanation. </w:t>
      </w:r>
      <w:r w:rsidR="00D35350" w:rsidRPr="00D35350">
        <w:rPr>
          <w:rFonts w:ascii="Times New Roman" w:hAnsi="Times New Roman" w:cs="Times New Roman"/>
          <w:sz w:val="24"/>
          <w:szCs w:val="24"/>
          <w:vertAlign w:val="superscript"/>
        </w:rPr>
        <w:footnoteReference w:id="75"/>
      </w:r>
      <w:r w:rsidR="00D35350" w:rsidRPr="00D35350">
        <w:rPr>
          <w:rFonts w:ascii="Times New Roman" w:hAnsi="Times New Roman" w:cs="Times New Roman"/>
          <w:sz w:val="24"/>
          <w:szCs w:val="24"/>
        </w:rPr>
        <w:t xml:space="preserve">  A good example cited by Mark Johnstone in </w:t>
      </w:r>
      <w:r w:rsidR="00D35350" w:rsidRPr="00D35350">
        <w:rPr>
          <w:rFonts w:ascii="Times New Roman" w:hAnsi="Times New Roman" w:cs="Times New Roman"/>
          <w:i/>
          <w:sz w:val="24"/>
          <w:szCs w:val="24"/>
        </w:rPr>
        <w:t xml:space="preserve">On ‘Logos’ in Heraclitus, </w:t>
      </w:r>
      <w:r w:rsidR="00D35350" w:rsidRPr="00D35350">
        <w:rPr>
          <w:rFonts w:ascii="Times New Roman" w:hAnsi="Times New Roman" w:cs="Times New Roman"/>
          <w:sz w:val="24"/>
          <w:szCs w:val="24"/>
        </w:rPr>
        <w:t xml:space="preserve">comes from the mouth of the goddess, Athena, in the drama by Aeschylus called “Eumenides.”  In line 428, the Furies demand that Athena weigh in on the matter of Orestes who had committed matricide, but she will not </w:t>
      </w:r>
      <w:r w:rsidR="00D35350" w:rsidRPr="00D35350">
        <w:rPr>
          <w:rFonts w:ascii="Times New Roman" w:hAnsi="Times New Roman" w:cs="Times New Roman"/>
          <w:sz w:val="24"/>
          <w:szCs w:val="24"/>
        </w:rPr>
        <w:lastRenderedPageBreak/>
        <w:t xml:space="preserve">give her opinion until she has heard from Orestes, from whom she expects to hear the other half of the “logos.” </w:t>
      </w:r>
      <w:r w:rsidR="00D35350" w:rsidRPr="00D35350">
        <w:rPr>
          <w:rFonts w:ascii="Times New Roman" w:hAnsi="Times New Roman" w:cs="Times New Roman"/>
          <w:sz w:val="24"/>
          <w:szCs w:val="24"/>
          <w:vertAlign w:val="superscript"/>
        </w:rPr>
        <w:footnoteReference w:id="76"/>
      </w:r>
      <w:r w:rsidR="00D35350" w:rsidRPr="00D35350">
        <w:rPr>
          <w:rFonts w:ascii="Times New Roman" w:hAnsi="Times New Roman" w:cs="Times New Roman"/>
          <w:sz w:val="24"/>
          <w:szCs w:val="24"/>
        </w:rPr>
        <w:t xml:space="preserve">  The translator, Herbert Weir Smyth, assigns the English word “case” </w:t>
      </w:r>
      <w:r w:rsidR="00D35350" w:rsidRPr="00D35350">
        <w:rPr>
          <w:rFonts w:ascii="Times New Roman" w:hAnsi="Times New Roman" w:cs="Times New Roman"/>
          <w:sz w:val="24"/>
          <w:szCs w:val="24"/>
          <w:vertAlign w:val="superscript"/>
        </w:rPr>
        <w:footnoteReference w:id="77"/>
      </w:r>
      <w:r w:rsidR="00D35350" w:rsidRPr="00D35350">
        <w:rPr>
          <w:rFonts w:ascii="Times New Roman" w:hAnsi="Times New Roman" w:cs="Times New Roman"/>
          <w:sz w:val="24"/>
          <w:szCs w:val="24"/>
        </w:rPr>
        <w:t xml:space="preserve">  to “logos” in this context which clearly reflects that what Athena expected to hear was not the actual syllable utterances from Orestes’ mouth but rather his justification of the matricide, his account of it, his reckoning of it, or in colloquial language, his side of the story.   From Heraclitus on, philosophers practiced rational inquiry into the natural source of phenomena and commonly wrote their findings down in prose.  Each put forth his argument and reasons in search of the truth of things, and in using the word “logos,” they not only contributed to its implicit connotation of reason or justification but inferred that their argument or “logos” had a certain power to it since reasoning out a matter was a process and involved critical thinking.</w:t>
      </w:r>
      <w:r w:rsidR="00D35350" w:rsidRPr="00D35350">
        <w:rPr>
          <w:rFonts w:ascii="Times New Roman" w:hAnsi="Times New Roman" w:cs="Times New Roman"/>
          <w:sz w:val="24"/>
          <w:szCs w:val="24"/>
          <w:vertAlign w:val="superscript"/>
        </w:rPr>
        <w:footnoteReference w:id="78"/>
      </w:r>
      <w:r w:rsidR="00D35350" w:rsidRPr="00D35350">
        <w:rPr>
          <w:rFonts w:ascii="Times New Roman" w:hAnsi="Times New Roman" w:cs="Times New Roman"/>
          <w:sz w:val="24"/>
          <w:szCs w:val="24"/>
        </w:rPr>
        <w:t xml:space="preserve">  Thus, proving one’s truth of the matter through this process lent objectivity to the use of “logos.” After all, just as in a court of law, truth is a matter of a preponderance of evidence presented through a process of reasoning. </w:t>
      </w:r>
    </w:p>
    <w:p w14:paraId="7CAD7311" w14:textId="4D8AF64D" w:rsidR="00D35350" w:rsidRPr="00D35350" w:rsidRDefault="004B28FA"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r w:rsidR="00D35350" w:rsidRPr="00D35350">
        <w:rPr>
          <w:rFonts w:ascii="Times New Roman" w:hAnsi="Times New Roman" w:cs="Times New Roman"/>
          <w:sz w:val="24"/>
          <w:szCs w:val="24"/>
        </w:rPr>
        <w:t>Knowing this background of the use of “logos” gives us a frame of reference for Heraclitus’ peculiar use of it as reflected in his work.  In nine of the surviving fragments which feature the thoughts of Heraclitus, the word “logos” is mentioned.   In most of these, its mention is in the typical context of the time which was either a mere verbal utterance or the reason or case of a matter such as that illustrated with the goddess Athena’s use. However, in some fragments, Heraclitus seems to break with the usual meaning of “logos” and put forth his own philosophical view.</w:t>
      </w:r>
      <w:r w:rsidR="00D35350" w:rsidRPr="00D35350">
        <w:rPr>
          <w:rFonts w:ascii="Times New Roman" w:hAnsi="Times New Roman" w:cs="Times New Roman"/>
          <w:sz w:val="24"/>
          <w:szCs w:val="24"/>
          <w:vertAlign w:val="superscript"/>
        </w:rPr>
        <w:footnoteReference w:id="79"/>
      </w:r>
      <w:r w:rsidR="00D35350" w:rsidRPr="00D35350">
        <w:rPr>
          <w:rFonts w:ascii="Times New Roman" w:hAnsi="Times New Roman" w:cs="Times New Roman"/>
          <w:sz w:val="24"/>
          <w:szCs w:val="24"/>
        </w:rPr>
        <w:t xml:space="preserve"> Let’s take a look at the wording of these fragments since they provide a foundation for the meaning of Logos which was interpreted by the apostle John and the early </w:t>
      </w:r>
      <w:r w:rsidR="00D35350" w:rsidRPr="00D35350">
        <w:rPr>
          <w:rFonts w:ascii="Times New Roman" w:hAnsi="Times New Roman" w:cs="Times New Roman"/>
          <w:sz w:val="24"/>
          <w:szCs w:val="24"/>
        </w:rPr>
        <w:lastRenderedPageBreak/>
        <w:t>Church fathers (as we will see shortly in their own words) to be the Christian God embodied in Jesus Christ. Fragment two says the following:</w:t>
      </w:r>
    </w:p>
    <w:p w14:paraId="252452B5" w14:textId="77777777" w:rsidR="00D35350" w:rsidRPr="00D35350" w:rsidRDefault="00D35350" w:rsidP="004B28FA">
      <w:pPr>
        <w:spacing w:line="240" w:lineRule="auto"/>
        <w:ind w:left="720" w:right="720"/>
        <w:rPr>
          <w:rFonts w:ascii="Times New Roman" w:hAnsi="Times New Roman" w:cs="Times New Roman"/>
          <w:sz w:val="24"/>
          <w:szCs w:val="24"/>
        </w:rPr>
      </w:pPr>
      <w:r w:rsidRPr="00D35350">
        <w:rPr>
          <w:rFonts w:ascii="Times New Roman" w:hAnsi="Times New Roman" w:cs="Times New Roman"/>
          <w:sz w:val="24"/>
          <w:szCs w:val="24"/>
        </w:rPr>
        <w:t xml:space="preserve">This logos holds always, but humans always prove uncomprehending, both before hearing it and when they have first heard it. For though all things come to be in accordance with this logos, humans are like the inexperienced when they experience such words and deeds as I set out, distinguishing each in accordance with its nature and saying how it is.  But other people fail to notice what they do when awake, just as they forget what they do while asleep. </w:t>
      </w:r>
      <w:r w:rsidRPr="00D35350">
        <w:rPr>
          <w:rFonts w:ascii="Times New Roman" w:hAnsi="Times New Roman" w:cs="Times New Roman"/>
          <w:sz w:val="24"/>
          <w:szCs w:val="24"/>
          <w:vertAlign w:val="superscript"/>
        </w:rPr>
        <w:footnoteReference w:id="80"/>
      </w:r>
      <w:r w:rsidRPr="00D35350">
        <w:rPr>
          <w:rFonts w:ascii="Times New Roman" w:hAnsi="Times New Roman" w:cs="Times New Roman"/>
          <w:sz w:val="24"/>
          <w:szCs w:val="24"/>
        </w:rPr>
        <w:t xml:space="preserve"> </w:t>
      </w:r>
    </w:p>
    <w:p w14:paraId="6C3AB742" w14:textId="7D85A338" w:rsidR="007F1E3B" w:rsidRDefault="00D35350" w:rsidP="004C6ADF">
      <w:pPr>
        <w:spacing w:line="480" w:lineRule="auto"/>
        <w:rPr>
          <w:rFonts w:ascii="Times New Roman" w:hAnsi="Times New Roman" w:cs="Times New Roman"/>
          <w:sz w:val="24"/>
          <w:szCs w:val="24"/>
        </w:rPr>
      </w:pPr>
      <w:r w:rsidRPr="00D35350">
        <w:rPr>
          <w:rFonts w:ascii="Times New Roman" w:hAnsi="Times New Roman" w:cs="Times New Roman"/>
          <w:sz w:val="24"/>
          <w:szCs w:val="24"/>
        </w:rPr>
        <w:t xml:space="preserve">As Johnstone notes in his essay, “On ‘Logos’ in Heraclitus,” the use of logos appears to mean more than just the average word or case being conveyed.  In fact, since the estimation of “logos” in this fragment “holds always” and “things come to be in accordance with this “logos,” it appears to connote something not only independent of the speaker’s words but something that is unmovable and even eternal and definitely beyond humans’ ability to understand; this does not fit with the typical use of the time of logos as a report or case —for how does it make sense to say humans don’t understand verbal speech before they hear it? </w:t>
      </w:r>
      <w:r w:rsidRPr="00D35350">
        <w:rPr>
          <w:rFonts w:ascii="Times New Roman" w:hAnsi="Times New Roman" w:cs="Times New Roman"/>
          <w:sz w:val="24"/>
          <w:szCs w:val="24"/>
          <w:vertAlign w:val="superscript"/>
        </w:rPr>
        <w:footnoteReference w:id="81"/>
      </w:r>
      <w:r w:rsidRPr="00D35350">
        <w:rPr>
          <w:rFonts w:ascii="Times New Roman" w:hAnsi="Times New Roman" w:cs="Times New Roman"/>
          <w:sz w:val="24"/>
          <w:szCs w:val="24"/>
        </w:rPr>
        <w:t xml:space="preserve"> In fragment 92, Heraclitus states, “For this reason it is necessary to follow what is common.  But although the “logos” is common, most people live as if they had their own understanding [wisdom].” </w:t>
      </w:r>
      <w:r w:rsidRPr="00D35350">
        <w:rPr>
          <w:rFonts w:ascii="Times New Roman" w:hAnsi="Times New Roman" w:cs="Times New Roman"/>
          <w:sz w:val="24"/>
          <w:szCs w:val="24"/>
          <w:vertAlign w:val="superscript"/>
        </w:rPr>
        <w:footnoteReference w:id="82"/>
      </w:r>
      <w:r w:rsidRPr="00D35350">
        <w:rPr>
          <w:rFonts w:ascii="Times New Roman" w:hAnsi="Times New Roman" w:cs="Times New Roman"/>
          <w:sz w:val="24"/>
          <w:szCs w:val="24"/>
        </w:rPr>
        <w:t xml:space="preserve"> Heraclitus further clarifies this “logos” as distinct from human understanding or wisdom in fragment 96 which states, “For human nature does not possess understanding [wisdom] but the divine [God] does.” </w:t>
      </w:r>
      <w:r w:rsidRPr="00D35350">
        <w:rPr>
          <w:rFonts w:ascii="Times New Roman" w:hAnsi="Times New Roman" w:cs="Times New Roman"/>
          <w:sz w:val="24"/>
          <w:szCs w:val="24"/>
          <w:vertAlign w:val="superscript"/>
        </w:rPr>
        <w:footnoteReference w:id="83"/>
      </w:r>
      <w:r w:rsidRPr="00D35350">
        <w:rPr>
          <w:rFonts w:ascii="Times New Roman" w:hAnsi="Times New Roman" w:cs="Times New Roman"/>
          <w:sz w:val="24"/>
          <w:szCs w:val="24"/>
        </w:rPr>
        <w:t xml:space="preserve"> So this wisdom is common, holds things together if we take into account fragment two, but is too lofty for humans to understand. One other notable fragment that seems to imbue “logos” with special characteristics is that of fragment 1: “Listening not to me but to the “logos,” </w:t>
      </w:r>
      <w:r w:rsidRPr="00D35350">
        <w:rPr>
          <w:rFonts w:ascii="Times New Roman" w:hAnsi="Times New Roman" w:cs="Times New Roman"/>
          <w:sz w:val="24"/>
          <w:szCs w:val="24"/>
        </w:rPr>
        <w:lastRenderedPageBreak/>
        <w:t xml:space="preserve">it is wise to agree that all things are one. </w:t>
      </w:r>
      <w:r w:rsidRPr="00D35350">
        <w:rPr>
          <w:rFonts w:ascii="Times New Roman" w:hAnsi="Times New Roman" w:cs="Times New Roman"/>
          <w:sz w:val="24"/>
          <w:szCs w:val="24"/>
          <w:vertAlign w:val="superscript"/>
        </w:rPr>
        <w:footnoteReference w:id="84"/>
      </w:r>
      <w:r w:rsidRPr="00D35350">
        <w:rPr>
          <w:rFonts w:ascii="Times New Roman" w:hAnsi="Times New Roman" w:cs="Times New Roman"/>
          <w:sz w:val="24"/>
          <w:szCs w:val="24"/>
        </w:rPr>
        <w:t xml:space="preserve"> There are several striking features in Heraclitus’ statements.  One is that this “logos” has some quality of meaning to it apart from his own uttered words and that it communicates some sort of wisdom.  Taking into consideration that the pre-Socratic philosophers worked from the premise that the world reflected order and a plan, Heraclitus seems to be defining this “logos” as perhaps the source of this order, the thing holding all other things together. Johnstone implies that there is a consensus among historians that Heraclitus used “logos” to denote a “kind of general principle or formula or law that governs…the cosmos.</w:t>
      </w:r>
      <w:r w:rsidRPr="00D35350">
        <w:rPr>
          <w:rFonts w:ascii="Times New Roman" w:hAnsi="Times New Roman" w:cs="Times New Roman"/>
          <w:sz w:val="24"/>
          <w:szCs w:val="24"/>
          <w:vertAlign w:val="superscript"/>
        </w:rPr>
        <w:footnoteReference w:id="85"/>
      </w:r>
      <w:r w:rsidRPr="00D35350">
        <w:rPr>
          <w:rFonts w:ascii="Times New Roman" w:hAnsi="Times New Roman" w:cs="Times New Roman"/>
          <w:sz w:val="24"/>
          <w:szCs w:val="24"/>
        </w:rPr>
        <w:t xml:space="preserve">  One thing the “logos” most assuredly </w:t>
      </w:r>
      <w:r w:rsidRPr="00D35350">
        <w:rPr>
          <w:rFonts w:ascii="Times New Roman" w:hAnsi="Times New Roman" w:cs="Times New Roman"/>
          <w:i/>
          <w:sz w:val="24"/>
          <w:szCs w:val="24"/>
        </w:rPr>
        <w:t>is not</w:t>
      </w:r>
      <w:r w:rsidRPr="00D35350">
        <w:rPr>
          <w:rFonts w:ascii="Times New Roman" w:hAnsi="Times New Roman" w:cs="Times New Roman"/>
          <w:sz w:val="24"/>
          <w:szCs w:val="24"/>
        </w:rPr>
        <w:t xml:space="preserve"> is Zeus.  Heraclitus, in fragment 65, argues that man ignorantly worships this “logos” under the name of Zeus and that the “logos” is “unwilling and willing” to be called this name. </w:t>
      </w:r>
      <w:r w:rsidRPr="00D35350">
        <w:rPr>
          <w:rFonts w:ascii="Times New Roman" w:hAnsi="Times New Roman" w:cs="Times New Roman"/>
          <w:sz w:val="24"/>
          <w:szCs w:val="24"/>
          <w:vertAlign w:val="superscript"/>
        </w:rPr>
        <w:footnoteReference w:id="86"/>
      </w:r>
      <w:r w:rsidRPr="00D35350">
        <w:rPr>
          <w:rFonts w:ascii="Times New Roman" w:hAnsi="Times New Roman" w:cs="Times New Roman"/>
          <w:sz w:val="24"/>
          <w:szCs w:val="24"/>
        </w:rPr>
        <w:t xml:space="preserve"> Remarkably, this echoes the words of Paul when he informed the Athenians at the Aeropagus that God had allowed ignorance of his true name and nature for a time but now He intended  </w:t>
      </w:r>
      <w:r w:rsidRPr="00D35350">
        <w:rPr>
          <w:rFonts w:ascii="Times New Roman" w:hAnsi="Times New Roman" w:cs="Times New Roman"/>
          <w:i/>
          <w:sz w:val="24"/>
          <w:szCs w:val="24"/>
        </w:rPr>
        <w:t>to be known.</w:t>
      </w:r>
      <w:r w:rsidRPr="00D35350">
        <w:rPr>
          <w:rFonts w:ascii="Times New Roman" w:hAnsi="Times New Roman" w:cs="Times New Roman"/>
          <w:sz w:val="24"/>
          <w:szCs w:val="24"/>
        </w:rPr>
        <w:t xml:space="preserve">  What Heraclitus meant by his sometimes peculiar use of “logos” is ultimately arguable, but what is clear is that the disciple John, some five hundred years after Heraclitus, informed the 1</w:t>
      </w:r>
      <w:r w:rsidRPr="00D35350">
        <w:rPr>
          <w:rFonts w:ascii="Times New Roman" w:hAnsi="Times New Roman" w:cs="Times New Roman"/>
          <w:sz w:val="24"/>
          <w:szCs w:val="24"/>
          <w:vertAlign w:val="superscript"/>
        </w:rPr>
        <w:t>st</w:t>
      </w:r>
      <w:r w:rsidRPr="00D35350">
        <w:rPr>
          <w:rFonts w:ascii="Times New Roman" w:hAnsi="Times New Roman" w:cs="Times New Roman"/>
          <w:sz w:val="24"/>
          <w:szCs w:val="24"/>
        </w:rPr>
        <w:t xml:space="preserve"> century Roman world that “logos” was, in fact, the triune God of Christianity who took on flesh and was called Jesus Christ of Nazareth. </w:t>
      </w:r>
      <w:r w:rsidR="007F1E3B">
        <w:rPr>
          <w:rFonts w:ascii="Times New Roman" w:hAnsi="Times New Roman" w:cs="Times New Roman"/>
          <w:sz w:val="24"/>
          <w:szCs w:val="24"/>
        </w:rPr>
        <w:br w:type="page"/>
      </w:r>
    </w:p>
    <w:p w14:paraId="38B0D5D0" w14:textId="3C134D9C" w:rsidR="007F1E3B" w:rsidRDefault="007F1E3B" w:rsidP="00B8289B">
      <w:pPr>
        <w:pStyle w:val="Heading1"/>
      </w:pPr>
      <w:bookmarkStart w:id="3" w:name="_Toc62843871"/>
      <w:r w:rsidRPr="00BD5026">
        <w:lastRenderedPageBreak/>
        <w:t>Chapter 2</w:t>
      </w:r>
      <w:r>
        <w:t xml:space="preserve"> Justin Martyr</w:t>
      </w:r>
      <w:bookmarkEnd w:id="3"/>
    </w:p>
    <w:p w14:paraId="20B80E2D"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The disciples, Paul and John, are voices who still call converts daily through their words recorded in the Bible; if their testimonies connecting Greek culture to the gospel instigated the rise of converts, it stands to reason that there were other witnesses from the 1</w:t>
      </w:r>
      <w:r w:rsidRPr="00B8289B">
        <w:rPr>
          <w:rFonts w:ascii="Times New Roman" w:hAnsi="Times New Roman" w:cs="Times New Roman"/>
          <w:sz w:val="24"/>
          <w:szCs w:val="24"/>
          <w:vertAlign w:val="superscript"/>
        </w:rPr>
        <w:t>st</w:t>
      </w:r>
      <w:r w:rsidRPr="00B8289B">
        <w:rPr>
          <w:rFonts w:ascii="Times New Roman" w:hAnsi="Times New Roman" w:cs="Times New Roman"/>
          <w:sz w:val="24"/>
          <w:szCs w:val="24"/>
        </w:rPr>
        <w:t xml:space="preserve"> century who might have recognized their insight and continued that thread.  And indeed there was. One of the earliest and most well-known Greek Church Fathers was Justin Martyr. Little is known about his personal life other than that his birth and death occurred somewhere in the timeframe of 110-165 AD in Samaria.</w:t>
      </w:r>
      <w:r w:rsidRPr="00B8289B">
        <w:rPr>
          <w:rFonts w:ascii="Times New Roman" w:hAnsi="Times New Roman" w:cs="Times New Roman"/>
          <w:sz w:val="24"/>
          <w:szCs w:val="24"/>
          <w:vertAlign w:val="superscript"/>
        </w:rPr>
        <w:footnoteReference w:id="87"/>
      </w:r>
      <w:r w:rsidRPr="00B8289B">
        <w:rPr>
          <w:rFonts w:ascii="Times New Roman" w:hAnsi="Times New Roman" w:cs="Times New Roman"/>
          <w:sz w:val="24"/>
          <w:szCs w:val="24"/>
        </w:rPr>
        <w:t xml:space="preserve"> Justin was a student of Plato and Socrates before finding satisfactory answers to his truth seeking in the person of Jesus. While he was not the first to defend the Christian faith among a culture of pagans, his writings are the earliest extant. The ancient Church historian, Eusebius, in his </w:t>
      </w:r>
      <w:r w:rsidRPr="00B8289B">
        <w:rPr>
          <w:rFonts w:ascii="Times New Roman" w:hAnsi="Times New Roman" w:cs="Times New Roman"/>
          <w:i/>
          <w:sz w:val="24"/>
          <w:szCs w:val="24"/>
        </w:rPr>
        <w:t>Church History</w:t>
      </w:r>
      <w:r w:rsidRPr="00B8289B">
        <w:rPr>
          <w:rFonts w:ascii="Times New Roman" w:hAnsi="Times New Roman" w:cs="Times New Roman"/>
          <w:sz w:val="24"/>
          <w:szCs w:val="24"/>
        </w:rPr>
        <w:t xml:space="preserve">, infers that Justin was well known and successful in refuting common objections to the gospel and at one point, addressed the emperor, Antoninus Pius (Roman emperor 138-161 AD), defending the reputation of those practicing the Christian faith. </w:t>
      </w:r>
      <w:r w:rsidRPr="00B8289B">
        <w:rPr>
          <w:rFonts w:ascii="Times New Roman" w:hAnsi="Times New Roman" w:cs="Times New Roman"/>
          <w:sz w:val="24"/>
          <w:szCs w:val="24"/>
          <w:vertAlign w:val="superscript"/>
        </w:rPr>
        <w:footnoteReference w:id="88"/>
      </w:r>
      <w:r w:rsidRPr="00B8289B">
        <w:rPr>
          <w:rFonts w:ascii="Times New Roman" w:hAnsi="Times New Roman" w:cs="Times New Roman"/>
          <w:sz w:val="24"/>
          <w:szCs w:val="24"/>
        </w:rPr>
        <w:t xml:space="preserve"> Unfortunately, according to Eusebius, Justin offended certain Cynic philosophers of his day, defeating one in particular in public debate and thus paid for that offense with his life.</w:t>
      </w:r>
      <w:r w:rsidRPr="00B8289B">
        <w:rPr>
          <w:rFonts w:ascii="Times New Roman" w:hAnsi="Times New Roman" w:cs="Times New Roman"/>
          <w:sz w:val="24"/>
          <w:szCs w:val="24"/>
          <w:vertAlign w:val="superscript"/>
        </w:rPr>
        <w:footnoteReference w:id="89"/>
      </w:r>
      <w:r w:rsidRPr="00B8289B">
        <w:rPr>
          <w:rFonts w:ascii="Times New Roman" w:hAnsi="Times New Roman" w:cs="Times New Roman"/>
          <w:sz w:val="24"/>
          <w:szCs w:val="24"/>
        </w:rPr>
        <w:t xml:space="preserve"> Based on this information, it is reasonable to infer that Justin captured a fairly wide audience and had a likely influence in the conversion of many. Let’s examine a few of the connections he made between Greek philosophy and the gospel of Jesus.  First off, his perspective in this regard may be summed up in his own words:</w:t>
      </w:r>
    </w:p>
    <w:p w14:paraId="5004A605" w14:textId="77777777" w:rsidR="00D35350" w:rsidRPr="00B8289B" w:rsidRDefault="00D35350" w:rsidP="0014481C">
      <w:pPr>
        <w:spacing w:line="240" w:lineRule="auto"/>
        <w:ind w:left="720" w:right="720"/>
        <w:rPr>
          <w:rFonts w:ascii="Times New Roman" w:hAnsi="Times New Roman" w:cs="Times New Roman"/>
          <w:sz w:val="24"/>
          <w:szCs w:val="24"/>
        </w:rPr>
      </w:pPr>
      <w:r w:rsidRPr="00B8289B">
        <w:rPr>
          <w:rFonts w:ascii="Times New Roman" w:hAnsi="Times New Roman" w:cs="Times New Roman"/>
          <w:sz w:val="24"/>
          <w:szCs w:val="24"/>
        </w:rPr>
        <w:t xml:space="preserve">…I confess that I both boast and will with all my strength strive to be found a Christian; not because the teachings of Plato are alien to those of Christ, but because they are not in all respects similar, as neither are those of the others, </w:t>
      </w:r>
      <w:r w:rsidRPr="00B8289B">
        <w:rPr>
          <w:rFonts w:ascii="Times New Roman" w:hAnsi="Times New Roman" w:cs="Times New Roman"/>
          <w:sz w:val="24"/>
          <w:szCs w:val="24"/>
        </w:rPr>
        <w:lastRenderedPageBreak/>
        <w:t>Stoics, and poets, and historians. For each man spoke well in proportion to the share he had of the spermatic word [Logos] seeing what was related to it.</w:t>
      </w:r>
      <w:r w:rsidRPr="00B8289B">
        <w:rPr>
          <w:rFonts w:ascii="Times New Roman" w:hAnsi="Times New Roman" w:cs="Times New Roman"/>
          <w:sz w:val="24"/>
          <w:szCs w:val="24"/>
          <w:vertAlign w:val="superscript"/>
        </w:rPr>
        <w:footnoteReference w:id="90"/>
      </w:r>
      <w:r w:rsidRPr="00B8289B">
        <w:rPr>
          <w:rFonts w:ascii="Times New Roman" w:hAnsi="Times New Roman" w:cs="Times New Roman"/>
          <w:sz w:val="24"/>
          <w:szCs w:val="24"/>
        </w:rPr>
        <w:t xml:space="preserve">  </w:t>
      </w:r>
    </w:p>
    <w:p w14:paraId="5D61E734" w14:textId="5BECE394"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Like the disciple John, he refers to the Greek notion of Logos in the spirit of Heraclitus’ counter-cultural interpretation of it, namely as a divine entity endowed with reason and, in essence, that which defines and upholds the order of the cosmos. The Stoic philosophers themselves had continued the legacy of Heraclitus interpretation. In fact, for the Stoics, God and Logos were interchangeable terms albeit they deemed the entity more of an impersonal force that was at the core of the essence of things.  They used the term “spermatic logos” to refer to the structural principle that held things together and defined them – what made a kitten into a cat for example.</w:t>
      </w:r>
      <w:r w:rsidRPr="00B8289B">
        <w:rPr>
          <w:rFonts w:ascii="Times New Roman" w:hAnsi="Times New Roman" w:cs="Times New Roman"/>
          <w:sz w:val="24"/>
          <w:szCs w:val="24"/>
          <w:vertAlign w:val="superscript"/>
        </w:rPr>
        <w:footnoteReference w:id="91"/>
      </w:r>
      <w:r w:rsidRPr="00B8289B">
        <w:rPr>
          <w:rFonts w:ascii="Times New Roman" w:hAnsi="Times New Roman" w:cs="Times New Roman"/>
          <w:sz w:val="24"/>
          <w:szCs w:val="24"/>
        </w:rPr>
        <w:t xml:space="preserve">  Justin, himself, uses the term “spermatic word,” </w:t>
      </w:r>
      <w:r w:rsidRPr="00B8289B">
        <w:rPr>
          <w:rFonts w:ascii="Times New Roman" w:hAnsi="Times New Roman" w:cs="Times New Roman"/>
          <w:sz w:val="24"/>
          <w:szCs w:val="24"/>
          <w:vertAlign w:val="superscript"/>
        </w:rPr>
        <w:footnoteReference w:id="92"/>
      </w:r>
      <w:r w:rsidRPr="00B8289B">
        <w:rPr>
          <w:rFonts w:ascii="Times New Roman" w:hAnsi="Times New Roman" w:cs="Times New Roman"/>
          <w:sz w:val="24"/>
          <w:szCs w:val="24"/>
        </w:rPr>
        <w:t xml:space="preserve"> interchangeably with logos to refer to the man, Jesus, who lived 150 years ago before him. In personifying this logos and linking it to the Stoic vernacular, he attempted to explain to an ignorant world the person and nature of Jesus.  In fact, in doing this, he conceivably pointed to Seneca (4BC-AD 65), the most well-known Stoic philosopher, who arguably came closest to personifying the logos. Seneca refers in his writing to God as “the ruler of earth and heaven, the God of all gods…” </w:t>
      </w:r>
      <w:r w:rsidRPr="00B8289B">
        <w:rPr>
          <w:rFonts w:ascii="Times New Roman" w:hAnsi="Times New Roman" w:cs="Times New Roman"/>
          <w:sz w:val="24"/>
          <w:szCs w:val="24"/>
          <w:vertAlign w:val="superscript"/>
        </w:rPr>
        <w:footnoteReference w:id="93"/>
      </w:r>
      <w:r w:rsidRPr="00B8289B">
        <w:rPr>
          <w:rFonts w:ascii="Times New Roman" w:hAnsi="Times New Roman" w:cs="Times New Roman"/>
          <w:sz w:val="24"/>
          <w:szCs w:val="24"/>
        </w:rPr>
        <w:t xml:space="preserve"> He not only attributes intelligence to this God but also benevolence. In citing the abundant gifts of nature to man and the proclivity of men everywhere to reach out (pray) to God, he even seems to contend for a God who cares.</w:t>
      </w:r>
      <w:r w:rsidRPr="00B8289B">
        <w:rPr>
          <w:rFonts w:ascii="Times New Roman" w:hAnsi="Times New Roman" w:cs="Times New Roman"/>
          <w:sz w:val="24"/>
          <w:szCs w:val="24"/>
          <w:vertAlign w:val="superscript"/>
        </w:rPr>
        <w:footnoteReference w:id="94"/>
      </w:r>
      <w:r w:rsidRPr="00B8289B">
        <w:rPr>
          <w:rFonts w:ascii="Times New Roman" w:hAnsi="Times New Roman" w:cs="Times New Roman"/>
          <w:sz w:val="24"/>
          <w:szCs w:val="24"/>
        </w:rPr>
        <w:t xml:space="preserve"> In his essay on Providence, Seneca speaks of God as a Father who loves and trains men to be virtuous.</w:t>
      </w:r>
      <w:r w:rsidRPr="00B8289B">
        <w:rPr>
          <w:rFonts w:ascii="Times New Roman" w:hAnsi="Times New Roman" w:cs="Times New Roman"/>
          <w:sz w:val="24"/>
          <w:szCs w:val="24"/>
          <w:vertAlign w:val="superscript"/>
        </w:rPr>
        <w:footnoteReference w:id="95"/>
      </w:r>
      <w:r w:rsidRPr="00B8289B">
        <w:rPr>
          <w:rFonts w:ascii="Times New Roman" w:hAnsi="Times New Roman" w:cs="Times New Roman"/>
          <w:sz w:val="24"/>
          <w:szCs w:val="24"/>
        </w:rPr>
        <w:t xml:space="preserve">  From here, it is not many steps to the tenets of Christianity, and certainly it is presumed that Justin capitalized on Seneca’s views to successfully move Greeks from ignorance to light. It is interesting to ponder the thread and development of </w:t>
      </w:r>
      <w:r w:rsidRPr="00B8289B">
        <w:rPr>
          <w:rFonts w:ascii="Times New Roman" w:hAnsi="Times New Roman" w:cs="Times New Roman"/>
          <w:sz w:val="24"/>
          <w:szCs w:val="24"/>
        </w:rPr>
        <w:lastRenderedPageBreak/>
        <w:t xml:space="preserve">the meaning of the logos as the nature of it was debated by the Greek philosophers.  Justin attributes their insights to their “[ability] to see realities darkly through the sowing of the implanted word that was in them.” </w:t>
      </w:r>
      <w:r w:rsidRPr="00B8289B">
        <w:rPr>
          <w:rFonts w:ascii="Times New Roman" w:hAnsi="Times New Roman" w:cs="Times New Roman"/>
          <w:sz w:val="24"/>
          <w:szCs w:val="24"/>
          <w:vertAlign w:val="superscript"/>
        </w:rPr>
        <w:footnoteReference w:id="96"/>
      </w:r>
      <w:r w:rsidRPr="00B8289B">
        <w:rPr>
          <w:rFonts w:ascii="Times New Roman" w:hAnsi="Times New Roman" w:cs="Times New Roman"/>
          <w:sz w:val="24"/>
          <w:szCs w:val="24"/>
        </w:rPr>
        <w:t xml:space="preserve">  This echoes certain Scripture Justin surely had in mind which claims that man is made in the image of God, and since God has impressed His laws on man’s heart and conscience,</w:t>
      </w:r>
      <w:r w:rsidRPr="00B8289B">
        <w:rPr>
          <w:rFonts w:ascii="Times New Roman" w:hAnsi="Times New Roman" w:cs="Times New Roman"/>
          <w:sz w:val="24"/>
          <w:szCs w:val="24"/>
          <w:vertAlign w:val="superscript"/>
        </w:rPr>
        <w:footnoteReference w:id="97"/>
      </w:r>
      <w:r w:rsidRPr="00B8289B">
        <w:rPr>
          <w:rFonts w:ascii="Times New Roman" w:hAnsi="Times New Roman" w:cs="Times New Roman"/>
          <w:sz w:val="24"/>
          <w:szCs w:val="24"/>
        </w:rPr>
        <w:t xml:space="preserve"> man will manifest that imprint in some manner, though he may do so u</w:t>
      </w:r>
      <w:r w:rsidR="0014481C">
        <w:rPr>
          <w:rFonts w:ascii="Times New Roman" w:hAnsi="Times New Roman" w:cs="Times New Roman"/>
          <w:sz w:val="24"/>
          <w:szCs w:val="24"/>
        </w:rPr>
        <w:t xml:space="preserve">nconsciously.  This </w:t>
      </w:r>
      <w:r w:rsidRPr="00B8289B">
        <w:rPr>
          <w:rFonts w:ascii="Times New Roman" w:hAnsi="Times New Roman" w:cs="Times New Roman"/>
          <w:sz w:val="24"/>
          <w:szCs w:val="24"/>
        </w:rPr>
        <w:t>was the point made by Chesterton, as discussed earlier, that if man were made to be redeemed by a dying and rising god, it seems that man would express that sentiment in some manner. .</w:t>
      </w:r>
    </w:p>
    <w:p w14:paraId="0FEFAA7B"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 xml:space="preserve">With regard to Plato’s wisdom, however, Justin attributes his insights to a more earthly reason.  He claims that Plato had been exposed to the law and writings of Moses, the Hebrew prophet of the Old Testament with whom Plato must have been acquainted from his time in Egypt. </w:t>
      </w:r>
      <w:r w:rsidRPr="00B8289B">
        <w:rPr>
          <w:rFonts w:ascii="Times New Roman" w:hAnsi="Times New Roman" w:cs="Times New Roman"/>
          <w:sz w:val="24"/>
          <w:szCs w:val="24"/>
          <w:vertAlign w:val="superscript"/>
        </w:rPr>
        <w:footnoteReference w:id="98"/>
      </w:r>
      <w:r w:rsidRPr="00B8289B">
        <w:rPr>
          <w:rFonts w:ascii="Times New Roman" w:hAnsi="Times New Roman" w:cs="Times New Roman"/>
          <w:sz w:val="24"/>
          <w:szCs w:val="24"/>
        </w:rPr>
        <w:t xml:space="preserve">  </w:t>
      </w:r>
      <w:r w:rsidRPr="00B8289B">
        <w:rPr>
          <w:rFonts w:ascii="Times New Roman" w:hAnsi="Times New Roman" w:cs="Times New Roman"/>
          <w:sz w:val="24"/>
          <w:szCs w:val="24"/>
        </w:rPr>
        <w:lastRenderedPageBreak/>
        <w:t xml:space="preserve">Eusebius corroborates this theory in his </w:t>
      </w:r>
      <w:r w:rsidRPr="00B8289B">
        <w:rPr>
          <w:rFonts w:ascii="Times New Roman" w:hAnsi="Times New Roman" w:cs="Times New Roman"/>
          <w:i/>
          <w:sz w:val="24"/>
          <w:szCs w:val="24"/>
        </w:rPr>
        <w:t xml:space="preserve">Preparation for the Gospel </w:t>
      </w:r>
      <w:r w:rsidRPr="00B8289B">
        <w:rPr>
          <w:rFonts w:ascii="Times New Roman" w:hAnsi="Times New Roman" w:cs="Times New Roman"/>
          <w:sz w:val="24"/>
          <w:szCs w:val="24"/>
        </w:rPr>
        <w:t xml:space="preserve">where in the preface to Book 11, he argues: </w:t>
      </w:r>
    </w:p>
    <w:p w14:paraId="786BFC6F" w14:textId="77777777" w:rsidR="00D35350" w:rsidRPr="00B8289B" w:rsidRDefault="00D35350" w:rsidP="0014481C">
      <w:pPr>
        <w:spacing w:line="240" w:lineRule="auto"/>
        <w:ind w:left="720" w:right="720"/>
        <w:rPr>
          <w:rFonts w:ascii="Times New Roman" w:hAnsi="Times New Roman" w:cs="Times New Roman"/>
          <w:sz w:val="24"/>
          <w:szCs w:val="24"/>
        </w:rPr>
      </w:pPr>
      <w:r w:rsidRPr="00B8289B">
        <w:rPr>
          <w:rFonts w:ascii="Times New Roman" w:hAnsi="Times New Roman" w:cs="Times New Roman"/>
          <w:sz w:val="24"/>
          <w:szCs w:val="24"/>
        </w:rPr>
        <w:t xml:space="preserve">The Greeks had contributed no additional wisdom from their own resources, but only their force and elegance of language, and had borrowed all their philosophy from Barbarians, it was not improbable that they were also not unacquainted with the Hebrew Oracles… </w:t>
      </w:r>
      <w:r w:rsidRPr="00B8289B">
        <w:rPr>
          <w:rFonts w:ascii="Times New Roman" w:hAnsi="Times New Roman" w:cs="Times New Roman"/>
          <w:sz w:val="24"/>
          <w:szCs w:val="24"/>
          <w:vertAlign w:val="superscript"/>
        </w:rPr>
        <w:footnoteReference w:id="99"/>
      </w:r>
      <w:r w:rsidRPr="00B8289B">
        <w:rPr>
          <w:rFonts w:ascii="Times New Roman" w:hAnsi="Times New Roman" w:cs="Times New Roman"/>
          <w:sz w:val="24"/>
          <w:szCs w:val="24"/>
        </w:rPr>
        <w:t xml:space="preserve">  </w:t>
      </w:r>
    </w:p>
    <w:p w14:paraId="61C020AA"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 xml:space="preserve">If this were true, and if this perspective were as strongly advocated for publicly as it seems to have been in the writings of Eusebius and Justin Martyr, it surely chipped away at any allegiance to Greek religion. After all, if Plato’s ideas are nothing other than the Old Testament recast, it provided one less obstacle for potential Greek converts.   In fact, Eusebius notes in the </w:t>
      </w:r>
      <w:r w:rsidRPr="00B8289B">
        <w:rPr>
          <w:rFonts w:ascii="Times New Roman" w:hAnsi="Times New Roman" w:cs="Times New Roman"/>
          <w:i/>
          <w:sz w:val="24"/>
          <w:szCs w:val="24"/>
        </w:rPr>
        <w:t>Preparation</w:t>
      </w:r>
      <w:r w:rsidRPr="00B8289B">
        <w:rPr>
          <w:rFonts w:ascii="Times New Roman" w:hAnsi="Times New Roman" w:cs="Times New Roman"/>
          <w:sz w:val="24"/>
          <w:szCs w:val="24"/>
        </w:rPr>
        <w:t xml:space="preserve"> in Book 9, Chapter 6, that even “Numenius, the Pythagorean philosopher of the 2</w:t>
      </w:r>
      <w:r w:rsidRPr="00B8289B">
        <w:rPr>
          <w:rFonts w:ascii="Times New Roman" w:hAnsi="Times New Roman" w:cs="Times New Roman"/>
          <w:sz w:val="24"/>
          <w:szCs w:val="24"/>
          <w:vertAlign w:val="superscript"/>
        </w:rPr>
        <w:t>nd</w:t>
      </w:r>
      <w:r w:rsidRPr="00B8289B">
        <w:rPr>
          <w:rFonts w:ascii="Times New Roman" w:hAnsi="Times New Roman" w:cs="Times New Roman"/>
          <w:sz w:val="24"/>
          <w:szCs w:val="24"/>
        </w:rPr>
        <w:t xml:space="preserve"> century A.D, writes expressly: ‘For what is Plato, but Moses speaking in Attic Greek?’”</w:t>
      </w:r>
      <w:r w:rsidRPr="00B8289B">
        <w:rPr>
          <w:rFonts w:ascii="Times New Roman" w:hAnsi="Times New Roman" w:cs="Times New Roman"/>
          <w:sz w:val="24"/>
          <w:szCs w:val="24"/>
          <w:vertAlign w:val="superscript"/>
        </w:rPr>
        <w:footnoteReference w:id="100"/>
      </w:r>
      <w:r w:rsidRPr="00B8289B">
        <w:rPr>
          <w:rFonts w:ascii="Times New Roman" w:hAnsi="Times New Roman" w:cs="Times New Roman"/>
          <w:sz w:val="24"/>
          <w:szCs w:val="24"/>
        </w:rPr>
        <w:t xml:space="preserve">  So, if true, one might ask why Plato felt the need then to disguise Moses’ writings.  Justin has a ready answer.  He contends that Plato sought to avoid what had befallen Plato’s mentor, Socrates.</w:t>
      </w:r>
      <w:r w:rsidRPr="00B8289B">
        <w:rPr>
          <w:rFonts w:ascii="Times New Roman" w:hAnsi="Times New Roman" w:cs="Times New Roman"/>
          <w:sz w:val="24"/>
          <w:szCs w:val="24"/>
          <w:vertAlign w:val="superscript"/>
        </w:rPr>
        <w:footnoteReference w:id="101"/>
      </w:r>
      <w:r w:rsidRPr="00B8289B">
        <w:rPr>
          <w:rFonts w:ascii="Times New Roman" w:hAnsi="Times New Roman" w:cs="Times New Roman"/>
          <w:sz w:val="24"/>
          <w:szCs w:val="24"/>
        </w:rPr>
        <w:t xml:space="preserve"> Socrates, as is well known, was executed by means of the “hemlock-juice” as punishment for purportedly leading the men of 5</w:t>
      </w:r>
      <w:r w:rsidRPr="00B8289B">
        <w:rPr>
          <w:rFonts w:ascii="Times New Roman" w:hAnsi="Times New Roman" w:cs="Times New Roman"/>
          <w:sz w:val="24"/>
          <w:szCs w:val="24"/>
          <w:vertAlign w:val="superscript"/>
        </w:rPr>
        <w:t>th</w:t>
      </w:r>
      <w:r w:rsidRPr="00B8289B">
        <w:rPr>
          <w:rFonts w:ascii="Times New Roman" w:hAnsi="Times New Roman" w:cs="Times New Roman"/>
          <w:sz w:val="24"/>
          <w:szCs w:val="24"/>
        </w:rPr>
        <w:t xml:space="preserve"> century Athens away from the worship of the Greek gods. Nevertheless, whether the source of Plato’s ideas sprung from his own creative attempts to explain the phenomenon of nature and man or had been absorbed from the writings of Moses does not detract from the fact that early evangelical efforts deftly connected those ideas to the Christian religion. Let us turn now to survey Justin Martyr’s particular efforts in this respect.</w:t>
      </w:r>
    </w:p>
    <w:p w14:paraId="22B1FACB" w14:textId="2C7012C6"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 xml:space="preserve">Of his extant writings, two, the </w:t>
      </w:r>
      <w:r w:rsidRPr="00B8289B">
        <w:rPr>
          <w:rFonts w:ascii="Times New Roman" w:hAnsi="Times New Roman" w:cs="Times New Roman"/>
          <w:i/>
          <w:sz w:val="24"/>
          <w:szCs w:val="24"/>
        </w:rPr>
        <w:t xml:space="preserve">Apologies </w:t>
      </w:r>
      <w:r w:rsidRPr="00B8289B">
        <w:rPr>
          <w:rFonts w:ascii="Times New Roman" w:hAnsi="Times New Roman" w:cs="Times New Roman"/>
          <w:sz w:val="24"/>
          <w:szCs w:val="24"/>
        </w:rPr>
        <w:t>(I and II), were written to the Roman emperor Pius in the 2</w:t>
      </w:r>
      <w:r w:rsidRPr="00B8289B">
        <w:rPr>
          <w:rFonts w:ascii="Times New Roman" w:hAnsi="Times New Roman" w:cs="Times New Roman"/>
          <w:sz w:val="24"/>
          <w:szCs w:val="24"/>
          <w:vertAlign w:val="superscript"/>
        </w:rPr>
        <w:t>nd</w:t>
      </w:r>
      <w:r w:rsidRPr="00B8289B">
        <w:rPr>
          <w:rFonts w:ascii="Times New Roman" w:hAnsi="Times New Roman" w:cs="Times New Roman"/>
          <w:sz w:val="24"/>
          <w:szCs w:val="24"/>
        </w:rPr>
        <w:t xml:space="preserve"> century; these defended Romans and Greeks who were being persecuted by the </w:t>
      </w:r>
      <w:r w:rsidRPr="00B8289B">
        <w:rPr>
          <w:rFonts w:ascii="Times New Roman" w:hAnsi="Times New Roman" w:cs="Times New Roman"/>
          <w:sz w:val="24"/>
          <w:szCs w:val="24"/>
        </w:rPr>
        <w:lastRenderedPageBreak/>
        <w:t xml:space="preserve">state for converting. A third, </w:t>
      </w:r>
      <w:r w:rsidRPr="00B8289B">
        <w:rPr>
          <w:rFonts w:ascii="Times New Roman" w:hAnsi="Times New Roman" w:cs="Times New Roman"/>
          <w:i/>
          <w:sz w:val="24"/>
          <w:szCs w:val="24"/>
        </w:rPr>
        <w:t>A Hortatory Address to the Greeks,</w:t>
      </w:r>
      <w:r w:rsidRPr="00B8289B">
        <w:rPr>
          <w:rFonts w:ascii="Times New Roman" w:hAnsi="Times New Roman" w:cs="Times New Roman"/>
          <w:sz w:val="24"/>
          <w:szCs w:val="24"/>
        </w:rPr>
        <w:t xml:space="preserve"> was written to show the Greeks that their own historians, poets, and philosophers testified to one God as both Creator and Ruler of the world.  Indeed, in the very beginning of the </w:t>
      </w:r>
      <w:r w:rsidRPr="00B8289B">
        <w:rPr>
          <w:rFonts w:ascii="Times New Roman" w:hAnsi="Times New Roman" w:cs="Times New Roman"/>
          <w:i/>
          <w:sz w:val="24"/>
          <w:szCs w:val="24"/>
        </w:rPr>
        <w:t xml:space="preserve">Address, </w:t>
      </w:r>
      <w:r w:rsidRPr="00B8289B">
        <w:rPr>
          <w:rFonts w:ascii="Times New Roman" w:hAnsi="Times New Roman" w:cs="Times New Roman"/>
          <w:sz w:val="24"/>
          <w:szCs w:val="24"/>
        </w:rPr>
        <w:t xml:space="preserve">Justin asserts the antiquity of the Hebrew prophets who not only were the only monotheistic culture of the ancient world but existed long before the Greeks. He notes the Greek historian, Diodorus, who in his monumental universal </w:t>
      </w:r>
      <w:r w:rsidRPr="00B8289B">
        <w:rPr>
          <w:rFonts w:ascii="Times New Roman" w:hAnsi="Times New Roman" w:cs="Times New Roman"/>
          <w:i/>
          <w:sz w:val="24"/>
          <w:szCs w:val="24"/>
        </w:rPr>
        <w:t>Bibliotheca Historia</w:t>
      </w:r>
      <w:r w:rsidRPr="00B8289B">
        <w:rPr>
          <w:rFonts w:ascii="Times New Roman" w:hAnsi="Times New Roman" w:cs="Times New Roman"/>
          <w:sz w:val="24"/>
          <w:szCs w:val="24"/>
        </w:rPr>
        <w:t xml:space="preserve"> written circa 60 B.C mentions the writings of Moses as preceding the existence of the Greeks and that he was the first of all lawgivers.</w:t>
      </w:r>
      <w:r w:rsidRPr="00B8289B">
        <w:rPr>
          <w:rFonts w:ascii="Times New Roman" w:hAnsi="Times New Roman" w:cs="Times New Roman"/>
          <w:sz w:val="24"/>
          <w:szCs w:val="24"/>
          <w:vertAlign w:val="superscript"/>
        </w:rPr>
        <w:footnoteReference w:id="102"/>
      </w:r>
      <w:r w:rsidRPr="00B8289B">
        <w:rPr>
          <w:rFonts w:ascii="Times New Roman" w:hAnsi="Times New Roman" w:cs="Times New Roman"/>
          <w:sz w:val="24"/>
          <w:szCs w:val="24"/>
        </w:rPr>
        <w:t xml:space="preserve"> From there Justin asserts that their own oracle has divined that “only the Chaldeans have obtained wisdom, and the Hebrews, who worship God Himself, the self-begotten King.” </w:t>
      </w:r>
      <w:r w:rsidRPr="00B8289B">
        <w:rPr>
          <w:rFonts w:ascii="Times New Roman" w:hAnsi="Times New Roman" w:cs="Times New Roman"/>
          <w:sz w:val="24"/>
          <w:szCs w:val="24"/>
          <w:vertAlign w:val="superscript"/>
        </w:rPr>
        <w:footnoteReference w:id="103"/>
      </w:r>
      <w:r w:rsidRPr="00B8289B">
        <w:rPr>
          <w:rFonts w:ascii="Times New Roman" w:hAnsi="Times New Roman" w:cs="Times New Roman"/>
          <w:sz w:val="24"/>
          <w:szCs w:val="24"/>
        </w:rPr>
        <w:t xml:space="preserve"> Moses came from a long line of Hebrew prophets beginning with Terah, Abraham’s father, who lived in Ur of the Chaldeans.</w:t>
      </w:r>
      <w:r w:rsidRPr="00B8289B">
        <w:rPr>
          <w:rFonts w:ascii="Times New Roman" w:hAnsi="Times New Roman" w:cs="Times New Roman"/>
          <w:sz w:val="24"/>
          <w:szCs w:val="24"/>
          <w:vertAlign w:val="superscript"/>
        </w:rPr>
        <w:footnoteReference w:id="104"/>
      </w:r>
      <w:r w:rsidRPr="00B8289B">
        <w:rPr>
          <w:rFonts w:ascii="Times New Roman" w:hAnsi="Times New Roman" w:cs="Times New Roman"/>
          <w:sz w:val="24"/>
          <w:szCs w:val="24"/>
        </w:rPr>
        <w:t xml:space="preserve">  Justin continues with his case by noting the poet Orpheus, legendary founder of the popular Orphic mystery religion in the 6</w:t>
      </w:r>
      <w:r w:rsidRPr="00B8289B">
        <w:rPr>
          <w:rFonts w:ascii="Times New Roman" w:hAnsi="Times New Roman" w:cs="Times New Roman"/>
          <w:sz w:val="24"/>
          <w:szCs w:val="24"/>
          <w:vertAlign w:val="superscript"/>
        </w:rPr>
        <w:t>th</w:t>
      </w:r>
      <w:r w:rsidRPr="00B8289B">
        <w:rPr>
          <w:rFonts w:ascii="Times New Roman" w:hAnsi="Times New Roman" w:cs="Times New Roman"/>
          <w:sz w:val="24"/>
          <w:szCs w:val="24"/>
        </w:rPr>
        <w:t xml:space="preserve"> century B.C., </w:t>
      </w:r>
      <w:r w:rsidR="00914975">
        <w:rPr>
          <w:rFonts w:ascii="Times New Roman" w:hAnsi="Times New Roman" w:cs="Times New Roman"/>
          <w:sz w:val="24"/>
          <w:szCs w:val="24"/>
        </w:rPr>
        <w:t xml:space="preserve">who </w:t>
      </w:r>
      <w:r w:rsidRPr="00B8289B">
        <w:rPr>
          <w:rFonts w:ascii="Times New Roman" w:hAnsi="Times New Roman" w:cs="Times New Roman"/>
          <w:sz w:val="24"/>
          <w:szCs w:val="24"/>
        </w:rPr>
        <w:t>seems to retract his former teachings on polytheism in a reflection addressed to his son</w:t>
      </w:r>
      <w:r w:rsidR="00914975">
        <w:rPr>
          <w:rFonts w:ascii="Times New Roman" w:hAnsi="Times New Roman" w:cs="Times New Roman"/>
          <w:sz w:val="24"/>
          <w:szCs w:val="24"/>
        </w:rPr>
        <w:t>,</w:t>
      </w:r>
      <w:r w:rsidRPr="00B8289B">
        <w:rPr>
          <w:rFonts w:ascii="Times New Roman" w:hAnsi="Times New Roman" w:cs="Times New Roman"/>
          <w:sz w:val="24"/>
          <w:szCs w:val="24"/>
        </w:rPr>
        <w:t xml:space="preserve"> Museaus</w:t>
      </w:r>
      <w:r w:rsidR="00914975">
        <w:rPr>
          <w:rFonts w:ascii="Times New Roman" w:hAnsi="Times New Roman" w:cs="Times New Roman"/>
          <w:sz w:val="24"/>
          <w:szCs w:val="24"/>
        </w:rPr>
        <w:t>,</w:t>
      </w:r>
      <w:r w:rsidRPr="00B8289B">
        <w:rPr>
          <w:rFonts w:ascii="Times New Roman" w:hAnsi="Times New Roman" w:cs="Times New Roman"/>
          <w:sz w:val="24"/>
          <w:szCs w:val="24"/>
        </w:rPr>
        <w:t xml:space="preserve"> where he states “And if thou former thoughts of mine hast see/Let them not rob thee of the blessed life..” and </w:t>
      </w:r>
      <w:r w:rsidR="00914975">
        <w:rPr>
          <w:rFonts w:ascii="Times New Roman" w:hAnsi="Times New Roman" w:cs="Times New Roman"/>
          <w:sz w:val="24"/>
          <w:szCs w:val="24"/>
        </w:rPr>
        <w:t xml:space="preserve">then </w:t>
      </w:r>
      <w:r w:rsidRPr="00B8289B">
        <w:rPr>
          <w:rFonts w:ascii="Times New Roman" w:hAnsi="Times New Roman" w:cs="Times New Roman"/>
          <w:sz w:val="24"/>
          <w:szCs w:val="24"/>
        </w:rPr>
        <w:t xml:space="preserve">proclaims, “And walking well in the straight certain path/Look to the one and universal King/One, self-begotten, and the only One/Of whom all things and we ourselves are sprung…” </w:t>
      </w:r>
      <w:r w:rsidRPr="00B8289B">
        <w:rPr>
          <w:rFonts w:ascii="Times New Roman" w:hAnsi="Times New Roman" w:cs="Times New Roman"/>
          <w:sz w:val="24"/>
          <w:szCs w:val="24"/>
          <w:vertAlign w:val="superscript"/>
        </w:rPr>
        <w:footnoteReference w:id="105"/>
      </w:r>
      <w:r w:rsidRPr="00B8289B">
        <w:rPr>
          <w:rFonts w:ascii="Times New Roman" w:hAnsi="Times New Roman" w:cs="Times New Roman"/>
          <w:sz w:val="24"/>
          <w:szCs w:val="24"/>
        </w:rPr>
        <w:t xml:space="preserve"> Justin </w:t>
      </w:r>
      <w:r w:rsidR="00914975">
        <w:rPr>
          <w:rFonts w:ascii="Times New Roman" w:hAnsi="Times New Roman" w:cs="Times New Roman"/>
          <w:sz w:val="24"/>
          <w:szCs w:val="24"/>
        </w:rPr>
        <w:t xml:space="preserve">also </w:t>
      </w:r>
      <w:r w:rsidRPr="00B8289B">
        <w:rPr>
          <w:rFonts w:ascii="Times New Roman" w:hAnsi="Times New Roman" w:cs="Times New Roman"/>
          <w:sz w:val="24"/>
          <w:szCs w:val="24"/>
        </w:rPr>
        <w:t xml:space="preserve">quotes the eminent dramatist Sophocles: </w:t>
      </w:r>
    </w:p>
    <w:p w14:paraId="20EEF9D7" w14:textId="77777777" w:rsidR="00D35350" w:rsidRPr="00B8289B" w:rsidRDefault="00D35350" w:rsidP="00914975">
      <w:pPr>
        <w:spacing w:line="240" w:lineRule="auto"/>
        <w:ind w:left="720" w:right="720"/>
        <w:rPr>
          <w:rFonts w:ascii="Times New Roman" w:hAnsi="Times New Roman" w:cs="Times New Roman"/>
          <w:sz w:val="24"/>
          <w:szCs w:val="24"/>
        </w:rPr>
      </w:pPr>
      <w:r w:rsidRPr="00B8289B">
        <w:rPr>
          <w:rFonts w:ascii="Times New Roman" w:hAnsi="Times New Roman" w:cs="Times New Roman"/>
          <w:sz w:val="24"/>
          <w:szCs w:val="24"/>
        </w:rPr>
        <w:t>There is one God, in truth there is but one/ Who made the heavens and the broad earth beneath/ The glancing waves of ocean and the winds/ But many of mortals err in heart/ And set up for a solace in our woes/ Images of the gods in stone and wood…</w:t>
      </w:r>
      <w:r w:rsidRPr="00B8289B">
        <w:rPr>
          <w:rFonts w:ascii="Times New Roman" w:hAnsi="Times New Roman" w:cs="Times New Roman"/>
          <w:sz w:val="24"/>
          <w:szCs w:val="24"/>
          <w:vertAlign w:val="superscript"/>
        </w:rPr>
        <w:footnoteReference w:id="106"/>
      </w:r>
    </w:p>
    <w:p w14:paraId="0AF37A83"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lastRenderedPageBreak/>
        <w:t xml:space="preserve">Surely, Justin would not have said these things had they not been true. His listeners could have easily refuted him if their poets had not spoken in such a manner. But he does not just point to the poets but also the philosophers.  </w:t>
      </w:r>
    </w:p>
    <w:p w14:paraId="39AF990E" w14:textId="2026F555" w:rsidR="00D35350" w:rsidRPr="00B8289B" w:rsidRDefault="00914975"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r w:rsidR="00D35350" w:rsidRPr="00B8289B">
        <w:rPr>
          <w:rFonts w:ascii="Times New Roman" w:hAnsi="Times New Roman" w:cs="Times New Roman"/>
          <w:sz w:val="24"/>
          <w:szCs w:val="24"/>
        </w:rPr>
        <w:t>Pythagoras, of the famous Pythagorean Theorem, seems to have entertained some thoughts about the unity of God through his use of symbols and numbers.  Justin explains that when Pythagoras says that unity is the first principle of all things and teaches that it is the cause of all good, he teaches that God is one and alone.</w:t>
      </w:r>
      <w:r w:rsidR="00D35350" w:rsidRPr="00B8289B">
        <w:rPr>
          <w:rFonts w:ascii="Times New Roman" w:hAnsi="Times New Roman" w:cs="Times New Roman"/>
          <w:sz w:val="24"/>
          <w:szCs w:val="24"/>
          <w:vertAlign w:val="superscript"/>
        </w:rPr>
        <w:footnoteReference w:id="107"/>
      </w:r>
      <w:r w:rsidR="00D35350" w:rsidRPr="00B8289B">
        <w:rPr>
          <w:rFonts w:ascii="Times New Roman" w:hAnsi="Times New Roman" w:cs="Times New Roman"/>
          <w:sz w:val="24"/>
          <w:szCs w:val="24"/>
        </w:rPr>
        <w:t xml:space="preserve">  Justin quotes Pythagoras describing God as “being the regulating ingredient of all the ages…the first principle of all things, the light of heaven, and Father of all, the intelligence and animating soul of the universe, the movement of all orbits. “ </w:t>
      </w:r>
      <w:r w:rsidR="00D35350" w:rsidRPr="00B8289B">
        <w:rPr>
          <w:rFonts w:ascii="Times New Roman" w:hAnsi="Times New Roman" w:cs="Times New Roman"/>
          <w:sz w:val="24"/>
          <w:szCs w:val="24"/>
          <w:vertAlign w:val="superscript"/>
        </w:rPr>
        <w:footnoteReference w:id="108"/>
      </w:r>
      <w:r w:rsidR="00D35350" w:rsidRPr="00B8289B">
        <w:rPr>
          <w:rFonts w:ascii="Times New Roman" w:hAnsi="Times New Roman" w:cs="Times New Roman"/>
          <w:sz w:val="24"/>
          <w:szCs w:val="24"/>
        </w:rPr>
        <w:t xml:space="preserve"> This is reminiscent of the teaching of Heraclitus regarding the Logos as the unifying agent of order.   Interestingly, Justin states that Pythagoras lived in Egypt for a time studying mathematics.</w:t>
      </w:r>
      <w:r w:rsidR="00D35350" w:rsidRPr="00B8289B">
        <w:rPr>
          <w:rFonts w:ascii="Times New Roman" w:hAnsi="Times New Roman" w:cs="Times New Roman"/>
          <w:sz w:val="24"/>
          <w:szCs w:val="24"/>
          <w:vertAlign w:val="superscript"/>
        </w:rPr>
        <w:footnoteReference w:id="109"/>
      </w:r>
      <w:r w:rsidR="00D35350" w:rsidRPr="00B8289B">
        <w:rPr>
          <w:rFonts w:ascii="Times New Roman" w:hAnsi="Times New Roman" w:cs="Times New Roman"/>
          <w:sz w:val="24"/>
          <w:szCs w:val="24"/>
        </w:rPr>
        <w:t xml:space="preserve">  Other information we have about Pythagoras, though scant, testifies to his time not only in Egypt but also Babylon in 6</w:t>
      </w:r>
      <w:r w:rsidR="00D35350" w:rsidRPr="00B8289B">
        <w:rPr>
          <w:rFonts w:ascii="Times New Roman" w:hAnsi="Times New Roman" w:cs="Times New Roman"/>
          <w:sz w:val="24"/>
          <w:szCs w:val="24"/>
          <w:vertAlign w:val="superscript"/>
        </w:rPr>
        <w:t>th</w:t>
      </w:r>
      <w:r w:rsidR="00D35350" w:rsidRPr="00B8289B">
        <w:rPr>
          <w:rFonts w:ascii="Times New Roman" w:hAnsi="Times New Roman" w:cs="Times New Roman"/>
          <w:sz w:val="24"/>
          <w:szCs w:val="24"/>
        </w:rPr>
        <w:t xml:space="preserve"> century.  Babylon conquered Jerusalem about that time, thus it is reasonable to think that Pythagoras would have had some association with Hebrews living there.  Since much evidence suggests that pre-Socratic philosophers such as Pythagoras’ natural explanations of the cosmos originated from the Greeks’ discovery of Near Eastern science, </w:t>
      </w:r>
      <w:r w:rsidR="00D35350" w:rsidRPr="00B8289B">
        <w:rPr>
          <w:rFonts w:ascii="Times New Roman" w:hAnsi="Times New Roman" w:cs="Times New Roman"/>
          <w:sz w:val="24"/>
          <w:szCs w:val="24"/>
          <w:vertAlign w:val="superscript"/>
        </w:rPr>
        <w:footnoteReference w:id="110"/>
      </w:r>
      <w:r w:rsidR="00D35350" w:rsidRPr="00B8289B">
        <w:rPr>
          <w:rFonts w:ascii="Times New Roman" w:hAnsi="Times New Roman" w:cs="Times New Roman"/>
          <w:sz w:val="24"/>
          <w:szCs w:val="24"/>
        </w:rPr>
        <w:t xml:space="preserve"> it lends credence to Justin’s assertion that they assimilated the ancient religious ideas of those cultures as well. </w:t>
      </w:r>
    </w:p>
    <w:p w14:paraId="208F8109" w14:textId="48C6A031" w:rsidR="00D35350" w:rsidRPr="00B8289B" w:rsidRDefault="00914975"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r w:rsidR="00D35350" w:rsidRPr="00B8289B">
        <w:rPr>
          <w:rFonts w:ascii="Times New Roman" w:hAnsi="Times New Roman" w:cs="Times New Roman"/>
          <w:sz w:val="24"/>
          <w:szCs w:val="24"/>
        </w:rPr>
        <w:t xml:space="preserve">But what would cause the particular writings of the Hebrews to be held in such esteem? Justin argues that the works of Moses which point to the person of Christ and the tenets of the </w:t>
      </w:r>
      <w:r w:rsidR="00D35350" w:rsidRPr="00B8289B">
        <w:rPr>
          <w:rFonts w:ascii="Times New Roman" w:hAnsi="Times New Roman" w:cs="Times New Roman"/>
          <w:sz w:val="24"/>
          <w:szCs w:val="24"/>
        </w:rPr>
        <w:lastRenderedPageBreak/>
        <w:t>Christian religion were preserved miraculously among the Jews by Divine Providence.  As evidence, he relates his experience in Alexandria where he viewed the remains of 70 separate cots at the library of Alexandria; these were constructed by Ptolemy, the king of Egypt, who built the great Alexandrian library in the 3</w:t>
      </w:r>
      <w:r w:rsidR="00D35350" w:rsidRPr="00B8289B">
        <w:rPr>
          <w:rFonts w:ascii="Times New Roman" w:hAnsi="Times New Roman" w:cs="Times New Roman"/>
          <w:sz w:val="24"/>
          <w:szCs w:val="24"/>
          <w:vertAlign w:val="superscript"/>
        </w:rPr>
        <w:t>rd</w:t>
      </w:r>
      <w:r w:rsidR="00D35350" w:rsidRPr="00B8289B">
        <w:rPr>
          <w:rFonts w:ascii="Times New Roman" w:hAnsi="Times New Roman" w:cs="Times New Roman"/>
          <w:sz w:val="24"/>
          <w:szCs w:val="24"/>
        </w:rPr>
        <w:t xml:space="preserve"> century B.C.  in order to separately house the 70 wise men from Jerusalem commissioned to translate the writings of Moses from Hebrew to Greek. Ptolemy’s goal apparently was to acquire a genuine and accurate translation. And when he, as Justin conveys, saw that the translation not only had the same meaning but used even the same words, he was amazed and believed the translation was divine. He thus consecrated the writings in the library.</w:t>
      </w:r>
      <w:r w:rsidR="00D35350" w:rsidRPr="00B8289B">
        <w:rPr>
          <w:rFonts w:ascii="Times New Roman" w:hAnsi="Times New Roman" w:cs="Times New Roman"/>
          <w:sz w:val="24"/>
          <w:szCs w:val="24"/>
          <w:vertAlign w:val="superscript"/>
        </w:rPr>
        <w:footnoteReference w:id="111"/>
      </w:r>
      <w:r w:rsidR="00D35350" w:rsidRPr="00B8289B">
        <w:rPr>
          <w:rFonts w:ascii="Times New Roman" w:hAnsi="Times New Roman" w:cs="Times New Roman"/>
          <w:sz w:val="24"/>
          <w:szCs w:val="24"/>
        </w:rPr>
        <w:t xml:space="preserve">  These writings collectively became known as the Septuagint (Greek for 70), and it is hard to overestimate the significance of this first translation of the Hebrew Scriptures into Greek as it made available God’s word to the Greek speaking world.  There is no reason to doubt Justin Martyr; whether the story about separating the Hebrew scholars into 70 separate rooms and Ptolemy’s subsequent declaration of the translation as divine is embellished or not, it makes sense that so many Hebrew scholars were employed expressly for the reason of ensuring the validity of the translation. While Justin’s apparent goal was to attribute the monotheistic remarks of the Greek poets and philosophers to exposure to some form of Hebraic writings, it is just as conceivable, at least in the case of the philosophers, to attribute their remarks to the recognition that natural phenomenon must be directed and managed by a source of order transcendent to the chaos the pantheon of Greek gods exhibited.. Of course, Scripture affirms this avenue of insight when it admonishes that what can be “known about God is plain…in the things that have been made. So [men] are without excuse” </w:t>
      </w:r>
      <w:r w:rsidR="00D35350" w:rsidRPr="00B8289B">
        <w:rPr>
          <w:rFonts w:ascii="Times New Roman" w:hAnsi="Times New Roman" w:cs="Times New Roman"/>
          <w:sz w:val="24"/>
          <w:szCs w:val="24"/>
          <w:vertAlign w:val="superscript"/>
        </w:rPr>
        <w:footnoteReference w:id="112"/>
      </w:r>
      <w:r w:rsidR="00D35350" w:rsidRPr="00B8289B">
        <w:rPr>
          <w:rFonts w:ascii="Times New Roman" w:hAnsi="Times New Roman" w:cs="Times New Roman"/>
          <w:sz w:val="24"/>
          <w:szCs w:val="24"/>
        </w:rPr>
        <w:t xml:space="preserve"> This particular text in the Book of Romans declares that although men knew of God, they did not worship Him, and claiming to be </w:t>
      </w:r>
      <w:r w:rsidR="00D35350" w:rsidRPr="00B8289B">
        <w:rPr>
          <w:rFonts w:ascii="Times New Roman" w:hAnsi="Times New Roman" w:cs="Times New Roman"/>
          <w:sz w:val="24"/>
          <w:szCs w:val="24"/>
        </w:rPr>
        <w:lastRenderedPageBreak/>
        <w:t xml:space="preserve">wise in their own right, their thinking became darkened as they “exchanged the glory of the immortal God for images resembling mortal man…” </w:t>
      </w:r>
      <w:r w:rsidR="00D35350" w:rsidRPr="00B8289B">
        <w:rPr>
          <w:rFonts w:ascii="Times New Roman" w:hAnsi="Times New Roman" w:cs="Times New Roman"/>
          <w:sz w:val="24"/>
          <w:szCs w:val="24"/>
          <w:vertAlign w:val="superscript"/>
        </w:rPr>
        <w:footnoteReference w:id="113"/>
      </w:r>
      <w:r w:rsidR="00D35350" w:rsidRPr="00B8289B">
        <w:rPr>
          <w:rFonts w:ascii="Times New Roman" w:hAnsi="Times New Roman" w:cs="Times New Roman"/>
          <w:sz w:val="24"/>
          <w:szCs w:val="24"/>
        </w:rPr>
        <w:t xml:space="preserve"> While the observations of nature undoubtedly played a major role in leading the philosophers to a transcendent deity, the possibility that Greek enlightenment actually stemmed from the Hebrews provided Justin a major gateway to proclaiming Christ and His message that “salvation is from the Jews.” </w:t>
      </w:r>
      <w:r w:rsidR="00D35350" w:rsidRPr="00B8289B">
        <w:rPr>
          <w:rFonts w:ascii="Times New Roman" w:hAnsi="Times New Roman" w:cs="Times New Roman"/>
          <w:sz w:val="24"/>
          <w:szCs w:val="24"/>
          <w:vertAlign w:val="superscript"/>
        </w:rPr>
        <w:footnoteReference w:id="114"/>
      </w:r>
      <w:r w:rsidR="00D35350" w:rsidRPr="00B8289B">
        <w:rPr>
          <w:rFonts w:ascii="Times New Roman" w:hAnsi="Times New Roman" w:cs="Times New Roman"/>
          <w:sz w:val="24"/>
          <w:szCs w:val="24"/>
        </w:rPr>
        <w:t xml:space="preserve"> Nevertheless, regardless of the origin of the philosophers’ and poets’ monotheistic views, Justin’s skill in employing these arguments in his exhortation to the Greeks should not be underestimated when contemplating the rapid rise in converts.</w:t>
      </w:r>
    </w:p>
    <w:p w14:paraId="47653104" w14:textId="5B8CEF56"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 xml:space="preserve">One of the more prominent philosophical insights shared by Plato in particular not only concerned the nature of God but humans’ perception of  and relation to that nature as a means to informing their reality. Plato has quite a lot to say about the nature of the God who is “certainly single in form and true, both in what he does and what he says.” </w:t>
      </w:r>
      <w:r w:rsidRPr="00B8289B">
        <w:rPr>
          <w:rFonts w:ascii="Times New Roman" w:hAnsi="Times New Roman" w:cs="Times New Roman"/>
          <w:sz w:val="24"/>
          <w:szCs w:val="24"/>
          <w:vertAlign w:val="superscript"/>
        </w:rPr>
        <w:footnoteReference w:id="115"/>
      </w:r>
      <w:r w:rsidRPr="00B8289B">
        <w:rPr>
          <w:rFonts w:ascii="Times New Roman" w:hAnsi="Times New Roman" w:cs="Times New Roman"/>
          <w:sz w:val="24"/>
          <w:szCs w:val="24"/>
        </w:rPr>
        <w:t xml:space="preserve"> In his work </w:t>
      </w:r>
      <w:r w:rsidRPr="00B8289B">
        <w:rPr>
          <w:rFonts w:ascii="Times New Roman" w:hAnsi="Times New Roman" w:cs="Times New Roman"/>
          <w:i/>
          <w:sz w:val="24"/>
          <w:szCs w:val="24"/>
        </w:rPr>
        <w:t>Republic</w:t>
      </w:r>
      <w:r w:rsidRPr="00B8289B">
        <w:rPr>
          <w:rFonts w:ascii="Times New Roman" w:hAnsi="Times New Roman" w:cs="Times New Roman"/>
          <w:sz w:val="24"/>
          <w:szCs w:val="24"/>
        </w:rPr>
        <w:t>, Plato lays out a blueprint for a utopian city — one with a philosopher king whose highest goal should be the pursuit of the good which Plato defines as knowledge or wisdom. It is in the light of this wisdom that one can begin to discern what is genuine and true and good and what should be pursued against all else in life. Just like light reveals things and without it, one would grope in darkness, thus knowledge or wisdom reveals those traits needed for a wise ruler — truth, justice, virtue.</w:t>
      </w:r>
      <w:r w:rsidRPr="00B8289B">
        <w:rPr>
          <w:rFonts w:ascii="Times New Roman" w:hAnsi="Times New Roman" w:cs="Times New Roman"/>
          <w:sz w:val="24"/>
          <w:szCs w:val="24"/>
          <w:vertAlign w:val="superscript"/>
        </w:rPr>
        <w:footnoteReference w:id="116"/>
      </w:r>
      <w:r w:rsidRPr="00B8289B">
        <w:rPr>
          <w:rFonts w:ascii="Times New Roman" w:hAnsi="Times New Roman" w:cs="Times New Roman"/>
          <w:sz w:val="24"/>
          <w:szCs w:val="24"/>
        </w:rPr>
        <w:t xml:space="preserve"> Plato interchanges the words knowledge and good, but the essence of this good is it provides the being of all that can be seen and not seen (concrete objects and abstract ideas), but the good is “not being but something far surpassing being in rank and power.” </w:t>
      </w:r>
      <w:r w:rsidRPr="00B8289B">
        <w:rPr>
          <w:rFonts w:ascii="Times New Roman" w:hAnsi="Times New Roman" w:cs="Times New Roman"/>
          <w:sz w:val="24"/>
          <w:szCs w:val="24"/>
          <w:vertAlign w:val="superscript"/>
        </w:rPr>
        <w:footnoteReference w:id="117"/>
      </w:r>
      <w:r w:rsidRPr="00B8289B">
        <w:rPr>
          <w:rFonts w:ascii="Times New Roman" w:hAnsi="Times New Roman" w:cs="Times New Roman"/>
          <w:sz w:val="24"/>
          <w:szCs w:val="24"/>
        </w:rPr>
        <w:t xml:space="preserve"> This “not </w:t>
      </w:r>
      <w:r w:rsidRPr="00B8289B">
        <w:rPr>
          <w:rFonts w:ascii="Times New Roman" w:hAnsi="Times New Roman" w:cs="Times New Roman"/>
          <w:sz w:val="24"/>
          <w:szCs w:val="24"/>
        </w:rPr>
        <w:lastRenderedPageBreak/>
        <w:t>being” or eternal entity he often refers to as the Creator who “set in order the visible world</w:t>
      </w:r>
      <w:r w:rsidRPr="00B8289B">
        <w:rPr>
          <w:rFonts w:ascii="Times New Roman" w:hAnsi="Times New Roman" w:cs="Times New Roman"/>
          <w:sz w:val="24"/>
          <w:szCs w:val="24"/>
          <w:vertAlign w:val="superscript"/>
        </w:rPr>
        <w:footnoteReference w:id="118"/>
      </w:r>
      <w:r w:rsidRPr="00B8289B">
        <w:rPr>
          <w:rFonts w:ascii="Times New Roman" w:hAnsi="Times New Roman" w:cs="Times New Roman"/>
          <w:sz w:val="24"/>
          <w:szCs w:val="24"/>
        </w:rPr>
        <w:t xml:space="preserve"> is the cause of the light that reveals the absolute standards of both concrete objects and abstract ideas by which all that is changeable and becoming (earthly) is defined and measured. This concept of Plato’s has been dubbed the Theory of Forms. By it, he seeks to explain how and why people seem to have a sense of an original or standard.  For example, several things may be described as beautiful but what is the concept or standard of beautiful itself?  What is the objective standard of beautiful that people attribute to the thing perceived as having its traits?  Socrates, Plato’s tutor and through whom Plato speaks in many of his works (Socrates left no writings behind), provides this analogy: when a person sees an article of clothing that belongs to a loved one, that image reminds him of the person it belongs to as it is, in a sense, an attribute of the person.</w:t>
      </w:r>
      <w:r w:rsidRPr="00B8289B">
        <w:rPr>
          <w:rFonts w:ascii="Times New Roman" w:hAnsi="Times New Roman" w:cs="Times New Roman"/>
          <w:sz w:val="24"/>
          <w:szCs w:val="24"/>
          <w:vertAlign w:val="superscript"/>
        </w:rPr>
        <w:footnoteReference w:id="119"/>
      </w:r>
      <w:r w:rsidRPr="00B8289B">
        <w:rPr>
          <w:rFonts w:ascii="Times New Roman" w:hAnsi="Times New Roman" w:cs="Times New Roman"/>
          <w:sz w:val="24"/>
          <w:szCs w:val="24"/>
        </w:rPr>
        <w:t xml:space="preserve"> The person is the Form of which the clothing is the image that provokes recollection of the Form. Similarly, Socrates refers to arithmetic and geometry, two disciplines in which there are certain agreed upon assumptions that do not need justification because all agree upon them, and they are plain.  Working from these assumptions or known facts, logical deductions can be made in proving a proposition; for example, the sum of angles in a triangle is 180 degrees. This known fact of the sum of the angles is the absolute standard by which propositions can be reached. </w:t>
      </w:r>
      <w:r w:rsidRPr="00B8289B">
        <w:rPr>
          <w:rFonts w:ascii="Times New Roman" w:hAnsi="Times New Roman" w:cs="Times New Roman"/>
          <w:sz w:val="24"/>
          <w:szCs w:val="24"/>
          <w:vertAlign w:val="superscript"/>
        </w:rPr>
        <w:footnoteReference w:id="120"/>
      </w:r>
      <w:r w:rsidRPr="00B8289B">
        <w:rPr>
          <w:rFonts w:ascii="Times New Roman" w:hAnsi="Times New Roman" w:cs="Times New Roman"/>
          <w:sz w:val="24"/>
          <w:szCs w:val="24"/>
        </w:rPr>
        <w:t xml:space="preserve"> Now Socrates attributes people’s knowledge of this standard to </w:t>
      </w:r>
      <w:r w:rsidRPr="00B8289B">
        <w:rPr>
          <w:rFonts w:ascii="Times New Roman" w:hAnsi="Times New Roman" w:cs="Times New Roman"/>
          <w:sz w:val="24"/>
          <w:szCs w:val="24"/>
        </w:rPr>
        <w:lastRenderedPageBreak/>
        <w:t>something our souls possessed before birth, having gone through a cycle akin to reincarnation, and recollect as a memory in life on earth.</w:t>
      </w:r>
      <w:r w:rsidRPr="00B8289B">
        <w:rPr>
          <w:rFonts w:ascii="Times New Roman" w:hAnsi="Times New Roman" w:cs="Times New Roman"/>
          <w:sz w:val="24"/>
          <w:szCs w:val="24"/>
          <w:vertAlign w:val="superscript"/>
        </w:rPr>
        <w:footnoteReference w:id="121"/>
      </w:r>
      <w:r w:rsidRPr="00B8289B">
        <w:rPr>
          <w:rFonts w:ascii="Times New Roman" w:hAnsi="Times New Roman" w:cs="Times New Roman"/>
          <w:sz w:val="24"/>
          <w:szCs w:val="24"/>
        </w:rPr>
        <w:t xml:space="preserve"> This process of recollection or recovering of knowledge is what he deems happens when people learn.</w:t>
      </w:r>
      <w:r w:rsidRPr="00B8289B">
        <w:rPr>
          <w:rFonts w:ascii="Times New Roman" w:hAnsi="Times New Roman" w:cs="Times New Roman"/>
          <w:sz w:val="24"/>
          <w:szCs w:val="24"/>
          <w:vertAlign w:val="superscript"/>
        </w:rPr>
        <w:footnoteReference w:id="122"/>
      </w:r>
      <w:r w:rsidRPr="00B8289B">
        <w:rPr>
          <w:rFonts w:ascii="Times New Roman" w:hAnsi="Times New Roman" w:cs="Times New Roman"/>
          <w:sz w:val="24"/>
          <w:szCs w:val="24"/>
        </w:rPr>
        <w:t xml:space="preserve"> Socrates and, by extension, Plato’s Theory of Forms were the ancient culture’s way of explaining a c</w:t>
      </w:r>
      <w:r w:rsidR="00914975">
        <w:rPr>
          <w:rFonts w:ascii="Times New Roman" w:hAnsi="Times New Roman" w:cs="Times New Roman"/>
          <w:sz w:val="24"/>
          <w:szCs w:val="24"/>
        </w:rPr>
        <w:t xml:space="preserve">oncept that still baffles men, namely </w:t>
      </w:r>
      <w:r w:rsidRPr="00B8289B">
        <w:rPr>
          <w:rFonts w:ascii="Times New Roman" w:hAnsi="Times New Roman" w:cs="Times New Roman"/>
          <w:sz w:val="24"/>
          <w:szCs w:val="24"/>
        </w:rPr>
        <w:t xml:space="preserve">the objective standard of right and good to which all people throughout history seem to appeal whether it be a standard of truth, justice, beauty, or any other virtue. </w:t>
      </w:r>
      <w:r w:rsidRPr="00B8289B">
        <w:rPr>
          <w:rFonts w:ascii="Times New Roman" w:hAnsi="Times New Roman" w:cs="Times New Roman"/>
          <w:sz w:val="24"/>
          <w:szCs w:val="24"/>
          <w:vertAlign w:val="superscript"/>
        </w:rPr>
        <w:footnoteReference w:id="123"/>
      </w:r>
      <w:r w:rsidRPr="00B8289B">
        <w:rPr>
          <w:rFonts w:ascii="Times New Roman" w:hAnsi="Times New Roman" w:cs="Times New Roman"/>
          <w:sz w:val="24"/>
          <w:szCs w:val="24"/>
        </w:rPr>
        <w:t xml:space="preserve"> While Justin </w:t>
      </w:r>
      <w:r w:rsidRPr="00B8289B">
        <w:rPr>
          <w:rFonts w:ascii="Times New Roman" w:hAnsi="Times New Roman" w:cs="Times New Roman"/>
          <w:sz w:val="24"/>
          <w:szCs w:val="24"/>
        </w:rPr>
        <w:lastRenderedPageBreak/>
        <w:t>Martyr could have pointed his potential converts to Scriptures which testify to a divine source for this perceived objective standard, whether moral or</w:t>
      </w:r>
      <w:r w:rsidR="00914975">
        <w:rPr>
          <w:rFonts w:ascii="Times New Roman" w:hAnsi="Times New Roman" w:cs="Times New Roman"/>
          <w:sz w:val="24"/>
          <w:szCs w:val="24"/>
        </w:rPr>
        <w:t xml:space="preserve"> secular (math axioms), such as,</w:t>
      </w:r>
      <w:r w:rsidRPr="00B8289B">
        <w:rPr>
          <w:rFonts w:ascii="Times New Roman" w:hAnsi="Times New Roman" w:cs="Times New Roman"/>
          <w:sz w:val="24"/>
          <w:szCs w:val="24"/>
        </w:rPr>
        <w:t xml:space="preserve"> “They show that the work of [God’s] law is written on their hearts, while their conscience also bears witness, and their conflicting thoughts accuse or even excuse them</w:t>
      </w:r>
      <w:r w:rsidR="00914975">
        <w:rPr>
          <w:rFonts w:ascii="Times New Roman" w:hAnsi="Times New Roman" w:cs="Times New Roman"/>
          <w:sz w:val="24"/>
          <w:szCs w:val="24"/>
        </w:rPr>
        <w:t>,”</w:t>
      </w:r>
      <w:r w:rsidRPr="00B8289B">
        <w:rPr>
          <w:rFonts w:ascii="Times New Roman" w:hAnsi="Times New Roman" w:cs="Times New Roman"/>
          <w:sz w:val="24"/>
          <w:szCs w:val="24"/>
          <w:vertAlign w:val="superscript"/>
        </w:rPr>
        <w:footnoteReference w:id="124"/>
      </w:r>
      <w:r w:rsidR="00914975">
        <w:rPr>
          <w:rFonts w:ascii="Times New Roman" w:hAnsi="Times New Roman" w:cs="Times New Roman"/>
          <w:sz w:val="24"/>
          <w:szCs w:val="24"/>
        </w:rPr>
        <w:t xml:space="preserve"> </w:t>
      </w:r>
      <w:r w:rsidRPr="00B8289B">
        <w:rPr>
          <w:rFonts w:ascii="Times New Roman" w:hAnsi="Times New Roman" w:cs="Times New Roman"/>
          <w:sz w:val="24"/>
          <w:szCs w:val="24"/>
        </w:rPr>
        <w:t xml:space="preserve">he actually chooses, again, to cite a more earthly source for Plato’s conjectures — Moses’ writings. </w:t>
      </w:r>
    </w:p>
    <w:p w14:paraId="10163894" w14:textId="55EBAB7E" w:rsidR="00D35350" w:rsidRPr="00B8289B" w:rsidRDefault="00914975"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r w:rsidR="00D35350" w:rsidRPr="00B8289B">
        <w:rPr>
          <w:rFonts w:ascii="Times New Roman" w:hAnsi="Times New Roman" w:cs="Times New Roman"/>
          <w:sz w:val="24"/>
          <w:szCs w:val="24"/>
        </w:rPr>
        <w:t xml:space="preserve">In his </w:t>
      </w:r>
      <w:r w:rsidR="00D35350" w:rsidRPr="00B8289B">
        <w:rPr>
          <w:rFonts w:ascii="Times New Roman" w:hAnsi="Times New Roman" w:cs="Times New Roman"/>
          <w:i/>
          <w:sz w:val="24"/>
          <w:szCs w:val="24"/>
        </w:rPr>
        <w:t>Exhortation to the Greeks</w:t>
      </w:r>
      <w:r w:rsidR="00D35350" w:rsidRPr="00B8289B">
        <w:rPr>
          <w:rFonts w:ascii="Times New Roman" w:hAnsi="Times New Roman" w:cs="Times New Roman"/>
          <w:sz w:val="24"/>
          <w:szCs w:val="24"/>
        </w:rPr>
        <w:t xml:space="preserve">, Justin argues that Plato’s Theory of Forms originated through a misconception of God’s instructions to Moses regarding the pattern of the Tabernacle. The Tabernacle was the tent the Hebrews constructed for God to dwell in among them after they left Egypt and wandered for 40 years before entering Canaan, their promised land, according to Book of Exodus. God had showed Moses the pattern of the tabernacle when he gave him the law on Mt. Sinai. </w:t>
      </w:r>
      <w:r w:rsidR="00D35350" w:rsidRPr="00B8289B">
        <w:rPr>
          <w:rFonts w:ascii="Times New Roman" w:hAnsi="Times New Roman" w:cs="Times New Roman"/>
          <w:sz w:val="24"/>
          <w:szCs w:val="24"/>
          <w:vertAlign w:val="superscript"/>
        </w:rPr>
        <w:footnoteReference w:id="125"/>
      </w:r>
      <w:r w:rsidR="00D35350" w:rsidRPr="00B8289B">
        <w:rPr>
          <w:rFonts w:ascii="Times New Roman" w:hAnsi="Times New Roman" w:cs="Times New Roman"/>
          <w:sz w:val="24"/>
          <w:szCs w:val="24"/>
        </w:rPr>
        <w:t xml:space="preserve"> He admonished Moses to be sure to model the sanctuary after the pattern shown to him including all of its implements.</w:t>
      </w:r>
      <w:r w:rsidR="00D35350" w:rsidRPr="00B8289B">
        <w:rPr>
          <w:rFonts w:ascii="Times New Roman" w:hAnsi="Times New Roman" w:cs="Times New Roman"/>
          <w:sz w:val="24"/>
          <w:szCs w:val="24"/>
          <w:vertAlign w:val="superscript"/>
        </w:rPr>
        <w:footnoteReference w:id="126"/>
      </w:r>
      <w:r w:rsidR="00D35350" w:rsidRPr="00B8289B">
        <w:rPr>
          <w:rFonts w:ascii="Times New Roman" w:hAnsi="Times New Roman" w:cs="Times New Roman"/>
          <w:sz w:val="24"/>
          <w:szCs w:val="24"/>
        </w:rPr>
        <w:t xml:space="preserve"> Justin informs the Greeks that Plato, reading the passages and not having suitable insight, thought that form or standard had a separate existence before “that which the senses perceive.” </w:t>
      </w:r>
      <w:r w:rsidR="00D35350" w:rsidRPr="00B8289B">
        <w:rPr>
          <w:rFonts w:ascii="Times New Roman" w:hAnsi="Times New Roman" w:cs="Times New Roman"/>
          <w:sz w:val="24"/>
          <w:szCs w:val="24"/>
          <w:vertAlign w:val="superscript"/>
        </w:rPr>
        <w:footnoteReference w:id="127"/>
      </w:r>
      <w:r w:rsidR="00D35350" w:rsidRPr="00B8289B">
        <w:rPr>
          <w:rFonts w:ascii="Times New Roman" w:hAnsi="Times New Roman" w:cs="Times New Roman"/>
          <w:sz w:val="24"/>
          <w:szCs w:val="24"/>
        </w:rPr>
        <w:t xml:space="preserve">  Furthermore, Justin notes that Plato misconstrued the account of creation in Genesis.  Where God says “in the beginning He [God] created the heavens and the earth”</w:t>
      </w:r>
      <w:r w:rsidR="00D35350" w:rsidRPr="00B8289B">
        <w:rPr>
          <w:rFonts w:ascii="Times New Roman" w:hAnsi="Times New Roman" w:cs="Times New Roman"/>
          <w:sz w:val="24"/>
          <w:szCs w:val="24"/>
          <w:vertAlign w:val="superscript"/>
        </w:rPr>
        <w:footnoteReference w:id="128"/>
      </w:r>
      <w:r w:rsidR="00D35350" w:rsidRPr="00B8289B">
        <w:rPr>
          <w:rFonts w:ascii="Times New Roman" w:hAnsi="Times New Roman" w:cs="Times New Roman"/>
          <w:sz w:val="24"/>
          <w:szCs w:val="24"/>
        </w:rPr>
        <w:t xml:space="preserve"> but then in the next verse says, “the earth was formless and void,”</w:t>
      </w:r>
      <w:r w:rsidR="00D35350" w:rsidRPr="00B8289B">
        <w:rPr>
          <w:rFonts w:ascii="Times New Roman" w:hAnsi="Times New Roman" w:cs="Times New Roman"/>
          <w:sz w:val="24"/>
          <w:szCs w:val="24"/>
          <w:vertAlign w:val="superscript"/>
        </w:rPr>
        <w:footnoteReference w:id="129"/>
      </w:r>
      <w:r w:rsidR="00D35350" w:rsidRPr="00B8289B">
        <w:rPr>
          <w:rFonts w:ascii="Times New Roman" w:hAnsi="Times New Roman" w:cs="Times New Roman"/>
          <w:sz w:val="24"/>
          <w:szCs w:val="24"/>
        </w:rPr>
        <w:t xml:space="preserve"> Justin argues that Plato thought created earth was the pre-existent earth. The “formless” earth was the one that God fashioned which we perceive by the senses. Additionally, Justin suggests that Plato misconstrued the creation of man. In chapter 1 of Genesis, God creates man in his own </w:t>
      </w:r>
      <w:r w:rsidR="00D35350" w:rsidRPr="00B8289B">
        <w:rPr>
          <w:rFonts w:ascii="Times New Roman" w:hAnsi="Times New Roman" w:cs="Times New Roman"/>
          <w:sz w:val="24"/>
          <w:szCs w:val="24"/>
        </w:rPr>
        <w:lastRenderedPageBreak/>
        <w:t>image.  He blesses him. Scripture gives an account of God’s other creations and then conveys that He rested on the seventh day.</w:t>
      </w:r>
      <w:r w:rsidR="00D35350" w:rsidRPr="00B8289B">
        <w:rPr>
          <w:rFonts w:ascii="Times New Roman" w:hAnsi="Times New Roman" w:cs="Times New Roman"/>
          <w:sz w:val="24"/>
          <w:szCs w:val="24"/>
          <w:vertAlign w:val="superscript"/>
        </w:rPr>
        <w:footnoteReference w:id="130"/>
      </w:r>
      <w:r w:rsidR="00D35350" w:rsidRPr="00B8289B">
        <w:rPr>
          <w:rFonts w:ascii="Times New Roman" w:hAnsi="Times New Roman" w:cs="Times New Roman"/>
          <w:sz w:val="24"/>
          <w:szCs w:val="24"/>
        </w:rPr>
        <w:t xml:space="preserve">  Subsequently, in chapter 2, God creates man from the dust of the earth and breathes life into his nostrils.</w:t>
      </w:r>
      <w:r w:rsidR="00D35350" w:rsidRPr="00B8289B">
        <w:rPr>
          <w:rFonts w:ascii="Times New Roman" w:hAnsi="Times New Roman" w:cs="Times New Roman"/>
          <w:sz w:val="24"/>
          <w:szCs w:val="24"/>
          <w:vertAlign w:val="superscript"/>
        </w:rPr>
        <w:footnoteReference w:id="131"/>
      </w:r>
      <w:r w:rsidR="00D35350" w:rsidRPr="00B8289B">
        <w:rPr>
          <w:rFonts w:ascii="Times New Roman" w:hAnsi="Times New Roman" w:cs="Times New Roman"/>
          <w:sz w:val="24"/>
          <w:szCs w:val="24"/>
        </w:rPr>
        <w:t xml:space="preserve">  It is conceivable, if Plato had indeed read the Hebraic writings, that he could have taken the second man made of dust as the one that is visible to the senses, construing the first man mentioned as the pattern or standard.  Plato’s own inquiries spoken through Timaeus reflect such thinking:  “The work of the Creator, whenever he looks to the unchangeable and fashions the form and nature of his work after an unchangeable pattern, must necessarily be made fair and perfect…” </w:t>
      </w:r>
      <w:r w:rsidR="00D35350" w:rsidRPr="00B8289B">
        <w:rPr>
          <w:rFonts w:ascii="Times New Roman" w:hAnsi="Times New Roman" w:cs="Times New Roman"/>
          <w:sz w:val="24"/>
          <w:szCs w:val="24"/>
          <w:vertAlign w:val="superscript"/>
        </w:rPr>
        <w:footnoteReference w:id="132"/>
      </w:r>
      <w:r w:rsidR="00D35350" w:rsidRPr="00B8289B">
        <w:rPr>
          <w:rFonts w:ascii="Times New Roman" w:hAnsi="Times New Roman" w:cs="Times New Roman"/>
          <w:sz w:val="24"/>
          <w:szCs w:val="24"/>
        </w:rPr>
        <w:t xml:space="preserve">   A final point to be made in defense of Justin’s claims that Plato plagiarized from Moses is that Plato does speak often of adhering to the “old tradition”</w:t>
      </w:r>
      <w:r w:rsidR="00D35350" w:rsidRPr="00B8289B">
        <w:rPr>
          <w:rFonts w:ascii="Times New Roman" w:hAnsi="Times New Roman" w:cs="Times New Roman"/>
          <w:sz w:val="24"/>
          <w:szCs w:val="24"/>
          <w:vertAlign w:val="superscript"/>
        </w:rPr>
        <w:footnoteReference w:id="133"/>
      </w:r>
      <w:r w:rsidR="00D35350" w:rsidRPr="00B8289B">
        <w:rPr>
          <w:rFonts w:ascii="Times New Roman" w:hAnsi="Times New Roman" w:cs="Times New Roman"/>
          <w:sz w:val="24"/>
          <w:szCs w:val="24"/>
        </w:rPr>
        <w:t xml:space="preserve"> and believing “wise men;” both infer sources much older and more learned than he. While Plato could be referring to Homer or Hesiod, Greece’s premier poets, who had existed several hundred years before him, he tends to disparage their works, calling into question not only the truthfulness of their epics involving the Greek gods but also expressing concern about their immoral behavior (adultery, patricide, deception, etc.) and its effect on the education of children. </w:t>
      </w:r>
      <w:r w:rsidR="00D35350" w:rsidRPr="00B8289B">
        <w:rPr>
          <w:rFonts w:ascii="Times New Roman" w:hAnsi="Times New Roman" w:cs="Times New Roman"/>
          <w:sz w:val="24"/>
          <w:szCs w:val="24"/>
          <w:vertAlign w:val="superscript"/>
        </w:rPr>
        <w:footnoteReference w:id="134"/>
      </w:r>
      <w:r w:rsidR="00D35350" w:rsidRPr="00B8289B">
        <w:rPr>
          <w:rFonts w:ascii="Times New Roman" w:hAnsi="Times New Roman" w:cs="Times New Roman"/>
          <w:sz w:val="24"/>
          <w:szCs w:val="24"/>
        </w:rPr>
        <w:t xml:space="preserve"> Additionally, in the </w:t>
      </w:r>
      <w:r w:rsidR="00D35350" w:rsidRPr="00B8289B">
        <w:rPr>
          <w:rFonts w:ascii="Times New Roman" w:hAnsi="Times New Roman" w:cs="Times New Roman"/>
          <w:i/>
          <w:sz w:val="24"/>
          <w:szCs w:val="24"/>
        </w:rPr>
        <w:t>Timaeus,</w:t>
      </w:r>
      <w:r w:rsidR="00D35350" w:rsidRPr="00B8289B">
        <w:rPr>
          <w:rFonts w:ascii="Times New Roman" w:hAnsi="Times New Roman" w:cs="Times New Roman"/>
          <w:sz w:val="24"/>
          <w:szCs w:val="24"/>
        </w:rPr>
        <w:t xml:space="preserve"> Plato writes that the Creator is good, and the reason He made the world was because He wished for all things to be similar to Himself: </w:t>
      </w:r>
    </w:p>
    <w:p w14:paraId="3F853C3D" w14:textId="77777777" w:rsidR="00D35350" w:rsidRPr="00B8289B" w:rsidRDefault="00D35350" w:rsidP="00914975">
      <w:pPr>
        <w:spacing w:line="240" w:lineRule="auto"/>
        <w:ind w:left="720" w:right="720"/>
        <w:rPr>
          <w:rFonts w:ascii="Times New Roman" w:hAnsi="Times New Roman" w:cs="Times New Roman"/>
          <w:sz w:val="24"/>
          <w:szCs w:val="24"/>
        </w:rPr>
      </w:pPr>
      <w:r w:rsidRPr="00B8289B">
        <w:rPr>
          <w:rFonts w:ascii="Times New Roman" w:hAnsi="Times New Roman" w:cs="Times New Roman"/>
          <w:sz w:val="24"/>
          <w:szCs w:val="24"/>
        </w:rPr>
        <w:t>This is in the truest sense the origin of creation and of the world, as we shall do well in believing on the testimony of wise men: God desired that all things should be good and nothing bad, so far as this was attainable.</w:t>
      </w:r>
      <w:r w:rsidRPr="00B8289B">
        <w:rPr>
          <w:rFonts w:ascii="Times New Roman" w:hAnsi="Times New Roman" w:cs="Times New Roman"/>
          <w:sz w:val="24"/>
          <w:szCs w:val="24"/>
          <w:vertAlign w:val="superscript"/>
        </w:rPr>
        <w:footnoteReference w:id="135"/>
      </w:r>
    </w:p>
    <w:p w14:paraId="7564CC05"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 xml:space="preserve">Plato’s admonition seemingly echoes the language of Genesis which often resounds with “…and God saw that everything He had made and behold it was very good.” </w:t>
      </w:r>
      <w:r w:rsidRPr="00B8289B">
        <w:rPr>
          <w:rFonts w:ascii="Times New Roman" w:hAnsi="Times New Roman" w:cs="Times New Roman"/>
          <w:sz w:val="24"/>
          <w:szCs w:val="24"/>
          <w:vertAlign w:val="superscript"/>
        </w:rPr>
        <w:footnoteReference w:id="136"/>
      </w:r>
      <w:r w:rsidRPr="00B8289B">
        <w:rPr>
          <w:rFonts w:ascii="Times New Roman" w:hAnsi="Times New Roman" w:cs="Times New Roman"/>
          <w:sz w:val="24"/>
          <w:szCs w:val="24"/>
        </w:rPr>
        <w:t xml:space="preserve">  While any claims </w:t>
      </w:r>
      <w:r w:rsidRPr="00B8289B">
        <w:rPr>
          <w:rFonts w:ascii="Times New Roman" w:hAnsi="Times New Roman" w:cs="Times New Roman"/>
          <w:sz w:val="24"/>
          <w:szCs w:val="24"/>
        </w:rPr>
        <w:lastRenderedPageBreak/>
        <w:t>regarding the source of Plato’s concepts are debatable, Justin surely convinced some, if not many wondering about the hullabaloo the Christian religion was creating, that Plato’s works pointed to the Hebrew God whose Son, His followers claimed, had come as the ultimate Form of Him: “And the Word was made flesh and dwelt among us.”</w:t>
      </w:r>
      <w:r w:rsidRPr="00B8289B">
        <w:rPr>
          <w:rFonts w:ascii="Times New Roman" w:hAnsi="Times New Roman" w:cs="Times New Roman"/>
          <w:sz w:val="24"/>
          <w:szCs w:val="24"/>
          <w:vertAlign w:val="superscript"/>
        </w:rPr>
        <w:footnoteReference w:id="137"/>
      </w:r>
      <w:r w:rsidRPr="00B8289B">
        <w:rPr>
          <w:rFonts w:ascii="Times New Roman" w:hAnsi="Times New Roman" w:cs="Times New Roman"/>
          <w:sz w:val="24"/>
          <w:szCs w:val="24"/>
        </w:rPr>
        <w:t xml:space="preserve">  Plato, of all people, would have understood Jesus’ words, “Whoever has seen me, has seen the Father.”</w:t>
      </w:r>
      <w:r w:rsidRPr="00B8289B">
        <w:rPr>
          <w:rFonts w:ascii="Times New Roman" w:hAnsi="Times New Roman" w:cs="Times New Roman"/>
          <w:sz w:val="24"/>
          <w:szCs w:val="24"/>
          <w:vertAlign w:val="superscript"/>
        </w:rPr>
        <w:footnoteReference w:id="138"/>
      </w:r>
    </w:p>
    <w:p w14:paraId="36F3D02E"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 xml:space="preserve">While Plato’s writings intimate that the Creator is invisible and unknowable, </w:t>
      </w:r>
      <w:r w:rsidRPr="00B8289B">
        <w:rPr>
          <w:rFonts w:ascii="Times New Roman" w:hAnsi="Times New Roman" w:cs="Times New Roman"/>
          <w:sz w:val="24"/>
          <w:szCs w:val="24"/>
          <w:vertAlign w:val="superscript"/>
        </w:rPr>
        <w:footnoteReference w:id="139"/>
      </w:r>
      <w:r w:rsidRPr="00B8289B">
        <w:rPr>
          <w:rFonts w:ascii="Times New Roman" w:hAnsi="Times New Roman" w:cs="Times New Roman"/>
          <w:sz w:val="24"/>
          <w:szCs w:val="24"/>
        </w:rPr>
        <w:t xml:space="preserve"> he reasons this Father is good since his creation reflects order and beauty, and since He, as the causal intelligence, fashioned images of Himself,</w:t>
      </w:r>
      <w:r w:rsidRPr="00B8289B">
        <w:rPr>
          <w:rFonts w:ascii="Times New Roman" w:hAnsi="Times New Roman" w:cs="Times New Roman"/>
          <w:sz w:val="24"/>
          <w:szCs w:val="24"/>
          <w:vertAlign w:val="superscript"/>
        </w:rPr>
        <w:footnoteReference w:id="140"/>
      </w:r>
      <w:r w:rsidRPr="00B8289B">
        <w:rPr>
          <w:rFonts w:ascii="Times New Roman" w:hAnsi="Times New Roman" w:cs="Times New Roman"/>
          <w:sz w:val="24"/>
          <w:szCs w:val="24"/>
        </w:rPr>
        <w:t xml:space="preserve">  and copies of heavenly things, he could not have helped infusing his living creatures with intelligence or soul. </w:t>
      </w:r>
      <w:r w:rsidRPr="00B8289B">
        <w:rPr>
          <w:rFonts w:ascii="Times New Roman" w:hAnsi="Times New Roman" w:cs="Times New Roman"/>
          <w:sz w:val="24"/>
          <w:szCs w:val="24"/>
          <w:vertAlign w:val="superscript"/>
        </w:rPr>
        <w:footnoteReference w:id="141"/>
      </w:r>
      <w:r w:rsidRPr="00B8289B">
        <w:rPr>
          <w:rFonts w:ascii="Times New Roman" w:hAnsi="Times New Roman" w:cs="Times New Roman"/>
          <w:sz w:val="24"/>
          <w:szCs w:val="24"/>
        </w:rPr>
        <w:t xml:space="preserve">   In fact, Plato deemed that God permeated the cosmos with a soul — a world soul as he called it.</w:t>
      </w:r>
      <w:r w:rsidRPr="00B8289B">
        <w:rPr>
          <w:rFonts w:ascii="Times New Roman" w:hAnsi="Times New Roman" w:cs="Times New Roman"/>
          <w:sz w:val="24"/>
          <w:szCs w:val="24"/>
          <w:vertAlign w:val="superscript"/>
        </w:rPr>
        <w:footnoteReference w:id="142"/>
      </w:r>
      <w:r w:rsidRPr="00B8289B">
        <w:rPr>
          <w:rFonts w:ascii="Times New Roman" w:hAnsi="Times New Roman" w:cs="Times New Roman"/>
          <w:sz w:val="24"/>
          <w:szCs w:val="24"/>
        </w:rPr>
        <w:t xml:space="preserve"> A fascinating conjecture Plato puts forth is that this world soul is physically manifested in the shape of a celestial X.</w:t>
      </w:r>
      <w:r w:rsidRPr="00B8289B">
        <w:rPr>
          <w:rFonts w:ascii="Times New Roman" w:hAnsi="Times New Roman" w:cs="Times New Roman"/>
          <w:sz w:val="24"/>
          <w:szCs w:val="24"/>
          <w:vertAlign w:val="superscript"/>
        </w:rPr>
        <w:footnoteReference w:id="143"/>
      </w:r>
      <w:r w:rsidRPr="00B8289B">
        <w:rPr>
          <w:rFonts w:ascii="Times New Roman" w:hAnsi="Times New Roman" w:cs="Times New Roman"/>
          <w:sz w:val="24"/>
          <w:szCs w:val="24"/>
        </w:rPr>
        <w:t xml:space="preserve">  In the </w:t>
      </w:r>
      <w:r w:rsidRPr="00B8289B">
        <w:rPr>
          <w:rFonts w:ascii="Times New Roman" w:hAnsi="Times New Roman" w:cs="Times New Roman"/>
          <w:i/>
          <w:sz w:val="24"/>
          <w:szCs w:val="24"/>
        </w:rPr>
        <w:t>Timaeus</w:t>
      </w:r>
      <w:r w:rsidRPr="00B8289B">
        <w:rPr>
          <w:rFonts w:ascii="Times New Roman" w:hAnsi="Times New Roman" w:cs="Times New Roman"/>
          <w:sz w:val="24"/>
          <w:szCs w:val="24"/>
        </w:rPr>
        <w:t xml:space="preserve">, Plato describes two visible celestial circles which cross forming an X that scholars have interpreted to be Plato’s observation of the intersection of the path of the planets with the Milky Way.  This is only visible at certain times of the year by means of the zodiacal light, a phenomenon that illuminates the sky shortly before dawn. </w:t>
      </w:r>
      <w:r w:rsidRPr="00B8289B">
        <w:rPr>
          <w:rFonts w:ascii="Times New Roman" w:hAnsi="Times New Roman" w:cs="Times New Roman"/>
          <w:sz w:val="24"/>
          <w:szCs w:val="24"/>
          <w:vertAlign w:val="superscript"/>
        </w:rPr>
        <w:footnoteReference w:id="144"/>
      </w:r>
      <w:r w:rsidRPr="00B8289B">
        <w:rPr>
          <w:rFonts w:ascii="Times New Roman" w:hAnsi="Times New Roman" w:cs="Times New Roman"/>
          <w:sz w:val="24"/>
          <w:szCs w:val="24"/>
        </w:rPr>
        <w:t xml:space="preserve"> According to Plato, the Creator or cosmic soul is invisible, but he fashioned this X as a manifestation or visible image of the world soul.</w:t>
      </w:r>
      <w:r w:rsidRPr="00B8289B">
        <w:rPr>
          <w:rFonts w:ascii="Times New Roman" w:hAnsi="Times New Roman" w:cs="Times New Roman"/>
          <w:sz w:val="24"/>
          <w:szCs w:val="24"/>
          <w:vertAlign w:val="superscript"/>
        </w:rPr>
        <w:footnoteReference w:id="145"/>
      </w:r>
      <w:r w:rsidRPr="00B8289B">
        <w:rPr>
          <w:rFonts w:ascii="Times New Roman" w:hAnsi="Times New Roman" w:cs="Times New Roman"/>
          <w:sz w:val="24"/>
          <w:szCs w:val="24"/>
        </w:rPr>
        <w:t xml:space="preserve"> This figure was well-known in the early centuries of the Roman Empire as evidenced by </w:t>
      </w:r>
      <w:r w:rsidRPr="00B8289B">
        <w:rPr>
          <w:rFonts w:ascii="Times New Roman" w:hAnsi="Times New Roman" w:cs="Times New Roman"/>
          <w:sz w:val="24"/>
          <w:szCs w:val="24"/>
        </w:rPr>
        <w:lastRenderedPageBreak/>
        <w:t xml:space="preserve">the fact that the shape is seen on Roman coins. </w:t>
      </w:r>
      <w:r w:rsidRPr="00B8289B">
        <w:rPr>
          <w:rFonts w:ascii="Times New Roman" w:hAnsi="Times New Roman" w:cs="Times New Roman"/>
          <w:sz w:val="24"/>
          <w:szCs w:val="24"/>
          <w:vertAlign w:val="superscript"/>
        </w:rPr>
        <w:footnoteReference w:id="146"/>
      </w:r>
      <w:r w:rsidRPr="00B8289B">
        <w:rPr>
          <w:rFonts w:ascii="Times New Roman" w:hAnsi="Times New Roman" w:cs="Times New Roman"/>
          <w:sz w:val="24"/>
          <w:szCs w:val="24"/>
        </w:rPr>
        <w:t xml:space="preserve">  What is immediately discernible is that the X, turned on its side, takes on the shape of a cross.  In his </w:t>
      </w:r>
      <w:r w:rsidRPr="00B8289B">
        <w:rPr>
          <w:rFonts w:ascii="Times New Roman" w:hAnsi="Times New Roman" w:cs="Times New Roman"/>
          <w:i/>
          <w:sz w:val="24"/>
          <w:szCs w:val="24"/>
        </w:rPr>
        <w:t>First Apology</w:t>
      </w:r>
      <w:r w:rsidRPr="00B8289B">
        <w:rPr>
          <w:rFonts w:ascii="Times New Roman" w:hAnsi="Times New Roman" w:cs="Times New Roman"/>
          <w:sz w:val="24"/>
          <w:szCs w:val="24"/>
        </w:rPr>
        <w:t>, Justin argues that Plato’s X</w:t>
      </w:r>
    </w:p>
    <w:p w14:paraId="6620598D" w14:textId="37A8927C" w:rsidR="00D35350" w:rsidRPr="00B8289B" w:rsidRDefault="003E005F" w:rsidP="004C6ADF">
      <w:pPr>
        <w:spacing w:line="480" w:lineRule="auto"/>
        <w:rPr>
          <w:rFonts w:ascii="Times New Roman" w:hAnsi="Times New Roman" w:cs="Times New Roman"/>
          <w:sz w:val="24"/>
          <w:szCs w:val="24"/>
        </w:rPr>
      </w:pPr>
      <w:r w:rsidRPr="00B8289B">
        <w:rPr>
          <w:rFonts w:ascii="Times New Roman" w:hAnsi="Times New Roman" w:cs="Times New Roman"/>
          <w:noProof/>
          <w:sz w:val="24"/>
          <w:szCs w:val="24"/>
        </w:rPr>
        <mc:AlternateContent>
          <mc:Choice Requires="wps">
            <w:drawing>
              <wp:anchor distT="0" distB="0" distL="114300" distR="114300" simplePos="0" relativeHeight="251653120" behindDoc="0" locked="0" layoutInCell="1" allowOverlap="1" wp14:anchorId="036FD31D" wp14:editId="59086050">
                <wp:simplePos x="0" y="0"/>
                <wp:positionH relativeFrom="column">
                  <wp:posOffset>1533525</wp:posOffset>
                </wp:positionH>
                <wp:positionV relativeFrom="paragraph">
                  <wp:posOffset>-28575</wp:posOffset>
                </wp:positionV>
                <wp:extent cx="2895600" cy="2476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289560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2325195" w14:textId="77777777" w:rsidR="00BC1251" w:rsidRDefault="00BC1251" w:rsidP="00D35350">
                            <w:pPr>
                              <w:jc w:val="center"/>
                            </w:pPr>
                            <w:r>
                              <w:t xml:space="preserve">Fig. 1 –Plato’s visible cosmic soul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120.75pt;margin-top:-2.25pt;width:228pt;height:19.5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yLkgIAALIFAAAOAAAAZHJzL2Uyb0RvYy54bWysVE1PGzEQvVfqf7B8L5ukIUDEBqUgqkoI&#10;UKHi7HhtYuG1XdvJbvrr++zdhPBxoepld8bzZjzzPDOnZ22tyVr4oKwp6fBgQIkw3FbKPJb01/3l&#10;l2NKQmSmYtoaUdKNCPRs9vnTaeOmYmSXVlfCEwQxYdq4ki5jdNOiCHwpahYOrBMGRml9zSJU/1hU&#10;njWIXutiNBhMisb6ynnLRQg4veiMdJbjSyl4vJEyiEh0SZFbzF+fv4v0LWanbPromVsq3qfB/iGL&#10;mimDS3ehLlhkZOXVm1C14t4GK+MBt3VhpVRc5BpQzXDwqpq7JXMi1wJygtvRFP5fWH69vvVEVSWd&#10;UGJYjSe6F20k32xLJomdxoUpQHcOsNjiGK+8PQ84TEW30tfpj3II7OB5s+M2BeM4HB2fHE4GMHHY&#10;RuOjyWEmv3j2dj7E78LWJAkl9Xi7TClbX4WITADdQtJlwWpVXSqts5L6RZxrT9YML61jzhEeL1Da&#10;kAaFfsXVbyKk0Dv/hWb8KVX5MgI0bZKnyJ3Vp5UY6pjIUtxokTDa/BQSzGZC3smRcS7MLs+MTiiJ&#10;ij7i2OOfs/qIc1cHPPLN1sSdc62M9R1LL6mtnrbUyg4PkvbqTmJsF23fOQtbbdA43naDFxy/VCD6&#10;ioV4yzwmDQ2B7RFv8JHa4nVsL1GytP7Pe+cJjwGAlZIGk1vS8HvFvKBE/zAYjZPheJxGPSvjw6MR&#10;FL9vWexbzKo+t2iZIfaU41lM+Ki3ovS2fsCSmadbYWKG4+6Sxq14Hrt9giXFxXyeQRhux+KVuXM8&#10;hU70pga7bx+Yd32DR4zGtd3OOJu+6vMOmzyNna+ilSoPQSK4Y7UnHosh92m/xNLm2dcz6nnVzv4C&#10;AAD//wMAUEsDBBQABgAIAAAAIQDWgzOv3AAAAAkBAAAPAAAAZHJzL2Rvd25yZXYueG1sTI/NTsMw&#10;EITvSLyDtUjcWqellDTEqQAVLpwoiLMbb+2IeB3ZbhrenuUEp/0bzXxbbyffixFj6gIpWMwLEEht&#10;MB1ZBR/vz7MSRMqajO4DoYJvTLBtLi9qXZlwpjcc99kKNqFUaQUu56GSMrUOvU7zMCDx7Rii15nH&#10;aKWJ+szmvpfLolhLrzviBKcHfHLYfu1PXsHu0W5sW+rodqXpunH6PL7aF6Wur6aHexAZp/wnhl98&#10;RoeGmQ7hRCaJXsFytbhlqYLZiisL1ps7bg4Kbnghm1r+/6D5AQAA//8DAFBLAQItABQABgAIAAAA&#10;IQC2gziS/gAAAOEBAAATAAAAAAAAAAAAAAAAAAAAAABbQ29udGVudF9UeXBlc10ueG1sUEsBAi0A&#10;FAAGAAgAAAAhADj9If/WAAAAlAEAAAsAAAAAAAAAAAAAAAAALwEAAF9yZWxzLy5yZWxzUEsBAi0A&#10;FAAGAAgAAAAhAAexvIuSAgAAsgUAAA4AAAAAAAAAAAAAAAAALgIAAGRycy9lMm9Eb2MueG1sUEsB&#10;Ai0AFAAGAAgAAAAhANaDM6/cAAAACQEAAA8AAAAAAAAAAAAAAAAA7AQAAGRycy9kb3ducmV2Lnht&#10;bFBLBQYAAAAABAAEAPMAAAD1BQAAAAA=&#10;" fillcolor="white [3201]" strokeweight=".5pt">
                <v:textbox>
                  <w:txbxContent>
                    <w:p w14:paraId="22325195" w14:textId="77777777" w:rsidR="00BC1251" w:rsidRDefault="00BC1251" w:rsidP="00D35350">
                      <w:pPr>
                        <w:jc w:val="center"/>
                      </w:pPr>
                      <w:r>
                        <w:t xml:space="preserve">Fig. 1 –Plato’s visible cosmic soul </w:t>
                      </w:r>
                    </w:p>
                  </w:txbxContent>
                </v:textbox>
              </v:shape>
            </w:pict>
          </mc:Fallback>
        </mc:AlternateContent>
      </w:r>
      <w:r w:rsidR="00D35350" w:rsidRPr="00B8289B">
        <w:rPr>
          <w:rFonts w:ascii="Times New Roman" w:hAnsi="Times New Roman" w:cs="Times New Roman"/>
          <w:sz w:val="24"/>
          <w:szCs w:val="24"/>
        </w:rPr>
        <w:t xml:space="preserve">             </w:t>
      </w:r>
      <w:r w:rsidR="00D35350" w:rsidRPr="00B8289B">
        <w:rPr>
          <w:rFonts w:ascii="Times New Roman" w:hAnsi="Times New Roman" w:cs="Times New Roman"/>
          <w:noProof/>
          <w:sz w:val="24"/>
          <w:szCs w:val="24"/>
        </w:rPr>
        <w:drawing>
          <wp:inline distT="0" distB="0" distL="0" distR="0" wp14:anchorId="275DC2F8" wp14:editId="530D71F2">
            <wp:extent cx="5943600" cy="236220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smic X Plato Soul.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362200"/>
                    </a:xfrm>
                    <a:prstGeom prst="rect">
                      <a:avLst/>
                    </a:prstGeom>
                    <a:ln w="9525">
                      <a:solidFill>
                        <a:schemeClr val="tx1"/>
                      </a:solidFill>
                    </a:ln>
                  </pic:spPr>
                </pic:pic>
              </a:graphicData>
            </a:graphic>
          </wp:inline>
        </w:drawing>
      </w:r>
    </w:p>
    <w:p w14:paraId="0074A3D9"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5D92030" wp14:editId="35B4B205">
                <wp:simplePos x="0" y="0"/>
                <wp:positionH relativeFrom="column">
                  <wp:posOffset>1571625</wp:posOffset>
                </wp:positionH>
                <wp:positionV relativeFrom="paragraph">
                  <wp:posOffset>40640</wp:posOffset>
                </wp:positionV>
                <wp:extent cx="2943225" cy="2571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2943225" cy="257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7084A3" w14:textId="77777777" w:rsidR="00BC1251" w:rsidRDefault="00BC1251" w:rsidP="00D35350">
                            <w:pPr>
                              <w:jc w:val="center"/>
                            </w:pPr>
                            <w:r>
                              <w:t>Fig. 2 Roman coins 1</w:t>
                            </w:r>
                            <w:r w:rsidRPr="00F85A98">
                              <w:rPr>
                                <w:vertAlign w:val="superscript"/>
                              </w:rPr>
                              <w:t>st</w:t>
                            </w:r>
                            <w:r>
                              <w:t xml:space="preserve"> – 3</w:t>
                            </w:r>
                            <w:r w:rsidRPr="00F85A98">
                              <w:rPr>
                                <w:vertAlign w:val="superscript"/>
                              </w:rPr>
                              <w:t>rd</w:t>
                            </w:r>
                            <w:r>
                              <w:t xml:space="preserve"> centuries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3" o:spid="_x0000_s1027" type="#_x0000_t202" style="position:absolute;margin-left:123.75pt;margin-top:3.2pt;width:231.75pt;height:20.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vllwIAALsFAAAOAAAAZHJzL2Uyb0RvYy54bWysVFFPGzEMfp+0/xDlfVx7tDAqrqgDMU1C&#10;gAYTz2kuoRFJnCVp77pfj5O7K4XxwrSXO8f+7NhfbJ+etUaTjfBBga3o+GBEibAcamUfK/rr/vLL&#10;V0pCZLZmGqyo6FYEejb//Om0cTNRwgp0LTzBIDbMGlfRVYxuVhSBr4Rh4QCcsGiU4A2LePSPRe1Z&#10;g9GNLsrR6KhowNfOAxchoPaiM9J5ji+l4PFGyiAi0RXF3GL++vxdpm8xP2WzR8/cSvE+DfYPWRim&#10;LF66C3XBIiNrr/4KZRT3EEDGAw6mACkVF7kGrGY8elPN3Yo5kWtBcoLb0RT+X1h+vbn1RNX4doeU&#10;WGbwje5FG8k3aAmqkJ/GhRnC7hwCY4t6xA76gMpUdiu9SX8siKAdmd7u2E3ROCrLk8lhWU4p4Wgr&#10;p8fj42kKU7x4Ox/idwGGJKGiHl8vk8o2VyF20AGSLgugVX2ptM6H1DHiXHuyYfjWOuYcMfgrlLak&#10;qejR4XSUA7+ypdA7/6Vm/KlPbw+F8bRN14ncW31aiaGOiSzFrRYJo+1PIZHbTMg7OTLOhd3lmdEJ&#10;JbGijzj2+JesPuLc1YEe+WawcedslAXfsfSa2vppoFZ2eHzDvbqTGNtl2zXV0ChLqLfYPx66CQyO&#10;Xyrk+4qFeMs8jhy2DK6ReIMfqQEfCXqJkhX4P+/pEx4nAa2UNDjCFQ2/18wLSvQPizNyMp5M0szn&#10;w2R6XOLB71uW+xa7NueAnTPGheV4FhM+6kGUHswDbptFuhVNzHK8u6JxEM9jt1hwW3GxWGQQTrlj&#10;8creOZ5CJ5ZTn923D8y7vs8jTsg1DMPOZm/avcMmTwuLdQSp8iwknjtWe/5xQ+Rp6rdZWkH754x6&#10;2bnzZwAAAP//AwBQSwMEFAAGAAgAAAAhAIGzN/ndAAAACAEAAA8AAABkcnMvZG93bnJldi54bWxM&#10;jzFPwzAUhHck/oP1kNiokyqkaZqXClBhYaIgZjd2bauxHcVuGv49j4mOpzvdfddsZ9ezSY3RBo+Q&#10;LzJgyndBWq8Rvj5fHypgMQkvRR+8QvhREbbt7U0jahku/kNN+6QZlfhYCwST0lBzHjujnIiLMChP&#10;3jGMTiSSo+ZyFBcqdz1fZlnJnbCeFowY1ItR3Wl/dgi7Z73WXSVGs6uktdP8fXzXb4j3d/PTBlhS&#10;c/oPwx8+oUNLTIdw9jKyHmFZrB4pilAWwMhf5Tl9OyAU5Rp42/DrA+0vAAAA//8DAFBLAQItABQA&#10;BgAIAAAAIQC2gziS/gAAAOEBAAATAAAAAAAAAAAAAAAAAAAAAABbQ29udGVudF9UeXBlc10ueG1s&#10;UEsBAi0AFAAGAAgAAAAhADj9If/WAAAAlAEAAAsAAAAAAAAAAAAAAAAALwEAAF9yZWxzLy5yZWxz&#10;UEsBAi0AFAAGAAgAAAAhAFg5O+WXAgAAuwUAAA4AAAAAAAAAAAAAAAAALgIAAGRycy9lMm9Eb2Mu&#10;eG1sUEsBAi0AFAAGAAgAAAAhAIGzN/ndAAAACAEAAA8AAAAAAAAAAAAAAAAA8QQAAGRycy9kb3du&#10;cmV2LnhtbFBLBQYAAAAABAAEAPMAAAD7BQAAAAA=&#10;" fillcolor="white [3201]" strokeweight=".5pt">
                <v:textbox>
                  <w:txbxContent>
                    <w:p w14:paraId="7F7084A3" w14:textId="77777777" w:rsidR="00BC1251" w:rsidRDefault="00BC1251" w:rsidP="00D35350">
                      <w:pPr>
                        <w:jc w:val="center"/>
                      </w:pPr>
                      <w:r>
                        <w:t>Fig. 2 Roman coins 1</w:t>
                      </w:r>
                      <w:r w:rsidRPr="00F85A98">
                        <w:rPr>
                          <w:vertAlign w:val="superscript"/>
                        </w:rPr>
                        <w:t>st</w:t>
                      </w:r>
                      <w:r>
                        <w:t xml:space="preserve"> – 3</w:t>
                      </w:r>
                      <w:r w:rsidRPr="00F85A98">
                        <w:rPr>
                          <w:vertAlign w:val="superscript"/>
                        </w:rPr>
                        <w:t>rd</w:t>
                      </w:r>
                      <w:r>
                        <w:t xml:space="preserve"> centuries</w:t>
                      </w:r>
                    </w:p>
                  </w:txbxContent>
                </v:textbox>
              </v:shape>
            </w:pict>
          </mc:Fallback>
        </mc:AlternateContent>
      </w:r>
    </w:p>
    <w:p w14:paraId="15BE759B"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01E48D3" wp14:editId="54DCACC7">
                <wp:simplePos x="0" y="0"/>
                <wp:positionH relativeFrom="column">
                  <wp:posOffset>1323975</wp:posOffset>
                </wp:positionH>
                <wp:positionV relativeFrom="paragraph">
                  <wp:posOffset>1972945</wp:posOffset>
                </wp:positionV>
                <wp:extent cx="333375" cy="238125"/>
                <wp:effectExtent l="0" t="0" r="28575" b="28575"/>
                <wp:wrapNone/>
                <wp:docPr id="12" name="Left Arrow 12"/>
                <wp:cNvGraphicFramePr/>
                <a:graphic xmlns:a="http://schemas.openxmlformats.org/drawingml/2006/main">
                  <a:graphicData uri="http://schemas.microsoft.com/office/word/2010/wordprocessingShape">
                    <wps:wsp>
                      <wps:cNvSpPr/>
                      <wps:spPr>
                        <a:xfrm>
                          <a:off x="0" y="0"/>
                          <a:ext cx="333375" cy="2381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type w14:anchorId="63392F1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2" o:spid="_x0000_s1026" type="#_x0000_t66" style="position:absolute;margin-left:104.25pt;margin-top:155.35pt;width:26.25pt;height:18.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oZ+dQIAAEAFAAAOAAAAZHJzL2Uyb0RvYy54bWysVN9P2zAQfp+0/8Hy+0gb6GAVKapATJMq&#10;qICJZ+PYJJLt885u0+6v39lJAwK0h2l5cM6+u+9++DufX+ysYVuFoQVX8enRhDPlJNSte674z4fr&#10;L2echShcLQw4VfG9Cvxi8fnTeefnqoQGTK2QEYgL885XvInRz4siyEZZEY7AK0dKDWhFpC0+FzWK&#10;jtCtKcrJ5GvRAdYeQaoQ6PSqV/JFxtdayXirdVCRmYpTbjGvmNentBaLczF/RuGbVg5piH/IworW&#10;UdAR6kpEwTbYvoOyrUQIoOORBFuA1q1UuQaqZjp5U819I7zKtVBzgh/bFP4frLzZrpG1Nd1dyZkT&#10;lu5opXRkS0ToGB1Shzof5mR479c47AKJqdydRpv+VAjb5a7ux66qXWSSDo/pO51xJklVHp9Ny1nC&#10;LF6cPYb4XYFlSai4ofA5em6o2K5C7O0PduScMupzyFLcG5XSMO5OaaqGopbZO/NIXRpkW0EMEFIq&#10;F6e9qhG16o9nE/qGpEaPnGIGTMi6NWbEHgASR99j97kO9slVZRqOzpO/JdY7jx45Mrg4OtvWAX4E&#10;YKiqIXJvf2hS35rUpSeo93TXCP0QBC+vW2r4SoS4Fkisp/mgSY63tGgDXcVhkDhrAH9/dJ7siYyk&#10;5ayjKap4+LURqDgzPxzR9Nv05CSNXd6czE5L2uBrzdNrjdvYS6BrmtKb4WUWk300B1Ej2Eca+GWK&#10;SirhJMWuuIx42FzGfrrpyZBqucxmNGpexJW79zKBp64mLj3sHgX6gXWR6HoDh4kT8ze8622Tp4Pl&#10;JoJuMylf+jr0m8Y0E2d4UtI78HqfrV4evsUfAAAA//8DAFBLAwQUAAYACAAAACEAX9USk+EAAAAL&#10;AQAADwAAAGRycy9kb3ducmV2LnhtbEyPwU7DMAyG70i8Q2QkbixpgK0qTScEAi4cxtgkjllj2rIm&#10;qZJs7Xh6zAmOtj/9/v5yOdmeHTHEzjsF2UwAQ1d707lGweb96SoHFpN2RvfeoYITRlhW52elLowf&#10;3Rse16lhFOJioRW0KQ0F57Fu0eo48wM6un36YHWiMTTcBD1SuO25FGLOre4cfWj1gA8t1vv1wSrY&#10;ji9fcvu8sqd9F6bXkH88xm+v1OXFdH8HLOGU/mD41Sd1qMhp5w/ORNYrkCK/JVTBdSYWwIiQ84za&#10;7Whzk0vgVcn/d6h+AAAA//8DAFBLAQItABQABgAIAAAAIQC2gziS/gAAAOEBAAATAAAAAAAAAAAA&#10;AAAAAAAAAABbQ29udGVudF9UeXBlc10ueG1sUEsBAi0AFAAGAAgAAAAhADj9If/WAAAAlAEAAAsA&#10;AAAAAAAAAAAAAAAALwEAAF9yZWxzLy5yZWxzUEsBAi0AFAAGAAgAAAAhAKF2hn51AgAAQAUAAA4A&#10;AAAAAAAAAAAAAAAALgIAAGRycy9lMm9Eb2MueG1sUEsBAi0AFAAGAAgAAAAhAF/VEpPhAAAACwEA&#10;AA8AAAAAAAAAAAAAAAAAzwQAAGRycy9kb3ducmV2LnhtbFBLBQYAAAAABAAEAPMAAADdBQAAAAA=&#10;" adj="7714" fillcolor="#4f81bd [3204]" strokecolor="#243f60 [1604]" strokeweight="2pt"/>
            </w:pict>
          </mc:Fallback>
        </mc:AlternateContent>
      </w:r>
      <w:r w:rsidRPr="00B8289B">
        <w:rPr>
          <w:rFonts w:ascii="Times New Roman" w:hAnsi="Times New Roman" w:cs="Times New Roman"/>
          <w:noProof/>
          <w:sz w:val="24"/>
          <w:szCs w:val="24"/>
        </w:rPr>
        <mc:AlternateContent>
          <mc:Choice Requires="wps">
            <w:drawing>
              <wp:anchor distT="0" distB="0" distL="114300" distR="114300" simplePos="0" relativeHeight="251656192" behindDoc="0" locked="0" layoutInCell="1" allowOverlap="1" wp14:anchorId="30DD3E50" wp14:editId="32AC4BBE">
                <wp:simplePos x="0" y="0"/>
                <wp:positionH relativeFrom="column">
                  <wp:posOffset>2209800</wp:posOffset>
                </wp:positionH>
                <wp:positionV relativeFrom="paragraph">
                  <wp:posOffset>2153920</wp:posOffset>
                </wp:positionV>
                <wp:extent cx="304800" cy="209550"/>
                <wp:effectExtent l="0" t="19050" r="38100" b="38100"/>
                <wp:wrapNone/>
                <wp:docPr id="11" name="Right Arrow 11"/>
                <wp:cNvGraphicFramePr/>
                <a:graphic xmlns:a="http://schemas.openxmlformats.org/drawingml/2006/main">
                  <a:graphicData uri="http://schemas.microsoft.com/office/word/2010/wordprocessingShape">
                    <wps:wsp>
                      <wps:cNvSpPr/>
                      <wps:spPr>
                        <a:xfrm>
                          <a:off x="0" y="0"/>
                          <a:ext cx="304800" cy="209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type w14:anchorId="6EC8AD4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1" o:spid="_x0000_s1026" type="#_x0000_t13" style="position:absolute;margin-left:174pt;margin-top:169.6pt;width:24pt;height:16.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JwFeAIAAEIFAAAOAAAAZHJzL2Uyb0RvYy54bWysVE1v2zAMvQ/YfxB0X+1kydYGdYqgRYcB&#10;RVv0Az2rshQbkESNUuJkv36U7LhFW+wwzAdZFMlH8onU6dnOGrZVGFpwFZ8clZwpJ6Fu3brijw+X&#10;X445C1G4WhhwquJ7FfjZ8vOn084v1BQaMLVCRiAuLDpf8SZGvyiKIBtlRTgCrxwpNaAVkURcFzWK&#10;jtCtKaZl+a3oAGuPIFUIdHrRK/ky42utZLzROqjITMUpt5hXzOtzWovlqVisUfimlUMa4h+ysKJ1&#10;FHSEuhBRsA2276BsKxEC6HgkwRagdStVroGqmZRvqrlvhFe5FiIn+JGm8P9g5fX2Fllb091NOHPC&#10;0h3dtesmshUidIxOiaLOhwVZ3vtbHKRA21TvTqNNf6qE7TKt+5FWtYtM0uHXcnZcEvmSVNPyZD7P&#10;tBcvzh5D/KHAsrSpOKb4OXymVGyvQqSw5HAwJCGl1CeRd3FvVMrDuDulqR4KO83euZPUuUG2FdQD&#10;Qkrl4qRXNaJW/fG8pC9VSkFGjyxlwISsW2NG7AEgdel77B5msE+uKjfi6Fz+LbHeefTIkcHF0dm2&#10;DvAjAENVDZF7+wNJPTWJpWeo93TbCP0YBC8vW2L8SoR4K5D6ni6JZjne0KINdBWHYcdZA/j7o/Nk&#10;T+1IWs46mqOKh18bgYoz89NRo55MZrM0eFmYzb9PScDXmufXGrex50DXRL1I2eVtso/msNUI9olG&#10;fpWikko4SbErLiMehPPYzzc9GlKtVtmMhs2LeOXuvUzgidXUSw+7J4F+aLtI/XoNh5kTizd919sm&#10;TwerTQTd5qZ84XXgmwY1N87wqKSX4LWcrV6evuUfAAAA//8DAFBLAwQUAAYACAAAACEAWYFA1+AA&#10;AAALAQAADwAAAGRycy9kb3ducmV2LnhtbEyPzU7DMBCE70i8g7VI3Kjzg0qaxqkQEuKGSEDq1U22&#10;SdR4HdlumvL0LCe4ze6OZr8pdosZxYzOD5YUxKsIBFJj24E6BV+frw8ZCB80tXq0hAqu6GFX3t4U&#10;Om/thSqc69AJDiGfawV9CFMupW96NNqv7ITEt6N1RgceXSdbpy8cbkaZRNFaGj0Qf+j1hC89Nqf6&#10;bBTQ/n322T6+xsf5raaurr7dR6XU/d3yvAURcAl/ZvjFZ3Qomelgz9R6MSpIHzPuElikmwQEO9LN&#10;mjcHFk9JArIs5P8O5Q8AAAD//wMAUEsBAi0AFAAGAAgAAAAhALaDOJL+AAAA4QEAABMAAAAAAAAA&#10;AAAAAAAAAAAAAFtDb250ZW50X1R5cGVzXS54bWxQSwECLQAUAAYACAAAACEAOP0h/9YAAACUAQAA&#10;CwAAAAAAAAAAAAAAAAAvAQAAX3JlbHMvLnJlbHNQSwECLQAUAAYACAAAACEAoiycBXgCAABCBQAA&#10;DgAAAAAAAAAAAAAAAAAuAgAAZHJzL2Uyb0RvYy54bWxQSwECLQAUAAYACAAAACEAWYFA1+AAAAAL&#10;AQAADwAAAAAAAAAAAAAAAADSBAAAZHJzL2Rvd25yZXYueG1sUEsFBgAAAAAEAAQA8wAAAN8FAAAA&#10;AA==&#10;" adj="14175" fillcolor="#4f81bd [3204]" strokecolor="#243f60 [1604]" strokeweight="2pt"/>
            </w:pict>
          </mc:Fallback>
        </mc:AlternateContent>
      </w:r>
      <w:r w:rsidRPr="00B8289B">
        <w:rPr>
          <w:rFonts w:ascii="Times New Roman" w:hAnsi="Times New Roman" w:cs="Times New Roman"/>
          <w:noProof/>
          <w:sz w:val="24"/>
          <w:szCs w:val="24"/>
        </w:rPr>
        <mc:AlternateContent>
          <mc:Choice Requires="wps">
            <w:drawing>
              <wp:anchor distT="0" distB="0" distL="114300" distR="114300" simplePos="0" relativeHeight="251655168" behindDoc="0" locked="0" layoutInCell="1" allowOverlap="1" wp14:anchorId="16E29935" wp14:editId="0E1C5049">
                <wp:simplePos x="0" y="0"/>
                <wp:positionH relativeFrom="column">
                  <wp:posOffset>4429125</wp:posOffset>
                </wp:positionH>
                <wp:positionV relativeFrom="paragraph">
                  <wp:posOffset>2106295</wp:posOffset>
                </wp:positionV>
                <wp:extent cx="323850" cy="257175"/>
                <wp:effectExtent l="0" t="19050" r="38100" b="47625"/>
                <wp:wrapNone/>
                <wp:docPr id="10" name="Right Arrow 10"/>
                <wp:cNvGraphicFramePr/>
                <a:graphic xmlns:a="http://schemas.openxmlformats.org/drawingml/2006/main">
                  <a:graphicData uri="http://schemas.microsoft.com/office/word/2010/wordprocessingShape">
                    <wps:wsp>
                      <wps:cNvSpPr/>
                      <wps:spPr>
                        <a:xfrm>
                          <a:off x="0" y="0"/>
                          <a:ext cx="323850" cy="2571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54301671" id="Right Arrow 10" o:spid="_x0000_s1026" type="#_x0000_t13" style="position:absolute;margin-left:348.75pt;margin-top:165.85pt;width:25.5pt;height:20.2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dbCdwIAAEIFAAAOAAAAZHJzL2Uyb0RvYy54bWysVMFOGzEQvVfqP1i+l01CUmjEBkVBVJUQ&#10;REDF2XjtrCWvxx072aRf37F3syBAPVTNYWN7Zt7MPL/xxeW+sWynMBhwJR+fjDhTTkJl3KbkPx+v&#10;v5xzFqJwlbDgVMkPKvDLxedPF62fqwnUYCuFjEBcmLe+5HWMfl4UQdaqEeEEvHJk1ICNiLTFTVGh&#10;aAm9scVkNPpatICVR5AqBDq96ox8kfG1VjLeaR1UZLbkVFvMX8zf5/QtFhdivkHhayP7MsQ/VNEI&#10;4yjpAHUlomBbNO+gGiMRAuh4IqEpQGsjVe6BuhmP3nTzUAuvci9ETvADTeH/wcrb3RqZqejuiB4n&#10;Grqje7OpI1siQsvolChqfZiT54NfY78LtEz97jU26Z86YftM62GgVe0jk3R4Ojk9nxG6JNNkdjY+&#10;myXM4iXYY4jfFTQsLUqOKX9OnykVu5sQu4CjI0Wnkroi8ioerEp1WHevNPVDaSc5OitJrSyynSAN&#10;CCmVi+POVItKdcezEf36qoaIXGMGTMjaWDtg9wBJpe+xu1p7/xSqshCH4NHfCuuCh4icGVwcghvj&#10;AD8CsNRVn7nzP5LUUZNYeobqQLeN0I1B8PLaEOM3IsS1QNI9XRLNcryjj7bQlhz6FWc14O+PzpM/&#10;yZGsnLU0RyUPv7YCFWf2hyOhfhtPp2nw8mY6O5vQBl9bnl9b3LZZAV3TmF4NL/My+Ud7XGqE5olG&#10;fpmykkk4SblLLiMeN6vYzTc9GlItl9mNhs2LeOMevEzgidWkpcf9k0Dfyy6SXm/hOHNi/kZ3nW+K&#10;dLDcRtAmi/KF155vGtQsnP5RSS/B6332enn6Fn8AAAD//wMAUEsDBBQABgAIAAAAIQCTqbN44AAA&#10;AAsBAAAPAAAAZHJzL2Rvd25yZXYueG1sTI9BTsMwEEX3SNzBGiR21GlS4hLiVAgJsQAEFA7g2iYJ&#10;jceR7abp7RlWsJw/T3/e1JvZDWyyIfYeJSwXGTCL2pseWwmfHw9Xa2AxKTRq8GglnGyETXN+VqvK&#10;+CO+22mbWkYlGCsloUtprDiPurNOxYUfLdLuywenEo2h5SaoI5W7gedZVnKneqQLnRrtfWf1fntw&#10;Er7FHt9OxeT60vGXsHrVT/rxWcrLi/nuFliyc/qD4Vef1KEhp50/oIlskFDeiGtCJRTFUgAjQqzW&#10;lOwoEXkOvKn5/x+aHwAAAP//AwBQSwECLQAUAAYACAAAACEAtoM4kv4AAADhAQAAEwAAAAAAAAAA&#10;AAAAAAAAAAAAW0NvbnRlbnRfVHlwZXNdLnhtbFBLAQItABQABgAIAAAAIQA4/SH/1gAAAJQBAAAL&#10;AAAAAAAAAAAAAAAAAC8BAABfcmVscy8ucmVsc1BLAQItABQABgAIAAAAIQAS1dbCdwIAAEIFAAAO&#10;AAAAAAAAAAAAAAAAAC4CAABkcnMvZTJvRG9jLnhtbFBLAQItABQABgAIAAAAIQCTqbN44AAAAAsB&#10;AAAPAAAAAAAAAAAAAAAAANEEAABkcnMvZG93bnJldi54bWxQSwUGAAAAAAQABADzAAAA3gUAAAAA&#10;" adj="13024" fillcolor="#4f81bd [3204]" strokecolor="#243f60 [1604]" strokeweight="2pt"/>
            </w:pict>
          </mc:Fallback>
        </mc:AlternateContent>
      </w:r>
      <w:r w:rsidRPr="00B8289B">
        <w:rPr>
          <w:rFonts w:ascii="Times New Roman" w:hAnsi="Times New Roman" w:cs="Times New Roman"/>
          <w:noProof/>
          <w:sz w:val="24"/>
          <w:szCs w:val="24"/>
        </w:rPr>
        <w:drawing>
          <wp:inline distT="0" distB="0" distL="0" distR="0" wp14:anchorId="6F40C5AD" wp14:editId="22EC70CA">
            <wp:extent cx="5943600" cy="2505075"/>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to's Cosmic Soul Roman coins.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2505075"/>
                    </a:xfrm>
                    <a:prstGeom prst="rect">
                      <a:avLst/>
                    </a:prstGeom>
                    <a:ln w="9525">
                      <a:solidFill>
                        <a:schemeClr val="tx1"/>
                      </a:solidFill>
                    </a:ln>
                  </pic:spPr>
                </pic:pic>
              </a:graphicData>
            </a:graphic>
          </wp:inline>
        </w:drawing>
      </w:r>
    </w:p>
    <w:p w14:paraId="46B27082" w14:textId="7B64B88C"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 xml:space="preserve">in the </w:t>
      </w:r>
      <w:r w:rsidRPr="00B8289B">
        <w:rPr>
          <w:rFonts w:ascii="Times New Roman" w:hAnsi="Times New Roman" w:cs="Times New Roman"/>
          <w:i/>
          <w:sz w:val="24"/>
          <w:szCs w:val="24"/>
        </w:rPr>
        <w:t>Timaeus</w:t>
      </w:r>
      <w:r w:rsidRPr="00B8289B">
        <w:rPr>
          <w:rFonts w:ascii="Times New Roman" w:hAnsi="Times New Roman" w:cs="Times New Roman"/>
          <w:sz w:val="24"/>
          <w:szCs w:val="24"/>
        </w:rPr>
        <w:t xml:space="preserve"> is a foreshadowing of the Christian cross.</w:t>
      </w:r>
      <w:r w:rsidRPr="00B8289B">
        <w:rPr>
          <w:rFonts w:ascii="Times New Roman" w:hAnsi="Times New Roman" w:cs="Times New Roman"/>
          <w:sz w:val="24"/>
          <w:szCs w:val="24"/>
          <w:vertAlign w:val="superscript"/>
        </w:rPr>
        <w:footnoteReference w:id="147"/>
      </w:r>
      <w:r w:rsidRPr="00B8289B">
        <w:rPr>
          <w:rFonts w:ascii="Times New Roman" w:hAnsi="Times New Roman" w:cs="Times New Roman"/>
          <w:sz w:val="24"/>
          <w:szCs w:val="24"/>
        </w:rPr>
        <w:t xml:space="preserve"> The cross, of course, stands at the center of the Christian faith. As Justin would have surely conveyed, the cross is the “…power of </w:t>
      </w:r>
      <w:r w:rsidRPr="00B8289B">
        <w:rPr>
          <w:rFonts w:ascii="Times New Roman" w:hAnsi="Times New Roman" w:cs="Times New Roman"/>
          <w:sz w:val="24"/>
          <w:szCs w:val="24"/>
        </w:rPr>
        <w:lastRenderedPageBreak/>
        <w:t xml:space="preserve">God to [those] who are being saved.” </w:t>
      </w:r>
      <w:r w:rsidRPr="00B8289B">
        <w:rPr>
          <w:rFonts w:ascii="Times New Roman" w:hAnsi="Times New Roman" w:cs="Times New Roman"/>
          <w:sz w:val="24"/>
          <w:szCs w:val="24"/>
          <w:vertAlign w:val="superscript"/>
        </w:rPr>
        <w:footnoteReference w:id="148"/>
      </w:r>
      <w:r w:rsidRPr="00B8289B">
        <w:rPr>
          <w:rFonts w:ascii="Times New Roman" w:hAnsi="Times New Roman" w:cs="Times New Roman"/>
          <w:sz w:val="24"/>
          <w:szCs w:val="24"/>
        </w:rPr>
        <w:t xml:space="preserve"> It is the symbol of God’s final act of redeeming mankind. Justin’s correlation of Plato’s celestial cross with the one Jesus hung on would surely have been intriguing and perhaps even convincing to some.  Given the fact the image was on their own coins, it might have even seemed miraculous. And if that wasn’t enough for the potential believer, history records that it was in this sign Constantine I in 312 AD secured victory over the enemies of Rome.  In his </w:t>
      </w:r>
      <w:r w:rsidRPr="00B8289B">
        <w:rPr>
          <w:rFonts w:ascii="Times New Roman" w:hAnsi="Times New Roman" w:cs="Times New Roman"/>
          <w:i/>
          <w:sz w:val="24"/>
          <w:szCs w:val="24"/>
        </w:rPr>
        <w:t xml:space="preserve">Church History, </w:t>
      </w:r>
      <w:r w:rsidRPr="00B8289B">
        <w:rPr>
          <w:rFonts w:ascii="Times New Roman" w:hAnsi="Times New Roman" w:cs="Times New Roman"/>
          <w:sz w:val="24"/>
          <w:szCs w:val="24"/>
        </w:rPr>
        <w:t>Eusebius relates Constantine found himself up against a formidable enemy in the summer of 312 AD, and in a pivotal decision, placed himself and his army under the protection of the Christian God.  Eusebius claims that Constantine was given a vision of two Greek letters, the chi (X) and the rho (P), which in English are CH, the first two letters of CHRIST.  Accompanying the vision in which the letters were superimposed as seen below, Constantine heard these words: “In hoc signes vinces” (In this sign conquer).</w:t>
      </w:r>
      <w:r w:rsidRPr="00B8289B">
        <w:rPr>
          <w:rFonts w:ascii="Times New Roman" w:hAnsi="Times New Roman" w:cs="Times New Roman"/>
          <w:sz w:val="24"/>
          <w:szCs w:val="24"/>
          <w:vertAlign w:val="superscript"/>
        </w:rPr>
        <w:footnoteReference w:id="149"/>
      </w:r>
      <w:r w:rsidRPr="00B8289B">
        <w:rPr>
          <w:rFonts w:ascii="Times New Roman" w:hAnsi="Times New Roman" w:cs="Times New Roman"/>
          <w:sz w:val="24"/>
          <w:szCs w:val="24"/>
        </w:rPr>
        <w:t xml:space="preserve"> Note in the figure below, the c</w:t>
      </w:r>
      <w:r w:rsidR="009367E1">
        <w:rPr>
          <w:rFonts w:ascii="Times New Roman" w:hAnsi="Times New Roman" w:cs="Times New Roman"/>
          <w:sz w:val="24"/>
          <w:szCs w:val="24"/>
        </w:rPr>
        <w:t xml:space="preserve">hi resembles Plato’s world soul. Justin would not </w:t>
      </w:r>
      <w:r w:rsidRPr="00B8289B">
        <w:rPr>
          <w:rFonts w:ascii="Times New Roman" w:hAnsi="Times New Roman" w:cs="Times New Roman"/>
          <w:sz w:val="24"/>
          <w:szCs w:val="24"/>
        </w:rPr>
        <w:t xml:space="preserve"> </w:t>
      </w:r>
    </w:p>
    <w:p w14:paraId="46930F38"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noProof/>
          <w:sz w:val="24"/>
          <w:szCs w:val="24"/>
        </w:rPr>
        <w:lastRenderedPageBreak/>
        <mc:AlternateContent>
          <mc:Choice Requires="wps">
            <w:drawing>
              <wp:anchor distT="0" distB="0" distL="114300" distR="114300" simplePos="0" relativeHeight="251663360" behindDoc="0" locked="0" layoutInCell="1" allowOverlap="1" wp14:anchorId="63AFC16F" wp14:editId="29255CC1">
                <wp:simplePos x="0" y="0"/>
                <wp:positionH relativeFrom="column">
                  <wp:posOffset>390525</wp:posOffset>
                </wp:positionH>
                <wp:positionV relativeFrom="paragraph">
                  <wp:posOffset>-102870</wp:posOffset>
                </wp:positionV>
                <wp:extent cx="3295650" cy="21907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3295650" cy="219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A9D544F" w14:textId="77777777" w:rsidR="00BC1251" w:rsidRDefault="00BC1251" w:rsidP="00D35350">
                            <w:pPr>
                              <w:jc w:val="center"/>
                            </w:pPr>
                            <w:r>
                              <w:t xml:space="preserve">Fig. 3 The Chi-Rho symbol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28" type="#_x0000_t202" style="position:absolute;margin-left:30.75pt;margin-top:-8.1pt;width:259.5pt;height:1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IZdlgIAALsFAAAOAAAAZHJzL2Uyb0RvYy54bWysVE1v2zAMvQ/YfxB0X52kTbsEcYqsRYcB&#10;RVusHXpWZCkRKomapMTOfv0o2U7Tj0uHXWyKfKTIJ5Kz88ZoshU+KLAlHR4NKBGWQ6XsqqS/Hq6+&#10;fKUkRGYrpsGKku5EoOfzz59mtZuKEaxBV8ITDGLDtHYlXcfopkUR+FoYFo7ACYtGCd6wiEe/KirP&#10;aoxudDEaDE6LGnzlPHARAmovWyOd5/hSCh5vpQwiEl1SzC3mr8/fZfoW8xmbrjxza8W7NNg/ZGGY&#10;snjpPtQli4xsvHoTyijuIYCMRxxMAVIqLnINWM1w8Kqa+zVzIteC5AS3pyn8v7D8Znvniarw7SaU&#10;WGbwjR5EE8k3aAiqkJ/ahSnC7h0CY4N6xPb6gMpUdiO9SX8siKAdmd7t2U3ROCqPR5Px6RhNHG2j&#10;4WRwNk5himdv50P8LsCQJJTU4+tlUtn2OsQW2kPSZQG0qq6U1vmQOkZcaE+2DN9ax5wjBn+B0pbU&#10;JT09xjTeREih9/5LzfhTl95BBIynbfIUube6tBJDLRNZijstEkbbn0Iit5mQd3JknAu7zzOjE0pi&#10;RR9x7PDPWX3Eua0DPfLNYOPe2SgLvmXpJbXVU0+tbPH4hgd1JzE2yyY31ahvlCVUO+wfD+0EBsev&#10;FPJ9zUK8Yx5HDvsC10i8xY/UgI8EnUTJGvyf9/QJj5OAVkpqHOGSht8b5gUl+ofFGZkMT07SzOfD&#10;yfhshAd/aFkeWuzGXAB2zhAXluNZTPioe1F6MI+4bRbpVjQxy/HuksZevIjtYsFtxcVikUE45Y7F&#10;a3vveAqdWE599tA8Mu+6Po84ITfQDzubvmr3Fps8LSw2EaTKs5B4blnt+McNkaep22ZpBR2eM+p5&#10;587/AgAA//8DAFBLAwQUAAYACAAAACEA+9IjNNwAAAAJAQAADwAAAGRycy9kb3ducmV2LnhtbEyP&#10;wU7DMAyG70i8Q+RJ3La0Q6tCaToBGlw4sSHOWeMl0ZqkarKuvD3mBEfbn35/f7Odfc8mHJOLQUK5&#10;KoBh6KJ2wUj4PLwuBbCUVdCqjwElfGOCbXt706hax2v4wGmfDaOQkGolweY81JynzqJXaRUHDHQ7&#10;xdGrTONouB7VlcJ9z9dFUXGvXKAPVg34YrE77y9ewu7ZPJhOqNHuhHZumr9O7+ZNyrvF/PQILOOc&#10;/2D41Sd1aMnpGC9BJ9ZLqMoNkRKWZbUGRsBGFLQ5EinugbcN/9+g/QEAAP//AwBQSwECLQAUAAYA&#10;CAAAACEAtoM4kv4AAADhAQAAEwAAAAAAAAAAAAAAAAAAAAAAW0NvbnRlbnRfVHlwZXNdLnhtbFBL&#10;AQItABQABgAIAAAAIQA4/SH/1gAAAJQBAAALAAAAAAAAAAAAAAAAAC8BAABfcmVscy8ucmVsc1BL&#10;AQItABQABgAIAAAAIQCpiIZdlgIAALsFAAAOAAAAAAAAAAAAAAAAAC4CAABkcnMvZTJvRG9jLnht&#10;bFBLAQItABQABgAIAAAAIQD70iM03AAAAAkBAAAPAAAAAAAAAAAAAAAAAPAEAABkcnMvZG93bnJl&#10;di54bWxQSwUGAAAAAAQABADzAAAA+QUAAAAA&#10;" fillcolor="white [3201]" strokeweight=".5pt">
                <v:textbox>
                  <w:txbxContent>
                    <w:p w14:paraId="1A9D544F" w14:textId="77777777" w:rsidR="00BC1251" w:rsidRDefault="00BC1251" w:rsidP="00D35350">
                      <w:pPr>
                        <w:jc w:val="center"/>
                      </w:pPr>
                      <w:r>
                        <w:t xml:space="preserve">Fig. 3 The Chi-Rho symbol </w:t>
                      </w:r>
                    </w:p>
                  </w:txbxContent>
                </v:textbox>
              </v:shape>
            </w:pict>
          </mc:Fallback>
        </mc:AlternateContent>
      </w:r>
      <w:r w:rsidRPr="00B8289B">
        <w:rPr>
          <w:rFonts w:ascii="Times New Roman" w:hAnsi="Times New Roman" w:cs="Times New Roman"/>
          <w:noProof/>
          <w:sz w:val="24"/>
          <w:szCs w:val="24"/>
        </w:rPr>
        <w:drawing>
          <wp:inline distT="0" distB="0" distL="0" distR="0" wp14:anchorId="5CC639BF" wp14:editId="3BA22A68">
            <wp:extent cx="3419475" cy="2579533"/>
            <wp:effectExtent l="171450" t="171450" r="371475" b="35433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i-Rho-Symbol.jpg"/>
                    <pic:cNvPicPr/>
                  </pic:nvPicPr>
                  <pic:blipFill>
                    <a:blip r:embed="rId11">
                      <a:extLst>
                        <a:ext uri="{28A0092B-C50C-407E-A947-70E740481C1C}">
                          <a14:useLocalDpi xmlns:a14="http://schemas.microsoft.com/office/drawing/2010/main" val="0"/>
                        </a:ext>
                      </a:extLst>
                    </a:blip>
                    <a:stretch>
                      <a:fillRect/>
                    </a:stretch>
                  </pic:blipFill>
                  <pic:spPr>
                    <a:xfrm>
                      <a:off x="0" y="0"/>
                      <a:ext cx="3419475" cy="2579533"/>
                    </a:xfrm>
                    <a:prstGeom prst="rect">
                      <a:avLst/>
                    </a:prstGeom>
                    <a:ln>
                      <a:noFill/>
                    </a:ln>
                    <a:effectLst>
                      <a:outerShdw blurRad="292100" dist="139700" dir="2700000" algn="tl" rotWithShape="0">
                        <a:srgbClr val="333333">
                          <a:alpha val="65000"/>
                        </a:srgbClr>
                      </a:outerShdw>
                    </a:effectLst>
                  </pic:spPr>
                </pic:pic>
              </a:graphicData>
            </a:graphic>
          </wp:inline>
        </w:drawing>
      </w:r>
    </w:p>
    <w:p w14:paraId="12BBAD5D" w14:textId="0164C160" w:rsidR="00D35350" w:rsidRPr="00B8289B" w:rsidRDefault="009367E1" w:rsidP="004C6ADF">
      <w:pPr>
        <w:spacing w:line="480" w:lineRule="auto"/>
        <w:rPr>
          <w:rFonts w:ascii="Times New Roman" w:hAnsi="Times New Roman" w:cs="Times New Roman"/>
          <w:sz w:val="24"/>
          <w:szCs w:val="24"/>
        </w:rPr>
      </w:pPr>
      <w:r>
        <w:rPr>
          <w:rFonts w:ascii="Times New Roman" w:hAnsi="Times New Roman" w:cs="Times New Roman"/>
          <w:sz w:val="24"/>
          <w:szCs w:val="24"/>
        </w:rPr>
        <w:t xml:space="preserve">have </w:t>
      </w:r>
      <w:r w:rsidR="00D35350" w:rsidRPr="00B8289B">
        <w:rPr>
          <w:rFonts w:ascii="Times New Roman" w:hAnsi="Times New Roman" w:cs="Times New Roman"/>
          <w:sz w:val="24"/>
          <w:szCs w:val="24"/>
        </w:rPr>
        <w:t xml:space="preserve">been surprised at Eusebius’ testimony which has become a popularly cited reason for Christianity suddenly becoming the official Roman religion.   Just as God left many signposts of His nature and purpose and the coming Messiah for the Hebrews in their Tanakh (Old Testament), He seems to have left similar clues in the Greek culture for those with “…eyes to see and ears to hear.” </w:t>
      </w:r>
      <w:r w:rsidR="00D35350" w:rsidRPr="00B8289B">
        <w:rPr>
          <w:rFonts w:ascii="Times New Roman" w:hAnsi="Times New Roman" w:cs="Times New Roman"/>
          <w:sz w:val="24"/>
          <w:szCs w:val="24"/>
          <w:vertAlign w:val="superscript"/>
        </w:rPr>
        <w:footnoteReference w:id="150"/>
      </w:r>
    </w:p>
    <w:p w14:paraId="44F69057"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 xml:space="preserve">The word “messiah” in its generic form, devoid of any cultural contexts, is basically defined as leader or savior of a particular cause.  While the Christians claim Jesus to be the Hebrew Messiah foreshadowed in the Old Testament, the Greeks might have, in terms of at least the leader definition, identified Socrates as their messiah.  Socrates, as has been mentioned, was the tutor and revered counselor of Plato. Considering that every philosopher subsequent to Plato references  Plato’s writings which feature Socrates’ philosophy and that the majority of ancient Church Fathers from Justin Martyr down through St. Augustine reference  Plato, it is not </w:t>
      </w:r>
      <w:r w:rsidRPr="00B8289B">
        <w:rPr>
          <w:rFonts w:ascii="Times New Roman" w:hAnsi="Times New Roman" w:cs="Times New Roman"/>
          <w:sz w:val="24"/>
          <w:szCs w:val="24"/>
        </w:rPr>
        <w:lastRenderedPageBreak/>
        <w:t xml:space="preserve">hyperbole to claim that Socrates was a sort of Greek messiah.  His ideas even continue to permeate our modern world.  After all, who has not heard of the Socratic method?  The modus operandi of deductive reasoning is Socrates’ penetrating questons  ad nauseum.  As Socrates affirmed, “The unexamined life is not worth living.” </w:t>
      </w:r>
      <w:r w:rsidRPr="00B8289B">
        <w:rPr>
          <w:rFonts w:ascii="Times New Roman" w:hAnsi="Times New Roman" w:cs="Times New Roman"/>
          <w:sz w:val="24"/>
          <w:szCs w:val="24"/>
          <w:vertAlign w:val="superscript"/>
        </w:rPr>
        <w:footnoteReference w:id="151"/>
      </w:r>
      <w:r w:rsidRPr="00B8289B">
        <w:rPr>
          <w:rFonts w:ascii="Times New Roman" w:hAnsi="Times New Roman" w:cs="Times New Roman"/>
          <w:sz w:val="24"/>
          <w:szCs w:val="24"/>
        </w:rPr>
        <w:t xml:space="preserve"> </w:t>
      </w:r>
    </w:p>
    <w:p w14:paraId="6BCD6F2D" w14:textId="0F6AB1BC"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 xml:space="preserve">In Justin’s </w:t>
      </w:r>
      <w:r w:rsidRPr="00B8289B">
        <w:rPr>
          <w:rFonts w:ascii="Times New Roman" w:hAnsi="Times New Roman" w:cs="Times New Roman"/>
          <w:i/>
          <w:sz w:val="24"/>
          <w:szCs w:val="24"/>
        </w:rPr>
        <w:t>Second Apology</w:t>
      </w:r>
      <w:r w:rsidRPr="00B8289B">
        <w:rPr>
          <w:rFonts w:ascii="Times New Roman" w:hAnsi="Times New Roman" w:cs="Times New Roman"/>
          <w:sz w:val="24"/>
          <w:szCs w:val="24"/>
        </w:rPr>
        <w:t xml:space="preserve">, he compares Socrates to Jesus.   The most obvious comparison when one delves into the life of Socrates is that both he and Jesus were killed due to a perceived insurgency — against truth.  Their crime involved moving men to search for truth by asking questions.  A quick glance through the New Testament reveals Jesus asked many more questions than he answered;  the dialogues of Plato and thus Socrates are nothing more than an extended series of questions aimed at getting to the truth of a matter.  The purpose of Jesus’ questions was to prompt his listeners to discern the truth of His identity. </w:t>
      </w:r>
      <w:r w:rsidRPr="00B8289B">
        <w:rPr>
          <w:rFonts w:ascii="Times New Roman" w:hAnsi="Times New Roman" w:cs="Times New Roman"/>
          <w:sz w:val="24"/>
          <w:szCs w:val="24"/>
          <w:vertAlign w:val="superscript"/>
        </w:rPr>
        <w:footnoteReference w:id="152"/>
      </w:r>
      <w:r w:rsidRPr="00B8289B">
        <w:rPr>
          <w:rFonts w:ascii="Times New Roman" w:hAnsi="Times New Roman" w:cs="Times New Roman"/>
          <w:sz w:val="24"/>
          <w:szCs w:val="24"/>
        </w:rPr>
        <w:t xml:space="preserve"> The purpose of Socrates’ questions was in a similar vein, not related, of course, to himself but rather to the truth in general whether it be of a philosophical or temporal nature. When one reads his </w:t>
      </w:r>
      <w:r w:rsidRPr="00B8289B">
        <w:rPr>
          <w:rFonts w:ascii="Times New Roman" w:hAnsi="Times New Roman" w:cs="Times New Roman"/>
          <w:i/>
          <w:sz w:val="24"/>
          <w:szCs w:val="24"/>
        </w:rPr>
        <w:t xml:space="preserve">Apology </w:t>
      </w:r>
      <w:r w:rsidRPr="00B8289B">
        <w:rPr>
          <w:rFonts w:ascii="Times New Roman" w:hAnsi="Times New Roman" w:cs="Times New Roman"/>
          <w:sz w:val="24"/>
          <w:szCs w:val="24"/>
        </w:rPr>
        <w:t xml:space="preserve">or defense given at his trial in which his accusers blame him for leading the youth of Athens away from the gods, it quickly becomes clear that Socrates was doing no such thing.  After all, he argues in his defense, the fact that he follows and obeys a supernatural prompting to find truth means he must believe in supernatural beings thus he cannot be an atheist. </w:t>
      </w:r>
      <w:r w:rsidRPr="00B8289B">
        <w:rPr>
          <w:rFonts w:ascii="Times New Roman" w:hAnsi="Times New Roman" w:cs="Times New Roman"/>
          <w:sz w:val="24"/>
          <w:szCs w:val="24"/>
          <w:vertAlign w:val="superscript"/>
        </w:rPr>
        <w:footnoteReference w:id="153"/>
      </w:r>
      <w:r w:rsidRPr="00B8289B">
        <w:rPr>
          <w:rFonts w:ascii="Times New Roman" w:hAnsi="Times New Roman" w:cs="Times New Roman"/>
          <w:sz w:val="24"/>
          <w:szCs w:val="24"/>
        </w:rPr>
        <w:t xml:space="preserve">  He continues his defense in noting that philosophers such as Anaxagoras and Clazomenae professed that “the sun is a stone and the moon a mass of earth” in direct contradiction to the “general belief of all mankind”</w:t>
      </w:r>
      <w:r w:rsidRPr="00B8289B">
        <w:rPr>
          <w:rFonts w:ascii="Times New Roman" w:hAnsi="Times New Roman" w:cs="Times New Roman"/>
          <w:sz w:val="24"/>
          <w:szCs w:val="24"/>
          <w:vertAlign w:val="superscript"/>
        </w:rPr>
        <w:footnoteReference w:id="154"/>
      </w:r>
      <w:r w:rsidRPr="00B8289B">
        <w:rPr>
          <w:rFonts w:ascii="Times New Roman" w:hAnsi="Times New Roman" w:cs="Times New Roman"/>
          <w:sz w:val="24"/>
          <w:szCs w:val="24"/>
        </w:rPr>
        <w:t xml:space="preserve">  that the sun and moon were gods. Thus, he infers that any ideas the youth had along these lines did not necessarily come from him. Socrates asserts that the problem Meletus, his </w:t>
      </w:r>
      <w:r w:rsidRPr="00B8289B">
        <w:rPr>
          <w:rFonts w:ascii="Times New Roman" w:hAnsi="Times New Roman" w:cs="Times New Roman"/>
          <w:sz w:val="24"/>
          <w:szCs w:val="24"/>
        </w:rPr>
        <w:lastRenderedPageBreak/>
        <w:t>accuser, and others in the city have besides their jealousy of his wisdom was that he moved the youth to cling to the truth.  This pursuit of truth had gotten Socrates into trouble before. He cites a time when, as an elected member of the Council, he was the only one who stood up to a proposed unconstitutional act that resulted in condemning an innocent person.</w:t>
      </w:r>
      <w:r w:rsidRPr="00B8289B">
        <w:rPr>
          <w:rFonts w:ascii="Times New Roman" w:hAnsi="Times New Roman" w:cs="Times New Roman"/>
          <w:sz w:val="24"/>
          <w:szCs w:val="24"/>
          <w:vertAlign w:val="superscript"/>
        </w:rPr>
        <w:footnoteReference w:id="155"/>
      </w:r>
      <w:r w:rsidRPr="00B8289B">
        <w:rPr>
          <w:rFonts w:ascii="Times New Roman" w:hAnsi="Times New Roman" w:cs="Times New Roman"/>
          <w:sz w:val="24"/>
          <w:szCs w:val="24"/>
        </w:rPr>
        <w:t xml:space="preserve"> The problem, he ascertains,  is that he exhorts people to examine themselves.</w:t>
      </w:r>
      <w:r w:rsidRPr="00B8289B">
        <w:rPr>
          <w:rFonts w:ascii="Times New Roman" w:hAnsi="Times New Roman" w:cs="Times New Roman"/>
          <w:sz w:val="24"/>
          <w:szCs w:val="24"/>
          <w:vertAlign w:val="superscript"/>
        </w:rPr>
        <w:footnoteReference w:id="156"/>
      </w:r>
      <w:r w:rsidRPr="00B8289B">
        <w:rPr>
          <w:rFonts w:ascii="Times New Roman" w:hAnsi="Times New Roman" w:cs="Times New Roman"/>
          <w:sz w:val="24"/>
          <w:szCs w:val="24"/>
        </w:rPr>
        <w:t xml:space="preserve">  The chief purpose of life is the pursuit of goodness for the welfare of the soul; it is to discover the truth and go where it leads. </w:t>
      </w:r>
      <w:r w:rsidRPr="00B8289B">
        <w:rPr>
          <w:rFonts w:ascii="Times New Roman" w:hAnsi="Times New Roman" w:cs="Times New Roman"/>
          <w:sz w:val="24"/>
          <w:szCs w:val="24"/>
          <w:vertAlign w:val="superscript"/>
        </w:rPr>
        <w:footnoteReference w:id="157"/>
      </w:r>
      <w:r w:rsidRPr="00B8289B">
        <w:rPr>
          <w:rFonts w:ascii="Times New Roman" w:hAnsi="Times New Roman" w:cs="Times New Roman"/>
          <w:sz w:val="24"/>
          <w:szCs w:val="24"/>
        </w:rPr>
        <w:t xml:space="preserve"> This aim, he claims, is what offends.  Even as he ends his defense, he infers that it is not he that is on trial but truth itself, and it is this truth that will convict his accusers at some point. </w:t>
      </w:r>
      <w:r w:rsidRPr="00B8289B">
        <w:rPr>
          <w:rFonts w:ascii="Times New Roman" w:hAnsi="Times New Roman" w:cs="Times New Roman"/>
          <w:sz w:val="24"/>
          <w:szCs w:val="24"/>
          <w:vertAlign w:val="superscript"/>
        </w:rPr>
        <w:footnoteReference w:id="158"/>
      </w:r>
      <w:r w:rsidRPr="00B8289B">
        <w:rPr>
          <w:rFonts w:ascii="Times New Roman" w:hAnsi="Times New Roman" w:cs="Times New Roman"/>
          <w:sz w:val="24"/>
          <w:szCs w:val="24"/>
        </w:rPr>
        <w:t xml:space="preserve"> Those familiar with Scripture can see the clear correlation with the plight of Jesus.  Like Socrates, Jesus’ crime was offending others with notions of truth. Like Socrates accusers, those offended by Jesus chose to eliminate Him. Who can forget Pilate’s answer to Jesus’ testimony of bearing witness to the truth — </w:t>
      </w:r>
      <w:r w:rsidRPr="00B8289B">
        <w:rPr>
          <w:rFonts w:ascii="Times New Roman" w:hAnsi="Times New Roman" w:cs="Times New Roman"/>
          <w:i/>
          <w:sz w:val="24"/>
          <w:szCs w:val="24"/>
        </w:rPr>
        <w:t>Quid est veritas?</w:t>
      </w:r>
      <w:r w:rsidRPr="00B8289B">
        <w:rPr>
          <w:rFonts w:ascii="Times New Roman" w:hAnsi="Times New Roman" w:cs="Times New Roman"/>
          <w:sz w:val="24"/>
          <w:szCs w:val="24"/>
          <w:vertAlign w:val="superscript"/>
        </w:rPr>
        <w:footnoteReference w:id="159"/>
      </w:r>
      <w:r w:rsidRPr="00B8289B">
        <w:rPr>
          <w:rFonts w:ascii="Times New Roman" w:hAnsi="Times New Roman" w:cs="Times New Roman"/>
          <w:sz w:val="24"/>
          <w:szCs w:val="24"/>
        </w:rPr>
        <w:t xml:space="preserve">  </w:t>
      </w:r>
      <w:r w:rsidRPr="00B8289B">
        <w:rPr>
          <w:rFonts w:ascii="Times New Roman" w:hAnsi="Times New Roman" w:cs="Times New Roman"/>
          <w:sz w:val="24"/>
          <w:szCs w:val="24"/>
        </w:rPr>
        <w:tab/>
        <w:t>While Justin capitalizes on these similarities, he does perhaps embellish them:</w:t>
      </w:r>
    </w:p>
    <w:p w14:paraId="432EF740" w14:textId="23F8F738" w:rsidR="00D35350" w:rsidRPr="00B8289B" w:rsidRDefault="00D35350" w:rsidP="00B92665">
      <w:pPr>
        <w:spacing w:line="240" w:lineRule="auto"/>
        <w:ind w:left="720" w:right="720"/>
        <w:rPr>
          <w:rFonts w:ascii="Times New Roman" w:hAnsi="Times New Roman" w:cs="Times New Roman"/>
          <w:sz w:val="24"/>
          <w:szCs w:val="24"/>
        </w:rPr>
      </w:pPr>
      <w:r w:rsidRPr="00B8289B">
        <w:rPr>
          <w:rFonts w:ascii="Times New Roman" w:hAnsi="Times New Roman" w:cs="Times New Roman"/>
          <w:sz w:val="24"/>
          <w:szCs w:val="24"/>
        </w:rPr>
        <w:t>[Socrates] cast out from the state both Homer and the rest of the poets, and taught men to reject the wicked demons and those who did</w:t>
      </w:r>
      <w:r w:rsidR="00B92665">
        <w:rPr>
          <w:rFonts w:ascii="Times New Roman" w:hAnsi="Times New Roman" w:cs="Times New Roman"/>
          <w:sz w:val="24"/>
          <w:szCs w:val="24"/>
        </w:rPr>
        <w:t xml:space="preserve"> </w:t>
      </w:r>
      <w:r w:rsidRPr="00B8289B">
        <w:rPr>
          <w:rFonts w:ascii="Times New Roman" w:hAnsi="Times New Roman" w:cs="Times New Roman"/>
          <w:sz w:val="24"/>
          <w:szCs w:val="24"/>
        </w:rPr>
        <w:t>the things which</w:t>
      </w:r>
      <w:r w:rsidR="00B92665">
        <w:rPr>
          <w:rFonts w:ascii="Times New Roman" w:hAnsi="Times New Roman" w:cs="Times New Roman"/>
          <w:sz w:val="24"/>
          <w:szCs w:val="24"/>
        </w:rPr>
        <w:t xml:space="preserve"> </w:t>
      </w:r>
      <w:r w:rsidRPr="00B8289B">
        <w:rPr>
          <w:rFonts w:ascii="Times New Roman" w:hAnsi="Times New Roman" w:cs="Times New Roman"/>
          <w:sz w:val="24"/>
          <w:szCs w:val="24"/>
        </w:rPr>
        <w:t>the poets related; and he exhorted them to become acqauinted with the God who was to them unknown, by means of the investigation of reason…</w:t>
      </w:r>
      <w:r w:rsidRPr="00B8289B">
        <w:rPr>
          <w:rFonts w:ascii="Times New Roman" w:hAnsi="Times New Roman" w:cs="Times New Roman"/>
          <w:sz w:val="24"/>
          <w:szCs w:val="24"/>
          <w:vertAlign w:val="superscript"/>
        </w:rPr>
        <w:footnoteReference w:id="160"/>
      </w:r>
    </w:p>
    <w:p w14:paraId="7BD02D49" w14:textId="652E0B5E"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 xml:space="preserve">Socrates does not outright deny the gods’ existence, saying at one point in his defense that if “bastard” children of the gods (such as heroes and demigods of mythology) are supernatural beings, who would blame him for worshipping the gods rather than the children? </w:t>
      </w:r>
      <w:r w:rsidRPr="00B8289B">
        <w:rPr>
          <w:rFonts w:ascii="Times New Roman" w:hAnsi="Times New Roman" w:cs="Times New Roman"/>
          <w:sz w:val="24"/>
          <w:szCs w:val="24"/>
          <w:vertAlign w:val="superscript"/>
        </w:rPr>
        <w:footnoteReference w:id="161"/>
      </w:r>
      <w:r w:rsidRPr="00B8289B">
        <w:rPr>
          <w:rFonts w:ascii="Times New Roman" w:hAnsi="Times New Roman" w:cs="Times New Roman"/>
          <w:sz w:val="24"/>
          <w:szCs w:val="24"/>
        </w:rPr>
        <w:t xml:space="preserve"> In other </w:t>
      </w:r>
      <w:r w:rsidRPr="00B8289B">
        <w:rPr>
          <w:rFonts w:ascii="Times New Roman" w:hAnsi="Times New Roman" w:cs="Times New Roman"/>
          <w:sz w:val="24"/>
          <w:szCs w:val="24"/>
        </w:rPr>
        <w:lastRenderedPageBreak/>
        <w:t xml:space="preserve">works such as Plato’s </w:t>
      </w:r>
      <w:r w:rsidRPr="00B8289B">
        <w:rPr>
          <w:rFonts w:ascii="Times New Roman" w:hAnsi="Times New Roman" w:cs="Times New Roman"/>
          <w:i/>
          <w:sz w:val="24"/>
          <w:szCs w:val="24"/>
        </w:rPr>
        <w:t>Euthydemus</w:t>
      </w:r>
      <w:r w:rsidRPr="00B8289B">
        <w:rPr>
          <w:rFonts w:ascii="Times New Roman" w:hAnsi="Times New Roman" w:cs="Times New Roman"/>
          <w:sz w:val="24"/>
          <w:szCs w:val="24"/>
        </w:rPr>
        <w:t>, he refers to them as his “lords and ancestors”</w:t>
      </w:r>
      <w:r w:rsidRPr="00B8289B">
        <w:rPr>
          <w:rFonts w:ascii="Times New Roman" w:hAnsi="Times New Roman" w:cs="Times New Roman"/>
          <w:sz w:val="24"/>
          <w:szCs w:val="24"/>
          <w:vertAlign w:val="superscript"/>
        </w:rPr>
        <w:footnoteReference w:id="162"/>
      </w:r>
      <w:r w:rsidRPr="00B8289B">
        <w:rPr>
          <w:rFonts w:ascii="Times New Roman" w:hAnsi="Times New Roman" w:cs="Times New Roman"/>
          <w:sz w:val="24"/>
          <w:szCs w:val="24"/>
        </w:rPr>
        <w:t xml:space="preserve"> implying that perhaps they were more or less flesh and blood people whose deeds endowed them with godlike status.  How widespread this perspective of the gods was cannot be determined, but Euhermerus, a Greek mythographer, known for a popular utopian work in the 3</w:t>
      </w:r>
      <w:r w:rsidRPr="00B8289B">
        <w:rPr>
          <w:rFonts w:ascii="Times New Roman" w:hAnsi="Times New Roman" w:cs="Times New Roman"/>
          <w:sz w:val="24"/>
          <w:szCs w:val="24"/>
          <w:vertAlign w:val="superscript"/>
        </w:rPr>
        <w:t>rd</w:t>
      </w:r>
      <w:r w:rsidRPr="00B8289B">
        <w:rPr>
          <w:rFonts w:ascii="Times New Roman" w:hAnsi="Times New Roman" w:cs="Times New Roman"/>
          <w:sz w:val="24"/>
          <w:szCs w:val="24"/>
        </w:rPr>
        <w:t xml:space="preserve"> century BC, called </w:t>
      </w:r>
      <w:r w:rsidRPr="00B8289B">
        <w:rPr>
          <w:rFonts w:ascii="Times New Roman" w:hAnsi="Times New Roman" w:cs="Times New Roman"/>
          <w:i/>
          <w:sz w:val="24"/>
          <w:szCs w:val="24"/>
        </w:rPr>
        <w:t>Hiera Anagraphe,</w:t>
      </w:r>
      <w:r w:rsidR="005F1B52">
        <w:rPr>
          <w:rFonts w:ascii="Times New Roman" w:hAnsi="Times New Roman" w:cs="Times New Roman"/>
          <w:sz w:val="24"/>
          <w:szCs w:val="24"/>
        </w:rPr>
        <w:t xml:space="preserve"> does speak of </w:t>
      </w:r>
      <w:r w:rsidRPr="00B8289B">
        <w:rPr>
          <w:rFonts w:ascii="Times New Roman" w:hAnsi="Times New Roman" w:cs="Times New Roman"/>
          <w:sz w:val="24"/>
          <w:szCs w:val="24"/>
        </w:rPr>
        <w:t>the gods as great men who were deified after death.</w:t>
      </w:r>
      <w:r w:rsidRPr="00B8289B">
        <w:rPr>
          <w:rFonts w:ascii="Times New Roman" w:hAnsi="Times New Roman" w:cs="Times New Roman"/>
          <w:sz w:val="24"/>
          <w:szCs w:val="24"/>
          <w:vertAlign w:val="superscript"/>
        </w:rPr>
        <w:footnoteReference w:id="163"/>
      </w:r>
      <w:r w:rsidRPr="00B8289B">
        <w:rPr>
          <w:rFonts w:ascii="Times New Roman" w:hAnsi="Times New Roman" w:cs="Times New Roman"/>
          <w:sz w:val="24"/>
          <w:szCs w:val="24"/>
        </w:rPr>
        <w:t xml:space="preserve"> So the view certainly must have had some traction. Though Plato, as mentioned, conveys concerns about the stories of the gods and their negative affect on culture, he is careful to not completely disparage them, perhaps wisely so given the fate of Socrates and the charge of atheism. When he does mention them, it is typically in terms of giving tradition its due and placating those who might claim them as part of their genealogy </w:t>
      </w:r>
      <w:r w:rsidRPr="00B8289B">
        <w:rPr>
          <w:rFonts w:ascii="Times New Roman" w:hAnsi="Times New Roman" w:cs="Times New Roman"/>
          <w:sz w:val="24"/>
          <w:szCs w:val="24"/>
          <w:vertAlign w:val="superscript"/>
        </w:rPr>
        <w:footnoteReference w:id="164"/>
      </w:r>
      <w:r w:rsidRPr="00B8289B">
        <w:rPr>
          <w:rFonts w:ascii="Times New Roman" w:hAnsi="Times New Roman" w:cs="Times New Roman"/>
          <w:sz w:val="24"/>
          <w:szCs w:val="24"/>
        </w:rPr>
        <w:t xml:space="preserve"> such as the Caesars who claimed the famous Trojan Prince Aeneas of Virgil’s epic </w:t>
      </w:r>
      <w:r w:rsidRPr="00B8289B">
        <w:rPr>
          <w:rFonts w:ascii="Times New Roman" w:hAnsi="Times New Roman" w:cs="Times New Roman"/>
          <w:i/>
          <w:sz w:val="24"/>
          <w:szCs w:val="24"/>
        </w:rPr>
        <w:t>Aeneid</w:t>
      </w:r>
      <w:r w:rsidR="005F1B52">
        <w:rPr>
          <w:rFonts w:ascii="Times New Roman" w:hAnsi="Times New Roman" w:cs="Times New Roman"/>
          <w:sz w:val="24"/>
          <w:szCs w:val="24"/>
        </w:rPr>
        <w:t xml:space="preserve">, theson of the goddess Venus, </w:t>
      </w:r>
      <w:r w:rsidRPr="00B8289B">
        <w:rPr>
          <w:rFonts w:ascii="Times New Roman" w:hAnsi="Times New Roman" w:cs="Times New Roman"/>
          <w:sz w:val="24"/>
          <w:szCs w:val="24"/>
        </w:rPr>
        <w:t xml:space="preserve">as their ancestor. </w:t>
      </w:r>
      <w:r w:rsidRPr="00B8289B">
        <w:rPr>
          <w:rFonts w:ascii="Times New Roman" w:hAnsi="Times New Roman" w:cs="Times New Roman"/>
          <w:sz w:val="24"/>
          <w:szCs w:val="24"/>
          <w:vertAlign w:val="superscript"/>
        </w:rPr>
        <w:footnoteReference w:id="165"/>
      </w:r>
      <w:r w:rsidRPr="00B8289B">
        <w:rPr>
          <w:rFonts w:ascii="Times New Roman" w:hAnsi="Times New Roman" w:cs="Times New Roman"/>
          <w:sz w:val="24"/>
          <w:szCs w:val="24"/>
        </w:rPr>
        <w:t xml:space="preserve">  Regardless </w:t>
      </w:r>
      <w:r w:rsidR="005F1B52">
        <w:rPr>
          <w:rFonts w:ascii="Times New Roman" w:hAnsi="Times New Roman" w:cs="Times New Roman"/>
          <w:sz w:val="24"/>
          <w:szCs w:val="24"/>
        </w:rPr>
        <w:t xml:space="preserve">of </w:t>
      </w:r>
      <w:r w:rsidRPr="00B8289B">
        <w:rPr>
          <w:rFonts w:ascii="Times New Roman" w:hAnsi="Times New Roman" w:cs="Times New Roman"/>
          <w:sz w:val="24"/>
          <w:szCs w:val="24"/>
        </w:rPr>
        <w:t>Plato’s view of the gods and society’s at large, which varied considerably between awe and ambivalence, Justin prudently focused on the point of similarity —the Father or Creator or Cosmic Soul or Log</w:t>
      </w:r>
      <w:r w:rsidR="00B65383">
        <w:rPr>
          <w:rFonts w:ascii="Times New Roman" w:hAnsi="Times New Roman" w:cs="Times New Roman"/>
          <w:sz w:val="24"/>
          <w:szCs w:val="24"/>
        </w:rPr>
        <w:t>os that transcended the gods.  The fact that this</w:t>
      </w:r>
      <w:r w:rsidR="00F90318">
        <w:rPr>
          <w:rFonts w:ascii="Times New Roman" w:hAnsi="Times New Roman" w:cs="Times New Roman"/>
          <w:sz w:val="24"/>
          <w:szCs w:val="24"/>
        </w:rPr>
        <w:t xml:space="preserve"> similarity</w:t>
      </w:r>
      <w:r w:rsidR="00B65383">
        <w:rPr>
          <w:rFonts w:ascii="Times New Roman" w:hAnsi="Times New Roman" w:cs="Times New Roman"/>
          <w:sz w:val="24"/>
          <w:szCs w:val="24"/>
        </w:rPr>
        <w:t xml:space="preserve"> so closely aligned with </w:t>
      </w:r>
      <w:r w:rsidRPr="00B8289B">
        <w:rPr>
          <w:rFonts w:ascii="Times New Roman" w:hAnsi="Times New Roman" w:cs="Times New Roman"/>
          <w:sz w:val="24"/>
          <w:szCs w:val="24"/>
        </w:rPr>
        <w:t>Socrates</w:t>
      </w:r>
      <w:r w:rsidR="00B65383">
        <w:rPr>
          <w:rFonts w:ascii="Times New Roman" w:hAnsi="Times New Roman" w:cs="Times New Roman"/>
          <w:sz w:val="24"/>
          <w:szCs w:val="24"/>
        </w:rPr>
        <w:t>’</w:t>
      </w:r>
      <w:r w:rsidRPr="00B8289B">
        <w:rPr>
          <w:rFonts w:ascii="Times New Roman" w:hAnsi="Times New Roman" w:cs="Times New Roman"/>
          <w:sz w:val="24"/>
          <w:szCs w:val="24"/>
        </w:rPr>
        <w:t xml:space="preserve"> </w:t>
      </w:r>
      <w:r w:rsidR="00B65383">
        <w:rPr>
          <w:rFonts w:ascii="Times New Roman" w:hAnsi="Times New Roman" w:cs="Times New Roman"/>
          <w:sz w:val="24"/>
          <w:szCs w:val="24"/>
        </w:rPr>
        <w:t xml:space="preserve">perspective </w:t>
      </w:r>
      <w:r w:rsidRPr="00B8289B">
        <w:rPr>
          <w:rFonts w:ascii="Times New Roman" w:hAnsi="Times New Roman" w:cs="Times New Roman"/>
          <w:sz w:val="24"/>
          <w:szCs w:val="24"/>
        </w:rPr>
        <w:t xml:space="preserve">surely would have influenced many to consider the Christian religion as </w:t>
      </w:r>
      <w:r w:rsidR="00B65383">
        <w:rPr>
          <w:rFonts w:ascii="Times New Roman" w:hAnsi="Times New Roman" w:cs="Times New Roman"/>
          <w:sz w:val="24"/>
          <w:szCs w:val="24"/>
        </w:rPr>
        <w:t>the whole of something Socrates only knew in part</w:t>
      </w:r>
      <w:r w:rsidRPr="00B8289B">
        <w:rPr>
          <w:rFonts w:ascii="Times New Roman" w:hAnsi="Times New Roman" w:cs="Times New Roman"/>
          <w:sz w:val="24"/>
          <w:szCs w:val="24"/>
        </w:rPr>
        <w:t>.  Notably, renowned 20</w:t>
      </w:r>
      <w:r w:rsidRPr="00B8289B">
        <w:rPr>
          <w:rFonts w:ascii="Times New Roman" w:hAnsi="Times New Roman" w:cs="Times New Roman"/>
          <w:sz w:val="24"/>
          <w:szCs w:val="24"/>
          <w:vertAlign w:val="superscript"/>
        </w:rPr>
        <w:t>th</w:t>
      </w:r>
      <w:r w:rsidRPr="00B8289B">
        <w:rPr>
          <w:rFonts w:ascii="Times New Roman" w:hAnsi="Times New Roman" w:cs="Times New Roman"/>
          <w:sz w:val="24"/>
          <w:szCs w:val="24"/>
        </w:rPr>
        <w:t xml:space="preserve"> century Plato scholar, A.E. Taylor, remarked: </w:t>
      </w:r>
    </w:p>
    <w:p w14:paraId="0CE491C0" w14:textId="37B81811" w:rsidR="00C34025" w:rsidRDefault="00D35350" w:rsidP="00C34025">
      <w:pPr>
        <w:spacing w:line="240" w:lineRule="auto"/>
        <w:ind w:left="720" w:right="720"/>
        <w:rPr>
          <w:rFonts w:ascii="Times New Roman" w:hAnsi="Times New Roman" w:cs="Times New Roman"/>
          <w:sz w:val="24"/>
          <w:szCs w:val="24"/>
        </w:rPr>
      </w:pPr>
      <w:r w:rsidRPr="00B8289B">
        <w:rPr>
          <w:rFonts w:ascii="Times New Roman" w:hAnsi="Times New Roman" w:cs="Times New Roman"/>
          <w:sz w:val="24"/>
          <w:szCs w:val="24"/>
        </w:rPr>
        <w:tab/>
        <w:t xml:space="preserve">Under all the real differences due to the Christian’s belief in the historical reality of the God-man, the ideal of Socrates and the Christian ideal are fundamentally identical. The central thought in both cases is that man is born a creature of temporality and mutability into a temporal and mutable environment. But, in virtue of the fact that there is a something “divine” in him, he cannot but aspire to a good which is above time and mutability, and thus the right life is from </w:t>
      </w:r>
      <w:r w:rsidRPr="00B8289B">
        <w:rPr>
          <w:rFonts w:ascii="Times New Roman" w:hAnsi="Times New Roman" w:cs="Times New Roman"/>
          <w:sz w:val="24"/>
          <w:szCs w:val="24"/>
        </w:rPr>
        <w:lastRenderedPageBreak/>
        <w:t>first to last a process by which the merely secular and temporal self is re-made in the likeness of the eternal.</w:t>
      </w:r>
      <w:r w:rsidRPr="00B8289B">
        <w:rPr>
          <w:rFonts w:ascii="Times New Roman" w:hAnsi="Times New Roman" w:cs="Times New Roman"/>
          <w:sz w:val="24"/>
          <w:szCs w:val="24"/>
          <w:vertAlign w:val="superscript"/>
        </w:rPr>
        <w:footnoteReference w:id="166"/>
      </w:r>
      <w:r w:rsidRPr="00B8289B">
        <w:rPr>
          <w:rFonts w:ascii="Times New Roman" w:hAnsi="Times New Roman" w:cs="Times New Roman"/>
          <w:sz w:val="24"/>
          <w:szCs w:val="24"/>
        </w:rPr>
        <w:t xml:space="preserve"> </w:t>
      </w:r>
    </w:p>
    <w:p w14:paraId="4B952C18" w14:textId="563DC016" w:rsidR="00D35350" w:rsidRDefault="00C34025" w:rsidP="00D35350">
      <w:pPr>
        <w:rPr>
          <w:rFonts w:ascii="Times New Roman" w:hAnsi="Times New Roman" w:cs="Times New Roman"/>
          <w:sz w:val="24"/>
          <w:szCs w:val="24"/>
        </w:rPr>
      </w:pPr>
      <w:r>
        <w:rPr>
          <w:rFonts w:ascii="Times New Roman" w:hAnsi="Times New Roman" w:cs="Times New Roman"/>
          <w:sz w:val="24"/>
          <w:szCs w:val="24"/>
        </w:rPr>
        <w:t xml:space="preserve">Undoubtedly, the Greeks and their illustrious icons provided much fodder for Justin as he </w:t>
      </w:r>
    </w:p>
    <w:p w14:paraId="19FEECF4" w14:textId="1FC6FB81" w:rsidR="00C34025" w:rsidRPr="00BE469A" w:rsidRDefault="007678A7" w:rsidP="00D35350">
      <w:r>
        <w:rPr>
          <w:rFonts w:ascii="Times New Roman" w:hAnsi="Times New Roman" w:cs="Times New Roman"/>
          <w:sz w:val="24"/>
          <w:szCs w:val="24"/>
        </w:rPr>
        <w:t xml:space="preserve">labored </w:t>
      </w:r>
      <w:r w:rsidR="00C34025">
        <w:rPr>
          <w:rFonts w:ascii="Times New Roman" w:hAnsi="Times New Roman" w:cs="Times New Roman"/>
          <w:sz w:val="24"/>
          <w:szCs w:val="24"/>
        </w:rPr>
        <w:t xml:space="preserve">to </w:t>
      </w:r>
      <w:r w:rsidR="001E4F0D">
        <w:rPr>
          <w:rFonts w:ascii="Times New Roman" w:hAnsi="Times New Roman" w:cs="Times New Roman"/>
          <w:sz w:val="24"/>
          <w:szCs w:val="24"/>
        </w:rPr>
        <w:t>share the gospel.</w:t>
      </w:r>
    </w:p>
    <w:p w14:paraId="6BF7AC09" w14:textId="0A5B3071" w:rsidR="007F1E3B" w:rsidRDefault="007F1E3B" w:rsidP="001D58C9">
      <w:pPr>
        <w:pStyle w:val="Heading1"/>
      </w:pPr>
      <w:bookmarkStart w:id="4" w:name="_Toc62843872"/>
      <w:r>
        <w:t>Chapter 3</w:t>
      </w:r>
      <w:r w:rsidR="00BE469A">
        <w:t xml:space="preserve"> </w:t>
      </w:r>
      <w:r>
        <w:t>Clement of Alexandria</w:t>
      </w:r>
      <w:bookmarkEnd w:id="4"/>
    </w:p>
    <w:p w14:paraId="2A73B0B0" w14:textId="5A975336"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Approximately fifteen years before Justin Martyr would earn the designation of his surname and perish for the faith, Clement of Alexandria was born (150-215 AD); he would carry o</w:t>
      </w:r>
      <w:r w:rsidR="00EA2FBD">
        <w:rPr>
          <w:rFonts w:ascii="Times New Roman" w:hAnsi="Times New Roman" w:cs="Times New Roman"/>
          <w:sz w:val="24"/>
          <w:szCs w:val="24"/>
        </w:rPr>
        <w:t>n the torch of Justin’s zeal in</w:t>
      </w:r>
      <w:r w:rsidRPr="00B8289B">
        <w:rPr>
          <w:rFonts w:ascii="Times New Roman" w:hAnsi="Times New Roman" w:cs="Times New Roman"/>
          <w:sz w:val="24"/>
          <w:szCs w:val="24"/>
        </w:rPr>
        <w:t xml:space="preserve"> proclaiming the logos to be the word made flesh and the one whom the philosophers </w:t>
      </w:r>
      <w:r w:rsidR="00EA2FBD">
        <w:rPr>
          <w:rFonts w:ascii="Times New Roman" w:hAnsi="Times New Roman" w:cs="Times New Roman"/>
          <w:sz w:val="24"/>
          <w:szCs w:val="24"/>
        </w:rPr>
        <w:t>and poets had unknowingly signposted</w:t>
      </w:r>
      <w:r w:rsidRPr="00B8289B">
        <w:rPr>
          <w:rFonts w:ascii="Times New Roman" w:hAnsi="Times New Roman" w:cs="Times New Roman"/>
          <w:sz w:val="24"/>
          <w:szCs w:val="24"/>
        </w:rPr>
        <w:t>.   Born Titus Flavius Clemens in Athens, Clement would convert, as Justin did, after a search for truth that took him on a journey through Egypt, Syria, and Palestine; along with Justin, he is regarded as an important Church Father and the founder of Christian literature.</w:t>
      </w:r>
      <w:r w:rsidRPr="00B8289B">
        <w:rPr>
          <w:rFonts w:ascii="Times New Roman" w:hAnsi="Times New Roman" w:cs="Times New Roman"/>
          <w:sz w:val="24"/>
          <w:szCs w:val="24"/>
          <w:vertAlign w:val="superscript"/>
        </w:rPr>
        <w:footnoteReference w:id="167"/>
      </w:r>
      <w:r w:rsidRPr="00B8289B">
        <w:rPr>
          <w:rFonts w:ascii="Times New Roman" w:hAnsi="Times New Roman" w:cs="Times New Roman"/>
          <w:sz w:val="24"/>
          <w:szCs w:val="24"/>
        </w:rPr>
        <w:t xml:space="preserve"> And along with Justin, he sought to build a bridge between Greek culture and the tenets of Christianity.  In fact, he went beyond Justin’s assertion that whatever was shown to be true in Greek philosophical and poetry work was the logos manifesting Himself; Clement boldly claimed that just as the law of Moses and the prophets were given to the barbarians to prepare them to receive the gospel, so “…philosophy to the Greeks to fit their ears for the gospel.”</w:t>
      </w:r>
      <w:r w:rsidRPr="00B8289B">
        <w:rPr>
          <w:rFonts w:ascii="Times New Roman" w:hAnsi="Times New Roman" w:cs="Times New Roman"/>
          <w:sz w:val="24"/>
          <w:szCs w:val="24"/>
          <w:vertAlign w:val="superscript"/>
        </w:rPr>
        <w:footnoteReference w:id="168"/>
      </w:r>
      <w:r w:rsidRPr="00B8289B">
        <w:rPr>
          <w:rFonts w:ascii="Times New Roman" w:hAnsi="Times New Roman" w:cs="Times New Roman"/>
          <w:sz w:val="24"/>
          <w:szCs w:val="24"/>
        </w:rPr>
        <w:t xml:space="preserve">  He maintained that God used the Greek philosophers as a means of “justifying” the Greeks in the sense that their musings served as revelations providing a “stepping stone” to the “race of the saved.”</w:t>
      </w:r>
      <w:r w:rsidRPr="00B8289B">
        <w:rPr>
          <w:rFonts w:ascii="Times New Roman" w:hAnsi="Times New Roman" w:cs="Times New Roman"/>
          <w:sz w:val="24"/>
          <w:szCs w:val="24"/>
          <w:vertAlign w:val="superscript"/>
        </w:rPr>
        <w:footnoteReference w:id="169"/>
      </w:r>
      <w:r w:rsidRPr="00B8289B">
        <w:rPr>
          <w:rFonts w:ascii="Times New Roman" w:hAnsi="Times New Roman" w:cs="Times New Roman"/>
          <w:sz w:val="24"/>
          <w:szCs w:val="24"/>
        </w:rPr>
        <w:t xml:space="preserve"> Thus, Clement made conversion seem a natural progression, an important perspective in allaying Greek objections to abandoning their cherished mysteries and other cultural identities.</w:t>
      </w:r>
    </w:p>
    <w:p w14:paraId="334E1339" w14:textId="77777777"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lastRenderedPageBreak/>
        <w:tab/>
        <w:t xml:space="preserve">Those extant writings of Clement which focus on teaching how God used the philosophers and poets to “fit [Greek] ears for the gospel” are mainly three: </w:t>
      </w:r>
      <w:r w:rsidRPr="00B8289B">
        <w:rPr>
          <w:rFonts w:ascii="Times New Roman" w:hAnsi="Times New Roman" w:cs="Times New Roman"/>
          <w:i/>
          <w:sz w:val="24"/>
          <w:szCs w:val="24"/>
        </w:rPr>
        <w:t>The Exhortation to the Heathen,</w:t>
      </w:r>
      <w:r w:rsidRPr="00B8289B">
        <w:rPr>
          <w:rFonts w:ascii="Times New Roman" w:hAnsi="Times New Roman" w:cs="Times New Roman"/>
          <w:sz w:val="24"/>
          <w:szCs w:val="24"/>
        </w:rPr>
        <w:t xml:space="preserve"> </w:t>
      </w:r>
      <w:r w:rsidRPr="00B8289B">
        <w:rPr>
          <w:rFonts w:ascii="Times New Roman" w:hAnsi="Times New Roman" w:cs="Times New Roman"/>
          <w:i/>
          <w:sz w:val="24"/>
          <w:szCs w:val="24"/>
        </w:rPr>
        <w:t>The Instructor</w:t>
      </w:r>
      <w:r w:rsidRPr="00B8289B">
        <w:rPr>
          <w:rFonts w:ascii="Times New Roman" w:hAnsi="Times New Roman" w:cs="Times New Roman"/>
          <w:sz w:val="24"/>
          <w:szCs w:val="24"/>
        </w:rPr>
        <w:t xml:space="preserve"> or </w:t>
      </w:r>
      <w:r w:rsidRPr="00B8289B">
        <w:rPr>
          <w:rFonts w:ascii="Times New Roman" w:hAnsi="Times New Roman" w:cs="Times New Roman"/>
          <w:i/>
          <w:sz w:val="24"/>
          <w:szCs w:val="24"/>
        </w:rPr>
        <w:t>Paedagogus</w:t>
      </w:r>
      <w:r w:rsidRPr="00B8289B">
        <w:rPr>
          <w:rFonts w:ascii="Times New Roman" w:hAnsi="Times New Roman" w:cs="Times New Roman"/>
          <w:sz w:val="24"/>
          <w:szCs w:val="24"/>
        </w:rPr>
        <w:t xml:space="preserve">, and </w:t>
      </w:r>
      <w:r w:rsidRPr="00B8289B">
        <w:rPr>
          <w:rFonts w:ascii="Times New Roman" w:hAnsi="Times New Roman" w:cs="Times New Roman"/>
          <w:i/>
          <w:sz w:val="24"/>
          <w:szCs w:val="24"/>
        </w:rPr>
        <w:t>The Miscellanies</w:t>
      </w:r>
      <w:r w:rsidRPr="00B8289B">
        <w:rPr>
          <w:rFonts w:ascii="Times New Roman" w:hAnsi="Times New Roman" w:cs="Times New Roman"/>
          <w:sz w:val="24"/>
          <w:szCs w:val="24"/>
        </w:rPr>
        <w:t xml:space="preserve"> or </w:t>
      </w:r>
      <w:r w:rsidRPr="00B8289B">
        <w:rPr>
          <w:rFonts w:ascii="Times New Roman" w:hAnsi="Times New Roman" w:cs="Times New Roman"/>
          <w:i/>
          <w:sz w:val="24"/>
          <w:szCs w:val="24"/>
        </w:rPr>
        <w:t xml:space="preserve">Stromata. </w:t>
      </w:r>
      <w:r w:rsidRPr="00B8289B">
        <w:rPr>
          <w:rFonts w:ascii="Times New Roman" w:hAnsi="Times New Roman" w:cs="Times New Roman"/>
          <w:sz w:val="24"/>
          <w:szCs w:val="24"/>
        </w:rPr>
        <w:t xml:space="preserve">While his writings do mirror many of the connections previously discussed, there are a few that I want to highlight as they add valuable support, and there are a few that appear unique to him that I feel are worth briefly exploring in the remaining space allotted for this dissertation. First off, he strongly echoes Justin’s assertion that the Greek philosophers, including Plato, had been exposed to barbarian [Hebrew] philosophy and that of the Babylonians and Egyptians. In Chapter 15 of the </w:t>
      </w:r>
      <w:r w:rsidRPr="00B8289B">
        <w:rPr>
          <w:rFonts w:ascii="Times New Roman" w:hAnsi="Times New Roman" w:cs="Times New Roman"/>
          <w:i/>
          <w:sz w:val="24"/>
          <w:szCs w:val="24"/>
        </w:rPr>
        <w:t>Stromata</w:t>
      </w:r>
      <w:r w:rsidRPr="00B8289B">
        <w:rPr>
          <w:rFonts w:ascii="Times New Roman" w:hAnsi="Times New Roman" w:cs="Times New Roman"/>
          <w:sz w:val="24"/>
          <w:szCs w:val="24"/>
        </w:rPr>
        <w:t xml:space="preserve">, he goes into great detail about the connections between the pre-Socratic philosophers from Thales to Pythagoras and barbarian prophets. One notable claim Clement makes concerns Pythagoras who “held converse with the chief of the Chaldeans and the </w:t>
      </w:r>
      <w:r w:rsidRPr="00B8289B">
        <w:rPr>
          <w:rFonts w:ascii="Times New Roman" w:hAnsi="Times New Roman" w:cs="Times New Roman"/>
          <w:i/>
          <w:sz w:val="24"/>
          <w:szCs w:val="24"/>
        </w:rPr>
        <w:t xml:space="preserve">Magi </w:t>
      </w:r>
      <w:r w:rsidRPr="00B8289B">
        <w:rPr>
          <w:rFonts w:ascii="Times New Roman" w:hAnsi="Times New Roman" w:cs="Times New Roman"/>
          <w:sz w:val="24"/>
          <w:szCs w:val="24"/>
        </w:rPr>
        <w:t>[emphasis mine].”</w:t>
      </w:r>
      <w:r w:rsidRPr="00B8289B">
        <w:rPr>
          <w:rFonts w:ascii="Times New Roman" w:hAnsi="Times New Roman" w:cs="Times New Roman"/>
          <w:sz w:val="24"/>
          <w:szCs w:val="24"/>
          <w:vertAlign w:val="superscript"/>
        </w:rPr>
        <w:footnoteReference w:id="170"/>
      </w:r>
      <w:r w:rsidRPr="00B8289B">
        <w:rPr>
          <w:rFonts w:ascii="Times New Roman" w:hAnsi="Times New Roman" w:cs="Times New Roman"/>
          <w:sz w:val="24"/>
          <w:szCs w:val="24"/>
        </w:rPr>
        <w:t xml:space="preserve">  In addition to the connections Justin establishes between the philosophers and the barbarians, Clement references the ancient Roman King Numa Pompilus (753-673 BC), the legendary king who succeeded Romulus.  Clement alleges that in establishing the rituals of the city, he forbade any images of God, persuaded that it was impious to do so, and so for the first 170 years of Rome’s existence, there were no images or statues of the Divine Being built.  Plutarch a Roman historian (46-119 AD), corroborates this in his work </w:t>
      </w:r>
      <w:r w:rsidRPr="00B8289B">
        <w:rPr>
          <w:rFonts w:ascii="Times New Roman" w:hAnsi="Times New Roman" w:cs="Times New Roman"/>
          <w:i/>
          <w:sz w:val="24"/>
          <w:szCs w:val="24"/>
        </w:rPr>
        <w:t>Parallel Lives</w:t>
      </w:r>
      <w:r w:rsidRPr="00B8289B">
        <w:rPr>
          <w:rFonts w:ascii="Times New Roman" w:hAnsi="Times New Roman" w:cs="Times New Roman"/>
          <w:sz w:val="24"/>
          <w:szCs w:val="24"/>
        </w:rPr>
        <w:t xml:space="preserve">. </w:t>
      </w:r>
      <w:r w:rsidRPr="00B8289B">
        <w:rPr>
          <w:rFonts w:ascii="Times New Roman" w:hAnsi="Times New Roman" w:cs="Times New Roman"/>
          <w:sz w:val="24"/>
          <w:szCs w:val="24"/>
          <w:vertAlign w:val="superscript"/>
        </w:rPr>
        <w:footnoteReference w:id="171"/>
      </w:r>
      <w:r w:rsidRPr="00B8289B">
        <w:rPr>
          <w:rFonts w:ascii="Times New Roman" w:hAnsi="Times New Roman" w:cs="Times New Roman"/>
          <w:sz w:val="24"/>
          <w:szCs w:val="24"/>
        </w:rPr>
        <w:t xml:space="preserve"> </w:t>
      </w:r>
    </w:p>
    <w:p w14:paraId="55444FE4" w14:textId="082A4ECC" w:rsidR="00D35350" w:rsidRPr="00B8289B" w:rsidRDefault="00D35350" w:rsidP="004C6ADF">
      <w:pPr>
        <w:spacing w:line="480" w:lineRule="auto"/>
        <w:rPr>
          <w:rFonts w:ascii="Times New Roman" w:hAnsi="Times New Roman" w:cs="Times New Roman"/>
          <w:sz w:val="24"/>
          <w:szCs w:val="24"/>
        </w:rPr>
      </w:pPr>
      <w:r w:rsidRPr="00B8289B">
        <w:rPr>
          <w:rFonts w:ascii="Times New Roman" w:hAnsi="Times New Roman" w:cs="Times New Roman"/>
          <w:sz w:val="24"/>
          <w:szCs w:val="24"/>
        </w:rPr>
        <w:tab/>
        <w:t xml:space="preserve">In the matter of the Greek gods, Clement substantiates that these were likely once men.  He notes that Herodotus, the renowned historian of antiquity, relates that Hercules, a student of physics, received from Atlas, a Phrygian (Turk), columns of the universe, meaning he received knowledge of the heavenly bodies. </w:t>
      </w:r>
      <w:r w:rsidRPr="00B8289B">
        <w:rPr>
          <w:rFonts w:ascii="Times New Roman" w:hAnsi="Times New Roman" w:cs="Times New Roman"/>
          <w:sz w:val="24"/>
          <w:szCs w:val="24"/>
          <w:vertAlign w:val="superscript"/>
        </w:rPr>
        <w:footnoteReference w:id="172"/>
      </w:r>
      <w:r w:rsidRPr="00B8289B">
        <w:rPr>
          <w:rFonts w:ascii="Times New Roman" w:hAnsi="Times New Roman" w:cs="Times New Roman"/>
          <w:sz w:val="24"/>
          <w:szCs w:val="24"/>
        </w:rPr>
        <w:t xml:space="preserve"> He attributes all of the arts from music to science to </w:t>
      </w:r>
      <w:r w:rsidRPr="00B8289B">
        <w:rPr>
          <w:rFonts w:ascii="Times New Roman" w:hAnsi="Times New Roman" w:cs="Times New Roman"/>
          <w:sz w:val="24"/>
          <w:szCs w:val="24"/>
        </w:rPr>
        <w:lastRenderedPageBreak/>
        <w:t xml:space="preserve">medicine to those cultures far older than Greece, and interestingly he even remarks on the Greek god of healing, Asclepius, whom he says received his knowledge from Apis, an Egyptian.  The last words of Socrates before succumbing to the judgment of the Hemlock juice involved suggesting to his friend, Crito, that “a cock ought to be offered to Asclepius.” </w:t>
      </w:r>
      <w:r w:rsidRPr="00B8289B">
        <w:rPr>
          <w:rFonts w:ascii="Times New Roman" w:hAnsi="Times New Roman" w:cs="Times New Roman"/>
          <w:sz w:val="24"/>
          <w:szCs w:val="24"/>
          <w:vertAlign w:val="superscript"/>
        </w:rPr>
        <w:footnoteReference w:id="173"/>
      </w:r>
      <w:r w:rsidRPr="00B8289B">
        <w:rPr>
          <w:rFonts w:ascii="Times New Roman" w:hAnsi="Times New Roman" w:cs="Times New Roman"/>
          <w:sz w:val="24"/>
          <w:szCs w:val="24"/>
        </w:rPr>
        <w:t xml:space="preserve">  These revelations are part of a long and detailed diatribe in Chapter 2 of Clement’s </w:t>
      </w:r>
      <w:r w:rsidRPr="00B8289B">
        <w:rPr>
          <w:rFonts w:ascii="Times New Roman" w:hAnsi="Times New Roman" w:cs="Times New Roman"/>
          <w:i/>
          <w:sz w:val="24"/>
          <w:szCs w:val="24"/>
        </w:rPr>
        <w:t>Exhortation to the Greeks</w:t>
      </w:r>
      <w:r w:rsidRPr="00B8289B">
        <w:rPr>
          <w:rFonts w:ascii="Times New Roman" w:hAnsi="Times New Roman" w:cs="Times New Roman"/>
          <w:sz w:val="24"/>
          <w:szCs w:val="24"/>
        </w:rPr>
        <w:t xml:space="preserve"> in which he exposes the shameful rituals o</w:t>
      </w:r>
      <w:r w:rsidR="00BC1251">
        <w:rPr>
          <w:rFonts w:ascii="Times New Roman" w:hAnsi="Times New Roman" w:cs="Times New Roman"/>
          <w:sz w:val="24"/>
          <w:szCs w:val="24"/>
        </w:rPr>
        <w:t>f many of the Greek gods</w:t>
      </w:r>
      <w:r w:rsidRPr="00B8289B">
        <w:rPr>
          <w:rFonts w:ascii="Times New Roman" w:hAnsi="Times New Roman" w:cs="Times New Roman"/>
          <w:sz w:val="24"/>
          <w:szCs w:val="24"/>
        </w:rPr>
        <w:t xml:space="preserve"> and declares</w:t>
      </w:r>
      <w:r w:rsidR="00776874">
        <w:rPr>
          <w:rFonts w:ascii="Times New Roman" w:hAnsi="Times New Roman" w:cs="Times New Roman"/>
          <w:sz w:val="24"/>
          <w:szCs w:val="24"/>
        </w:rPr>
        <w:t xml:space="preserve"> that</w:t>
      </w:r>
      <w:r w:rsidRPr="00B8289B">
        <w:rPr>
          <w:rFonts w:ascii="Times New Roman" w:hAnsi="Times New Roman" w:cs="Times New Roman"/>
          <w:sz w:val="24"/>
          <w:szCs w:val="24"/>
        </w:rPr>
        <w:t xml:space="preserve"> the gods are either reflections of human sentiments and inclinations or deified </w:t>
      </w:r>
      <w:r w:rsidR="00BC1251">
        <w:rPr>
          <w:rFonts w:ascii="Times New Roman" w:hAnsi="Times New Roman" w:cs="Times New Roman"/>
          <w:sz w:val="24"/>
          <w:szCs w:val="24"/>
        </w:rPr>
        <w:t xml:space="preserve">dead </w:t>
      </w:r>
      <w:r w:rsidRPr="00B8289B">
        <w:rPr>
          <w:rFonts w:ascii="Times New Roman" w:hAnsi="Times New Roman" w:cs="Times New Roman"/>
          <w:sz w:val="24"/>
          <w:szCs w:val="24"/>
        </w:rPr>
        <w:t>men. He recounts the many different records of gods named Zeus in various part of Greece, one whose father is even c</w:t>
      </w:r>
      <w:r w:rsidR="00BC1251">
        <w:rPr>
          <w:rFonts w:ascii="Times New Roman" w:hAnsi="Times New Roman" w:cs="Times New Roman"/>
          <w:sz w:val="24"/>
          <w:szCs w:val="24"/>
        </w:rPr>
        <w:t xml:space="preserve">alled Cronus </w:t>
      </w:r>
      <w:r w:rsidRPr="00B8289B">
        <w:rPr>
          <w:rFonts w:ascii="Times New Roman" w:hAnsi="Times New Roman" w:cs="Times New Roman"/>
          <w:sz w:val="24"/>
          <w:szCs w:val="24"/>
        </w:rPr>
        <w:t>and another whose father is called Aether.</w:t>
      </w:r>
      <w:r w:rsidRPr="00B8289B">
        <w:rPr>
          <w:rFonts w:ascii="Times New Roman" w:hAnsi="Times New Roman" w:cs="Times New Roman"/>
          <w:sz w:val="24"/>
          <w:szCs w:val="24"/>
          <w:vertAlign w:val="superscript"/>
        </w:rPr>
        <w:footnoteReference w:id="174"/>
      </w:r>
      <w:r w:rsidRPr="00B8289B">
        <w:rPr>
          <w:rFonts w:ascii="Times New Roman" w:hAnsi="Times New Roman" w:cs="Times New Roman"/>
          <w:sz w:val="24"/>
          <w:szCs w:val="24"/>
        </w:rPr>
        <w:t xml:space="preserve"> In fact, a hymn by Callimachus, the Cretan, sings of Zeus’ tomb as being located on that island: “…for a tomb, O Prince, did the Cretans Fashion for thee.” </w:t>
      </w:r>
      <w:r w:rsidRPr="00B8289B">
        <w:rPr>
          <w:rFonts w:ascii="Times New Roman" w:hAnsi="Times New Roman" w:cs="Times New Roman"/>
          <w:sz w:val="24"/>
          <w:szCs w:val="24"/>
          <w:vertAlign w:val="superscript"/>
        </w:rPr>
        <w:footnoteReference w:id="175"/>
      </w:r>
      <w:r w:rsidRPr="00B8289B">
        <w:rPr>
          <w:rFonts w:ascii="Times New Roman" w:hAnsi="Times New Roman" w:cs="Times New Roman"/>
          <w:sz w:val="24"/>
          <w:szCs w:val="24"/>
        </w:rPr>
        <w:t xml:space="preserve">  Perhaps the Cretans are unjustly slandered for being liars as Epimenides’ claimed and unfairly connected to the liar’s paradox which still confounds today.</w:t>
      </w:r>
      <w:r w:rsidR="00BC1251">
        <w:rPr>
          <w:rFonts w:ascii="Times New Roman" w:hAnsi="Times New Roman" w:cs="Times New Roman"/>
          <w:sz w:val="24"/>
          <w:szCs w:val="24"/>
        </w:rPr>
        <w:t xml:space="preserve"> Nonetheless, </w:t>
      </w:r>
      <w:r w:rsidRPr="00B8289B">
        <w:rPr>
          <w:rFonts w:ascii="Times New Roman" w:hAnsi="Times New Roman" w:cs="Times New Roman"/>
          <w:sz w:val="24"/>
          <w:szCs w:val="24"/>
        </w:rPr>
        <w:t>the rapid rise of converts</w:t>
      </w:r>
      <w:r w:rsidR="00BC1251">
        <w:rPr>
          <w:rFonts w:ascii="Times New Roman" w:hAnsi="Times New Roman" w:cs="Times New Roman"/>
          <w:sz w:val="24"/>
          <w:szCs w:val="24"/>
        </w:rPr>
        <w:t xml:space="preserve"> lends evidence</w:t>
      </w:r>
      <w:r w:rsidRPr="00B8289B">
        <w:rPr>
          <w:rFonts w:ascii="Times New Roman" w:hAnsi="Times New Roman" w:cs="Times New Roman"/>
          <w:sz w:val="24"/>
          <w:szCs w:val="24"/>
        </w:rPr>
        <w:t xml:space="preserve"> that Clement’s exhortation</w:t>
      </w:r>
      <w:r w:rsidR="00402852">
        <w:rPr>
          <w:rFonts w:ascii="Times New Roman" w:hAnsi="Times New Roman" w:cs="Times New Roman"/>
          <w:sz w:val="24"/>
          <w:szCs w:val="24"/>
        </w:rPr>
        <w:t xml:space="preserve">s surely </w:t>
      </w:r>
      <w:r w:rsidR="006A3A13">
        <w:rPr>
          <w:rFonts w:ascii="Times New Roman" w:hAnsi="Times New Roman" w:cs="Times New Roman"/>
          <w:sz w:val="24"/>
          <w:szCs w:val="24"/>
        </w:rPr>
        <w:t xml:space="preserve">played a part in </w:t>
      </w:r>
      <w:r w:rsidRPr="00B8289B">
        <w:rPr>
          <w:rFonts w:ascii="Times New Roman" w:hAnsi="Times New Roman" w:cs="Times New Roman"/>
          <w:sz w:val="24"/>
          <w:szCs w:val="24"/>
        </w:rPr>
        <w:t>convincing</w:t>
      </w:r>
      <w:r w:rsidR="00402852">
        <w:rPr>
          <w:rFonts w:ascii="Times New Roman" w:hAnsi="Times New Roman" w:cs="Times New Roman"/>
          <w:sz w:val="24"/>
          <w:szCs w:val="24"/>
        </w:rPr>
        <w:t xml:space="preserve"> many to set aside such childish notions</w:t>
      </w:r>
      <w:r w:rsidR="001C7EC6">
        <w:rPr>
          <w:rFonts w:ascii="Times New Roman" w:hAnsi="Times New Roman" w:cs="Times New Roman"/>
          <w:sz w:val="24"/>
          <w:szCs w:val="24"/>
        </w:rPr>
        <w:t xml:space="preserve"> as Scripture admonishes</w:t>
      </w:r>
      <w:r w:rsidR="00402852">
        <w:rPr>
          <w:rFonts w:ascii="Times New Roman" w:hAnsi="Times New Roman" w:cs="Times New Roman"/>
          <w:sz w:val="24"/>
          <w:szCs w:val="24"/>
        </w:rPr>
        <w:t>.</w:t>
      </w:r>
      <w:r w:rsidRPr="00B8289B">
        <w:rPr>
          <w:rFonts w:ascii="Times New Roman" w:hAnsi="Times New Roman" w:cs="Times New Roman"/>
          <w:sz w:val="24"/>
          <w:szCs w:val="24"/>
        </w:rPr>
        <w:t xml:space="preserve"> </w:t>
      </w:r>
      <w:r w:rsidRPr="00B8289B">
        <w:rPr>
          <w:rFonts w:ascii="Times New Roman" w:hAnsi="Times New Roman" w:cs="Times New Roman"/>
          <w:sz w:val="24"/>
          <w:szCs w:val="24"/>
          <w:vertAlign w:val="superscript"/>
        </w:rPr>
        <w:footnoteReference w:id="176"/>
      </w:r>
    </w:p>
    <w:p w14:paraId="164B7F15" w14:textId="3C840AE5" w:rsidR="00631CA5" w:rsidRDefault="00BC70B3" w:rsidP="004C6ADF">
      <w:pPr>
        <w:spacing w:line="480" w:lineRule="auto"/>
        <w:rPr>
          <w:rFonts w:ascii="Times New Roman" w:hAnsi="Times New Roman" w:cs="Times New Roman"/>
          <w:sz w:val="24"/>
          <w:szCs w:val="24"/>
        </w:rPr>
      </w:pPr>
      <w:r>
        <w:rPr>
          <w:rFonts w:ascii="Times New Roman" w:hAnsi="Times New Roman" w:cs="Times New Roman"/>
          <w:sz w:val="24"/>
          <w:szCs w:val="24"/>
        </w:rPr>
        <w:tab/>
        <w:t>Before we conclude, let us</w:t>
      </w:r>
      <w:r w:rsidR="00BC1251">
        <w:rPr>
          <w:rFonts w:ascii="Times New Roman" w:hAnsi="Times New Roman" w:cs="Times New Roman"/>
          <w:sz w:val="24"/>
          <w:szCs w:val="24"/>
        </w:rPr>
        <w:t xml:space="preserve"> take a brief look at a few sentiments in Homer’s </w:t>
      </w:r>
      <w:r w:rsidR="00BA2CF3">
        <w:rPr>
          <w:rFonts w:ascii="Times New Roman" w:hAnsi="Times New Roman" w:cs="Times New Roman"/>
          <w:sz w:val="24"/>
          <w:szCs w:val="24"/>
        </w:rPr>
        <w:t xml:space="preserve">Trojan war epic, </w:t>
      </w:r>
      <w:r w:rsidR="00BA2CF3" w:rsidRPr="00BA2CF3">
        <w:rPr>
          <w:rFonts w:ascii="Times New Roman" w:hAnsi="Times New Roman" w:cs="Times New Roman"/>
          <w:i/>
          <w:sz w:val="24"/>
          <w:szCs w:val="24"/>
        </w:rPr>
        <w:t xml:space="preserve">The </w:t>
      </w:r>
      <w:r w:rsidR="00BC1251" w:rsidRPr="007255D1">
        <w:rPr>
          <w:rFonts w:ascii="Times New Roman" w:hAnsi="Times New Roman" w:cs="Times New Roman"/>
          <w:i/>
          <w:sz w:val="24"/>
          <w:szCs w:val="24"/>
        </w:rPr>
        <w:t xml:space="preserve">Illiad </w:t>
      </w:r>
      <w:r w:rsidR="00612DD7">
        <w:rPr>
          <w:rFonts w:ascii="Times New Roman" w:hAnsi="Times New Roman" w:cs="Times New Roman"/>
          <w:sz w:val="24"/>
          <w:szCs w:val="24"/>
        </w:rPr>
        <w:t xml:space="preserve">that </w:t>
      </w:r>
      <w:r w:rsidR="00C755ED">
        <w:rPr>
          <w:rFonts w:ascii="Times New Roman" w:hAnsi="Times New Roman" w:cs="Times New Roman"/>
          <w:sz w:val="24"/>
          <w:szCs w:val="24"/>
        </w:rPr>
        <w:t xml:space="preserve">attest </w:t>
      </w:r>
      <w:r w:rsidR="00004918">
        <w:rPr>
          <w:rFonts w:ascii="Times New Roman" w:hAnsi="Times New Roman" w:cs="Times New Roman"/>
          <w:sz w:val="24"/>
          <w:szCs w:val="24"/>
        </w:rPr>
        <w:t>not only</w:t>
      </w:r>
      <w:r w:rsidR="00BC1251">
        <w:rPr>
          <w:rFonts w:ascii="Times New Roman" w:hAnsi="Times New Roman" w:cs="Times New Roman"/>
          <w:sz w:val="24"/>
          <w:szCs w:val="24"/>
        </w:rPr>
        <w:t xml:space="preserve"> to </w:t>
      </w:r>
      <w:r w:rsidR="007255D1">
        <w:rPr>
          <w:rFonts w:ascii="Times New Roman" w:hAnsi="Times New Roman" w:cs="Times New Roman"/>
          <w:sz w:val="24"/>
          <w:szCs w:val="24"/>
        </w:rPr>
        <w:t>a Divine spark</w:t>
      </w:r>
      <w:r w:rsidR="00004918">
        <w:rPr>
          <w:rFonts w:ascii="Times New Roman" w:hAnsi="Times New Roman" w:cs="Times New Roman"/>
          <w:sz w:val="24"/>
          <w:szCs w:val="24"/>
        </w:rPr>
        <w:t xml:space="preserve"> but to the idea of the good promulgated by Plato</w:t>
      </w:r>
      <w:r w:rsidR="00D35350" w:rsidRPr="00B8289B">
        <w:rPr>
          <w:rFonts w:ascii="Times New Roman" w:hAnsi="Times New Roman" w:cs="Times New Roman"/>
          <w:sz w:val="24"/>
          <w:szCs w:val="24"/>
        </w:rPr>
        <w:t>.</w:t>
      </w:r>
      <w:r w:rsidR="00004918">
        <w:rPr>
          <w:rFonts w:ascii="Times New Roman" w:hAnsi="Times New Roman" w:cs="Times New Roman"/>
          <w:sz w:val="24"/>
          <w:szCs w:val="24"/>
        </w:rPr>
        <w:t xml:space="preserve"> Though </w:t>
      </w:r>
      <w:r w:rsidR="007255D1">
        <w:rPr>
          <w:rFonts w:ascii="Times New Roman" w:hAnsi="Times New Roman" w:cs="Times New Roman"/>
          <w:sz w:val="24"/>
          <w:szCs w:val="24"/>
        </w:rPr>
        <w:t xml:space="preserve">philosophers moved men on an intellectual level to contemplate the good and to seek it, myths </w:t>
      </w:r>
      <w:r w:rsidR="006C7FCA">
        <w:rPr>
          <w:rFonts w:ascii="Times New Roman" w:hAnsi="Times New Roman" w:cs="Times New Roman"/>
          <w:sz w:val="24"/>
          <w:szCs w:val="24"/>
        </w:rPr>
        <w:t>connected with men emotionally at a gut level</w:t>
      </w:r>
      <w:r w:rsidR="007255D1">
        <w:rPr>
          <w:rFonts w:ascii="Times New Roman" w:hAnsi="Times New Roman" w:cs="Times New Roman"/>
          <w:sz w:val="24"/>
          <w:szCs w:val="24"/>
        </w:rPr>
        <w:t xml:space="preserve">. The gospels themselves are full of Jesus’ </w:t>
      </w:r>
      <w:r w:rsidR="00BB2782">
        <w:rPr>
          <w:rFonts w:ascii="Times New Roman" w:hAnsi="Times New Roman" w:cs="Times New Roman"/>
          <w:sz w:val="24"/>
          <w:szCs w:val="24"/>
        </w:rPr>
        <w:t>parables which is</w:t>
      </w:r>
      <w:r w:rsidR="007255D1">
        <w:rPr>
          <w:rFonts w:ascii="Times New Roman" w:hAnsi="Times New Roman" w:cs="Times New Roman"/>
          <w:sz w:val="24"/>
          <w:szCs w:val="24"/>
        </w:rPr>
        <w:t xml:space="preserve"> not surprising since most would agree that people </w:t>
      </w:r>
      <w:r w:rsidR="00BB2782">
        <w:rPr>
          <w:rFonts w:ascii="Times New Roman" w:hAnsi="Times New Roman" w:cs="Times New Roman"/>
          <w:sz w:val="24"/>
          <w:szCs w:val="24"/>
        </w:rPr>
        <w:t xml:space="preserve">process </w:t>
      </w:r>
      <w:r w:rsidR="007255D1">
        <w:rPr>
          <w:rFonts w:ascii="Times New Roman" w:hAnsi="Times New Roman" w:cs="Times New Roman"/>
          <w:sz w:val="24"/>
          <w:szCs w:val="24"/>
        </w:rPr>
        <w:t>truths</w:t>
      </w:r>
      <w:r w:rsidR="00BB2782">
        <w:rPr>
          <w:rFonts w:ascii="Times New Roman" w:hAnsi="Times New Roman" w:cs="Times New Roman"/>
          <w:sz w:val="24"/>
          <w:szCs w:val="24"/>
        </w:rPr>
        <w:t xml:space="preserve"> more </w:t>
      </w:r>
      <w:r w:rsidR="00BB2782">
        <w:rPr>
          <w:rFonts w:ascii="Times New Roman" w:hAnsi="Times New Roman" w:cs="Times New Roman"/>
          <w:sz w:val="24"/>
          <w:szCs w:val="24"/>
        </w:rPr>
        <w:lastRenderedPageBreak/>
        <w:t>fully</w:t>
      </w:r>
      <w:r w:rsidR="007255D1">
        <w:rPr>
          <w:rFonts w:ascii="Times New Roman" w:hAnsi="Times New Roman" w:cs="Times New Roman"/>
          <w:sz w:val="24"/>
          <w:szCs w:val="24"/>
        </w:rPr>
        <w:t xml:space="preserve"> through story</w:t>
      </w:r>
      <w:r w:rsidR="00D74F34">
        <w:rPr>
          <w:rFonts w:ascii="Times New Roman" w:hAnsi="Times New Roman" w:cs="Times New Roman"/>
          <w:sz w:val="24"/>
          <w:szCs w:val="24"/>
        </w:rPr>
        <w:t xml:space="preserve">. Thus, it makes </w:t>
      </w:r>
      <w:r w:rsidR="007255D1">
        <w:rPr>
          <w:rFonts w:ascii="Times New Roman" w:hAnsi="Times New Roman" w:cs="Times New Roman"/>
          <w:sz w:val="24"/>
          <w:szCs w:val="24"/>
        </w:rPr>
        <w:t xml:space="preserve">sense that </w:t>
      </w:r>
      <w:r w:rsidR="00BB2782">
        <w:rPr>
          <w:rFonts w:ascii="Times New Roman" w:hAnsi="Times New Roman" w:cs="Times New Roman"/>
          <w:sz w:val="24"/>
          <w:szCs w:val="24"/>
        </w:rPr>
        <w:t xml:space="preserve">God would have </w:t>
      </w:r>
      <w:r w:rsidR="00D35350" w:rsidRPr="00B8289B">
        <w:rPr>
          <w:rFonts w:ascii="Times New Roman" w:hAnsi="Times New Roman" w:cs="Times New Roman"/>
          <w:sz w:val="24"/>
          <w:szCs w:val="24"/>
        </w:rPr>
        <w:t>inspire</w:t>
      </w:r>
      <w:r w:rsidR="00BB2782">
        <w:rPr>
          <w:rFonts w:ascii="Times New Roman" w:hAnsi="Times New Roman" w:cs="Times New Roman"/>
          <w:sz w:val="24"/>
          <w:szCs w:val="24"/>
        </w:rPr>
        <w:t>d</w:t>
      </w:r>
      <w:r w:rsidR="00E16905">
        <w:rPr>
          <w:rFonts w:ascii="Times New Roman" w:hAnsi="Times New Roman" w:cs="Times New Roman"/>
          <w:sz w:val="24"/>
          <w:szCs w:val="24"/>
        </w:rPr>
        <w:t xml:space="preserve"> the poets</w:t>
      </w:r>
      <w:r w:rsidR="00612DD7">
        <w:rPr>
          <w:rFonts w:ascii="Times New Roman" w:hAnsi="Times New Roman" w:cs="Times New Roman"/>
          <w:sz w:val="24"/>
          <w:szCs w:val="24"/>
        </w:rPr>
        <w:t xml:space="preserve"> in their storytelling</w:t>
      </w:r>
      <w:r w:rsidR="00D35350" w:rsidRPr="00B8289B">
        <w:rPr>
          <w:rFonts w:ascii="Times New Roman" w:hAnsi="Times New Roman" w:cs="Times New Roman"/>
          <w:sz w:val="24"/>
          <w:szCs w:val="24"/>
        </w:rPr>
        <w:t>, a</w:t>
      </w:r>
      <w:r w:rsidR="00BB2782">
        <w:rPr>
          <w:rFonts w:ascii="Times New Roman" w:hAnsi="Times New Roman" w:cs="Times New Roman"/>
          <w:sz w:val="24"/>
          <w:szCs w:val="24"/>
        </w:rPr>
        <w:t>s Clement argues</w:t>
      </w:r>
      <w:r w:rsidR="00D35350" w:rsidRPr="00B8289B">
        <w:rPr>
          <w:rFonts w:ascii="Times New Roman" w:hAnsi="Times New Roman" w:cs="Times New Roman"/>
          <w:sz w:val="24"/>
          <w:szCs w:val="24"/>
        </w:rPr>
        <w:t xml:space="preserve">. </w:t>
      </w:r>
      <w:r w:rsidR="00D35350" w:rsidRPr="00B8289B">
        <w:rPr>
          <w:rFonts w:ascii="Times New Roman" w:hAnsi="Times New Roman" w:cs="Times New Roman"/>
          <w:sz w:val="24"/>
          <w:szCs w:val="24"/>
          <w:vertAlign w:val="superscript"/>
        </w:rPr>
        <w:footnoteReference w:id="177"/>
      </w:r>
      <w:r w:rsidR="00D35350" w:rsidRPr="00B8289B">
        <w:rPr>
          <w:rFonts w:ascii="Times New Roman" w:hAnsi="Times New Roman" w:cs="Times New Roman"/>
          <w:sz w:val="24"/>
          <w:szCs w:val="24"/>
        </w:rPr>
        <w:t xml:space="preserve"> </w:t>
      </w:r>
      <w:r w:rsidR="00612DD7">
        <w:rPr>
          <w:rFonts w:ascii="Times New Roman" w:hAnsi="Times New Roman" w:cs="Times New Roman"/>
          <w:sz w:val="24"/>
          <w:szCs w:val="24"/>
        </w:rPr>
        <w:t xml:space="preserve">Plato defined the good as a transcendent standard that wise men seek to know and understand. Socrates defended that standard with his life. </w:t>
      </w:r>
      <w:r w:rsidR="00865F5D">
        <w:rPr>
          <w:rFonts w:ascii="Times New Roman" w:hAnsi="Times New Roman" w:cs="Times New Roman"/>
          <w:sz w:val="24"/>
          <w:szCs w:val="24"/>
        </w:rPr>
        <w:t xml:space="preserve">Scripture defines the good in this manner: </w:t>
      </w:r>
      <w:r w:rsidR="00792195">
        <w:rPr>
          <w:rFonts w:ascii="Times New Roman" w:hAnsi="Times New Roman" w:cs="Times New Roman"/>
          <w:sz w:val="24"/>
          <w:szCs w:val="24"/>
        </w:rPr>
        <w:t>“He has shown you, O man, what is good; And what does the Lord require of you But to do justly, To love mercy, And to walk humbly with your God.”</w:t>
      </w:r>
      <w:r w:rsidR="00792195">
        <w:rPr>
          <w:rStyle w:val="FootnoteReference"/>
          <w:rFonts w:ascii="Times New Roman" w:hAnsi="Times New Roman" w:cs="Times New Roman"/>
          <w:sz w:val="24"/>
          <w:szCs w:val="24"/>
        </w:rPr>
        <w:footnoteReference w:id="178"/>
      </w:r>
      <w:r w:rsidR="004C14D6">
        <w:rPr>
          <w:rFonts w:ascii="Times New Roman" w:hAnsi="Times New Roman" w:cs="Times New Roman"/>
          <w:sz w:val="24"/>
          <w:szCs w:val="24"/>
        </w:rPr>
        <w:t xml:space="preserve">  What Plato expounded partly, the Church Fathers, with Scripture in hand, explicated fully. </w:t>
      </w:r>
      <w:r w:rsidR="000C5318">
        <w:rPr>
          <w:rFonts w:ascii="Times New Roman" w:hAnsi="Times New Roman" w:cs="Times New Roman"/>
          <w:sz w:val="24"/>
          <w:szCs w:val="24"/>
        </w:rPr>
        <w:t xml:space="preserve">Homer’s myth, </w:t>
      </w:r>
      <w:r w:rsidR="000C5318" w:rsidRPr="000C5318">
        <w:rPr>
          <w:rFonts w:ascii="Times New Roman" w:hAnsi="Times New Roman" w:cs="Times New Roman"/>
          <w:i/>
          <w:sz w:val="24"/>
          <w:szCs w:val="24"/>
        </w:rPr>
        <w:t>The Illiad</w:t>
      </w:r>
      <w:r w:rsidR="000C5318">
        <w:rPr>
          <w:rFonts w:ascii="Times New Roman" w:hAnsi="Times New Roman" w:cs="Times New Roman"/>
          <w:sz w:val="24"/>
          <w:szCs w:val="24"/>
        </w:rPr>
        <w:t xml:space="preserve">, a well-known story </w:t>
      </w:r>
      <w:r w:rsidR="003D1F76">
        <w:rPr>
          <w:rFonts w:ascii="Times New Roman" w:hAnsi="Times New Roman" w:cs="Times New Roman"/>
          <w:sz w:val="24"/>
          <w:szCs w:val="24"/>
        </w:rPr>
        <w:t xml:space="preserve">encompassing </w:t>
      </w:r>
      <w:r w:rsidR="00E637C1">
        <w:rPr>
          <w:rFonts w:ascii="Times New Roman" w:hAnsi="Times New Roman" w:cs="Times New Roman"/>
          <w:sz w:val="24"/>
          <w:szCs w:val="24"/>
        </w:rPr>
        <w:t xml:space="preserve">a vast </w:t>
      </w:r>
      <w:r w:rsidR="000C5318">
        <w:rPr>
          <w:rFonts w:ascii="Times New Roman" w:hAnsi="Times New Roman" w:cs="Times New Roman"/>
          <w:sz w:val="24"/>
          <w:szCs w:val="24"/>
        </w:rPr>
        <w:t>range of human emotions</w:t>
      </w:r>
      <w:r w:rsidR="003D1F76">
        <w:rPr>
          <w:rFonts w:ascii="Times New Roman" w:hAnsi="Times New Roman" w:cs="Times New Roman"/>
          <w:sz w:val="24"/>
          <w:szCs w:val="24"/>
        </w:rPr>
        <w:t>,</w:t>
      </w:r>
      <w:r w:rsidR="000C5318">
        <w:rPr>
          <w:rFonts w:ascii="Times New Roman" w:hAnsi="Times New Roman" w:cs="Times New Roman"/>
          <w:sz w:val="24"/>
          <w:szCs w:val="24"/>
        </w:rPr>
        <w:t xml:space="preserve"> provides a glimpse into the possibility of Divine inspiration</w:t>
      </w:r>
      <w:r w:rsidR="003D1F76">
        <w:rPr>
          <w:rFonts w:ascii="Times New Roman" w:hAnsi="Times New Roman" w:cs="Times New Roman"/>
          <w:sz w:val="24"/>
          <w:szCs w:val="24"/>
        </w:rPr>
        <w:t xml:space="preserve">, </w:t>
      </w:r>
      <w:r w:rsidR="00C757E5">
        <w:rPr>
          <w:rFonts w:ascii="Times New Roman" w:hAnsi="Times New Roman" w:cs="Times New Roman"/>
          <w:sz w:val="24"/>
          <w:szCs w:val="24"/>
        </w:rPr>
        <w:t xml:space="preserve">an instance of Justin’s “spermatic logos,” </w:t>
      </w:r>
      <w:r w:rsidR="003D1F76">
        <w:rPr>
          <w:rFonts w:ascii="Times New Roman" w:hAnsi="Times New Roman" w:cs="Times New Roman"/>
          <w:sz w:val="24"/>
          <w:szCs w:val="24"/>
        </w:rPr>
        <w:t xml:space="preserve">which having been </w:t>
      </w:r>
      <w:r w:rsidR="000C5318">
        <w:rPr>
          <w:rFonts w:ascii="Times New Roman" w:hAnsi="Times New Roman" w:cs="Times New Roman"/>
          <w:sz w:val="24"/>
          <w:szCs w:val="24"/>
        </w:rPr>
        <w:t>noted by modern scholars</w:t>
      </w:r>
      <w:r w:rsidR="003D1F76">
        <w:rPr>
          <w:rFonts w:ascii="Times New Roman" w:hAnsi="Times New Roman" w:cs="Times New Roman"/>
          <w:sz w:val="24"/>
          <w:szCs w:val="24"/>
        </w:rPr>
        <w:t xml:space="preserve">, </w:t>
      </w:r>
      <w:r w:rsidR="000C5318">
        <w:rPr>
          <w:rFonts w:ascii="Times New Roman" w:hAnsi="Times New Roman" w:cs="Times New Roman"/>
          <w:sz w:val="24"/>
          <w:szCs w:val="24"/>
        </w:rPr>
        <w:t>most certainly was evident to the early eva</w:t>
      </w:r>
      <w:r w:rsidR="003D1F76">
        <w:rPr>
          <w:rFonts w:ascii="Times New Roman" w:hAnsi="Times New Roman" w:cs="Times New Roman"/>
          <w:sz w:val="24"/>
          <w:szCs w:val="24"/>
        </w:rPr>
        <w:t>ngelists as well.</w:t>
      </w:r>
      <w:r w:rsidR="005B0527">
        <w:rPr>
          <w:rFonts w:ascii="Times New Roman" w:hAnsi="Times New Roman" w:cs="Times New Roman"/>
          <w:sz w:val="24"/>
          <w:szCs w:val="24"/>
        </w:rPr>
        <w:t xml:space="preserve">  </w:t>
      </w:r>
      <w:r w:rsidR="00F926FC">
        <w:rPr>
          <w:rFonts w:ascii="Times New Roman" w:hAnsi="Times New Roman" w:cs="Times New Roman"/>
          <w:sz w:val="24"/>
          <w:szCs w:val="24"/>
        </w:rPr>
        <w:t>Its</w:t>
      </w:r>
      <w:r w:rsidR="005B0527">
        <w:rPr>
          <w:rFonts w:ascii="Times New Roman" w:hAnsi="Times New Roman" w:cs="Times New Roman"/>
          <w:sz w:val="24"/>
          <w:szCs w:val="24"/>
        </w:rPr>
        <w:t xml:space="preserve"> two major characters, Hector and </w:t>
      </w:r>
      <w:r w:rsidR="00EC40C1">
        <w:rPr>
          <w:rFonts w:ascii="Times New Roman" w:hAnsi="Times New Roman" w:cs="Times New Roman"/>
          <w:sz w:val="24"/>
          <w:szCs w:val="24"/>
        </w:rPr>
        <w:t xml:space="preserve">Achilles are battle weary soldiers; </w:t>
      </w:r>
      <w:r w:rsidR="005B0527">
        <w:rPr>
          <w:rFonts w:ascii="Times New Roman" w:hAnsi="Times New Roman" w:cs="Times New Roman"/>
          <w:sz w:val="24"/>
          <w:szCs w:val="24"/>
        </w:rPr>
        <w:t>each</w:t>
      </w:r>
      <w:r w:rsidR="00680856">
        <w:rPr>
          <w:rFonts w:ascii="Times New Roman" w:hAnsi="Times New Roman" w:cs="Times New Roman"/>
          <w:sz w:val="24"/>
          <w:szCs w:val="24"/>
        </w:rPr>
        <w:t>,</w:t>
      </w:r>
      <w:r w:rsidR="005B0527">
        <w:rPr>
          <w:rFonts w:ascii="Times New Roman" w:hAnsi="Times New Roman" w:cs="Times New Roman"/>
          <w:sz w:val="24"/>
          <w:szCs w:val="24"/>
        </w:rPr>
        <w:t xml:space="preserve"> </w:t>
      </w:r>
      <w:r w:rsidR="00EC40C1">
        <w:rPr>
          <w:rFonts w:ascii="Times New Roman" w:hAnsi="Times New Roman" w:cs="Times New Roman"/>
          <w:sz w:val="24"/>
          <w:szCs w:val="24"/>
        </w:rPr>
        <w:t xml:space="preserve">for a </w:t>
      </w:r>
      <w:r w:rsidR="00680856">
        <w:rPr>
          <w:rFonts w:ascii="Times New Roman" w:hAnsi="Times New Roman" w:cs="Times New Roman"/>
          <w:sz w:val="24"/>
          <w:szCs w:val="24"/>
        </w:rPr>
        <w:t xml:space="preserve">brief </w:t>
      </w:r>
      <w:r w:rsidR="00EC40C1">
        <w:rPr>
          <w:rFonts w:ascii="Times New Roman" w:hAnsi="Times New Roman" w:cs="Times New Roman"/>
          <w:sz w:val="24"/>
          <w:szCs w:val="24"/>
        </w:rPr>
        <w:t>moment in time</w:t>
      </w:r>
      <w:r w:rsidR="00680856">
        <w:rPr>
          <w:rFonts w:ascii="Times New Roman" w:hAnsi="Times New Roman" w:cs="Times New Roman"/>
          <w:sz w:val="24"/>
          <w:szCs w:val="24"/>
        </w:rPr>
        <w:t>,</w:t>
      </w:r>
      <w:r w:rsidR="00EC40C1">
        <w:rPr>
          <w:rFonts w:ascii="Times New Roman" w:hAnsi="Times New Roman" w:cs="Times New Roman"/>
          <w:sz w:val="24"/>
          <w:szCs w:val="24"/>
        </w:rPr>
        <w:t xml:space="preserve"> </w:t>
      </w:r>
      <w:r w:rsidR="00D04B9D">
        <w:rPr>
          <w:rFonts w:ascii="Times New Roman" w:hAnsi="Times New Roman" w:cs="Times New Roman"/>
          <w:sz w:val="24"/>
          <w:szCs w:val="24"/>
        </w:rPr>
        <w:t xml:space="preserve">uniquely </w:t>
      </w:r>
      <w:r w:rsidR="005B0527">
        <w:rPr>
          <w:rFonts w:ascii="Times New Roman" w:hAnsi="Times New Roman" w:cs="Times New Roman"/>
          <w:sz w:val="24"/>
          <w:szCs w:val="24"/>
        </w:rPr>
        <w:t>manifest</w:t>
      </w:r>
      <w:r w:rsidR="00680856">
        <w:rPr>
          <w:rFonts w:ascii="Times New Roman" w:hAnsi="Times New Roman" w:cs="Times New Roman"/>
          <w:sz w:val="24"/>
          <w:szCs w:val="24"/>
        </w:rPr>
        <w:t>s</w:t>
      </w:r>
      <w:r w:rsidR="00D04B9D">
        <w:rPr>
          <w:rFonts w:ascii="Times New Roman" w:hAnsi="Times New Roman" w:cs="Times New Roman"/>
          <w:sz w:val="24"/>
          <w:szCs w:val="24"/>
        </w:rPr>
        <w:t xml:space="preserve"> </w:t>
      </w:r>
      <w:r w:rsidR="005B0527">
        <w:rPr>
          <w:rFonts w:ascii="Times New Roman" w:hAnsi="Times New Roman" w:cs="Times New Roman"/>
          <w:sz w:val="24"/>
          <w:szCs w:val="24"/>
        </w:rPr>
        <w:t>God’s definition of good</w:t>
      </w:r>
      <w:r w:rsidR="00232570">
        <w:rPr>
          <w:rFonts w:ascii="Times New Roman" w:hAnsi="Times New Roman" w:cs="Times New Roman"/>
          <w:sz w:val="24"/>
          <w:szCs w:val="24"/>
        </w:rPr>
        <w:t xml:space="preserve"> </w:t>
      </w:r>
      <w:r w:rsidR="00F926FC">
        <w:rPr>
          <w:rFonts w:ascii="Times New Roman" w:hAnsi="Times New Roman" w:cs="Times New Roman"/>
          <w:sz w:val="24"/>
          <w:szCs w:val="24"/>
        </w:rPr>
        <w:t xml:space="preserve"> in </w:t>
      </w:r>
      <w:r w:rsidR="00446312">
        <w:rPr>
          <w:rFonts w:ascii="Times New Roman" w:hAnsi="Times New Roman" w:cs="Times New Roman"/>
          <w:sz w:val="24"/>
          <w:szCs w:val="24"/>
        </w:rPr>
        <w:t xml:space="preserve">an age and culture </w:t>
      </w:r>
      <w:r w:rsidR="00F926FC">
        <w:rPr>
          <w:rFonts w:ascii="Times New Roman" w:hAnsi="Times New Roman" w:cs="Times New Roman"/>
          <w:sz w:val="24"/>
          <w:szCs w:val="24"/>
        </w:rPr>
        <w:t>who</w:t>
      </w:r>
      <w:r w:rsidR="00EC40C1">
        <w:rPr>
          <w:rFonts w:ascii="Times New Roman" w:hAnsi="Times New Roman" w:cs="Times New Roman"/>
          <w:sz w:val="24"/>
          <w:szCs w:val="24"/>
        </w:rPr>
        <w:t xml:space="preserve">se fighting men </w:t>
      </w:r>
      <w:r w:rsidR="00446312">
        <w:rPr>
          <w:rFonts w:ascii="Times New Roman" w:hAnsi="Times New Roman" w:cs="Times New Roman"/>
          <w:sz w:val="24"/>
          <w:szCs w:val="24"/>
        </w:rPr>
        <w:t xml:space="preserve">acted and fought instinctively by a </w:t>
      </w:r>
      <w:r w:rsidR="00EC40C1">
        <w:rPr>
          <w:rFonts w:ascii="Times New Roman" w:hAnsi="Times New Roman" w:cs="Times New Roman"/>
          <w:sz w:val="24"/>
          <w:szCs w:val="24"/>
        </w:rPr>
        <w:t>v</w:t>
      </w:r>
      <w:r w:rsidR="00F926FC">
        <w:rPr>
          <w:rFonts w:ascii="Times New Roman" w:hAnsi="Times New Roman" w:cs="Times New Roman"/>
          <w:sz w:val="24"/>
          <w:szCs w:val="24"/>
        </w:rPr>
        <w:t>alued</w:t>
      </w:r>
      <w:r w:rsidR="00446312">
        <w:rPr>
          <w:rFonts w:ascii="Times New Roman" w:hAnsi="Times New Roman" w:cs="Times New Roman"/>
          <w:sz w:val="24"/>
          <w:szCs w:val="24"/>
        </w:rPr>
        <w:t xml:space="preserve"> code of honor whose goal of victory superseded all else.  </w:t>
      </w:r>
      <w:r w:rsidR="0077053D">
        <w:rPr>
          <w:rFonts w:ascii="Times New Roman" w:hAnsi="Times New Roman" w:cs="Times New Roman"/>
          <w:sz w:val="24"/>
          <w:szCs w:val="24"/>
        </w:rPr>
        <w:t xml:space="preserve">Where the Romans valued duty as the highest ideal, the Greeks valued honor. </w:t>
      </w:r>
      <w:r w:rsidR="00446312">
        <w:rPr>
          <w:rFonts w:ascii="Times New Roman" w:hAnsi="Times New Roman" w:cs="Times New Roman"/>
          <w:sz w:val="24"/>
          <w:szCs w:val="24"/>
        </w:rPr>
        <w:t>Both</w:t>
      </w:r>
      <w:r w:rsidR="002E6928">
        <w:rPr>
          <w:rFonts w:ascii="Times New Roman" w:hAnsi="Times New Roman" w:cs="Times New Roman"/>
          <w:sz w:val="24"/>
          <w:szCs w:val="24"/>
        </w:rPr>
        <w:t xml:space="preserve"> Hector and Achilles</w:t>
      </w:r>
      <w:r w:rsidR="0077053D">
        <w:rPr>
          <w:rFonts w:ascii="Times New Roman" w:hAnsi="Times New Roman" w:cs="Times New Roman"/>
          <w:sz w:val="24"/>
          <w:szCs w:val="24"/>
        </w:rPr>
        <w:t xml:space="preserve">, contrary to their </w:t>
      </w:r>
      <w:r w:rsidR="006128C4">
        <w:rPr>
          <w:rFonts w:ascii="Times New Roman" w:hAnsi="Times New Roman" w:cs="Times New Roman"/>
          <w:sz w:val="24"/>
          <w:szCs w:val="24"/>
        </w:rPr>
        <w:t xml:space="preserve">Greek </w:t>
      </w:r>
      <w:r w:rsidR="0077053D">
        <w:rPr>
          <w:rFonts w:ascii="Times New Roman" w:hAnsi="Times New Roman" w:cs="Times New Roman"/>
          <w:sz w:val="24"/>
          <w:szCs w:val="24"/>
        </w:rPr>
        <w:t>society’s dictates</w:t>
      </w:r>
      <w:r w:rsidR="002E6928">
        <w:rPr>
          <w:rFonts w:ascii="Times New Roman" w:hAnsi="Times New Roman" w:cs="Times New Roman"/>
          <w:sz w:val="24"/>
          <w:szCs w:val="24"/>
        </w:rPr>
        <w:t xml:space="preserve">, </w:t>
      </w:r>
      <w:r w:rsidR="00AC1EFE">
        <w:rPr>
          <w:rFonts w:ascii="Times New Roman" w:hAnsi="Times New Roman" w:cs="Times New Roman"/>
          <w:sz w:val="24"/>
          <w:szCs w:val="24"/>
        </w:rPr>
        <w:t xml:space="preserve">contemplate </w:t>
      </w:r>
      <w:r w:rsidR="002E6928">
        <w:rPr>
          <w:rFonts w:ascii="Times New Roman" w:hAnsi="Times New Roman" w:cs="Times New Roman"/>
          <w:sz w:val="24"/>
          <w:szCs w:val="24"/>
        </w:rPr>
        <w:t xml:space="preserve">notions that are arguably more in line with modern </w:t>
      </w:r>
      <w:r w:rsidR="00346893">
        <w:rPr>
          <w:rFonts w:ascii="Times New Roman" w:hAnsi="Times New Roman" w:cs="Times New Roman"/>
          <w:sz w:val="24"/>
          <w:szCs w:val="24"/>
        </w:rPr>
        <w:t>Western</w:t>
      </w:r>
      <w:r w:rsidR="00AC1EFE">
        <w:rPr>
          <w:rFonts w:ascii="Times New Roman" w:hAnsi="Times New Roman" w:cs="Times New Roman"/>
          <w:sz w:val="24"/>
          <w:szCs w:val="24"/>
        </w:rPr>
        <w:t xml:space="preserve"> ideals</w:t>
      </w:r>
      <w:r w:rsidR="006128C4">
        <w:rPr>
          <w:rFonts w:ascii="Times New Roman" w:hAnsi="Times New Roman" w:cs="Times New Roman"/>
          <w:sz w:val="24"/>
          <w:szCs w:val="24"/>
        </w:rPr>
        <w:t xml:space="preserve"> whose </w:t>
      </w:r>
      <w:r w:rsidR="002E6928">
        <w:rPr>
          <w:rFonts w:ascii="Times New Roman" w:hAnsi="Times New Roman" w:cs="Times New Roman"/>
          <w:sz w:val="24"/>
          <w:szCs w:val="24"/>
        </w:rPr>
        <w:t>origin</w:t>
      </w:r>
      <w:r w:rsidR="006128C4">
        <w:rPr>
          <w:rFonts w:ascii="Times New Roman" w:hAnsi="Times New Roman" w:cs="Times New Roman"/>
          <w:sz w:val="24"/>
          <w:szCs w:val="24"/>
        </w:rPr>
        <w:t xml:space="preserve">s are </w:t>
      </w:r>
      <w:r w:rsidR="002E6928">
        <w:rPr>
          <w:rFonts w:ascii="Times New Roman" w:hAnsi="Times New Roman" w:cs="Times New Roman"/>
          <w:sz w:val="24"/>
          <w:szCs w:val="24"/>
        </w:rPr>
        <w:t xml:space="preserve">Biblical </w:t>
      </w:r>
      <w:r w:rsidR="002A100A">
        <w:rPr>
          <w:rFonts w:ascii="Times New Roman" w:hAnsi="Times New Roman" w:cs="Times New Roman"/>
          <w:sz w:val="24"/>
          <w:szCs w:val="24"/>
        </w:rPr>
        <w:t>in nature.</w:t>
      </w:r>
    </w:p>
    <w:p w14:paraId="2B2DC21F" w14:textId="17045D32" w:rsidR="00096F6E" w:rsidRDefault="00232570" w:rsidP="004C6ADF">
      <w:pPr>
        <w:spacing w:line="480" w:lineRule="auto"/>
        <w:rPr>
          <w:rFonts w:ascii="Times New Roman" w:hAnsi="Times New Roman" w:cs="Times New Roman"/>
          <w:sz w:val="24"/>
          <w:szCs w:val="24"/>
        </w:rPr>
      </w:pPr>
      <w:r>
        <w:rPr>
          <w:rFonts w:ascii="Times New Roman" w:hAnsi="Times New Roman" w:cs="Times New Roman"/>
          <w:sz w:val="24"/>
          <w:szCs w:val="24"/>
        </w:rPr>
        <w:tab/>
        <w:t>In a climactic scene of anguish and sober reflection, the Trojan, Hector, contemplates humbling himself before the fierce Greek army and, in particular, the mighty Greek warrior, Achilles, and —surrendering.</w:t>
      </w:r>
      <w:r w:rsidR="00AC034E">
        <w:rPr>
          <w:rStyle w:val="FootnoteReference"/>
          <w:rFonts w:ascii="Times New Roman" w:hAnsi="Times New Roman" w:cs="Times New Roman"/>
          <w:sz w:val="24"/>
          <w:szCs w:val="24"/>
        </w:rPr>
        <w:footnoteReference w:id="179"/>
      </w:r>
      <w:r>
        <w:rPr>
          <w:rFonts w:ascii="Times New Roman" w:hAnsi="Times New Roman" w:cs="Times New Roman"/>
          <w:sz w:val="24"/>
          <w:szCs w:val="24"/>
        </w:rPr>
        <w:t xml:space="preserve"> </w:t>
      </w:r>
      <w:r w:rsidR="00E751FD">
        <w:rPr>
          <w:rFonts w:ascii="Times New Roman" w:hAnsi="Times New Roman" w:cs="Times New Roman"/>
          <w:sz w:val="24"/>
          <w:szCs w:val="24"/>
        </w:rPr>
        <w:t xml:space="preserve">John </w:t>
      </w:r>
      <w:r w:rsidR="00FF757A">
        <w:rPr>
          <w:rFonts w:ascii="Times New Roman" w:hAnsi="Times New Roman" w:cs="Times New Roman"/>
          <w:sz w:val="24"/>
          <w:szCs w:val="24"/>
        </w:rPr>
        <w:t>Hampsey notes in “The Idea of the Good,</w:t>
      </w:r>
      <w:r w:rsidR="00A02186">
        <w:rPr>
          <w:rFonts w:ascii="Times New Roman" w:hAnsi="Times New Roman" w:cs="Times New Roman"/>
          <w:sz w:val="24"/>
          <w:szCs w:val="24"/>
        </w:rPr>
        <w:t>” that</w:t>
      </w:r>
      <w:r w:rsidR="00E751FD">
        <w:rPr>
          <w:rFonts w:ascii="Times New Roman" w:hAnsi="Times New Roman" w:cs="Times New Roman"/>
          <w:sz w:val="24"/>
          <w:szCs w:val="24"/>
        </w:rPr>
        <w:t xml:space="preserve"> </w:t>
      </w:r>
      <w:r w:rsidR="00FF757A">
        <w:rPr>
          <w:rFonts w:ascii="Times New Roman" w:hAnsi="Times New Roman" w:cs="Times New Roman"/>
          <w:sz w:val="24"/>
          <w:szCs w:val="24"/>
        </w:rPr>
        <w:t xml:space="preserve">as Hector faces the prospect of fighting the more formidable Achilles, </w:t>
      </w:r>
      <w:r w:rsidR="007D229F">
        <w:rPr>
          <w:rFonts w:ascii="Times New Roman" w:hAnsi="Times New Roman" w:cs="Times New Roman"/>
          <w:sz w:val="24"/>
          <w:szCs w:val="24"/>
        </w:rPr>
        <w:t xml:space="preserve">whose </w:t>
      </w:r>
      <w:r w:rsidR="00FF757A">
        <w:rPr>
          <w:rFonts w:ascii="Times New Roman" w:hAnsi="Times New Roman" w:cs="Times New Roman"/>
          <w:sz w:val="24"/>
          <w:szCs w:val="24"/>
        </w:rPr>
        <w:t>outcome would determine the ultimate victory between the Trojans and Greeks, he mus</w:t>
      </w:r>
      <w:r w:rsidR="00A37C64">
        <w:rPr>
          <w:rFonts w:ascii="Times New Roman" w:hAnsi="Times New Roman" w:cs="Times New Roman"/>
          <w:sz w:val="24"/>
          <w:szCs w:val="24"/>
        </w:rPr>
        <w:t xml:space="preserve">es </w:t>
      </w:r>
      <w:r w:rsidR="00FF757A">
        <w:rPr>
          <w:rFonts w:ascii="Times New Roman" w:hAnsi="Times New Roman" w:cs="Times New Roman"/>
          <w:sz w:val="24"/>
          <w:szCs w:val="24"/>
        </w:rPr>
        <w:t xml:space="preserve">throwing to the wind all his age </w:t>
      </w:r>
      <w:r w:rsidR="00FF757A">
        <w:rPr>
          <w:rFonts w:ascii="Times New Roman" w:hAnsi="Times New Roman" w:cs="Times New Roman"/>
          <w:sz w:val="24"/>
          <w:szCs w:val="24"/>
        </w:rPr>
        <w:lastRenderedPageBreak/>
        <w:t xml:space="preserve">reflects —courage, strength, pride, and honor. </w:t>
      </w:r>
      <w:r w:rsidR="00FF757A">
        <w:rPr>
          <w:rStyle w:val="FootnoteReference"/>
          <w:rFonts w:ascii="Times New Roman" w:hAnsi="Times New Roman" w:cs="Times New Roman"/>
          <w:sz w:val="24"/>
          <w:szCs w:val="24"/>
        </w:rPr>
        <w:footnoteReference w:id="180"/>
      </w:r>
      <w:r w:rsidR="00FF757A">
        <w:rPr>
          <w:rFonts w:ascii="Times New Roman" w:hAnsi="Times New Roman" w:cs="Times New Roman"/>
          <w:sz w:val="24"/>
          <w:szCs w:val="24"/>
        </w:rPr>
        <w:t xml:space="preserve"> Hector’s thoughts come on the heels of tender and intimate scenes in which he shows a great love</w:t>
      </w:r>
      <w:r w:rsidR="001517B0">
        <w:rPr>
          <w:rFonts w:ascii="Times New Roman" w:hAnsi="Times New Roman" w:cs="Times New Roman"/>
          <w:sz w:val="24"/>
          <w:szCs w:val="24"/>
        </w:rPr>
        <w:t xml:space="preserve"> and concern</w:t>
      </w:r>
      <w:r w:rsidR="00FF757A">
        <w:rPr>
          <w:rFonts w:ascii="Times New Roman" w:hAnsi="Times New Roman" w:cs="Times New Roman"/>
          <w:sz w:val="24"/>
          <w:szCs w:val="24"/>
        </w:rPr>
        <w:t xml:space="preserve"> for both his wife and child and parents who plead for him to forsake </w:t>
      </w:r>
      <w:r w:rsidR="00A37C64">
        <w:rPr>
          <w:rFonts w:ascii="Times New Roman" w:hAnsi="Times New Roman" w:cs="Times New Roman"/>
          <w:sz w:val="24"/>
          <w:szCs w:val="24"/>
        </w:rPr>
        <w:t>the death Achilles’ challenge portends and stay within the walls of Troy to protect and defend them.</w:t>
      </w:r>
      <w:r w:rsidR="00A37C64">
        <w:rPr>
          <w:rStyle w:val="FootnoteReference"/>
          <w:rFonts w:ascii="Times New Roman" w:hAnsi="Times New Roman" w:cs="Times New Roman"/>
          <w:sz w:val="24"/>
          <w:szCs w:val="24"/>
        </w:rPr>
        <w:footnoteReference w:id="181"/>
      </w:r>
      <w:r w:rsidR="001517B0">
        <w:rPr>
          <w:rFonts w:ascii="Times New Roman" w:hAnsi="Times New Roman" w:cs="Times New Roman"/>
          <w:sz w:val="24"/>
          <w:szCs w:val="24"/>
        </w:rPr>
        <w:t xml:space="preserve"> </w:t>
      </w:r>
      <w:r w:rsidR="00412568">
        <w:rPr>
          <w:rFonts w:ascii="Times New Roman" w:hAnsi="Times New Roman" w:cs="Times New Roman"/>
          <w:sz w:val="24"/>
          <w:szCs w:val="24"/>
        </w:rPr>
        <w:t xml:space="preserve">As Hector </w:t>
      </w:r>
      <w:r w:rsidR="00971B6A">
        <w:rPr>
          <w:rFonts w:ascii="Times New Roman" w:hAnsi="Times New Roman" w:cs="Times New Roman"/>
          <w:sz w:val="24"/>
          <w:szCs w:val="24"/>
        </w:rPr>
        <w:t>ponders the right</w:t>
      </w:r>
      <w:r w:rsidR="001517B0">
        <w:rPr>
          <w:rFonts w:ascii="Times New Roman" w:hAnsi="Times New Roman" w:cs="Times New Roman"/>
          <w:sz w:val="24"/>
          <w:szCs w:val="24"/>
        </w:rPr>
        <w:t xml:space="preserve"> thing to do irrespective of his own personal hon</w:t>
      </w:r>
      <w:r w:rsidR="00412568">
        <w:rPr>
          <w:rFonts w:ascii="Times New Roman" w:hAnsi="Times New Roman" w:cs="Times New Roman"/>
          <w:sz w:val="24"/>
          <w:szCs w:val="24"/>
        </w:rPr>
        <w:t xml:space="preserve">or, he reflects on giving back Helen whom his brother, Paris, </w:t>
      </w:r>
      <w:r w:rsidR="00971B6A">
        <w:rPr>
          <w:rFonts w:ascii="Times New Roman" w:hAnsi="Times New Roman" w:cs="Times New Roman"/>
          <w:sz w:val="24"/>
          <w:szCs w:val="24"/>
        </w:rPr>
        <w:t>had</w:t>
      </w:r>
      <w:r w:rsidR="00412568">
        <w:rPr>
          <w:rFonts w:ascii="Times New Roman" w:hAnsi="Times New Roman" w:cs="Times New Roman"/>
          <w:sz w:val="24"/>
          <w:szCs w:val="24"/>
        </w:rPr>
        <w:t xml:space="preserve"> stolen from her Greek husband. </w:t>
      </w:r>
      <w:r w:rsidR="00AC42C9">
        <w:rPr>
          <w:rFonts w:ascii="Times New Roman" w:hAnsi="Times New Roman" w:cs="Times New Roman"/>
          <w:sz w:val="24"/>
          <w:szCs w:val="24"/>
        </w:rPr>
        <w:t>Previous</w:t>
      </w:r>
      <w:r w:rsidR="00971B6A">
        <w:rPr>
          <w:rFonts w:ascii="Times New Roman" w:hAnsi="Times New Roman" w:cs="Times New Roman"/>
          <w:sz w:val="24"/>
          <w:szCs w:val="24"/>
        </w:rPr>
        <w:t xml:space="preserve"> to his musing, in fact</w:t>
      </w:r>
      <w:r w:rsidR="00412568">
        <w:rPr>
          <w:rFonts w:ascii="Times New Roman" w:hAnsi="Times New Roman" w:cs="Times New Roman"/>
          <w:sz w:val="24"/>
          <w:szCs w:val="24"/>
        </w:rPr>
        <w:t>, Hector had confronted and chided them b</w:t>
      </w:r>
      <w:r w:rsidR="0023761A">
        <w:rPr>
          <w:rFonts w:ascii="Times New Roman" w:hAnsi="Times New Roman" w:cs="Times New Roman"/>
          <w:sz w:val="24"/>
          <w:szCs w:val="24"/>
        </w:rPr>
        <w:t>oth for</w:t>
      </w:r>
      <w:r w:rsidR="00412568">
        <w:rPr>
          <w:rFonts w:ascii="Times New Roman" w:hAnsi="Times New Roman" w:cs="Times New Roman"/>
          <w:sz w:val="24"/>
          <w:szCs w:val="24"/>
        </w:rPr>
        <w:t xml:space="preserve"> their sin which</w:t>
      </w:r>
      <w:r w:rsidR="00971B6A">
        <w:rPr>
          <w:rFonts w:ascii="Times New Roman" w:hAnsi="Times New Roman" w:cs="Times New Roman"/>
          <w:sz w:val="24"/>
          <w:szCs w:val="24"/>
        </w:rPr>
        <w:t xml:space="preserve"> they admitted and which</w:t>
      </w:r>
      <w:r w:rsidR="00412568">
        <w:rPr>
          <w:rFonts w:ascii="Times New Roman" w:hAnsi="Times New Roman" w:cs="Times New Roman"/>
          <w:sz w:val="24"/>
          <w:szCs w:val="24"/>
        </w:rPr>
        <w:t xml:space="preserve"> i</w:t>
      </w:r>
      <w:r w:rsidR="0023761A">
        <w:rPr>
          <w:rFonts w:ascii="Times New Roman" w:hAnsi="Times New Roman" w:cs="Times New Roman"/>
          <w:sz w:val="24"/>
          <w:szCs w:val="24"/>
        </w:rPr>
        <w:t xml:space="preserve">s </w:t>
      </w:r>
      <w:r w:rsidR="00412568">
        <w:rPr>
          <w:rFonts w:ascii="Times New Roman" w:hAnsi="Times New Roman" w:cs="Times New Roman"/>
          <w:sz w:val="24"/>
          <w:szCs w:val="24"/>
        </w:rPr>
        <w:t xml:space="preserve">about to </w:t>
      </w:r>
      <w:r w:rsidR="0023761A">
        <w:rPr>
          <w:rFonts w:ascii="Times New Roman" w:hAnsi="Times New Roman" w:cs="Times New Roman"/>
          <w:sz w:val="24"/>
          <w:szCs w:val="24"/>
        </w:rPr>
        <w:t xml:space="preserve">see its culmination </w:t>
      </w:r>
      <w:r w:rsidR="00412568">
        <w:rPr>
          <w:rFonts w:ascii="Times New Roman" w:hAnsi="Times New Roman" w:cs="Times New Roman"/>
          <w:sz w:val="24"/>
          <w:szCs w:val="24"/>
        </w:rPr>
        <w:t>in the downfall of Troy.</w:t>
      </w:r>
      <w:r w:rsidR="00AC42C9">
        <w:rPr>
          <w:rStyle w:val="FootnoteReference"/>
          <w:rFonts w:ascii="Times New Roman" w:hAnsi="Times New Roman" w:cs="Times New Roman"/>
          <w:sz w:val="24"/>
          <w:szCs w:val="24"/>
        </w:rPr>
        <w:footnoteReference w:id="182"/>
      </w:r>
      <w:r w:rsidR="00AC42C9">
        <w:rPr>
          <w:rFonts w:ascii="Times New Roman" w:hAnsi="Times New Roman" w:cs="Times New Roman"/>
          <w:sz w:val="24"/>
          <w:szCs w:val="24"/>
        </w:rPr>
        <w:t xml:space="preserve"> </w:t>
      </w:r>
      <w:r w:rsidR="007E03F5">
        <w:rPr>
          <w:rFonts w:ascii="Times New Roman" w:hAnsi="Times New Roman" w:cs="Times New Roman"/>
          <w:sz w:val="24"/>
          <w:szCs w:val="24"/>
        </w:rPr>
        <w:t>The good as defined by Scripture in this situation would be for him and by extension, Troy, to admit wrong, give Helen back</w:t>
      </w:r>
      <w:r w:rsidR="00971B6A">
        <w:rPr>
          <w:rFonts w:ascii="Times New Roman" w:hAnsi="Times New Roman" w:cs="Times New Roman"/>
          <w:sz w:val="24"/>
          <w:szCs w:val="24"/>
        </w:rPr>
        <w:t>,</w:t>
      </w:r>
      <w:r w:rsidR="007E03F5">
        <w:rPr>
          <w:rFonts w:ascii="Times New Roman" w:hAnsi="Times New Roman" w:cs="Times New Roman"/>
          <w:sz w:val="24"/>
          <w:szCs w:val="24"/>
        </w:rPr>
        <w:t xml:space="preserve"> and in an act of humility, </w:t>
      </w:r>
      <w:r w:rsidR="006C74E6">
        <w:rPr>
          <w:rFonts w:ascii="Times New Roman" w:hAnsi="Times New Roman" w:cs="Times New Roman"/>
          <w:sz w:val="24"/>
          <w:szCs w:val="24"/>
        </w:rPr>
        <w:t>beg</w:t>
      </w:r>
      <w:r w:rsidR="007E03F5">
        <w:rPr>
          <w:rFonts w:ascii="Times New Roman" w:hAnsi="Times New Roman" w:cs="Times New Roman"/>
          <w:sz w:val="24"/>
          <w:szCs w:val="24"/>
        </w:rPr>
        <w:t xml:space="preserve"> for mercy from the Greeks. Unthinkable. But perhaps a fleeting notion of the seed of the logos in his breast. </w:t>
      </w:r>
      <w:r w:rsidR="00025B92">
        <w:rPr>
          <w:rFonts w:ascii="Times New Roman" w:hAnsi="Times New Roman" w:cs="Times New Roman"/>
          <w:sz w:val="24"/>
          <w:szCs w:val="24"/>
        </w:rPr>
        <w:t xml:space="preserve">As history </w:t>
      </w:r>
      <w:r w:rsidR="00971B6A">
        <w:rPr>
          <w:rFonts w:ascii="Times New Roman" w:hAnsi="Times New Roman" w:cs="Times New Roman"/>
          <w:sz w:val="24"/>
          <w:szCs w:val="24"/>
        </w:rPr>
        <w:t>shows</w:t>
      </w:r>
      <w:r w:rsidR="00025B92">
        <w:rPr>
          <w:rFonts w:ascii="Times New Roman" w:hAnsi="Times New Roman" w:cs="Times New Roman"/>
          <w:sz w:val="24"/>
          <w:szCs w:val="24"/>
        </w:rPr>
        <w:t>, he succumbed rather to the ideals of the heroic age in which he lived, and he perished as did all that he treasured.</w:t>
      </w:r>
    </w:p>
    <w:p w14:paraId="188D46AA" w14:textId="20019298" w:rsidR="00EF381E" w:rsidRPr="00BD3881" w:rsidRDefault="00EF381E" w:rsidP="004C6ADF">
      <w:pPr>
        <w:spacing w:line="480" w:lineRule="auto"/>
        <w:rPr>
          <w:rFonts w:ascii="Times New Roman" w:hAnsi="Times New Roman" w:cs="Times New Roman"/>
          <w:b/>
          <w:sz w:val="24"/>
          <w:szCs w:val="24"/>
        </w:rPr>
      </w:pPr>
      <w:r>
        <w:rPr>
          <w:rFonts w:ascii="Times New Roman" w:hAnsi="Times New Roman" w:cs="Times New Roman"/>
          <w:sz w:val="24"/>
          <w:szCs w:val="24"/>
        </w:rPr>
        <w:tab/>
        <w:t xml:space="preserve">Achilles also displays thoughts and actions that are contrary to </w:t>
      </w:r>
      <w:r w:rsidR="00AC64A6">
        <w:rPr>
          <w:rFonts w:ascii="Times New Roman" w:hAnsi="Times New Roman" w:cs="Times New Roman"/>
          <w:sz w:val="24"/>
          <w:szCs w:val="24"/>
        </w:rPr>
        <w:t xml:space="preserve">the age he shares with Hector. </w:t>
      </w:r>
      <w:r w:rsidR="00BD3881">
        <w:rPr>
          <w:rFonts w:ascii="Times New Roman" w:hAnsi="Times New Roman" w:cs="Times New Roman"/>
          <w:sz w:val="24"/>
          <w:szCs w:val="24"/>
        </w:rPr>
        <w:t xml:space="preserve"> (</w:t>
      </w:r>
      <w:r w:rsidR="00BD3881" w:rsidRPr="00BD3881">
        <w:rPr>
          <w:rFonts w:ascii="Times New Roman" w:hAnsi="Times New Roman" w:cs="Times New Roman"/>
          <w:b/>
          <w:sz w:val="24"/>
          <w:szCs w:val="24"/>
        </w:rPr>
        <w:t>NOT FINISHED – SUBMITTED AS A DRAFT to gauge originality score)</w:t>
      </w:r>
    </w:p>
    <w:p w14:paraId="0D26100F" w14:textId="0842D3CA" w:rsidR="00E751FD" w:rsidRDefault="00E751FD"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p>
    <w:p w14:paraId="3BE606CE" w14:textId="157CE014" w:rsidR="00C755ED" w:rsidRDefault="00C755ED"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p>
    <w:p w14:paraId="190EDD36" w14:textId="6A493236" w:rsidR="000C5318" w:rsidRDefault="000C5318" w:rsidP="004C6ADF">
      <w:pPr>
        <w:spacing w:line="480" w:lineRule="auto"/>
        <w:rPr>
          <w:rFonts w:ascii="Times New Roman" w:hAnsi="Times New Roman" w:cs="Times New Roman"/>
          <w:sz w:val="24"/>
          <w:szCs w:val="24"/>
        </w:rPr>
      </w:pPr>
      <w:r>
        <w:rPr>
          <w:rFonts w:ascii="Times New Roman" w:hAnsi="Times New Roman" w:cs="Times New Roman"/>
          <w:sz w:val="24"/>
          <w:szCs w:val="24"/>
        </w:rPr>
        <w:tab/>
      </w:r>
    </w:p>
    <w:p w14:paraId="6F486513" w14:textId="2113D59F" w:rsidR="00B92665" w:rsidRDefault="000C5318" w:rsidP="00A37C64">
      <w:pPr>
        <w:spacing w:line="480" w:lineRule="auto"/>
        <w:rPr>
          <w:rFonts w:ascii="Times New Roman" w:eastAsia="Times New Roman" w:hAnsi="Times New Roman" w:cs="Times New Roman"/>
          <w:b/>
          <w:bCs/>
          <w:kern w:val="36"/>
          <w:sz w:val="36"/>
          <w:szCs w:val="48"/>
        </w:rPr>
      </w:pPr>
      <w:r>
        <w:rPr>
          <w:rFonts w:ascii="Times New Roman" w:hAnsi="Times New Roman" w:cs="Times New Roman"/>
          <w:sz w:val="24"/>
          <w:szCs w:val="24"/>
        </w:rPr>
        <w:tab/>
      </w:r>
      <w:bookmarkStart w:id="5" w:name="_Toc62843873"/>
    </w:p>
    <w:p w14:paraId="10F70936" w14:textId="77777777" w:rsidR="00A37C64" w:rsidRDefault="00A37C64" w:rsidP="00342097">
      <w:pPr>
        <w:pStyle w:val="Heading1"/>
      </w:pPr>
    </w:p>
    <w:p w14:paraId="702904ED" w14:textId="77777777" w:rsidR="00A37C64" w:rsidRDefault="00A37C64" w:rsidP="00342097">
      <w:pPr>
        <w:pStyle w:val="Heading1"/>
      </w:pPr>
    </w:p>
    <w:p w14:paraId="70AEEDA8" w14:textId="77777777" w:rsidR="00A37C64" w:rsidRDefault="00A37C64" w:rsidP="00342097">
      <w:pPr>
        <w:pStyle w:val="Heading1"/>
      </w:pPr>
    </w:p>
    <w:p w14:paraId="01E04616" w14:textId="77777777" w:rsidR="00A37C64" w:rsidRDefault="00A37C64" w:rsidP="00342097">
      <w:pPr>
        <w:pStyle w:val="Heading1"/>
      </w:pPr>
    </w:p>
    <w:p w14:paraId="13ED7DCE" w14:textId="77777777" w:rsidR="00A37C64" w:rsidRDefault="00A37C64" w:rsidP="00342097">
      <w:pPr>
        <w:pStyle w:val="Heading1"/>
      </w:pPr>
    </w:p>
    <w:p w14:paraId="19000A14" w14:textId="77777777" w:rsidR="00A37C64" w:rsidRDefault="00A37C64" w:rsidP="00342097">
      <w:pPr>
        <w:pStyle w:val="Heading1"/>
      </w:pPr>
    </w:p>
    <w:p w14:paraId="318F5B43" w14:textId="77777777" w:rsidR="00A37C64" w:rsidRDefault="00A37C64" w:rsidP="00342097">
      <w:pPr>
        <w:pStyle w:val="Heading1"/>
      </w:pPr>
    </w:p>
    <w:p w14:paraId="63ACE371" w14:textId="77777777" w:rsidR="00A37C64" w:rsidRDefault="00A37C64" w:rsidP="00342097">
      <w:pPr>
        <w:pStyle w:val="Heading1"/>
      </w:pPr>
    </w:p>
    <w:p w14:paraId="7A9E588A" w14:textId="77777777" w:rsidR="00A37C64" w:rsidRDefault="00A37C64" w:rsidP="00342097">
      <w:pPr>
        <w:pStyle w:val="Heading1"/>
      </w:pPr>
    </w:p>
    <w:p w14:paraId="27B794F4" w14:textId="77777777" w:rsidR="00A37C64" w:rsidRDefault="00A37C64" w:rsidP="00342097">
      <w:pPr>
        <w:pStyle w:val="Heading1"/>
      </w:pPr>
    </w:p>
    <w:p w14:paraId="31336D2E" w14:textId="264990E5" w:rsidR="00335809" w:rsidRDefault="00D42DA4" w:rsidP="00342097">
      <w:pPr>
        <w:pStyle w:val="Heading1"/>
      </w:pPr>
      <w:r w:rsidRPr="001D58C9">
        <w:t>Bibliography</w:t>
      </w:r>
      <w:bookmarkEnd w:id="5"/>
    </w:p>
    <w:p w14:paraId="1CF04FAF" w14:textId="77777777" w:rsidR="00335809" w:rsidRDefault="00335809" w:rsidP="00335809">
      <w:pPr>
        <w:pStyle w:val="Heading2"/>
      </w:pPr>
      <w:bookmarkStart w:id="6" w:name="_Toc62843874"/>
      <w:r>
        <w:t>Ancient Sources</w:t>
      </w:r>
      <w:bookmarkEnd w:id="6"/>
    </w:p>
    <w:p w14:paraId="4A2DBB79" w14:textId="77777777" w:rsidR="00335809" w:rsidRDefault="00335809" w:rsidP="00335809">
      <w:pPr>
        <w:pStyle w:val="HarvardBibliography"/>
      </w:pPr>
      <w:r>
        <w:t>Aeschylus, Eumenides. H. Smyth (trans). 1926 Cambridge: Harvard University Press. Perseus. Tuft.edu http://www.perseus.tufts.edu/hopper/text?doc=Perseus%3Atext%3A1999.01.0006%3Acard%3D397 [Accessed on 25th November 2020]</w:t>
      </w:r>
    </w:p>
    <w:p w14:paraId="162F3411" w14:textId="27957816" w:rsidR="00335809" w:rsidRDefault="00335809" w:rsidP="00335809">
      <w:pPr>
        <w:pStyle w:val="HarvardBibliography"/>
      </w:pPr>
      <w:r>
        <w:t xml:space="preserve">Anonymous, The Shepherd of Hermas. F. Crombie (trans), 1885. Kentucky: GLH Publishing LLC </w:t>
      </w:r>
      <w:r w:rsidR="00BC57A1">
        <w:t>[Kindle Fire HDX</w:t>
      </w:r>
      <w:r>
        <w:t xml:space="preserve"> ASIN: B00MD16F44</w:t>
      </w:r>
      <w:r w:rsidR="00BC57A1">
        <w:t>]</w:t>
      </w:r>
    </w:p>
    <w:p w14:paraId="450D1D5D" w14:textId="3CCACFAF" w:rsidR="00335809" w:rsidRDefault="00335809" w:rsidP="00335809">
      <w:pPr>
        <w:pStyle w:val="HarvardBibliography"/>
      </w:pPr>
      <w:r>
        <w:t>Anonymous, The Didache. Aaron Milavec (trans.), , 2003. Minnesota: Lit</w:t>
      </w:r>
      <w:r w:rsidR="00BC57A1">
        <w:t>urgical Press. [Kindle Fire HDX</w:t>
      </w:r>
      <w:r>
        <w:t xml:space="preserve"> ASIN:  B01J0EOFZ2</w:t>
      </w:r>
      <w:r w:rsidR="00BC57A1">
        <w:t>]</w:t>
      </w:r>
    </w:p>
    <w:p w14:paraId="76BDF20B" w14:textId="77777777" w:rsidR="00335809" w:rsidRDefault="00335809" w:rsidP="00335809">
      <w:pPr>
        <w:pStyle w:val="HarvardBibliography"/>
      </w:pPr>
      <w:r>
        <w:t>Athanasius of Alexandria, On the Incarnation. John Behr (trans.), 1994. New York: St. Vladimir’s Seminary Press.</w:t>
      </w:r>
    </w:p>
    <w:p w14:paraId="201CEEC2" w14:textId="77777777" w:rsidR="00335809" w:rsidRDefault="00335809" w:rsidP="00335809">
      <w:pPr>
        <w:pStyle w:val="HarvardBibliography"/>
      </w:pPr>
      <w:r>
        <w:lastRenderedPageBreak/>
        <w:t>Cicero, Cicero on Duties. Griffin M.T., Atkins E.M. (eds), 1991. Cambridge: Cambridge University Press.</w:t>
      </w:r>
    </w:p>
    <w:p w14:paraId="52F73B11" w14:textId="77777777" w:rsidR="00335809" w:rsidRDefault="00335809" w:rsidP="00335809">
      <w:pPr>
        <w:pStyle w:val="HarvardBibliography"/>
      </w:pPr>
      <w:r>
        <w:t>Clement of Alexandria, Exhortation to the Greeks, The Rich Man’s Salvation, To the Newly Baptized. G. W. Butterworth (trans.), 1919. Cambridge: Harvard University Press.</w:t>
      </w:r>
    </w:p>
    <w:p w14:paraId="6B66EA3D" w14:textId="77777777" w:rsidR="00335809" w:rsidRDefault="00335809" w:rsidP="00335809">
      <w:pPr>
        <w:pStyle w:val="HarvardBibliography"/>
      </w:pPr>
      <w:r>
        <w:t>Clement of Alexandria, The Stromata or Miscellanies. A. M. Overett (trans.), 2018. Lighthouse Publishing. [Kindle HDX ASIN: B011D0FFW8]</w:t>
      </w:r>
    </w:p>
    <w:p w14:paraId="1F2799E1" w14:textId="77777777" w:rsidR="00335809" w:rsidRDefault="00335809" w:rsidP="00335809">
      <w:pPr>
        <w:pStyle w:val="HarvardBibliography"/>
      </w:pPr>
      <w:r>
        <w:t>Diogenes Laertus. Lives of Eminent Philosophers. R.D. Hicks (trans.), 1925. London: Harvard University Press</w:t>
      </w:r>
    </w:p>
    <w:p w14:paraId="3C43FD16" w14:textId="77777777" w:rsidR="00335809" w:rsidRDefault="00335809" w:rsidP="00335809">
      <w:pPr>
        <w:pStyle w:val="HarvardBibliography"/>
      </w:pPr>
      <w:r>
        <w:t>Eusebius, The Church History. Paul L. Maier (trans.), 1999. Grand Rapids: Kregel Publications.</w:t>
      </w:r>
    </w:p>
    <w:p w14:paraId="1B9EB3F5" w14:textId="77777777" w:rsidR="00335809" w:rsidRDefault="00335809" w:rsidP="00335809">
      <w:pPr>
        <w:pStyle w:val="HarvardBibliography"/>
      </w:pPr>
      <w:r>
        <w:t>Eusebius, The Preparation for the Gospel. E.H. Gifford (trans), 2015. Aeterna Press. [Kindle HDX ASIN: B00XJXKMG2]</w:t>
      </w:r>
    </w:p>
    <w:p w14:paraId="3CD1BC57" w14:textId="77777777" w:rsidR="00335809" w:rsidRDefault="00335809" w:rsidP="00335809">
      <w:pPr>
        <w:pStyle w:val="HarvardBibliography"/>
      </w:pPr>
      <w:r>
        <w:t>Flavius Josephus. The Complete Works of Flavius Josephus. William Whiston (trans.) 2008. Arkansas: New Leaf Publishing Group.</w:t>
      </w:r>
    </w:p>
    <w:p w14:paraId="294547DA" w14:textId="77777777" w:rsidR="00335809" w:rsidRDefault="00335809" w:rsidP="00335809">
      <w:pPr>
        <w:pStyle w:val="HarvardBibliography"/>
      </w:pPr>
      <w:r>
        <w:t>Hesiod. Theogony. West M.L. (ed), 1999. Oxford: Oxford University Press.</w:t>
      </w:r>
    </w:p>
    <w:p w14:paraId="413C656B" w14:textId="1A7556F2" w:rsidR="00335809" w:rsidRDefault="00335809" w:rsidP="00335809">
      <w:pPr>
        <w:pStyle w:val="HarvardBibliography"/>
      </w:pPr>
      <w:r>
        <w:t>Heraclitus, The Fragments of Heraclitus. G.T.W. Patrick, Ph.D. (trans), 2013. [Kind</w:t>
      </w:r>
      <w:r w:rsidR="00BC57A1">
        <w:t>le Fire HDX</w:t>
      </w:r>
      <w:r>
        <w:t xml:space="preserve">  ASIN: B00E0VXHFU</w:t>
      </w:r>
      <w:r w:rsidR="00BC57A1">
        <w:t>]</w:t>
      </w:r>
    </w:p>
    <w:p w14:paraId="6665735A" w14:textId="45747ED4" w:rsidR="00335809" w:rsidRDefault="00A27473" w:rsidP="00335809">
      <w:pPr>
        <w:pStyle w:val="HarvardBibliography"/>
      </w:pPr>
      <w:r>
        <w:t xml:space="preserve">Homer, Illiad. Alexander Pope (trans), 1899, Project Gutenberg ebook 2006 </w:t>
      </w:r>
      <w:hyperlink r:id="rId12" w:history="1">
        <w:r w:rsidRPr="00256770">
          <w:rPr>
            <w:rStyle w:val="Hyperlink"/>
          </w:rPr>
          <w:t>https://www.gutenberg.org/files/6130/old/6130-pdf.pdf</w:t>
        </w:r>
      </w:hyperlink>
      <w:r>
        <w:t xml:space="preserve"> [Accessed 30 January 2021]</w:t>
      </w:r>
    </w:p>
    <w:p w14:paraId="75697DE9" w14:textId="77777777" w:rsidR="00335809" w:rsidRDefault="00335809" w:rsidP="00335809">
      <w:pPr>
        <w:pStyle w:val="HarvardBibliography"/>
      </w:pPr>
      <w:r>
        <w:t>Homer, The Odyssey. E.V. Rieu (trans), 2003, London: Penguin</w:t>
      </w:r>
    </w:p>
    <w:p w14:paraId="6DBDCE5F" w14:textId="77777777" w:rsidR="00335809" w:rsidRDefault="00335809" w:rsidP="00335809">
      <w:pPr>
        <w:pStyle w:val="HarvardBibliography"/>
      </w:pPr>
      <w:r>
        <w:t>Justin Martyr, The Writings of Justin Martyr. First and Second Apologies, Dialogue with Trypho, Hortatory Address to the Greeks. A. Roberts &amp; J. Donaldson &amp; A. Cleveland Coxe (trans),1885. Buffalo: Christian Literature  [Kindle HDX ASIN: B009L9IXY6]</w:t>
      </w:r>
    </w:p>
    <w:p w14:paraId="78BEEE81" w14:textId="37723192" w:rsidR="00335809" w:rsidRDefault="00335809" w:rsidP="00335809">
      <w:pPr>
        <w:pStyle w:val="HarvardBibliography"/>
      </w:pPr>
      <w:r>
        <w:t>Plato, Timaeus. Benjamin J</w:t>
      </w:r>
      <w:r w:rsidR="00BC57A1">
        <w:t>owett (trans),2012. [Kindle HDX</w:t>
      </w:r>
      <w:r>
        <w:t xml:space="preserve"> ASIN:  B0082T0RO0</w:t>
      </w:r>
      <w:r w:rsidR="00BC57A1">
        <w:t>]</w:t>
      </w:r>
    </w:p>
    <w:p w14:paraId="17DA3F33" w14:textId="77777777" w:rsidR="00335809" w:rsidRDefault="00335809" w:rsidP="00335809">
      <w:pPr>
        <w:pStyle w:val="HarvardBibliography"/>
      </w:pPr>
      <w:r>
        <w:t>Plato, The Last Days of Socrates. Euthyphro. The Apology. Crito. Phaedo.1954.  Hugh Tredennick (trans), Baltimore: Penguin</w:t>
      </w:r>
    </w:p>
    <w:p w14:paraId="5364FB44" w14:textId="77777777" w:rsidR="00335809" w:rsidRDefault="00335809" w:rsidP="00335809">
      <w:pPr>
        <w:pStyle w:val="HarvardBibliography"/>
      </w:pPr>
      <w:r>
        <w:lastRenderedPageBreak/>
        <w:t>Plato, The Complete Works. Benjamin Jowett (trans), 2015. Titan Read Classics [Kindle HDX ASIN: B016R8AZNK]</w:t>
      </w:r>
    </w:p>
    <w:p w14:paraId="2BCDAD13" w14:textId="77777777" w:rsidR="00335809" w:rsidRDefault="00335809" w:rsidP="00335809">
      <w:pPr>
        <w:pStyle w:val="HarvardBibliography"/>
      </w:pPr>
      <w:r>
        <w:t>Plato, The Republic. Tom Griffith (trans), 2000, Cambridge: University Press</w:t>
      </w:r>
    </w:p>
    <w:p w14:paraId="105A196B" w14:textId="77777777" w:rsidR="00335809" w:rsidRDefault="00335809" w:rsidP="00335809">
      <w:pPr>
        <w:pStyle w:val="HarvardBibliography"/>
      </w:pPr>
      <w:r>
        <w:t>Plato, The Trial and Death of Socrates, Four Dialogues. Benjamin Jowett (trans). 2012, BN Publishing.</w:t>
      </w:r>
    </w:p>
    <w:p w14:paraId="3E3FCB7E" w14:textId="77777777" w:rsidR="00335809" w:rsidRDefault="00335809" w:rsidP="00335809">
      <w:pPr>
        <w:pStyle w:val="HarvardBibliography"/>
      </w:pPr>
      <w:r>
        <w:t>Plutarch, The Parallel Lives. Loeb Classical Library edition Vol 1. 1914. Public domain: https://penelope.uchicago.edu/Thayer/E/Roman/Texts/Plutarch/Lives/Numa*.html#note1 [Accessed:  29th January 2020]</w:t>
      </w:r>
    </w:p>
    <w:p w14:paraId="168E4B4D" w14:textId="77777777" w:rsidR="00335809" w:rsidRDefault="00335809" w:rsidP="00335809">
      <w:pPr>
        <w:pStyle w:val="HarvardBibliography"/>
      </w:pPr>
      <w:r>
        <w:t>St. Augustine, Confessions. Henry Chadwick (trans), 1991, New York: Oxford University Press.</w:t>
      </w:r>
    </w:p>
    <w:p w14:paraId="44685592" w14:textId="77777777" w:rsidR="00335809" w:rsidRDefault="00335809" w:rsidP="00335809">
      <w:pPr>
        <w:pStyle w:val="HarvardBibliography"/>
      </w:pPr>
      <w:r>
        <w:t>Livy. The History of Rome. D. Spillian A.M MD, Cyrus Edmonds, William A.M. Devitte  (trans). New York: Oxford University Press</w:t>
      </w:r>
    </w:p>
    <w:p w14:paraId="44BAE7EE" w14:textId="77777777" w:rsidR="00335809" w:rsidRDefault="00335809" w:rsidP="00335809">
      <w:pPr>
        <w:pStyle w:val="HarvardBibliography"/>
      </w:pPr>
      <w:r>
        <w:t xml:space="preserve">Moreschini, Claudio, and Enrico Norelli.. Early Christian Greek and Latin literature. A literary history. Vol. 1, From Paul to the age of Constantine. Matthew J. O’Connell (trans) 2005. </w:t>
      </w:r>
    </w:p>
    <w:p w14:paraId="51606ACE" w14:textId="77777777" w:rsidR="00335809" w:rsidRDefault="00335809" w:rsidP="00335809">
      <w:pPr>
        <w:pStyle w:val="HarvardBibliography"/>
      </w:pPr>
      <w:r>
        <w:t>Peabody, MA: Hendrickson.</w:t>
      </w:r>
    </w:p>
    <w:p w14:paraId="1FA9F7E5" w14:textId="77777777" w:rsidR="00335809" w:rsidRDefault="00335809" w:rsidP="00335809">
      <w:pPr>
        <w:pStyle w:val="HarvardBibliography"/>
      </w:pPr>
      <w:r>
        <w:t>Virgil. The Aeneid. Robert Fagles (trans), 2006. New York: Penguin</w:t>
      </w:r>
    </w:p>
    <w:p w14:paraId="17478D4B" w14:textId="77777777" w:rsidR="00335809" w:rsidRDefault="00335809" w:rsidP="00335809">
      <w:pPr>
        <w:pStyle w:val="HarvardBibliography"/>
      </w:pPr>
      <w:r>
        <w:t xml:space="preserve">Tacitus.  The Histories. Kenneth Wellesley (trans), 1964. London: Penguin . </w:t>
      </w:r>
    </w:p>
    <w:p w14:paraId="521CBDB3" w14:textId="77777777" w:rsidR="00335809" w:rsidRDefault="00335809" w:rsidP="00335809">
      <w:pPr>
        <w:pStyle w:val="HarvardBibliography"/>
      </w:pPr>
      <w:r>
        <w:t>The Study Bible English Standard Version, 2008. Wheaton, Illinois: Crossway Bibles.</w:t>
      </w:r>
    </w:p>
    <w:p w14:paraId="26EA38E8" w14:textId="77777777" w:rsidR="00335809" w:rsidRDefault="00335809" w:rsidP="00335809">
      <w:pPr>
        <w:pStyle w:val="Heading2"/>
      </w:pPr>
      <w:bookmarkStart w:id="7" w:name="_Toc62843875"/>
      <w:r>
        <w:t>Latin Language Sources</w:t>
      </w:r>
      <w:bookmarkEnd w:id="7"/>
    </w:p>
    <w:p w14:paraId="70C647C8" w14:textId="77777777" w:rsidR="00E810A4" w:rsidRDefault="00E810A4" w:rsidP="00335809">
      <w:pPr>
        <w:pStyle w:val="HarvardBibliography"/>
      </w:pPr>
    </w:p>
    <w:p w14:paraId="49B1A73E" w14:textId="25134EE4" w:rsidR="00335809" w:rsidRDefault="00335809" w:rsidP="00335809">
      <w:pPr>
        <w:pStyle w:val="HarvardBibliography"/>
      </w:pPr>
      <w:r>
        <w:t>Jerome. Biblia Sacra Vulgata. http://www.thelatinlibrary.com/bible.html</w:t>
      </w:r>
    </w:p>
    <w:p w14:paraId="57FA7A55" w14:textId="77777777" w:rsidR="00335809" w:rsidRDefault="00335809" w:rsidP="00335809">
      <w:pPr>
        <w:pStyle w:val="HarvardBibliography"/>
      </w:pPr>
      <w:r>
        <w:t>Caesar Augustus. Res Gestae. http://www.thelatinlibrary.com/classics.html</w:t>
      </w:r>
    </w:p>
    <w:p w14:paraId="44887370" w14:textId="77777777" w:rsidR="00335809" w:rsidRDefault="00335809" w:rsidP="00335809">
      <w:pPr>
        <w:pStyle w:val="Heading2"/>
      </w:pPr>
      <w:bookmarkStart w:id="8" w:name="_Toc62843876"/>
      <w:r>
        <w:t>Modern Sources</w:t>
      </w:r>
      <w:bookmarkEnd w:id="8"/>
    </w:p>
    <w:p w14:paraId="41C17225" w14:textId="77777777" w:rsidR="00335809" w:rsidRDefault="00335809" w:rsidP="00335809">
      <w:pPr>
        <w:pStyle w:val="HarvardBibliography"/>
      </w:pPr>
    </w:p>
    <w:p w14:paraId="02F2CA8F" w14:textId="77777777" w:rsidR="00335809" w:rsidRDefault="00335809" w:rsidP="00335809">
      <w:pPr>
        <w:pStyle w:val="HarvardBibliography"/>
      </w:pPr>
      <w:r>
        <w:t>Arnold E. 1970. The Early Christians in Their Own Words. New York: Plough Publishing House</w:t>
      </w:r>
    </w:p>
    <w:p w14:paraId="32D341A9" w14:textId="77777777" w:rsidR="00335809" w:rsidRDefault="00335809" w:rsidP="00335809">
      <w:pPr>
        <w:pStyle w:val="HarvardBibliography"/>
      </w:pPr>
      <w:r>
        <w:lastRenderedPageBreak/>
        <w:t xml:space="preserve">Berry, D.L. 1998. “Socrates and the Gods,” </w:t>
      </w:r>
      <w:r w:rsidRPr="00BC57A1">
        <w:rPr>
          <w:i/>
        </w:rPr>
        <w:t>Soundings: An Interdisciplinary Journal</w:t>
      </w:r>
      <w:r>
        <w:t>, 81. 1/2 257-265</w:t>
      </w:r>
    </w:p>
    <w:p w14:paraId="00CACDFB" w14:textId="77777777" w:rsidR="00335809" w:rsidRDefault="00335809" w:rsidP="00335809">
      <w:pPr>
        <w:pStyle w:val="HarvardBibliography"/>
      </w:pPr>
      <w:r>
        <w:t xml:space="preserve">Bikerman, E. 1939. “The Orphic Blessing,” </w:t>
      </w:r>
      <w:r w:rsidRPr="00BC57A1">
        <w:rPr>
          <w:i/>
        </w:rPr>
        <w:t>Journal of the Warman Institute</w:t>
      </w:r>
      <w:r>
        <w:t>, 2. 4, April, 368-374</w:t>
      </w:r>
    </w:p>
    <w:p w14:paraId="4065641E" w14:textId="77777777" w:rsidR="00335809" w:rsidRDefault="00335809" w:rsidP="00335809">
      <w:pPr>
        <w:pStyle w:val="HarvardBibliography"/>
      </w:pPr>
      <w:r>
        <w:t>Boak, Arthur E.R. 1947. A History of Rome to 565 A.D. 3d ed. New York: Macmillan</w:t>
      </w:r>
    </w:p>
    <w:p w14:paraId="0BF54951" w14:textId="77777777" w:rsidR="00335809" w:rsidRDefault="00335809" w:rsidP="00335809">
      <w:pPr>
        <w:pStyle w:val="HarvardBibliography"/>
      </w:pPr>
      <w:r>
        <w:t>Boatwright, M. T., Gargola D.J., Richard J. A. Talbert. 2004. The Romans: From village to empire. New York and Oxford: Oxford Univ. Press</w:t>
      </w:r>
    </w:p>
    <w:p w14:paraId="13B10763" w14:textId="77777777" w:rsidR="00335809" w:rsidRDefault="00335809" w:rsidP="00335809">
      <w:pPr>
        <w:pStyle w:val="HarvardBibliography"/>
      </w:pPr>
      <w:r>
        <w:t xml:space="preserve">Bostick, W. F. 1916. “Jesus and Socrates” </w:t>
      </w:r>
      <w:r w:rsidRPr="00BC57A1">
        <w:rPr>
          <w:i/>
        </w:rPr>
        <w:t>The Biblical World</w:t>
      </w:r>
      <w:r>
        <w:t>, 47. 4, April, 248-252</w:t>
      </w:r>
    </w:p>
    <w:p w14:paraId="6D4D3152" w14:textId="77777777" w:rsidR="00335809" w:rsidRDefault="00335809" w:rsidP="00335809">
      <w:pPr>
        <w:pStyle w:val="HarvardBibliography"/>
      </w:pPr>
      <w:r>
        <w:t>Britannica, T. Editors of Encyclopaedia. "Euhemerus." Encyclopedia Britannica, January 3, 2020. https://www.britannica.com/biography/Euhemerus-Greek-mythographer. [Accessed: 26th January 2021]</w:t>
      </w:r>
    </w:p>
    <w:p w14:paraId="1148E84D" w14:textId="77777777" w:rsidR="00335809" w:rsidRDefault="00335809" w:rsidP="00335809">
      <w:pPr>
        <w:pStyle w:val="HarvardBibliography"/>
      </w:pPr>
      <w:r>
        <w:t>Brown, P. 1978. The Making of Late Antiquity. Carl Newell Jackson Lectures. Cambridge, MA: Harvard University Press.</w:t>
      </w:r>
    </w:p>
    <w:p w14:paraId="09C27B7A" w14:textId="77777777" w:rsidR="00335809" w:rsidRDefault="00335809" w:rsidP="00335809">
      <w:pPr>
        <w:pStyle w:val="HarvardBibliography"/>
      </w:pPr>
      <w:r>
        <w:t>Brown, P. 198. The Cult of the Saints. Chicago; The University of Chicago Press</w:t>
      </w:r>
    </w:p>
    <w:p w14:paraId="0309E013" w14:textId="32E48495" w:rsidR="00335809" w:rsidRDefault="00335809" w:rsidP="00335809">
      <w:pPr>
        <w:pStyle w:val="HarvardBibliography"/>
      </w:pPr>
      <w:r>
        <w:t>Cadoux, T. “Solon  - Great Statesman and Poet”  2020. Britannica.com.https://www.britannica.com/biography/Solon [Accessed: 12th September 2020]</w:t>
      </w:r>
    </w:p>
    <w:p w14:paraId="0D4DC409" w14:textId="77777777" w:rsidR="00335809" w:rsidRDefault="00335809" w:rsidP="00335809">
      <w:pPr>
        <w:pStyle w:val="HarvardBibliography"/>
      </w:pPr>
      <w:r>
        <w:t>Carroll, M. 2006. Spirits of the Dead Roman Funerary Commemoration in Western Europe. New York. Oxford University Press</w:t>
      </w:r>
    </w:p>
    <w:p w14:paraId="1C41D766" w14:textId="77777777" w:rsidR="00335809" w:rsidRDefault="00335809" w:rsidP="00335809">
      <w:pPr>
        <w:pStyle w:val="HarvardBibliography"/>
      </w:pPr>
      <w:r>
        <w:t>Chadwick, H. 1967. The Early Church. London: Penguin.</w:t>
      </w:r>
    </w:p>
    <w:p w14:paraId="51963D44" w14:textId="77777777" w:rsidR="00335809" w:rsidRDefault="00335809" w:rsidP="00335809">
      <w:pPr>
        <w:pStyle w:val="HarvardBibliography"/>
      </w:pPr>
      <w:r>
        <w:t>Chesterton, G.K. 1904. “Christianity and Rationalism,” in George Haw (ed.), Religious Doubts of Democracy. London: MacMillan and Co, 17-21</w:t>
      </w:r>
    </w:p>
    <w:p w14:paraId="5B1DAB9D" w14:textId="77777777" w:rsidR="00335809" w:rsidRDefault="00335809" w:rsidP="00335809">
      <w:pPr>
        <w:pStyle w:val="HarvardBibliography"/>
      </w:pPr>
      <w:r>
        <w:t>Clark, G. 2004. Christianity and Roman Society. Cambridge, UK: Cambridge University Press.</w:t>
      </w:r>
    </w:p>
    <w:p w14:paraId="683497BF" w14:textId="77777777" w:rsidR="00335809" w:rsidRDefault="00335809" w:rsidP="00335809">
      <w:pPr>
        <w:pStyle w:val="HarvardBibliography"/>
      </w:pPr>
      <w:r>
        <w:t>Cothran, M. “The God of Men—and of Elves: Tolkien, Lewis, and Christian Mythology” 2012. theimaginativeconservative.org. https://theimaginativeconservative.org/2012/04/god-of-men-c-s-lewis-christian-mythology.html [Accessed: 30th July 2020]</w:t>
      </w:r>
    </w:p>
    <w:p w14:paraId="71EFE390" w14:textId="77777777" w:rsidR="00335809" w:rsidRDefault="00335809" w:rsidP="00335809">
      <w:pPr>
        <w:pStyle w:val="HarvardBibliography"/>
      </w:pPr>
      <w:r>
        <w:lastRenderedPageBreak/>
        <w:t>Day M. 2007. Classical Mythology. Barron’s Educational Series, Inc.</w:t>
      </w:r>
    </w:p>
    <w:p w14:paraId="4CF40724" w14:textId="77777777" w:rsidR="00335809" w:rsidRDefault="00335809" w:rsidP="00335809">
      <w:pPr>
        <w:pStyle w:val="HarvardBibliography"/>
      </w:pPr>
      <w:r>
        <w:t>Drake, H.A. 1996. ‘Explaining Early Christian Intolerance’.  Oxford University Press on behalf of the Past and Present Society, No. 153, Nov, 3-36</w:t>
      </w:r>
    </w:p>
    <w:p w14:paraId="76866E7C" w14:textId="69BA3BDF" w:rsidR="00335809" w:rsidRDefault="00335809" w:rsidP="00335809">
      <w:pPr>
        <w:pStyle w:val="HarvardBibliography"/>
      </w:pPr>
      <w:r>
        <w:t>Emilie, G. 194</w:t>
      </w:r>
      <w:r w:rsidR="00BC57A1">
        <w:t>4. “Cicero and the Roman Pietas”</w:t>
      </w:r>
      <w:r>
        <w:t xml:space="preserve">  </w:t>
      </w:r>
      <w:r w:rsidRPr="00BC57A1">
        <w:rPr>
          <w:i/>
        </w:rPr>
        <w:t>The Classical Journal</w:t>
      </w:r>
      <w:r>
        <w:t>, 39, 536-542.</w:t>
      </w:r>
    </w:p>
    <w:p w14:paraId="72C8DA75" w14:textId="642E0691" w:rsidR="00335809" w:rsidRDefault="00335809" w:rsidP="00335809">
      <w:pPr>
        <w:pStyle w:val="HarvardBibliography"/>
      </w:pPr>
      <w:r>
        <w:t xml:space="preserve">Ernest De Witt B. 1895.  ‘Paul's Letter to the Romans Author(s):’ </w:t>
      </w:r>
      <w:r w:rsidRPr="00BC57A1">
        <w:rPr>
          <w:i/>
        </w:rPr>
        <w:t>The Biblical World</w:t>
      </w:r>
      <w:r>
        <w:t>, 6. 5, Nov</w:t>
      </w:r>
      <w:r w:rsidR="00BC57A1">
        <w:t xml:space="preserve"> </w:t>
      </w:r>
      <w:r>
        <w:t>367-373</w:t>
      </w:r>
    </w:p>
    <w:p w14:paraId="0912262A" w14:textId="77777777" w:rsidR="00335809" w:rsidRDefault="00335809" w:rsidP="00335809">
      <w:pPr>
        <w:pStyle w:val="HarvardBibliography"/>
      </w:pPr>
      <w:r>
        <w:t xml:space="preserve">Evans, A. N. 2002. “Sanctuaries, Sacrifices, and Eleusian Mysteries,” </w:t>
      </w:r>
      <w:r w:rsidRPr="00BC57A1">
        <w:rPr>
          <w:i/>
        </w:rPr>
        <w:t>Numen</w:t>
      </w:r>
      <w:r>
        <w:t xml:space="preserve">  49, 3, 227-254</w:t>
      </w:r>
    </w:p>
    <w:p w14:paraId="21D4BCB0" w14:textId="77777777" w:rsidR="00335809" w:rsidRDefault="00335809" w:rsidP="00335809">
      <w:pPr>
        <w:pStyle w:val="HarvardBibliography"/>
      </w:pPr>
      <w:r>
        <w:t>Fox R.L. 1986. Pagans and Christians. San Francisco: Perennial Library</w:t>
      </w:r>
    </w:p>
    <w:p w14:paraId="295B8704" w14:textId="77777777" w:rsidR="00335809" w:rsidRDefault="00335809" w:rsidP="00335809">
      <w:pPr>
        <w:pStyle w:val="HarvardBibliography"/>
      </w:pPr>
      <w:r>
        <w:t>Fairytale Books “Tolkien on Fairytales” 2020. https://fairytalebooks.org/documents/ [Accessed 8th August 2020]</w:t>
      </w:r>
    </w:p>
    <w:p w14:paraId="3010F1E3" w14:textId="77777777" w:rsidR="00335809" w:rsidRDefault="00335809" w:rsidP="00335809">
      <w:pPr>
        <w:pStyle w:val="HarvardBibliography"/>
      </w:pPr>
      <w:r>
        <w:t>Fox, R.L. 1986. Pagans and Christians. San Francisco: Harper &amp; Row.</w:t>
      </w:r>
    </w:p>
    <w:p w14:paraId="7E981DA4" w14:textId="77777777" w:rsidR="00335809" w:rsidRDefault="00335809" w:rsidP="00335809">
      <w:pPr>
        <w:pStyle w:val="HarvardBibliography"/>
      </w:pPr>
      <w:r>
        <w:t xml:space="preserve">Foxe, J. 2001. Foxe’s Book of Martyrs. Gainesville:  Bridge-Logos </w:t>
      </w:r>
    </w:p>
    <w:p w14:paraId="629A6978" w14:textId="77777777" w:rsidR="00335809" w:rsidRDefault="00335809" w:rsidP="00335809">
      <w:pPr>
        <w:pStyle w:val="HarvardBibliography"/>
      </w:pPr>
      <w:r>
        <w:t>Frankel, H. 1969. Ovid: A Poet Between Two Worlds. Berkeley: University of California Press</w:t>
      </w:r>
    </w:p>
    <w:p w14:paraId="4D25C9AC" w14:textId="77777777" w:rsidR="00335809" w:rsidRDefault="00335809" w:rsidP="00335809">
      <w:pPr>
        <w:pStyle w:val="HarvardBibliography"/>
      </w:pPr>
      <w:r>
        <w:t>Frazer J.G. 1894. The Golden Bough. New York and London: Macmillan &amp; Co.</w:t>
      </w:r>
    </w:p>
    <w:p w14:paraId="259A742D" w14:textId="77777777" w:rsidR="00335809" w:rsidRDefault="00335809" w:rsidP="00335809">
      <w:pPr>
        <w:pStyle w:val="HarvardBibliography"/>
      </w:pPr>
      <w:r>
        <w:t>Frend, W., Clifford H., and Harrison C. 1965. The Early Church from the Beginnings to 461. London: Hodder and Stoughton.</w:t>
      </w:r>
    </w:p>
    <w:p w14:paraId="70F68E46" w14:textId="77777777" w:rsidR="00335809" w:rsidRDefault="00335809" w:rsidP="00335809">
      <w:pPr>
        <w:pStyle w:val="HarvardBibliography"/>
      </w:pPr>
      <w:r>
        <w:t>Frend, W. H. C. 1984. The Rise of Christianity. London: Darton, Longman and Todd.</w:t>
      </w:r>
    </w:p>
    <w:p w14:paraId="38F370FE" w14:textId="77777777" w:rsidR="00335809" w:rsidRDefault="00335809" w:rsidP="00335809">
      <w:pPr>
        <w:pStyle w:val="HarvardBibliography"/>
      </w:pPr>
      <w:r>
        <w:t>Goodman, M. 1997. The Roman World, 44 BC–AD 180. London and New York: Routledge</w:t>
      </w:r>
    </w:p>
    <w:p w14:paraId="08C3A2E1" w14:textId="77777777" w:rsidR="00335809" w:rsidRDefault="00335809" w:rsidP="00335809">
      <w:pPr>
        <w:pStyle w:val="HarvardBibliography"/>
      </w:pPr>
      <w:r>
        <w:t>Gonzalez, J. 1984. The Story of Christianity. 2 vols. San Francisco: Harper and Row.</w:t>
      </w:r>
    </w:p>
    <w:p w14:paraId="0DA9196A" w14:textId="77777777" w:rsidR="00335809" w:rsidRDefault="00335809" w:rsidP="00335809">
      <w:pPr>
        <w:pStyle w:val="HarvardBibliography"/>
      </w:pPr>
      <w:r>
        <w:t>González, J. L. 2002 The Changing Shape of Church History. St. Louis, Mo.: Chalice Press.</w:t>
      </w:r>
    </w:p>
    <w:p w14:paraId="6AC41907" w14:textId="77777777" w:rsidR="00335809" w:rsidRDefault="00335809" w:rsidP="00335809">
      <w:pPr>
        <w:pStyle w:val="HarvardBibliography"/>
      </w:pPr>
      <w:r>
        <w:t xml:space="preserve">Hampsey, J.C. 2016 “The Idea of the ‘Good’” </w:t>
      </w:r>
      <w:r w:rsidRPr="00C04CAC">
        <w:rPr>
          <w:i/>
        </w:rPr>
        <w:t>Philosophy and Literature</w:t>
      </w:r>
      <w:r>
        <w:t>. Johns Hopkins University Press, 40.1, April 285-296</w:t>
      </w:r>
    </w:p>
    <w:p w14:paraId="438D0FC2" w14:textId="77777777" w:rsidR="00335809" w:rsidRDefault="00335809" w:rsidP="00335809">
      <w:pPr>
        <w:pStyle w:val="HarvardBibliography"/>
      </w:pPr>
      <w:r>
        <w:lastRenderedPageBreak/>
        <w:t>Hopkins, K. 2001. A World Full of Gods: The Strange Triumph of Christianity. New York: Plume.</w:t>
      </w:r>
    </w:p>
    <w:p w14:paraId="51A9E04C" w14:textId="77777777" w:rsidR="00335809" w:rsidRDefault="00335809" w:rsidP="00335809">
      <w:pPr>
        <w:pStyle w:val="HarvardBibliography"/>
      </w:pPr>
      <w:r>
        <w:t>Humphries, M. 2006. Early Christianity. London: Routledge.</w:t>
      </w:r>
    </w:p>
    <w:p w14:paraId="3356A67D" w14:textId="34B0FD5D" w:rsidR="00335809" w:rsidRDefault="00335809" w:rsidP="00335809">
      <w:pPr>
        <w:pStyle w:val="HarvardBibliography"/>
      </w:pPr>
      <w:r>
        <w:t>Hurtad</w:t>
      </w:r>
      <w:r w:rsidR="00C04CAC">
        <w:t>o, L. 2016. Destroyer of the G</w:t>
      </w:r>
      <w:r>
        <w:t>ods – Early Christian Distinctiveness in the Roman World. Texas: Baylor University Press.</w:t>
      </w:r>
    </w:p>
    <w:p w14:paraId="43500D72" w14:textId="77777777" w:rsidR="00335809" w:rsidRDefault="00335809" w:rsidP="00335809">
      <w:pPr>
        <w:pStyle w:val="HarvardBibliography"/>
      </w:pPr>
      <w:r>
        <w:t>Hurtado, L. 1999.  At the Origins of Christian Worship. Cambridge: PaterNoster Press.</w:t>
      </w:r>
    </w:p>
    <w:p w14:paraId="0BBE647B" w14:textId="77777777" w:rsidR="00335809" w:rsidRDefault="00335809" w:rsidP="00335809">
      <w:pPr>
        <w:pStyle w:val="HarvardBibliography"/>
      </w:pPr>
      <w:r>
        <w:t>Johnson. R.B. 2004 The Parthenon Code. Annapolis: Solving Light Books</w:t>
      </w:r>
    </w:p>
    <w:p w14:paraId="786E582F" w14:textId="77777777" w:rsidR="00335809" w:rsidRDefault="00335809" w:rsidP="00335809">
      <w:pPr>
        <w:pStyle w:val="HarvardBibliography"/>
      </w:pPr>
      <w:r>
        <w:t>Johnstone, M. A.  2014. “On Logos in Heraclitus,” in Brad Inwood (ed.), Oxford Studies in Ancient Philosophy Vol 47. Oxford: Oxford University Press, 1-29.</w:t>
      </w:r>
    </w:p>
    <w:p w14:paraId="1896CCCD" w14:textId="77777777" w:rsidR="00335809" w:rsidRDefault="00335809" w:rsidP="00335809">
      <w:pPr>
        <w:pStyle w:val="HarvardBibliography"/>
      </w:pPr>
      <w:r>
        <w:t>Kaatz, K. 2016. The Rise of Christianity History Documents and Key Questions. Santa Barbara. ABC-CLIO</w:t>
      </w:r>
    </w:p>
    <w:p w14:paraId="45118D79" w14:textId="77777777" w:rsidR="00335809" w:rsidRDefault="00335809" w:rsidP="00335809">
      <w:pPr>
        <w:pStyle w:val="HarvardBibliography"/>
      </w:pPr>
      <w:r>
        <w:t>Kaufman I.P. 1994. “Augustine, Martyrs, and Mis’ry” Church History, 63. 1, March,  1-14.</w:t>
      </w:r>
    </w:p>
    <w:p w14:paraId="70925329" w14:textId="77777777" w:rsidR="00335809" w:rsidRDefault="00335809" w:rsidP="00335809">
      <w:pPr>
        <w:pStyle w:val="HarvardBibliography"/>
      </w:pPr>
      <w:r>
        <w:t>Kee, H.C., et al.1991 Christianity: a social and cultural history. New York: Macmillan.</w:t>
      </w:r>
    </w:p>
    <w:p w14:paraId="78030FFC" w14:textId="77777777" w:rsidR="00335809" w:rsidRDefault="00335809" w:rsidP="00335809">
      <w:pPr>
        <w:pStyle w:val="HarvardBibliography"/>
      </w:pPr>
      <w:r>
        <w:t>Kelly, C. 2006. The Roman Empire: A very short introduction. Oxford and New York: Oxford Univ. Press</w:t>
      </w:r>
    </w:p>
    <w:p w14:paraId="326DDC6D" w14:textId="77777777" w:rsidR="00335809" w:rsidRDefault="00335809" w:rsidP="00335809">
      <w:pPr>
        <w:pStyle w:val="HarvardBibliography"/>
      </w:pPr>
      <w:r>
        <w:t xml:space="preserve">Lawlor, H.J. 1916. “St. Paul’s Quotations from Epimenides.” </w:t>
      </w:r>
      <w:r w:rsidRPr="00BC57A1">
        <w:rPr>
          <w:i/>
        </w:rPr>
        <w:t>The Irish Church Quarterly</w:t>
      </w:r>
      <w:r>
        <w:t>, 9. 35, July, 180-193.</w:t>
      </w:r>
    </w:p>
    <w:p w14:paraId="21A18663" w14:textId="77777777" w:rsidR="00335809" w:rsidRDefault="00335809" w:rsidP="00335809">
      <w:pPr>
        <w:pStyle w:val="HarvardBibliography"/>
      </w:pPr>
      <w:r>
        <w:t xml:space="preserve">Latura, G. 2012. “Plato’s Visible God: The Cosmic Soul Reflected in the Heavens” </w:t>
      </w:r>
      <w:r w:rsidRPr="00C04CAC">
        <w:rPr>
          <w:i/>
        </w:rPr>
        <w:t>Religions,</w:t>
      </w:r>
      <w:r>
        <w:t xml:space="preserve"> 3. 880-886</w:t>
      </w:r>
    </w:p>
    <w:p w14:paraId="2F2E7974" w14:textId="77777777" w:rsidR="00335809" w:rsidRDefault="00335809" w:rsidP="00335809">
      <w:pPr>
        <w:pStyle w:val="HarvardBibliography"/>
      </w:pPr>
      <w:r>
        <w:t>Lewis C.S. 1970. God in the Dock. Michigan: William B. Eerdmans Publishing Company</w:t>
      </w:r>
    </w:p>
    <w:p w14:paraId="11019E8B" w14:textId="77777777" w:rsidR="00335809" w:rsidRDefault="00335809" w:rsidP="00335809">
      <w:pPr>
        <w:pStyle w:val="HarvardBibliography"/>
      </w:pPr>
      <w:r>
        <w:t>Lewis C.S. 1947. Miracles. New York: Harper Collins Publishers</w:t>
      </w:r>
    </w:p>
    <w:p w14:paraId="601886D3" w14:textId="77777777" w:rsidR="00335809" w:rsidRDefault="00335809" w:rsidP="00335809">
      <w:pPr>
        <w:pStyle w:val="HarvardBibliography"/>
      </w:pPr>
      <w:r>
        <w:t>Lewis C.S. 1943. Mere Christianity. New York: Macmillan Publishing</w:t>
      </w:r>
    </w:p>
    <w:p w14:paraId="1CFB994D" w14:textId="77777777" w:rsidR="00335809" w:rsidRDefault="00335809" w:rsidP="00335809">
      <w:pPr>
        <w:pStyle w:val="HarvardBibliography"/>
      </w:pPr>
      <w:r>
        <w:t>Liehart, P. 1999. Heroes of the City of Man. Idaho: Canon Press</w:t>
      </w:r>
    </w:p>
    <w:p w14:paraId="35BF28D6" w14:textId="77777777" w:rsidR="00335809" w:rsidRDefault="00335809" w:rsidP="00335809">
      <w:pPr>
        <w:pStyle w:val="HarvardBibliography"/>
      </w:pPr>
      <w:r>
        <w:lastRenderedPageBreak/>
        <w:t xml:space="preserve">Lind  L.R. 1973. “Roman Religion and Ethical Thought Abstraction and Personification” </w:t>
      </w:r>
      <w:r w:rsidRPr="00BC57A1">
        <w:rPr>
          <w:i/>
        </w:rPr>
        <w:t>The Classical Journal,</w:t>
      </w:r>
      <w:r>
        <w:t xml:space="preserve"> 69. 2, Dec., 108-119</w:t>
      </w:r>
    </w:p>
    <w:p w14:paraId="501A76A1" w14:textId="77777777" w:rsidR="00335809" w:rsidRDefault="00335809" w:rsidP="00335809">
      <w:pPr>
        <w:pStyle w:val="HarvardBibliography"/>
      </w:pPr>
      <w:r>
        <w:t>MacDonald, D.R. 1994. Christianizing Homer. The Odyssey, Plato, and The Acts of Andrew. Oxford. University Press</w:t>
      </w:r>
    </w:p>
    <w:p w14:paraId="6D692190" w14:textId="08C3F012" w:rsidR="00335809" w:rsidRDefault="00335809" w:rsidP="00335809">
      <w:pPr>
        <w:pStyle w:val="HarvardBibliography"/>
      </w:pPr>
      <w:r>
        <w:t>Markos, L. 2007.  From Achilles to Christ. Illinois: Inte</w:t>
      </w:r>
      <w:r w:rsidR="00C04CAC">
        <w:t>rVarsity Press [Kindle Fire HDX</w:t>
      </w:r>
      <w:r>
        <w:t xml:space="preserve"> ASIN: B001Q9EDTS</w:t>
      </w:r>
      <w:r w:rsidR="00C04CAC">
        <w:t>]</w:t>
      </w:r>
    </w:p>
    <w:p w14:paraId="4546E4CD" w14:textId="77777777" w:rsidR="00335809" w:rsidRDefault="00335809" w:rsidP="00335809">
      <w:pPr>
        <w:pStyle w:val="HarvardBibliography"/>
      </w:pPr>
      <w:r>
        <w:t xml:space="preserve">Mohr, R. 1982. “The World Soul in Platonic Cosmology,” </w:t>
      </w:r>
      <w:r w:rsidRPr="00C04CAC">
        <w:rPr>
          <w:i/>
        </w:rPr>
        <w:t>Illinois Classical Studies</w:t>
      </w:r>
      <w:r>
        <w:t>, 7. 1, 41-48.</w:t>
      </w:r>
    </w:p>
    <w:p w14:paraId="46E6B022" w14:textId="77777777" w:rsidR="00335809" w:rsidRDefault="00335809" w:rsidP="00335809">
      <w:pPr>
        <w:pStyle w:val="HarvardBibliography"/>
      </w:pPr>
      <w:r>
        <w:t>Muckle, J.T. 1951. Clement of Alexandria on Philosophy as a Divine Testament for the Greeks,” Phoenix, 5. 3/4, Winter,  79-86.</w:t>
      </w:r>
    </w:p>
    <w:p w14:paraId="2BC6391A" w14:textId="77777777" w:rsidR="00335809" w:rsidRDefault="00335809" w:rsidP="00335809">
      <w:pPr>
        <w:pStyle w:val="HarvardBibliography"/>
      </w:pPr>
      <w:r>
        <w:t>Musurillo, H. 1972. Acts of the Christian Martyrs. New York: Oxford University Press</w:t>
      </w:r>
    </w:p>
    <w:p w14:paraId="296FEF81" w14:textId="77777777" w:rsidR="00335809" w:rsidRDefault="00335809" w:rsidP="00335809">
      <w:pPr>
        <w:pStyle w:val="HarvardBibliography"/>
      </w:pPr>
      <w:r>
        <w:t xml:space="preserve">Mylonas, G. E. 1947. “Eleusis and the Eleusinian Mysteries,” </w:t>
      </w:r>
      <w:r w:rsidRPr="00C04CAC">
        <w:rPr>
          <w:i/>
        </w:rPr>
        <w:t>The Classical Journal</w:t>
      </w:r>
      <w:r>
        <w:t>, 43, 3, Dec, 130-146.</w:t>
      </w:r>
    </w:p>
    <w:p w14:paraId="386FBA2B" w14:textId="77777777" w:rsidR="00335809" w:rsidRDefault="00335809" w:rsidP="00335809">
      <w:pPr>
        <w:pStyle w:val="HarvardBibliography"/>
      </w:pPr>
      <w:r>
        <w:t xml:space="preserve">Nock D.A . “A Feature of Roman Religion” </w:t>
      </w:r>
      <w:r w:rsidRPr="00D90214">
        <w:rPr>
          <w:i/>
        </w:rPr>
        <w:t>The Harvard Theological Review</w:t>
      </w:r>
      <w:r>
        <w:t>, 32. 1, January 193, 83-96</w:t>
      </w:r>
    </w:p>
    <w:p w14:paraId="1FFD21BF" w14:textId="77777777" w:rsidR="00335809" w:rsidRDefault="00335809" w:rsidP="00335809">
      <w:pPr>
        <w:pStyle w:val="HarvardBibliography"/>
      </w:pPr>
      <w:r>
        <w:t xml:space="preserve">Norlin, G. 1903. “The Doctrine of the Orphic Mysteries with Special Reference to the Words of Achises in Vergil’s Sixth Aeneid 724-51” </w:t>
      </w:r>
      <w:r w:rsidRPr="00D90214">
        <w:rPr>
          <w:i/>
        </w:rPr>
        <w:t>The Classical Journal</w:t>
      </w:r>
      <w:r>
        <w:t>. 3. 3, 91-99.</w:t>
      </w:r>
    </w:p>
    <w:p w14:paraId="2FDE3703" w14:textId="77777777" w:rsidR="00335809" w:rsidRDefault="00335809" w:rsidP="00335809">
      <w:pPr>
        <w:pStyle w:val="HarvardBibliography"/>
      </w:pPr>
      <w:r>
        <w:t>Nystrom, B.P.  and David P. Nystrom. 2004 The History of Christianity: An Introduction. Boston: McGraw-Hill.</w:t>
      </w:r>
    </w:p>
    <w:p w14:paraId="1150B5F4" w14:textId="77777777" w:rsidR="00335809" w:rsidRDefault="00335809" w:rsidP="00335809">
      <w:pPr>
        <w:pStyle w:val="HarvardBibliography"/>
      </w:pPr>
      <w:r>
        <w:t>O’Donnell, J. 2015. Pagans The End of Traditional Religion and the Rise of Christianity. New York: Harper Collins</w:t>
      </w:r>
    </w:p>
    <w:p w14:paraId="045629DA" w14:textId="77777777" w:rsidR="00335809" w:rsidRDefault="00335809" w:rsidP="00335809">
      <w:pPr>
        <w:pStyle w:val="HarvardBibliography"/>
      </w:pPr>
      <w:r>
        <w:t xml:space="preserve">Parvis, P. 2008. “Justin Martyr,” </w:t>
      </w:r>
      <w:r w:rsidRPr="00D90214">
        <w:rPr>
          <w:i/>
        </w:rPr>
        <w:t>Expository Times</w:t>
      </w:r>
      <w:r>
        <w:t>, 120. 2, 53-61.</w:t>
      </w:r>
    </w:p>
    <w:p w14:paraId="34DADE4A" w14:textId="397719DB" w:rsidR="00335809" w:rsidRDefault="00335809" w:rsidP="00335809">
      <w:pPr>
        <w:pStyle w:val="HarvardBibliography"/>
      </w:pPr>
      <w:r>
        <w:t xml:space="preserve">PBS Org Frontline “The Great Appeal” 1998. </w:t>
      </w:r>
      <w:hyperlink r:id="rId13" w:history="1">
        <w:r w:rsidR="006A0144" w:rsidRPr="00256770">
          <w:rPr>
            <w:rStyle w:val="Hyperlink"/>
          </w:rPr>
          <w:t>https://www.pbs.org/wgbh/pages/frontline/shows/religion/why/appeal.html</w:t>
        </w:r>
      </w:hyperlink>
      <w:r w:rsidR="006A0144">
        <w:t xml:space="preserve"> </w:t>
      </w:r>
      <w:r>
        <w:t>[Accessed: 5th June 2020]</w:t>
      </w:r>
    </w:p>
    <w:p w14:paraId="3994D93B" w14:textId="77777777" w:rsidR="00335809" w:rsidRDefault="00335809" w:rsidP="00335809">
      <w:pPr>
        <w:pStyle w:val="HarvardBibliography"/>
      </w:pPr>
      <w:r>
        <w:t>Pohlsander, H.A. 1996. The Emperor Constantine. London and New York: Routledge.</w:t>
      </w:r>
    </w:p>
    <w:p w14:paraId="2B439DC0" w14:textId="77777777" w:rsidR="00335809" w:rsidRDefault="00335809" w:rsidP="00335809">
      <w:pPr>
        <w:pStyle w:val="HarvardBibliography"/>
      </w:pPr>
      <w:r>
        <w:lastRenderedPageBreak/>
        <w:t>Potter, D.S. 2004. The Roman Empire at Bay: AD 180–395. New York: Routledge</w:t>
      </w:r>
    </w:p>
    <w:p w14:paraId="2A20F9F5" w14:textId="77777777" w:rsidR="00335809" w:rsidRDefault="00335809" w:rsidP="00335809">
      <w:pPr>
        <w:pStyle w:val="HarvardBibliography"/>
      </w:pPr>
      <w:r>
        <w:t xml:space="preserve">Rayner A. J. “Christian Society in the Roman Empire” </w:t>
      </w:r>
      <w:r w:rsidRPr="006A0144">
        <w:rPr>
          <w:i/>
        </w:rPr>
        <w:t>Greece &amp; Rome</w:t>
      </w:r>
      <w:r>
        <w:t>, 11. 33, May, 113-123</w:t>
      </w:r>
    </w:p>
    <w:p w14:paraId="050E5D48" w14:textId="77777777" w:rsidR="00335809" w:rsidRDefault="00335809" w:rsidP="00335809">
      <w:pPr>
        <w:pStyle w:val="HarvardBibliography"/>
      </w:pPr>
      <w:r>
        <w:t>Renwick A. M. 1963. The Story of the Church. Grand Rapids, Michigan: WM. B. Eerdmans Publishing Co.</w:t>
      </w:r>
    </w:p>
    <w:p w14:paraId="64D26A88" w14:textId="77777777" w:rsidR="00335809" w:rsidRDefault="00335809" w:rsidP="00335809">
      <w:pPr>
        <w:pStyle w:val="HarvardBibliography"/>
      </w:pPr>
      <w:r>
        <w:t>Reynolds J.M. 2009. When Athens Met Jerusalem. Downers Grove: InterVarsity Press.</w:t>
      </w:r>
    </w:p>
    <w:p w14:paraId="7E36767A" w14:textId="77777777" w:rsidR="00335809" w:rsidRDefault="00335809" w:rsidP="00335809">
      <w:pPr>
        <w:pStyle w:val="HarvardBibliography"/>
      </w:pPr>
      <w:r>
        <w:t>Richardson, D. 1981. Eternity in Their Hearts. Ventura: Regal Books</w:t>
      </w:r>
    </w:p>
    <w:p w14:paraId="6F1216D3" w14:textId="77777777" w:rsidR="00335809" w:rsidRDefault="00335809" w:rsidP="00335809">
      <w:pPr>
        <w:pStyle w:val="HarvardBibliography"/>
      </w:pPr>
      <w:r>
        <w:t>Rousseau, P. 2002. The Early Christian Centuries. London: Longman.</w:t>
      </w:r>
    </w:p>
    <w:p w14:paraId="71395950" w14:textId="72FBF285" w:rsidR="00335809" w:rsidRDefault="00335809" w:rsidP="00335809">
      <w:pPr>
        <w:pStyle w:val="HarvardBibliography"/>
      </w:pPr>
      <w:r>
        <w:t xml:space="preserve">Ryken, L. 1984. How to Read the Bible as Literature. Grand Rapids: </w:t>
      </w:r>
      <w:r w:rsidR="006A0144">
        <w:t>Zondervan [Kindle Fire HDX ASIN</w:t>
      </w:r>
      <w:r>
        <w:t>: B01M1V1I84]</w:t>
      </w:r>
    </w:p>
    <w:p w14:paraId="4A7DC302" w14:textId="4693CF14" w:rsidR="00335809" w:rsidRDefault="00335809" w:rsidP="00335809">
      <w:pPr>
        <w:pStyle w:val="HarvardBibliography"/>
      </w:pPr>
      <w:r>
        <w:t>Schmidt A.J. 2004. How Christianity Changed the World. Grand Rapids Mich</w:t>
      </w:r>
      <w:r w:rsidR="006A0144">
        <w:t>igan</w:t>
      </w:r>
      <w:r>
        <w:t>: Zondervan</w:t>
      </w:r>
    </w:p>
    <w:p w14:paraId="6D5E18AE" w14:textId="77777777" w:rsidR="00335809" w:rsidRDefault="00335809" w:rsidP="00335809">
      <w:pPr>
        <w:pStyle w:val="HarvardBibliography"/>
      </w:pPr>
      <w:r>
        <w:t>Stark, R. 1996.  The Rise of Christianity - How the Obscure, Marginal Jesus Movement Became the Dominant Religious Force in the Western World in a Few Centuries. New Jersey: Princeton University Press</w:t>
      </w:r>
    </w:p>
    <w:p w14:paraId="01832CD0" w14:textId="77777777" w:rsidR="00335809" w:rsidRDefault="00335809" w:rsidP="00335809">
      <w:pPr>
        <w:pStyle w:val="HarvardBibliography"/>
      </w:pPr>
      <w:r>
        <w:t xml:space="preserve">Taylor, A.E. 1926. Plato: The Man and His Work Volume 18. New York: Routledge, Reprint 2013 [Kindle HDX ASIN:  B00BMUFPFC] </w:t>
      </w:r>
    </w:p>
    <w:p w14:paraId="55C62082" w14:textId="77777777" w:rsidR="00335809" w:rsidRDefault="00335809" w:rsidP="00335809">
      <w:pPr>
        <w:pStyle w:val="HarvardBibliography"/>
      </w:pPr>
      <w:r>
        <w:t>Theoi Project “Aratus Phaenomena” 2000. https://www.theoi.com/Text/AratusPhaenomena.html [Accessed: 23rd October 2020]</w:t>
      </w:r>
    </w:p>
    <w:p w14:paraId="40D08C6B" w14:textId="77777777" w:rsidR="00335809" w:rsidRDefault="00335809" w:rsidP="00335809">
      <w:pPr>
        <w:pStyle w:val="HarvardBibliography"/>
      </w:pPr>
      <w:r>
        <w:t xml:space="preserve">Trevett C. 1989. “Ignatius 'To the Romans' and I clement LIV-LVI” </w:t>
      </w:r>
      <w:r w:rsidRPr="006A0144">
        <w:rPr>
          <w:i/>
        </w:rPr>
        <w:t>Vigiliae Christianae</w:t>
      </w:r>
      <w:r>
        <w:t>, 43. 1 Mar, 35-52</w:t>
      </w:r>
    </w:p>
    <w:p w14:paraId="1BA7BB44" w14:textId="77777777" w:rsidR="00335809" w:rsidRDefault="00335809" w:rsidP="00335809">
      <w:pPr>
        <w:pStyle w:val="HarvardBibliography"/>
      </w:pPr>
      <w:r>
        <w:t>Veyne P. 1988. Did the Greeks Believe in Their Myths? Chicago: The University of Chicago Press</w:t>
      </w:r>
    </w:p>
    <w:p w14:paraId="0CC7E3BE" w14:textId="77777777" w:rsidR="00335809" w:rsidRDefault="00335809" w:rsidP="00335809">
      <w:pPr>
        <w:pStyle w:val="HarvardBibliography"/>
      </w:pPr>
      <w:r>
        <w:t>Whitmarsh T. 2015. Battling the Gods. New York: Vintage Books</w:t>
      </w:r>
    </w:p>
    <w:p w14:paraId="6B78A0CD" w14:textId="77777777" w:rsidR="00335809" w:rsidRDefault="00335809" w:rsidP="00335809">
      <w:pPr>
        <w:pStyle w:val="HarvardBibliography"/>
      </w:pPr>
      <w:r>
        <w:t>Wilken R. 1984. The Christians as the Romans Saw Them. New Haven: Yale University Press</w:t>
      </w:r>
    </w:p>
    <w:p w14:paraId="0DBDBBD5" w14:textId="77777777" w:rsidR="00335809" w:rsidRDefault="00335809" w:rsidP="00335809">
      <w:pPr>
        <w:pStyle w:val="HarvardBibliography"/>
      </w:pPr>
      <w:r>
        <w:lastRenderedPageBreak/>
        <w:t>Woolf, G. 1998. Becoming Roman – The Origins of Provincial Civilization in Gaul.  Cambridge: Cambridge University Press.</w:t>
      </w:r>
    </w:p>
    <w:p w14:paraId="42DB8876" w14:textId="77777777" w:rsidR="00335809" w:rsidRDefault="00335809" w:rsidP="00335809">
      <w:pPr>
        <w:pStyle w:val="HarvardBibliography"/>
      </w:pPr>
      <w:r>
        <w:t>Yasin A.M. 2005. “Funerary Monuments and Collective Identity: From Roman Family to Christian Community” The Art Bulletin, 87. 3, Sept, 433-457.</w:t>
      </w:r>
    </w:p>
    <w:p w14:paraId="7C9F4719" w14:textId="4C9A82F5" w:rsidR="00B61AE0" w:rsidRPr="00D42DA4" w:rsidRDefault="00335809" w:rsidP="00B8289B">
      <w:pPr>
        <w:pStyle w:val="HarvardBibliography"/>
      </w:pPr>
      <w:r>
        <w:t>Wedderburn A. J. M. 2004. A History of the First Christians. London : T&amp;T Clark International.</w:t>
      </w:r>
    </w:p>
    <w:sectPr w:rsidR="00B61AE0" w:rsidRPr="00D42DA4" w:rsidSect="001D58C9">
      <w:footerReference w:type="default" r:id="rId14"/>
      <w:pgSz w:w="12240" w:h="15840"/>
      <w:pgMar w:top="1440" w:right="1440" w:bottom="1440" w:left="1440" w:header="720" w:footer="432"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BB60AE" w14:textId="77777777" w:rsidR="00274957" w:rsidRDefault="00274957" w:rsidP="00B61AE0">
      <w:pPr>
        <w:spacing w:after="0" w:line="240" w:lineRule="auto"/>
      </w:pPr>
      <w:r>
        <w:separator/>
      </w:r>
    </w:p>
  </w:endnote>
  <w:endnote w:type="continuationSeparator" w:id="0">
    <w:p w14:paraId="618FEFAF" w14:textId="77777777" w:rsidR="00274957" w:rsidRDefault="00274957" w:rsidP="00B61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9603275"/>
      <w:docPartObj>
        <w:docPartGallery w:val="Page Numbers (Bottom of Page)"/>
        <w:docPartUnique/>
      </w:docPartObj>
    </w:sdtPr>
    <w:sdtEndPr>
      <w:rPr>
        <w:noProof/>
      </w:rPr>
    </w:sdtEndPr>
    <w:sdtContent>
      <w:p w14:paraId="3E051772" w14:textId="0375F0C6" w:rsidR="00BC1251" w:rsidRDefault="00BC1251">
        <w:pPr>
          <w:pStyle w:val="Footer"/>
          <w:jc w:val="center"/>
        </w:pPr>
        <w:r>
          <w:fldChar w:fldCharType="begin"/>
        </w:r>
        <w:r>
          <w:instrText xml:space="preserve"> PAGE   \* MERGEFORMAT </w:instrText>
        </w:r>
        <w:r>
          <w:fldChar w:fldCharType="separate"/>
        </w:r>
        <w:r w:rsidR="00BD3881">
          <w:rPr>
            <w:noProof/>
          </w:rPr>
          <w:t>2</w:t>
        </w:r>
        <w:r>
          <w:rPr>
            <w:noProof/>
          </w:rPr>
          <w:fldChar w:fldCharType="end"/>
        </w:r>
      </w:p>
    </w:sdtContent>
  </w:sdt>
  <w:p w14:paraId="09DC3397" w14:textId="11A4AD4A" w:rsidR="00BC1251" w:rsidRDefault="00BC12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0BB13A" w14:textId="77777777" w:rsidR="00274957" w:rsidRDefault="00274957" w:rsidP="00B61AE0">
      <w:pPr>
        <w:spacing w:after="0" w:line="240" w:lineRule="auto"/>
      </w:pPr>
      <w:r>
        <w:separator/>
      </w:r>
    </w:p>
  </w:footnote>
  <w:footnote w:type="continuationSeparator" w:id="0">
    <w:p w14:paraId="2CC73DEA" w14:textId="77777777" w:rsidR="00274957" w:rsidRDefault="00274957" w:rsidP="00B61AE0">
      <w:pPr>
        <w:spacing w:after="0" w:line="240" w:lineRule="auto"/>
      </w:pPr>
      <w:r>
        <w:continuationSeparator/>
      </w:r>
    </w:p>
  </w:footnote>
  <w:footnote w:id="1">
    <w:p w14:paraId="063CDB21" w14:textId="77777777" w:rsidR="00BC1251" w:rsidRDefault="00BC1251" w:rsidP="002C7C76">
      <w:pPr>
        <w:pStyle w:val="FootnoteText"/>
      </w:pPr>
      <w:r>
        <w:rPr>
          <w:rStyle w:val="FootnoteReference"/>
        </w:rPr>
        <w:footnoteRef/>
      </w:r>
      <w:r>
        <w:t xml:space="preserve"> Stark 1996: 3-13</w:t>
      </w:r>
    </w:p>
  </w:footnote>
  <w:footnote w:id="2">
    <w:p w14:paraId="67AF4609" w14:textId="77777777" w:rsidR="00BC1251" w:rsidRDefault="00BC1251" w:rsidP="002C7C76">
      <w:pPr>
        <w:pStyle w:val="FootnoteText"/>
      </w:pPr>
      <w:r>
        <w:rPr>
          <w:rStyle w:val="FootnoteReference"/>
        </w:rPr>
        <w:footnoteRef/>
      </w:r>
      <w:r>
        <w:t xml:space="preserve"> Boak 1955a; Russell 1958; as cited in Stark 1996: 6</w:t>
      </w:r>
    </w:p>
  </w:footnote>
  <w:footnote w:id="3">
    <w:p w14:paraId="4A1EA812" w14:textId="77777777" w:rsidR="00BC1251" w:rsidRDefault="00BC1251" w:rsidP="002C7C76">
      <w:pPr>
        <w:pStyle w:val="FootnoteText"/>
      </w:pPr>
      <w:r>
        <w:rPr>
          <w:rStyle w:val="FootnoteReference"/>
        </w:rPr>
        <w:footnoteRef/>
      </w:r>
      <w:r>
        <w:t xml:space="preserve"> </w:t>
      </w:r>
      <w:r w:rsidRPr="00C30CFD">
        <w:rPr>
          <w:i/>
        </w:rPr>
        <w:t>The Bible The Study Bible English Standard Version</w:t>
      </w:r>
      <w:r>
        <w:t xml:space="preserve"> Acts 1:14-15</w:t>
      </w:r>
    </w:p>
  </w:footnote>
  <w:footnote w:id="4">
    <w:p w14:paraId="1522A6D0" w14:textId="77777777" w:rsidR="00BC1251" w:rsidRDefault="00BC1251" w:rsidP="002C7C76">
      <w:pPr>
        <w:pStyle w:val="FootnoteText"/>
      </w:pPr>
      <w:r>
        <w:rPr>
          <w:rStyle w:val="FootnoteReference"/>
        </w:rPr>
        <w:footnoteRef/>
      </w:r>
      <w:r>
        <w:t xml:space="preserve"> Acts 4:4</w:t>
      </w:r>
    </w:p>
  </w:footnote>
  <w:footnote w:id="5">
    <w:p w14:paraId="6D663F18" w14:textId="77777777" w:rsidR="00BC1251" w:rsidRDefault="00BC1251" w:rsidP="002C7C76">
      <w:pPr>
        <w:pStyle w:val="FootnoteText"/>
      </w:pPr>
      <w:r>
        <w:rPr>
          <w:rStyle w:val="FootnoteReference"/>
        </w:rPr>
        <w:footnoteRef/>
      </w:r>
      <w:r>
        <w:t xml:space="preserve"> Stark 1996:5</w:t>
      </w:r>
    </w:p>
  </w:footnote>
  <w:footnote w:id="6">
    <w:p w14:paraId="068F6B24" w14:textId="77777777" w:rsidR="00BC1251" w:rsidRDefault="00BC1251" w:rsidP="002C7C76">
      <w:pPr>
        <w:pStyle w:val="FootnoteText"/>
      </w:pPr>
      <w:r>
        <w:rPr>
          <w:rStyle w:val="FootnoteReference"/>
        </w:rPr>
        <w:footnoteRef/>
      </w:r>
      <w:r>
        <w:t xml:space="preserve"> Ibid: 6</w:t>
      </w:r>
    </w:p>
    <w:p w14:paraId="470DFB73" w14:textId="77777777" w:rsidR="00BC1251" w:rsidRDefault="00BC1251" w:rsidP="002C7C76">
      <w:pPr>
        <w:pStyle w:val="FootnoteText"/>
      </w:pPr>
    </w:p>
  </w:footnote>
  <w:footnote w:id="7">
    <w:p w14:paraId="7E744D88" w14:textId="77777777" w:rsidR="00BC1251" w:rsidRDefault="00BC1251" w:rsidP="002C7C76">
      <w:pPr>
        <w:pStyle w:val="FootnoteText"/>
      </w:pPr>
      <w:r>
        <w:rPr>
          <w:rStyle w:val="FootnoteReference"/>
        </w:rPr>
        <w:footnoteRef/>
      </w:r>
      <w:r>
        <w:t xml:space="preserve"> Ibid: 7</w:t>
      </w:r>
    </w:p>
  </w:footnote>
  <w:footnote w:id="8">
    <w:p w14:paraId="4ECF43AE" w14:textId="77777777" w:rsidR="00BC1251" w:rsidRDefault="00BC1251" w:rsidP="002C7C76">
      <w:pPr>
        <w:pStyle w:val="FootnoteText"/>
      </w:pPr>
      <w:r>
        <w:rPr>
          <w:rStyle w:val="FootnoteReference"/>
        </w:rPr>
        <w:footnoteRef/>
      </w:r>
      <w:r>
        <w:t xml:space="preserve"> Stark 1995: 10</w:t>
      </w:r>
    </w:p>
  </w:footnote>
  <w:footnote w:id="9">
    <w:p w14:paraId="00644BFF" w14:textId="77777777" w:rsidR="00BC1251" w:rsidRDefault="00BC1251" w:rsidP="002C7C76">
      <w:pPr>
        <w:pStyle w:val="FootnoteText"/>
      </w:pPr>
      <w:r>
        <w:rPr>
          <w:rStyle w:val="FootnoteReference"/>
        </w:rPr>
        <w:footnoteRef/>
      </w:r>
      <w:r>
        <w:t xml:space="preserve"> Renwick 1963: 49-50</w:t>
      </w:r>
    </w:p>
  </w:footnote>
  <w:footnote w:id="10">
    <w:p w14:paraId="3D9CFBBC" w14:textId="77777777" w:rsidR="00BC1251" w:rsidRDefault="00BC1251" w:rsidP="002C7C76">
      <w:pPr>
        <w:pStyle w:val="FootnoteText"/>
      </w:pPr>
      <w:r>
        <w:rPr>
          <w:rStyle w:val="FootnoteReference"/>
        </w:rPr>
        <w:footnoteRef/>
      </w:r>
      <w:r>
        <w:t xml:space="preserve"> Gal 3:28</w:t>
      </w:r>
    </w:p>
  </w:footnote>
  <w:footnote w:id="11">
    <w:p w14:paraId="4A722C98" w14:textId="77777777" w:rsidR="00BC1251" w:rsidRDefault="00BC1251" w:rsidP="002C7C76">
      <w:pPr>
        <w:pStyle w:val="FootnoteText"/>
      </w:pPr>
      <w:r>
        <w:rPr>
          <w:rStyle w:val="FootnoteReference"/>
        </w:rPr>
        <w:footnoteRef/>
      </w:r>
      <w:r>
        <w:t xml:space="preserve"> Fox 1986: 298 as cited in Schmidt 2004: 274</w:t>
      </w:r>
    </w:p>
  </w:footnote>
  <w:footnote w:id="12">
    <w:p w14:paraId="1925A022" w14:textId="77777777" w:rsidR="00BC1251" w:rsidRDefault="00BC1251" w:rsidP="002C7C76">
      <w:pPr>
        <w:pStyle w:val="FootnoteText"/>
      </w:pPr>
      <w:r>
        <w:rPr>
          <w:rStyle w:val="FootnoteReference"/>
        </w:rPr>
        <w:footnoteRef/>
      </w:r>
      <w:r>
        <w:t xml:space="preserve"> Tertullian </w:t>
      </w:r>
      <w:r w:rsidRPr="00A42682">
        <w:rPr>
          <w:i/>
        </w:rPr>
        <w:t>Apology</w:t>
      </w:r>
      <w:r>
        <w:t xml:space="preserve"> 39 as cited in Schmidt 2004: 125</w:t>
      </w:r>
    </w:p>
  </w:footnote>
  <w:footnote w:id="13">
    <w:p w14:paraId="537CF4D1" w14:textId="77777777" w:rsidR="00BC1251" w:rsidRDefault="00BC1251" w:rsidP="002C7C76">
      <w:pPr>
        <w:pStyle w:val="FootnoteText"/>
      </w:pPr>
      <w:r>
        <w:rPr>
          <w:rStyle w:val="FootnoteReference"/>
        </w:rPr>
        <w:footnoteRef/>
      </w:r>
      <w:r>
        <w:t xml:space="preserve"> </w:t>
      </w:r>
      <w:r w:rsidRPr="00A42682">
        <w:rPr>
          <w:i/>
        </w:rPr>
        <w:t>Epistles of Julian</w:t>
      </w:r>
      <w:r>
        <w:t xml:space="preserve"> 49 as cited in Schmidt 2004: 129</w:t>
      </w:r>
    </w:p>
  </w:footnote>
  <w:footnote w:id="14">
    <w:p w14:paraId="7BC8E62A" w14:textId="77777777" w:rsidR="00BC1251" w:rsidRDefault="00BC1251" w:rsidP="002C7C76">
      <w:pPr>
        <w:pStyle w:val="FootnoteText"/>
      </w:pPr>
      <w:r>
        <w:rPr>
          <w:rStyle w:val="FootnoteReference"/>
        </w:rPr>
        <w:footnoteRef/>
      </w:r>
      <w:r>
        <w:t xml:space="preserve"> PBS Frontline 1998</w:t>
      </w:r>
    </w:p>
  </w:footnote>
  <w:footnote w:id="15">
    <w:p w14:paraId="6532DD34" w14:textId="77777777" w:rsidR="00BC1251" w:rsidRDefault="00BC1251" w:rsidP="002C7C76">
      <w:pPr>
        <w:pStyle w:val="FootnoteText"/>
      </w:pPr>
      <w:r>
        <w:rPr>
          <w:rStyle w:val="FootnoteReference"/>
        </w:rPr>
        <w:footnoteRef/>
      </w:r>
      <w:r>
        <w:t xml:space="preserve"> Virgil </w:t>
      </w:r>
      <w:r w:rsidRPr="00294FF2">
        <w:rPr>
          <w:i/>
        </w:rPr>
        <w:t>Aeneid</w:t>
      </w:r>
      <w:r>
        <w:t xml:space="preserve"> 4.495-500 (trans. Fagles) p. 141</w:t>
      </w:r>
    </w:p>
  </w:footnote>
  <w:footnote w:id="16">
    <w:p w14:paraId="6B5D0F25" w14:textId="77777777" w:rsidR="00BC1251" w:rsidRDefault="00BC1251" w:rsidP="002C7C76">
      <w:pPr>
        <w:pStyle w:val="FootnoteText"/>
      </w:pPr>
      <w:r>
        <w:rPr>
          <w:rStyle w:val="FootnoteReference"/>
        </w:rPr>
        <w:footnoteRef/>
      </w:r>
      <w:r>
        <w:t xml:space="preserve"> Eusebius </w:t>
      </w:r>
      <w:r w:rsidRPr="00C55E56">
        <w:rPr>
          <w:i/>
        </w:rPr>
        <w:t>Preparation for the Gospel</w:t>
      </w:r>
      <w:r>
        <w:t xml:space="preserve"> 1.1 (trans. Gifford)  p. 21</w:t>
      </w:r>
    </w:p>
  </w:footnote>
  <w:footnote w:id="17">
    <w:p w14:paraId="6C1AF6EC" w14:textId="77777777" w:rsidR="00BC1251" w:rsidRDefault="00BC1251" w:rsidP="002C7C76">
      <w:pPr>
        <w:pStyle w:val="FootnoteText"/>
      </w:pPr>
      <w:r>
        <w:rPr>
          <w:rStyle w:val="FootnoteReference"/>
        </w:rPr>
        <w:footnoteRef/>
      </w:r>
      <w:r>
        <w:t xml:space="preserve"> Ibid 22</w:t>
      </w:r>
    </w:p>
  </w:footnote>
  <w:footnote w:id="18">
    <w:p w14:paraId="617FBEEF" w14:textId="77777777" w:rsidR="00BC1251" w:rsidRDefault="00BC1251" w:rsidP="002C7C76">
      <w:pPr>
        <w:pStyle w:val="FootnoteText"/>
      </w:pPr>
      <w:r>
        <w:rPr>
          <w:rStyle w:val="FootnoteReference"/>
        </w:rPr>
        <w:footnoteRef/>
      </w:r>
      <w:r>
        <w:t xml:space="preserve"> Ibid 21-22</w:t>
      </w:r>
    </w:p>
  </w:footnote>
  <w:footnote w:id="19">
    <w:p w14:paraId="7CCCB2C2" w14:textId="77777777" w:rsidR="00BC1251" w:rsidRDefault="00BC1251" w:rsidP="002C7C76">
      <w:pPr>
        <w:pStyle w:val="FootnoteText"/>
      </w:pPr>
      <w:r>
        <w:rPr>
          <w:rStyle w:val="FootnoteReference"/>
        </w:rPr>
        <w:footnoteRef/>
      </w:r>
      <w:r>
        <w:t xml:space="preserve"> This view of the early Church Fathers, specifically Justin Martyr and Clement of Alexandria, will be explored later in this dissertation.</w:t>
      </w:r>
    </w:p>
  </w:footnote>
  <w:footnote w:id="20">
    <w:p w14:paraId="53F2B7CF" w14:textId="77777777" w:rsidR="00BC1251" w:rsidRDefault="00BC1251" w:rsidP="002C7C76">
      <w:pPr>
        <w:pStyle w:val="FootnoteText"/>
      </w:pPr>
      <w:r>
        <w:rPr>
          <w:rStyle w:val="FootnoteReference"/>
        </w:rPr>
        <w:footnoteRef/>
      </w:r>
      <w:r>
        <w:t xml:space="preserve"> Ibid 11.10 (trans. Gifford) 467</w:t>
      </w:r>
    </w:p>
  </w:footnote>
  <w:footnote w:id="21">
    <w:p w14:paraId="21825971" w14:textId="77777777" w:rsidR="00BC1251" w:rsidRDefault="00BC1251" w:rsidP="002C7C76">
      <w:pPr>
        <w:pStyle w:val="FootnoteText"/>
      </w:pPr>
      <w:r>
        <w:rPr>
          <w:rStyle w:val="FootnoteReference"/>
        </w:rPr>
        <w:footnoteRef/>
      </w:r>
      <w:r>
        <w:t xml:space="preserve"> Lewis: 1970: 63 </w:t>
      </w:r>
    </w:p>
  </w:footnote>
  <w:footnote w:id="22">
    <w:p w14:paraId="20AE0457" w14:textId="77777777" w:rsidR="00BC1251" w:rsidRDefault="00BC1251" w:rsidP="002C7C76">
      <w:pPr>
        <w:pStyle w:val="FootnoteText"/>
      </w:pPr>
      <w:r>
        <w:rPr>
          <w:rStyle w:val="FootnoteReference"/>
        </w:rPr>
        <w:footnoteRef/>
      </w:r>
      <w:r>
        <w:t xml:space="preserve"> FairyTale 2020: 15  In his essay, Tolkien discusses the need for and importance of fairytales. In reflecting on the genre, he recounts that though characters typically must face evil of some sort, the usual happy endings validate the hope both children and adults harbor that evil will </w:t>
      </w:r>
      <w:r w:rsidRPr="00BD6E2E">
        <w:rPr>
          <w:i/>
        </w:rPr>
        <w:t xml:space="preserve">not </w:t>
      </w:r>
      <w:r>
        <w:t>triumph in the end.  Rather, just as in the gospel story, there is typically what Tolkien terms a “eucatastrophe” which by virtue of the word’s prefix denotes the opposite of a catastrophe. This is, in fact, what the gospel story reflects.  With the unexpected and surprising resurrection of Jesus on the third day, the horrors of the cross are redeemed.  Where once there was desolation, unexpected joy was found.  Fairytales resonate with people because they tap a deep longing within them for just such a happily-ever-after ending. In Tolkien’s words, “</w:t>
      </w:r>
      <w:r w:rsidRPr="002538EB">
        <w:t>The Evangelium has not abrogated legends; it has hallowed them, especially the “happy ending.”</w:t>
      </w:r>
    </w:p>
  </w:footnote>
  <w:footnote w:id="23">
    <w:p w14:paraId="4EE95199" w14:textId="77777777" w:rsidR="00BC1251" w:rsidRPr="00A4240A" w:rsidRDefault="00BC1251" w:rsidP="002C7C76">
      <w:pPr>
        <w:pStyle w:val="FootnoteText"/>
      </w:pPr>
      <w:r>
        <w:rPr>
          <w:rStyle w:val="FootnoteReference"/>
        </w:rPr>
        <w:footnoteRef/>
      </w:r>
      <w:r>
        <w:t xml:space="preserve"> Cothran 2012  This article relays the story told by Humphrey Carpenter in his book </w:t>
      </w:r>
      <w:r w:rsidRPr="00A4240A">
        <w:rPr>
          <w:i/>
        </w:rPr>
        <w:t>The Inklings</w:t>
      </w:r>
      <w:r>
        <w:rPr>
          <w:i/>
        </w:rPr>
        <w:t xml:space="preserve"> </w:t>
      </w:r>
      <w:r>
        <w:t>in which</w:t>
      </w:r>
      <w:r w:rsidRPr="00A4240A">
        <w:t xml:space="preserve"> Tolkien</w:t>
      </w:r>
      <w:r>
        <w:t>,</w:t>
      </w:r>
      <w:r w:rsidRPr="00A4240A">
        <w:t xml:space="preserve"> walking with C.S. Lewis on the grounds of Mag</w:t>
      </w:r>
      <w:r>
        <w:t>dallen College in 1931, argues that since man is made in the image of God, he cannot ever be ultimately a liar.  He may twist and corrupt the things of God, but he may never fully “efface” the image of God within him.  Thus, all the myths and fairytales and even the wisdom of man must have a semblance of truth in them however corrupted.  Tolkien posited that the similarities aspects seen in myths across the centuries and cultures – Creation, Flood, and Apocalypse – did not disprove the Christian motifs but rather the opposite. It was not too long after this discussion that Lewis became in his own words “a reluctant convert.”</w:t>
      </w:r>
    </w:p>
    <w:p w14:paraId="67EC4C2C" w14:textId="77777777" w:rsidR="00BC1251" w:rsidRDefault="00BC1251" w:rsidP="002C7C76">
      <w:pPr>
        <w:pStyle w:val="FootnoteText"/>
      </w:pPr>
    </w:p>
  </w:footnote>
  <w:footnote w:id="24">
    <w:p w14:paraId="6F331BE8" w14:textId="77777777" w:rsidR="00BC1251" w:rsidRDefault="00BC1251" w:rsidP="002C7C76">
      <w:pPr>
        <w:pStyle w:val="FootnoteText"/>
      </w:pPr>
      <w:r>
        <w:rPr>
          <w:rStyle w:val="FootnoteReference"/>
        </w:rPr>
        <w:footnoteRef/>
      </w:r>
      <w:r>
        <w:t xml:space="preserve"> Lewis 1970: 67</w:t>
      </w:r>
    </w:p>
  </w:footnote>
  <w:footnote w:id="25">
    <w:p w14:paraId="16C29104" w14:textId="77777777" w:rsidR="00BC1251" w:rsidRDefault="00BC1251" w:rsidP="002C7C76">
      <w:pPr>
        <w:pStyle w:val="FootnoteText"/>
      </w:pPr>
      <w:r>
        <w:rPr>
          <w:rStyle w:val="FootnoteReference"/>
        </w:rPr>
        <w:footnoteRef/>
      </w:r>
      <w:r>
        <w:t xml:space="preserve"> Chesterton 1904: 18</w:t>
      </w:r>
    </w:p>
  </w:footnote>
  <w:footnote w:id="26">
    <w:p w14:paraId="4141F223" w14:textId="77777777" w:rsidR="00BC1251" w:rsidRPr="00DD69FA" w:rsidRDefault="00BC1251" w:rsidP="002C7C76">
      <w:pPr>
        <w:pStyle w:val="FootnoteText"/>
      </w:pPr>
      <w:r>
        <w:rPr>
          <w:rStyle w:val="FootnoteReference"/>
        </w:rPr>
        <w:footnoteRef/>
      </w:r>
      <w:r>
        <w:t xml:space="preserve"> Ibid. In his essay, “Christianity and Rationalism,” Chesterton acknowledges that the story of Christ is very common in legend and literature.  But so is the story of lovers parted by fate or the story of the faithlessness of one of the lovers.  These kinds of stories are common because they reflect real life and real relationships.  Are we to think that because they are common, they really haven’t or don’t happen? It is more reasonable to think that they are common because our nature makes them so. Can this not  apply to spiritual things?  Chesterton concludes that it is ridiculous to think that just because there are pagan Christs that that somehow disproves Christianity. He continues, “You might as well take the number and variety of ideal </w:t>
      </w:r>
      <w:r w:rsidRPr="00DD69FA">
        <w:t>schemes of socie</w:t>
      </w:r>
      <w:r>
        <w:t>ty, from Plato's Republic….to More's Utopia…and</w:t>
      </w:r>
      <w:r w:rsidRPr="00DD69FA">
        <w:t xml:space="preserve"> then try to </w:t>
      </w:r>
      <w:r>
        <w:t>prove f</w:t>
      </w:r>
      <w:r w:rsidRPr="00DD69FA">
        <w:t>rom them that mankind cannot ever reach a be</w:t>
      </w:r>
      <w:r>
        <w:t xml:space="preserve">tter </w:t>
      </w:r>
      <w:r w:rsidRPr="00DD69FA">
        <w:t>social condition. If anything, of co</w:t>
      </w:r>
      <w:r>
        <w:t>urse, they prove the opposite;</w:t>
      </w:r>
      <w:r w:rsidRPr="00DD69FA">
        <w:t xml:space="preserve"> they suggest a human tendency toward a better condition.</w:t>
      </w:r>
      <w:r>
        <w:t>”</w:t>
      </w:r>
    </w:p>
  </w:footnote>
  <w:footnote w:id="27">
    <w:p w14:paraId="77E27828" w14:textId="77777777" w:rsidR="00BC1251" w:rsidRDefault="00BC1251" w:rsidP="002C7C76">
      <w:pPr>
        <w:pStyle w:val="FootnoteText"/>
      </w:pPr>
      <w:r>
        <w:rPr>
          <w:rStyle w:val="FootnoteReference"/>
        </w:rPr>
        <w:footnoteRef/>
      </w:r>
      <w:r>
        <w:t xml:space="preserve"> Gal 4:4</w:t>
      </w:r>
    </w:p>
  </w:footnote>
  <w:footnote w:id="28">
    <w:p w14:paraId="46289DA0" w14:textId="77777777" w:rsidR="00BC1251" w:rsidRDefault="00BC1251" w:rsidP="002C7C76">
      <w:pPr>
        <w:pStyle w:val="FootnoteText"/>
      </w:pPr>
      <w:r>
        <w:rPr>
          <w:rStyle w:val="FootnoteReference"/>
        </w:rPr>
        <w:footnoteRef/>
      </w:r>
      <w:r>
        <w:t xml:space="preserve"> Eusebius </w:t>
      </w:r>
      <w:r w:rsidRPr="00BD6379">
        <w:rPr>
          <w:i/>
        </w:rPr>
        <w:t>The Church History</w:t>
      </w:r>
      <w:r>
        <w:t xml:space="preserve"> 3.5 (trans. Maier) p. 82-83</w:t>
      </w:r>
    </w:p>
  </w:footnote>
  <w:footnote w:id="29">
    <w:p w14:paraId="1F33F026" w14:textId="77777777" w:rsidR="00BC1251" w:rsidRDefault="00BC1251" w:rsidP="002C7C76">
      <w:pPr>
        <w:pStyle w:val="FootnoteText"/>
      </w:pPr>
      <w:r>
        <w:rPr>
          <w:rStyle w:val="FootnoteReference"/>
        </w:rPr>
        <w:footnoteRef/>
      </w:r>
      <w:r>
        <w:t xml:space="preserve"> Plato </w:t>
      </w:r>
      <w:r w:rsidRPr="002B38E2">
        <w:rPr>
          <w:i/>
        </w:rPr>
        <w:t>Republic</w:t>
      </w:r>
      <w:r>
        <w:t xml:space="preserve"> 10.606e (trans. Griffith) p. 328</w:t>
      </w:r>
    </w:p>
  </w:footnote>
  <w:footnote w:id="30">
    <w:p w14:paraId="2690A04C" w14:textId="77777777" w:rsidR="00BC1251" w:rsidRDefault="00BC1251" w:rsidP="002C7C76">
      <w:pPr>
        <w:pStyle w:val="FootnoteText"/>
      </w:pPr>
      <w:r>
        <w:rPr>
          <w:rStyle w:val="FootnoteReference"/>
        </w:rPr>
        <w:footnoteRef/>
      </w:r>
      <w:r>
        <w:t xml:space="preserve"> Acts 17:27</w:t>
      </w:r>
    </w:p>
  </w:footnote>
  <w:footnote w:id="31">
    <w:p w14:paraId="156249D2" w14:textId="77777777" w:rsidR="00BC1251" w:rsidRDefault="00BC1251" w:rsidP="002C7C76">
      <w:pPr>
        <w:pStyle w:val="FootnoteText"/>
      </w:pPr>
      <w:r>
        <w:rPr>
          <w:rStyle w:val="FootnoteReference"/>
        </w:rPr>
        <w:footnoteRef/>
      </w:r>
      <w:r>
        <w:t xml:space="preserve"> Tertullian </w:t>
      </w:r>
      <w:r w:rsidRPr="004A4893">
        <w:rPr>
          <w:i/>
        </w:rPr>
        <w:t>Prescriptions Against Heretics</w:t>
      </w:r>
      <w:r>
        <w:t xml:space="preserve"> 7 as cited in Reynolds p.17</w:t>
      </w:r>
    </w:p>
  </w:footnote>
  <w:footnote w:id="32">
    <w:p w14:paraId="76B6B854" w14:textId="77777777" w:rsidR="00BC1251" w:rsidRDefault="00BC1251" w:rsidP="002C7C76">
      <w:pPr>
        <w:pStyle w:val="FootnoteText"/>
      </w:pPr>
      <w:r>
        <w:rPr>
          <w:rStyle w:val="FootnoteReference"/>
        </w:rPr>
        <w:footnoteRef/>
      </w:r>
      <w:r>
        <w:t xml:space="preserve"> 1 Cor 13:12</w:t>
      </w:r>
    </w:p>
  </w:footnote>
  <w:footnote w:id="33">
    <w:p w14:paraId="5ACA73D0" w14:textId="77777777" w:rsidR="00BC1251" w:rsidRDefault="00BC1251" w:rsidP="002C7C76">
      <w:pPr>
        <w:pStyle w:val="FootnoteText"/>
      </w:pPr>
      <w:r>
        <w:rPr>
          <w:rStyle w:val="FootnoteReference"/>
        </w:rPr>
        <w:footnoteRef/>
      </w:r>
      <w:r>
        <w:t xml:space="preserve"> Stark 1996: 55</w:t>
      </w:r>
    </w:p>
  </w:footnote>
  <w:footnote w:id="34">
    <w:p w14:paraId="23C9D1CC" w14:textId="77777777" w:rsidR="00BC1251" w:rsidRDefault="00BC1251" w:rsidP="002C7C76">
      <w:pPr>
        <w:pStyle w:val="FootnoteText"/>
      </w:pPr>
      <w:r>
        <w:rPr>
          <w:rStyle w:val="FootnoteReference"/>
        </w:rPr>
        <w:footnoteRef/>
      </w:r>
      <w:r>
        <w:t xml:space="preserve"> Stark 1996</w:t>
      </w:r>
    </w:p>
  </w:footnote>
  <w:footnote w:id="35">
    <w:p w14:paraId="0AD3A7C3" w14:textId="77777777" w:rsidR="00BC1251" w:rsidRDefault="00BC1251" w:rsidP="00D35350">
      <w:pPr>
        <w:pStyle w:val="FootnoteText"/>
      </w:pPr>
      <w:r>
        <w:rPr>
          <w:rStyle w:val="FootnoteReference"/>
        </w:rPr>
        <w:footnoteRef/>
      </w:r>
      <w:r>
        <w:t xml:space="preserve"> Luke 10:27</w:t>
      </w:r>
    </w:p>
  </w:footnote>
  <w:footnote w:id="36">
    <w:p w14:paraId="74D7A699" w14:textId="77777777" w:rsidR="00BC1251" w:rsidRDefault="00BC1251" w:rsidP="00D35350">
      <w:pPr>
        <w:pStyle w:val="FootnoteText"/>
      </w:pPr>
      <w:r>
        <w:rPr>
          <w:rStyle w:val="FootnoteReference"/>
        </w:rPr>
        <w:footnoteRef/>
      </w:r>
      <w:r>
        <w:t xml:space="preserve"> Luke 10: 25-37</w:t>
      </w:r>
    </w:p>
  </w:footnote>
  <w:footnote w:id="37">
    <w:p w14:paraId="101F35B8" w14:textId="77777777" w:rsidR="00BC1251" w:rsidRDefault="00BC1251" w:rsidP="00D35350">
      <w:pPr>
        <w:pStyle w:val="FootnoteText"/>
      </w:pPr>
      <w:r>
        <w:rPr>
          <w:rStyle w:val="FootnoteReference"/>
        </w:rPr>
        <w:footnoteRef/>
      </w:r>
      <w:r>
        <w:t xml:space="preserve"> Ryken 1984: 9-15</w:t>
      </w:r>
    </w:p>
  </w:footnote>
  <w:footnote w:id="38">
    <w:p w14:paraId="185C8A52" w14:textId="77777777" w:rsidR="00BC1251" w:rsidRDefault="00BC1251" w:rsidP="00D35350">
      <w:pPr>
        <w:pStyle w:val="FootnoteText"/>
      </w:pPr>
      <w:r>
        <w:rPr>
          <w:rStyle w:val="FootnoteReference"/>
        </w:rPr>
        <w:footnoteRef/>
      </w:r>
      <w:r>
        <w:t xml:space="preserve"> Not only does the story of “The Good Samaritan” provide a definition of the word “neighbor” and a clue as to what the faith of a person destined for eternal life looks like, but Jesus also communicates that that action is not to be limited to only those of one’s family or friends; it should even extend to one’s enemies! The Jew who was victimized and needed help was an enemy of the Samaritan.  Being half-bloods as descendants from intermarriage between the Jews and Assyrians, the Samaritans were hated by the Jews. Thus Jesus infers that a good neighbor is one who is willing to go beyond prejudices and see all people as God’s children.  True faith worthy of eternal life involves actions of selfless love; in fact, He even intimates that the priests (Pharisees of the time) are far from true faith. The priest in the story, the reader will recall, leaves the victim to die. It is the hated Samaritan who is commended for having true faith in that his faith translates to helping not only the helpless but an enemy.</w:t>
      </w:r>
    </w:p>
  </w:footnote>
  <w:footnote w:id="39">
    <w:p w14:paraId="3133214A" w14:textId="77777777" w:rsidR="00BC1251" w:rsidRDefault="00BC1251" w:rsidP="00D35350">
      <w:pPr>
        <w:pStyle w:val="FootnoteText"/>
      </w:pPr>
      <w:r>
        <w:rPr>
          <w:rStyle w:val="FootnoteReference"/>
        </w:rPr>
        <w:footnoteRef/>
      </w:r>
      <w:r>
        <w:t xml:space="preserve"> John 12:20-26</w:t>
      </w:r>
    </w:p>
  </w:footnote>
  <w:footnote w:id="40">
    <w:p w14:paraId="1190E1E3" w14:textId="77777777" w:rsidR="00BC1251" w:rsidRDefault="00BC1251" w:rsidP="00D35350">
      <w:pPr>
        <w:pStyle w:val="FootnoteText"/>
      </w:pPr>
      <w:r>
        <w:rPr>
          <w:rStyle w:val="FootnoteReference"/>
        </w:rPr>
        <w:footnoteRef/>
      </w:r>
      <w:r>
        <w:t xml:space="preserve"> Markos 2007: Loc 137</w:t>
      </w:r>
    </w:p>
  </w:footnote>
  <w:footnote w:id="41">
    <w:p w14:paraId="7E36784F" w14:textId="77777777" w:rsidR="00BC1251" w:rsidRDefault="00BC1251" w:rsidP="00D35350">
      <w:pPr>
        <w:pStyle w:val="FootnoteText"/>
      </w:pPr>
      <w:r>
        <w:rPr>
          <w:rStyle w:val="FootnoteReference"/>
        </w:rPr>
        <w:footnoteRef/>
      </w:r>
      <w:r>
        <w:t xml:space="preserve"> Ibid: Loc 154</w:t>
      </w:r>
    </w:p>
  </w:footnote>
  <w:footnote w:id="42">
    <w:p w14:paraId="0AB26D68" w14:textId="77777777" w:rsidR="00BC1251" w:rsidRDefault="00BC1251" w:rsidP="00D35350">
      <w:pPr>
        <w:pStyle w:val="FootnoteText"/>
      </w:pPr>
      <w:r>
        <w:rPr>
          <w:rStyle w:val="FootnoteReference"/>
        </w:rPr>
        <w:footnoteRef/>
      </w:r>
      <w:r>
        <w:t xml:space="preserve"> Romans 2:10</w:t>
      </w:r>
    </w:p>
  </w:footnote>
  <w:footnote w:id="43">
    <w:p w14:paraId="7A1BE83F" w14:textId="77777777" w:rsidR="00BC1251" w:rsidRDefault="00BC1251" w:rsidP="00D35350">
      <w:pPr>
        <w:pStyle w:val="FootnoteText"/>
      </w:pPr>
      <w:r>
        <w:rPr>
          <w:rStyle w:val="FootnoteReference"/>
        </w:rPr>
        <w:footnoteRef/>
      </w:r>
      <w:r>
        <w:t xml:space="preserve"> Day 2007: 72 In Classical mythology and as part of the Green pantheon of gods, Demeter was the sister and wife of Zeus. Together they produced a daughter, Persephone.  Unbeknownst to Demeter, Zeus promised Persephone to his brother Hades, god of the underworld.  When Hades came and kidnapped Persephone for his wife, Demeter was so inconsolable that she caused a famine and threatened to destroy mankind.  Zeus relented and allowed Persephone to visit Demeter from the underworld for part of the year, the times known as spring and summer.  In the winter, when she returned to her husband, Hades, Demeter was inconsolable thus fall and winter ensued. </w:t>
      </w:r>
    </w:p>
  </w:footnote>
  <w:footnote w:id="44">
    <w:p w14:paraId="1BA9C54E" w14:textId="77777777" w:rsidR="00BC1251" w:rsidRDefault="00BC1251" w:rsidP="00D35350">
      <w:pPr>
        <w:pStyle w:val="FootnoteText"/>
      </w:pPr>
      <w:r>
        <w:rPr>
          <w:rStyle w:val="FootnoteReference"/>
        </w:rPr>
        <w:footnoteRef/>
      </w:r>
      <w:r>
        <w:t xml:space="preserve"> George Mylonas 1947: 143</w:t>
      </w:r>
    </w:p>
  </w:footnote>
  <w:footnote w:id="45">
    <w:p w14:paraId="5B030419" w14:textId="77777777" w:rsidR="00BC1251" w:rsidRDefault="00BC1251" w:rsidP="00D35350">
      <w:pPr>
        <w:pStyle w:val="FootnoteText"/>
      </w:pPr>
      <w:r>
        <w:rPr>
          <w:rStyle w:val="FootnoteReference"/>
        </w:rPr>
        <w:footnoteRef/>
      </w:r>
      <w:r>
        <w:t xml:space="preserve"> Ibid: 130-133; 141  </w:t>
      </w:r>
    </w:p>
  </w:footnote>
  <w:footnote w:id="46">
    <w:p w14:paraId="1DC106DB" w14:textId="77777777" w:rsidR="00BC1251" w:rsidRDefault="00BC1251" w:rsidP="00D35350">
      <w:pPr>
        <w:pStyle w:val="FootnoteText"/>
      </w:pPr>
      <w:r>
        <w:rPr>
          <w:rStyle w:val="FootnoteReference"/>
        </w:rPr>
        <w:footnoteRef/>
      </w:r>
      <w:r>
        <w:t xml:space="preserve"> Frazer 1894: 305</w:t>
      </w:r>
    </w:p>
  </w:footnote>
  <w:footnote w:id="47">
    <w:p w14:paraId="1130B5E3" w14:textId="77777777" w:rsidR="00BC1251" w:rsidRDefault="00BC1251" w:rsidP="00D35350">
      <w:pPr>
        <w:pStyle w:val="FootnoteText"/>
      </w:pPr>
      <w:r>
        <w:rPr>
          <w:rStyle w:val="FootnoteReference"/>
        </w:rPr>
        <w:footnoteRef/>
      </w:r>
      <w:r>
        <w:t xml:space="preserve"> Day 2007: 67</w:t>
      </w:r>
    </w:p>
  </w:footnote>
  <w:footnote w:id="48">
    <w:p w14:paraId="14BE6D08" w14:textId="77777777" w:rsidR="00BC1251" w:rsidRDefault="00BC1251" w:rsidP="00D35350">
      <w:pPr>
        <w:pStyle w:val="FootnoteText"/>
      </w:pPr>
      <w:r>
        <w:rPr>
          <w:rStyle w:val="FootnoteReference"/>
        </w:rPr>
        <w:footnoteRef/>
      </w:r>
      <w:r>
        <w:t xml:space="preserve"> Homer </w:t>
      </w:r>
      <w:r w:rsidRPr="00BD1AFC">
        <w:rPr>
          <w:i/>
        </w:rPr>
        <w:t>Odyssey</w:t>
      </w:r>
      <w:r>
        <w:t xml:space="preserve"> 11.490 [trans: Rieu] p. 152</w:t>
      </w:r>
    </w:p>
  </w:footnote>
  <w:footnote w:id="49">
    <w:p w14:paraId="68697BC9" w14:textId="77777777" w:rsidR="00BC1251" w:rsidRDefault="00BC1251" w:rsidP="00D35350">
      <w:pPr>
        <w:pStyle w:val="FootnoteText"/>
      </w:pPr>
      <w:r>
        <w:rPr>
          <w:rStyle w:val="FootnoteReference"/>
        </w:rPr>
        <w:footnoteRef/>
      </w:r>
      <w:r>
        <w:t xml:space="preserve"> Virgil </w:t>
      </w:r>
      <w:r w:rsidRPr="00BD1AFC">
        <w:rPr>
          <w:i/>
        </w:rPr>
        <w:t>Aeneid</w:t>
      </w:r>
      <w:r>
        <w:t xml:space="preserve"> 6.861 [trans: Fagles] p. 207</w:t>
      </w:r>
    </w:p>
    <w:p w14:paraId="31BEAA7B" w14:textId="77777777" w:rsidR="00BC1251" w:rsidRDefault="00BC1251" w:rsidP="00D35350">
      <w:pPr>
        <w:pStyle w:val="FootnoteText"/>
      </w:pPr>
    </w:p>
  </w:footnote>
  <w:footnote w:id="50">
    <w:p w14:paraId="7A9F1010" w14:textId="77777777" w:rsidR="00BC1251" w:rsidRDefault="00BC1251" w:rsidP="00D35350">
      <w:pPr>
        <w:pStyle w:val="FootnoteText"/>
      </w:pPr>
      <w:r>
        <w:rPr>
          <w:rStyle w:val="FootnoteReference"/>
        </w:rPr>
        <w:footnoteRef/>
      </w:r>
      <w:r>
        <w:t xml:space="preserve"> George Mylonas 1947: 143</w:t>
      </w:r>
    </w:p>
  </w:footnote>
  <w:footnote w:id="51">
    <w:p w14:paraId="43383EC8" w14:textId="77777777" w:rsidR="00BC1251" w:rsidRDefault="00BC1251" w:rsidP="00D35350">
      <w:pPr>
        <w:pStyle w:val="FootnoteText"/>
      </w:pPr>
      <w:r>
        <w:rPr>
          <w:rStyle w:val="FootnoteReference"/>
        </w:rPr>
        <w:footnoteRef/>
      </w:r>
      <w:r>
        <w:t xml:space="preserve"> Nancy Evans 2002: 249</w:t>
      </w:r>
    </w:p>
  </w:footnote>
  <w:footnote w:id="52">
    <w:p w14:paraId="5FCD59FE" w14:textId="77777777" w:rsidR="00BC1251" w:rsidRDefault="00BC1251" w:rsidP="00D35350">
      <w:pPr>
        <w:pStyle w:val="FootnoteText"/>
      </w:pPr>
      <w:r>
        <w:rPr>
          <w:rStyle w:val="FootnoteReference"/>
        </w:rPr>
        <w:footnoteRef/>
      </w:r>
      <w:r>
        <w:t xml:space="preserve"> Eccl 3:11</w:t>
      </w:r>
    </w:p>
  </w:footnote>
  <w:footnote w:id="53">
    <w:p w14:paraId="64024F38" w14:textId="77777777" w:rsidR="00BC1251" w:rsidRDefault="00BC1251" w:rsidP="00D35350">
      <w:pPr>
        <w:pStyle w:val="FootnoteText"/>
      </w:pPr>
      <w:r>
        <w:rPr>
          <w:rStyle w:val="FootnoteReference"/>
        </w:rPr>
        <w:footnoteRef/>
      </w:r>
      <w:r>
        <w:t xml:space="preserve"> Ephesians 3:3-5</w:t>
      </w:r>
    </w:p>
  </w:footnote>
  <w:footnote w:id="54">
    <w:p w14:paraId="47A61167" w14:textId="77777777" w:rsidR="00BC1251" w:rsidRDefault="00BC1251" w:rsidP="00D35350">
      <w:pPr>
        <w:pStyle w:val="FootnoteText"/>
      </w:pPr>
      <w:r>
        <w:rPr>
          <w:rStyle w:val="FootnoteReference"/>
        </w:rPr>
        <w:footnoteRef/>
      </w:r>
      <w:r>
        <w:t xml:space="preserve"> Evans Nancy 2002:251 </w:t>
      </w:r>
    </w:p>
  </w:footnote>
  <w:footnote w:id="55">
    <w:p w14:paraId="48F67223" w14:textId="77777777" w:rsidR="00BC1251" w:rsidRDefault="00BC1251" w:rsidP="00D35350">
      <w:pPr>
        <w:pStyle w:val="FootnoteText"/>
      </w:pPr>
      <w:r>
        <w:rPr>
          <w:rStyle w:val="FootnoteReference"/>
        </w:rPr>
        <w:footnoteRef/>
      </w:r>
      <w:r>
        <w:t xml:space="preserve"> Richardson 1981: 21  Acts 17: 23</w:t>
      </w:r>
    </w:p>
  </w:footnote>
  <w:footnote w:id="56">
    <w:p w14:paraId="31857AC3" w14:textId="77777777" w:rsidR="00BC1251" w:rsidRDefault="00BC1251" w:rsidP="00D35350">
      <w:pPr>
        <w:pStyle w:val="FootnoteText"/>
      </w:pPr>
      <w:r>
        <w:rPr>
          <w:rStyle w:val="FootnoteReference"/>
        </w:rPr>
        <w:footnoteRef/>
      </w:r>
      <w:r>
        <w:t xml:space="preserve"> Acts 17: 22-31</w:t>
      </w:r>
    </w:p>
    <w:p w14:paraId="68C360B5" w14:textId="77777777" w:rsidR="00BC1251" w:rsidRDefault="00BC1251" w:rsidP="00D35350">
      <w:pPr>
        <w:pStyle w:val="FootnoteText"/>
      </w:pPr>
    </w:p>
  </w:footnote>
  <w:footnote w:id="57">
    <w:p w14:paraId="2A61DFBD" w14:textId="77777777" w:rsidR="00BC1251" w:rsidRDefault="00BC1251" w:rsidP="00D35350">
      <w:pPr>
        <w:pStyle w:val="FootnoteText"/>
      </w:pPr>
      <w:r>
        <w:rPr>
          <w:rStyle w:val="FootnoteReference"/>
        </w:rPr>
        <w:footnoteRef/>
      </w:r>
      <w:r>
        <w:t xml:space="preserve"> Diogenes Laertus Vol 1 p. 110 as cited in Richardson 1981: 20</w:t>
      </w:r>
    </w:p>
  </w:footnote>
  <w:footnote w:id="58">
    <w:p w14:paraId="07D1234A" w14:textId="77777777" w:rsidR="00BC1251" w:rsidRDefault="00BC1251" w:rsidP="00D35350">
      <w:pPr>
        <w:pStyle w:val="FootnoteText"/>
      </w:pPr>
      <w:r>
        <w:rPr>
          <w:rStyle w:val="FootnoteReference"/>
        </w:rPr>
        <w:footnoteRef/>
      </w:r>
      <w:r>
        <w:t xml:space="preserve"> Richardson 1981: 20-21</w:t>
      </w:r>
    </w:p>
  </w:footnote>
  <w:footnote w:id="59">
    <w:p w14:paraId="7D438840" w14:textId="77777777" w:rsidR="00BC1251" w:rsidRDefault="00BC1251" w:rsidP="00D35350">
      <w:pPr>
        <w:pStyle w:val="FootnoteText"/>
      </w:pPr>
      <w:r>
        <w:rPr>
          <w:rStyle w:val="FootnoteReference"/>
        </w:rPr>
        <w:footnoteRef/>
      </w:r>
      <w:r>
        <w:t xml:space="preserve"> Titus 1:12-13</w:t>
      </w:r>
    </w:p>
  </w:footnote>
  <w:footnote w:id="60">
    <w:p w14:paraId="22CEEC33" w14:textId="77777777" w:rsidR="00BC1251" w:rsidRDefault="00BC1251" w:rsidP="00D35350">
      <w:pPr>
        <w:pStyle w:val="FootnoteText"/>
      </w:pPr>
      <w:r>
        <w:rPr>
          <w:rStyle w:val="FootnoteReference"/>
        </w:rPr>
        <w:footnoteRef/>
      </w:r>
      <w:r>
        <w:t xml:space="preserve"> Ibid In the notes to this verse, reference is made to the ancient historian Polybius who wrote that personal conduct was treacherous (</w:t>
      </w:r>
      <w:r w:rsidRPr="00074FDD">
        <w:rPr>
          <w:i/>
        </w:rPr>
        <w:t>Histories</w:t>
      </w:r>
      <w:r>
        <w:t xml:space="preserve"> 6.47). Also, Cicero is cited as stating, “Moral principles re so divergent that the Cretans consider highway robbery honorable” (</w:t>
      </w:r>
      <w:r w:rsidRPr="00074FDD">
        <w:rPr>
          <w:i/>
        </w:rPr>
        <w:t>Republic</w:t>
      </w:r>
      <w:r>
        <w:t xml:space="preserve"> 3.9.15). The quote itself Paul cites seems to be from Epimenides of Crete, although there is some debate regarding this since his writings are only known through other authors’ quotations of them.</w:t>
      </w:r>
    </w:p>
  </w:footnote>
  <w:footnote w:id="61">
    <w:p w14:paraId="77481832" w14:textId="77777777" w:rsidR="00BC1251" w:rsidRDefault="00BC1251" w:rsidP="00D35350">
      <w:pPr>
        <w:pStyle w:val="FootnoteText"/>
      </w:pPr>
      <w:r>
        <w:rPr>
          <w:rStyle w:val="FootnoteReference"/>
        </w:rPr>
        <w:footnoteRef/>
      </w:r>
      <w:r>
        <w:t xml:space="preserve"> Cadoux 2020</w:t>
      </w:r>
    </w:p>
  </w:footnote>
  <w:footnote w:id="62">
    <w:p w14:paraId="23D534CC" w14:textId="77777777" w:rsidR="00BC1251" w:rsidRDefault="00BC1251" w:rsidP="00D35350">
      <w:pPr>
        <w:pStyle w:val="FootnoteText"/>
      </w:pPr>
      <w:r>
        <w:rPr>
          <w:rStyle w:val="FootnoteReference"/>
        </w:rPr>
        <w:footnoteRef/>
      </w:r>
      <w:r>
        <w:t xml:space="preserve"> Acts 17:28</w:t>
      </w:r>
    </w:p>
  </w:footnote>
  <w:footnote w:id="63">
    <w:p w14:paraId="455728B0" w14:textId="77777777" w:rsidR="00BC1251" w:rsidRDefault="00BC1251" w:rsidP="00D35350">
      <w:pPr>
        <w:pStyle w:val="FootnoteText"/>
      </w:pPr>
      <w:r>
        <w:rPr>
          <w:rStyle w:val="FootnoteReference"/>
        </w:rPr>
        <w:footnoteRef/>
      </w:r>
      <w:r>
        <w:t xml:space="preserve"> Acts 17:27</w:t>
      </w:r>
    </w:p>
  </w:footnote>
  <w:footnote w:id="64">
    <w:p w14:paraId="3BC0B2B7" w14:textId="77777777" w:rsidR="00BC1251" w:rsidRDefault="00BC1251" w:rsidP="00D35350">
      <w:pPr>
        <w:pStyle w:val="FootnoteText"/>
      </w:pPr>
      <w:r>
        <w:rPr>
          <w:rStyle w:val="FootnoteReference"/>
        </w:rPr>
        <w:footnoteRef/>
      </w:r>
      <w:r>
        <w:t xml:space="preserve"> Acts 17: 28</w:t>
      </w:r>
    </w:p>
  </w:footnote>
  <w:footnote w:id="65">
    <w:p w14:paraId="6A94FAF5" w14:textId="77777777" w:rsidR="00BC1251" w:rsidRDefault="00BC1251" w:rsidP="00D35350">
      <w:pPr>
        <w:pStyle w:val="FootnoteText"/>
      </w:pPr>
      <w:r>
        <w:rPr>
          <w:rStyle w:val="FootnoteReference"/>
        </w:rPr>
        <w:footnoteRef/>
      </w:r>
      <w:r>
        <w:t xml:space="preserve"> Theoi Project, 2000</w:t>
      </w:r>
    </w:p>
  </w:footnote>
  <w:footnote w:id="66">
    <w:p w14:paraId="706C7918" w14:textId="77777777" w:rsidR="00BC1251" w:rsidRDefault="00BC1251" w:rsidP="00D35350">
      <w:pPr>
        <w:pStyle w:val="FootnoteText"/>
      </w:pPr>
      <w:r>
        <w:rPr>
          <w:rStyle w:val="FootnoteReference"/>
        </w:rPr>
        <w:footnoteRef/>
      </w:r>
      <w:r>
        <w:t xml:space="preserve"> Acts 17: 29</w:t>
      </w:r>
    </w:p>
  </w:footnote>
  <w:footnote w:id="67">
    <w:p w14:paraId="0C6E83BC" w14:textId="77777777" w:rsidR="00BC1251" w:rsidRDefault="00BC1251" w:rsidP="00D35350">
      <w:pPr>
        <w:pStyle w:val="FootnoteText"/>
      </w:pPr>
      <w:r>
        <w:rPr>
          <w:rStyle w:val="FootnoteReference"/>
        </w:rPr>
        <w:footnoteRef/>
      </w:r>
      <w:r>
        <w:t xml:space="preserve"> Reynolds 2009:41</w:t>
      </w:r>
    </w:p>
  </w:footnote>
  <w:footnote w:id="68">
    <w:p w14:paraId="06C07A13" w14:textId="77777777" w:rsidR="00BC1251" w:rsidRDefault="00BC1251" w:rsidP="00D35350">
      <w:pPr>
        <w:pStyle w:val="FootnoteText"/>
      </w:pPr>
      <w:r>
        <w:rPr>
          <w:rStyle w:val="FootnoteReference"/>
        </w:rPr>
        <w:footnoteRef/>
      </w:r>
      <w:r>
        <w:t xml:space="preserve"> John 1:1</w:t>
      </w:r>
    </w:p>
  </w:footnote>
  <w:footnote w:id="69">
    <w:p w14:paraId="2117D5EA" w14:textId="77777777" w:rsidR="00BC1251" w:rsidRDefault="00BC1251" w:rsidP="00D35350">
      <w:pPr>
        <w:pStyle w:val="FootnoteText"/>
      </w:pPr>
      <w:r>
        <w:rPr>
          <w:rStyle w:val="FootnoteReference"/>
        </w:rPr>
        <w:footnoteRef/>
      </w:r>
      <w:r>
        <w:t xml:space="preserve"> John 1:14</w:t>
      </w:r>
    </w:p>
  </w:footnote>
  <w:footnote w:id="70">
    <w:p w14:paraId="2A762F87" w14:textId="77777777" w:rsidR="00BC1251" w:rsidRDefault="00BC1251" w:rsidP="00D35350">
      <w:pPr>
        <w:pStyle w:val="FootnoteText"/>
      </w:pPr>
      <w:r>
        <w:rPr>
          <w:rStyle w:val="FootnoteReference"/>
        </w:rPr>
        <w:footnoteRef/>
      </w:r>
      <w:r>
        <w:t xml:space="preserve"> John 1:38</w:t>
      </w:r>
    </w:p>
  </w:footnote>
  <w:footnote w:id="71">
    <w:p w14:paraId="130A0664" w14:textId="77777777" w:rsidR="00BC1251" w:rsidRDefault="00BC1251" w:rsidP="00D35350">
      <w:pPr>
        <w:pStyle w:val="FootnoteText"/>
      </w:pPr>
      <w:r>
        <w:rPr>
          <w:rStyle w:val="FootnoteReference"/>
        </w:rPr>
        <w:footnoteRef/>
      </w:r>
      <w:r>
        <w:t xml:space="preserve"> Johnstone 2014:  3</w:t>
      </w:r>
    </w:p>
  </w:footnote>
  <w:footnote w:id="72">
    <w:p w14:paraId="02A3F496" w14:textId="77777777" w:rsidR="00BC1251" w:rsidRDefault="00BC1251" w:rsidP="00D35350">
      <w:pPr>
        <w:pStyle w:val="FootnoteText"/>
      </w:pPr>
      <w:r>
        <w:rPr>
          <w:rStyle w:val="FootnoteReference"/>
        </w:rPr>
        <w:footnoteRef/>
      </w:r>
      <w:r>
        <w:t xml:space="preserve"> Reynolds 2009: 36</w:t>
      </w:r>
    </w:p>
  </w:footnote>
  <w:footnote w:id="73">
    <w:p w14:paraId="66EAD231" w14:textId="77777777" w:rsidR="00BC1251" w:rsidRDefault="00BC1251" w:rsidP="00D35350">
      <w:pPr>
        <w:pStyle w:val="FootnoteText"/>
      </w:pPr>
      <w:r>
        <w:rPr>
          <w:rStyle w:val="FootnoteReference"/>
        </w:rPr>
        <w:footnoteRef/>
      </w:r>
      <w:r>
        <w:t xml:space="preserve"> Ibid: 31</w:t>
      </w:r>
    </w:p>
  </w:footnote>
  <w:footnote w:id="74">
    <w:p w14:paraId="598E8861" w14:textId="77777777" w:rsidR="00BC1251" w:rsidRDefault="00BC1251" w:rsidP="00D35350">
      <w:pPr>
        <w:pStyle w:val="FootnoteText"/>
      </w:pPr>
      <w:r>
        <w:rPr>
          <w:rStyle w:val="FootnoteReference"/>
        </w:rPr>
        <w:footnoteRef/>
      </w:r>
      <w:r>
        <w:t xml:space="preserve"> Johnstone 2014: 14-15</w:t>
      </w:r>
    </w:p>
  </w:footnote>
  <w:footnote w:id="75">
    <w:p w14:paraId="4C12D544" w14:textId="77777777" w:rsidR="00BC1251" w:rsidRDefault="00BC1251" w:rsidP="00D35350">
      <w:pPr>
        <w:pStyle w:val="FootnoteText"/>
      </w:pPr>
      <w:r>
        <w:rPr>
          <w:rStyle w:val="FootnoteReference"/>
        </w:rPr>
        <w:footnoteRef/>
      </w:r>
      <w:r>
        <w:t xml:space="preserve"> Ibid</w:t>
      </w:r>
    </w:p>
  </w:footnote>
  <w:footnote w:id="76">
    <w:p w14:paraId="098C7E5A" w14:textId="77777777" w:rsidR="00BC1251" w:rsidRDefault="00BC1251" w:rsidP="00D35350">
      <w:pPr>
        <w:pStyle w:val="FootnoteText"/>
      </w:pPr>
      <w:r>
        <w:rPr>
          <w:rStyle w:val="FootnoteReference"/>
        </w:rPr>
        <w:footnoteRef/>
      </w:r>
      <w:r>
        <w:t xml:space="preserve"> Aesch. </w:t>
      </w:r>
      <w:r w:rsidRPr="0086201C">
        <w:rPr>
          <w:i/>
        </w:rPr>
        <w:t>Eum</w:t>
      </w:r>
      <w:r>
        <w:t>. 428 as cited in Johnstone 2014: 15</w:t>
      </w:r>
    </w:p>
  </w:footnote>
  <w:footnote w:id="77">
    <w:p w14:paraId="6DD804B4" w14:textId="77777777" w:rsidR="00BC1251" w:rsidRDefault="00BC1251" w:rsidP="00D35350">
      <w:pPr>
        <w:pStyle w:val="FootnoteText"/>
      </w:pPr>
      <w:r>
        <w:rPr>
          <w:rStyle w:val="FootnoteReference"/>
        </w:rPr>
        <w:footnoteRef/>
      </w:r>
      <w:r>
        <w:t xml:space="preserve"> Aesch. </w:t>
      </w:r>
      <w:r w:rsidRPr="00DD3E59">
        <w:rPr>
          <w:i/>
        </w:rPr>
        <w:t xml:space="preserve">Eum </w:t>
      </w:r>
      <w:r>
        <w:t>428 (trans. Smyth)</w:t>
      </w:r>
    </w:p>
  </w:footnote>
  <w:footnote w:id="78">
    <w:p w14:paraId="13396E92" w14:textId="77777777" w:rsidR="00BC1251" w:rsidRDefault="00BC1251" w:rsidP="00D35350">
      <w:pPr>
        <w:pStyle w:val="FootnoteText"/>
      </w:pPr>
      <w:r>
        <w:rPr>
          <w:rStyle w:val="FootnoteReference"/>
        </w:rPr>
        <w:footnoteRef/>
      </w:r>
      <w:r>
        <w:t xml:space="preserve"> Johnstone 2014: 16-17</w:t>
      </w:r>
    </w:p>
  </w:footnote>
  <w:footnote w:id="79">
    <w:p w14:paraId="1D539036" w14:textId="77777777" w:rsidR="00BC1251" w:rsidRDefault="00BC1251" w:rsidP="00D35350">
      <w:pPr>
        <w:pStyle w:val="FootnoteText"/>
      </w:pPr>
      <w:r>
        <w:rPr>
          <w:rStyle w:val="FootnoteReference"/>
        </w:rPr>
        <w:footnoteRef/>
      </w:r>
      <w:r>
        <w:t xml:space="preserve"> Ibid: 6</w:t>
      </w:r>
    </w:p>
  </w:footnote>
  <w:footnote w:id="80">
    <w:p w14:paraId="29D031CC" w14:textId="77777777" w:rsidR="00BC1251" w:rsidRDefault="00BC1251" w:rsidP="00D35350">
      <w:pPr>
        <w:pStyle w:val="FootnoteText"/>
      </w:pPr>
      <w:r>
        <w:rPr>
          <w:rStyle w:val="FootnoteReference"/>
        </w:rPr>
        <w:footnoteRef/>
      </w:r>
      <w:r>
        <w:t xml:space="preserve"> Heraclitus Fr.2 (trans. Patrick) loc 1162</w:t>
      </w:r>
    </w:p>
    <w:p w14:paraId="33133235" w14:textId="77777777" w:rsidR="00BC1251" w:rsidRDefault="00BC1251" w:rsidP="00D35350">
      <w:pPr>
        <w:pStyle w:val="FootnoteText"/>
      </w:pPr>
    </w:p>
  </w:footnote>
  <w:footnote w:id="81">
    <w:p w14:paraId="0279DF98" w14:textId="77777777" w:rsidR="00BC1251" w:rsidRDefault="00BC1251" w:rsidP="00D35350">
      <w:pPr>
        <w:pStyle w:val="FootnoteText"/>
      </w:pPr>
      <w:r>
        <w:rPr>
          <w:rStyle w:val="FootnoteReference"/>
        </w:rPr>
        <w:footnoteRef/>
      </w:r>
      <w:r>
        <w:t xml:space="preserve"> Johnstone 2014: 6-7</w:t>
      </w:r>
    </w:p>
  </w:footnote>
  <w:footnote w:id="82">
    <w:p w14:paraId="18837083" w14:textId="77777777" w:rsidR="00BC1251" w:rsidRDefault="00BC1251" w:rsidP="00D35350">
      <w:pPr>
        <w:pStyle w:val="FootnoteText"/>
      </w:pPr>
      <w:r>
        <w:rPr>
          <w:rStyle w:val="FootnoteReference"/>
        </w:rPr>
        <w:footnoteRef/>
      </w:r>
      <w:r>
        <w:t xml:space="preserve"> Heraclitus Fr. 92 (trans. Patrick) loc 1278</w:t>
      </w:r>
    </w:p>
  </w:footnote>
  <w:footnote w:id="83">
    <w:p w14:paraId="057FFE1A" w14:textId="77777777" w:rsidR="00BC1251" w:rsidRDefault="00BC1251" w:rsidP="00D35350">
      <w:pPr>
        <w:pStyle w:val="FootnoteText"/>
      </w:pPr>
      <w:r>
        <w:rPr>
          <w:rStyle w:val="FootnoteReference"/>
        </w:rPr>
        <w:footnoteRef/>
      </w:r>
      <w:r>
        <w:t xml:space="preserve"> Ibid Fr. 96 (trans. Patrick)</w:t>
      </w:r>
    </w:p>
  </w:footnote>
  <w:footnote w:id="84">
    <w:p w14:paraId="1A43F1E1" w14:textId="77777777" w:rsidR="00BC1251" w:rsidRDefault="00BC1251" w:rsidP="00D35350">
      <w:pPr>
        <w:pStyle w:val="FootnoteText"/>
      </w:pPr>
      <w:r>
        <w:rPr>
          <w:rStyle w:val="FootnoteReference"/>
        </w:rPr>
        <w:footnoteRef/>
      </w:r>
      <w:r>
        <w:t xml:space="preserve"> Ibid Fr. 1 (trans. Patrick)</w:t>
      </w:r>
    </w:p>
  </w:footnote>
  <w:footnote w:id="85">
    <w:p w14:paraId="3BA314B0" w14:textId="77777777" w:rsidR="00BC1251" w:rsidRDefault="00BC1251" w:rsidP="00D35350">
      <w:pPr>
        <w:pStyle w:val="FootnoteText"/>
      </w:pPr>
      <w:r>
        <w:rPr>
          <w:rStyle w:val="FootnoteReference"/>
        </w:rPr>
        <w:footnoteRef/>
      </w:r>
      <w:r>
        <w:t xml:space="preserve"> Johnstone 2014: 8</w:t>
      </w:r>
    </w:p>
  </w:footnote>
  <w:footnote w:id="86">
    <w:p w14:paraId="7A5D7681" w14:textId="77777777" w:rsidR="00BC1251" w:rsidRDefault="00BC1251" w:rsidP="00D35350">
      <w:pPr>
        <w:pStyle w:val="FootnoteText"/>
      </w:pPr>
      <w:r>
        <w:rPr>
          <w:rStyle w:val="FootnoteReference"/>
        </w:rPr>
        <w:footnoteRef/>
      </w:r>
      <w:r>
        <w:t xml:space="preserve"> Heraclitus Fr. 65 (trans. Patrick) loc 1246</w:t>
      </w:r>
    </w:p>
  </w:footnote>
  <w:footnote w:id="87">
    <w:p w14:paraId="57419F56" w14:textId="77777777" w:rsidR="00BC1251" w:rsidRDefault="00BC1251" w:rsidP="00D35350">
      <w:pPr>
        <w:pStyle w:val="FootnoteText"/>
      </w:pPr>
      <w:r>
        <w:rPr>
          <w:rStyle w:val="FootnoteReference"/>
        </w:rPr>
        <w:footnoteRef/>
      </w:r>
      <w:r>
        <w:t xml:space="preserve"> Justin Martyr Introductory Note </w:t>
      </w:r>
      <w:r w:rsidRPr="007074C1">
        <w:rPr>
          <w:i/>
        </w:rPr>
        <w:t>Writings of Justin Martyr</w:t>
      </w:r>
      <w:r>
        <w:t xml:space="preserve"> loc 12</w:t>
      </w:r>
    </w:p>
  </w:footnote>
  <w:footnote w:id="88">
    <w:p w14:paraId="0B8A91FE" w14:textId="77777777" w:rsidR="00BC1251" w:rsidRDefault="00BC1251" w:rsidP="00D35350">
      <w:pPr>
        <w:pStyle w:val="FootnoteText"/>
      </w:pPr>
      <w:r>
        <w:rPr>
          <w:rStyle w:val="FootnoteReference"/>
        </w:rPr>
        <w:footnoteRef/>
      </w:r>
      <w:r>
        <w:t xml:space="preserve"> Eusebius </w:t>
      </w:r>
      <w:r w:rsidRPr="007A10E2">
        <w:rPr>
          <w:i/>
        </w:rPr>
        <w:t>Church History</w:t>
      </w:r>
      <w:r>
        <w:t xml:space="preserve"> 4.12 (trans: Maier) p. 126-127</w:t>
      </w:r>
    </w:p>
  </w:footnote>
  <w:footnote w:id="89">
    <w:p w14:paraId="5E0F7864" w14:textId="77777777" w:rsidR="00BC1251" w:rsidRDefault="00BC1251" w:rsidP="00D35350">
      <w:pPr>
        <w:pStyle w:val="FootnoteText"/>
      </w:pPr>
      <w:r>
        <w:rPr>
          <w:rStyle w:val="FootnoteReference"/>
        </w:rPr>
        <w:footnoteRef/>
      </w:r>
      <w:r>
        <w:t xml:space="preserve"> Ibid: 4.16</w:t>
      </w:r>
    </w:p>
  </w:footnote>
  <w:footnote w:id="90">
    <w:p w14:paraId="128A7A3C" w14:textId="77777777" w:rsidR="00BC1251" w:rsidRDefault="00BC1251" w:rsidP="00D35350">
      <w:pPr>
        <w:pStyle w:val="FootnoteText"/>
      </w:pPr>
      <w:r>
        <w:rPr>
          <w:rStyle w:val="FootnoteReference"/>
        </w:rPr>
        <w:footnoteRef/>
      </w:r>
      <w:r>
        <w:t xml:space="preserve"> Justin Martyr </w:t>
      </w:r>
      <w:r w:rsidRPr="00EE3CD9">
        <w:rPr>
          <w:i/>
        </w:rPr>
        <w:t>Writings of Justin Martyr</w:t>
      </w:r>
      <w:r>
        <w:t xml:space="preserve"> </w:t>
      </w:r>
      <w:r w:rsidRPr="00301995">
        <w:rPr>
          <w:i/>
        </w:rPr>
        <w:t>Second Apology</w:t>
      </w:r>
      <w:r>
        <w:t xml:space="preserve"> 13 (trans. Roberts et.al.) loc 1129</w:t>
      </w:r>
    </w:p>
    <w:p w14:paraId="65800478" w14:textId="77777777" w:rsidR="00BC1251" w:rsidRDefault="00BC1251" w:rsidP="00D35350">
      <w:pPr>
        <w:pStyle w:val="FootnoteText"/>
      </w:pPr>
    </w:p>
  </w:footnote>
  <w:footnote w:id="91">
    <w:p w14:paraId="7B386407" w14:textId="77777777" w:rsidR="00BC1251" w:rsidRDefault="00BC1251" w:rsidP="00D35350">
      <w:pPr>
        <w:pStyle w:val="FootnoteText"/>
      </w:pPr>
      <w:r>
        <w:rPr>
          <w:rStyle w:val="FootnoteReference"/>
        </w:rPr>
        <w:footnoteRef/>
      </w:r>
      <w:r>
        <w:t xml:space="preserve"> Parvis 2008: 59</w:t>
      </w:r>
    </w:p>
  </w:footnote>
  <w:footnote w:id="92">
    <w:p w14:paraId="3D626B16" w14:textId="77777777" w:rsidR="00BC1251" w:rsidRDefault="00BC1251" w:rsidP="00D35350">
      <w:pPr>
        <w:pStyle w:val="FootnoteText"/>
      </w:pPr>
      <w:r>
        <w:rPr>
          <w:rStyle w:val="FootnoteReference"/>
        </w:rPr>
        <w:footnoteRef/>
      </w:r>
      <w:r>
        <w:t xml:space="preserve"> Justin Martyr </w:t>
      </w:r>
      <w:r w:rsidRPr="00F057CF">
        <w:rPr>
          <w:i/>
        </w:rPr>
        <w:t>Writings of Justin Martyr First Apology</w:t>
      </w:r>
      <w:r>
        <w:t xml:space="preserve"> 46 (trans. Roberts et.al.) loc 619</w:t>
      </w:r>
    </w:p>
  </w:footnote>
  <w:footnote w:id="93">
    <w:p w14:paraId="03B2FF4A" w14:textId="77777777" w:rsidR="00BC1251" w:rsidRDefault="00BC1251" w:rsidP="00D35350">
      <w:pPr>
        <w:pStyle w:val="FootnoteText"/>
      </w:pPr>
      <w:r>
        <w:rPr>
          <w:rStyle w:val="FootnoteReference"/>
        </w:rPr>
        <w:footnoteRef/>
      </w:r>
      <w:r>
        <w:t xml:space="preserve"> </w:t>
      </w:r>
      <w:r w:rsidRPr="00A67924">
        <w:rPr>
          <w:i/>
        </w:rPr>
        <w:t>Fragm</w:t>
      </w:r>
      <w:r>
        <w:t>., 26:…” rectoris orbis terrarium caelique et deorum omnium dei…” as cited in Burton 1909:358</w:t>
      </w:r>
    </w:p>
  </w:footnote>
  <w:footnote w:id="94">
    <w:p w14:paraId="04F87AA0" w14:textId="77777777" w:rsidR="00BC1251" w:rsidRDefault="00BC1251" w:rsidP="00D35350">
      <w:pPr>
        <w:pStyle w:val="FootnoteText"/>
      </w:pPr>
      <w:r>
        <w:rPr>
          <w:rStyle w:val="FootnoteReference"/>
        </w:rPr>
        <w:footnoteRef/>
      </w:r>
      <w:r>
        <w:t xml:space="preserve"> </w:t>
      </w:r>
      <w:r w:rsidRPr="00313192">
        <w:rPr>
          <w:i/>
        </w:rPr>
        <w:t>Ben.,</w:t>
      </w:r>
      <w:r>
        <w:t xml:space="preserve"> IV, 4. 1 as cited in Burton 1909: 361</w:t>
      </w:r>
    </w:p>
  </w:footnote>
  <w:footnote w:id="95">
    <w:p w14:paraId="4B84FD34" w14:textId="77777777" w:rsidR="00BC1251" w:rsidRDefault="00BC1251" w:rsidP="00D35350">
      <w:pPr>
        <w:pStyle w:val="FootnoteText"/>
      </w:pPr>
      <w:r>
        <w:rPr>
          <w:rStyle w:val="FootnoteReference"/>
        </w:rPr>
        <w:footnoteRef/>
      </w:r>
      <w:r>
        <w:t xml:space="preserve"> </w:t>
      </w:r>
      <w:r w:rsidRPr="004C3EEF">
        <w:rPr>
          <w:i/>
        </w:rPr>
        <w:t>Prov</w:t>
      </w:r>
      <w:r>
        <w:t>., 2.6 as cited Ibid</w:t>
      </w:r>
    </w:p>
  </w:footnote>
  <w:footnote w:id="96">
    <w:p w14:paraId="47F28CC1" w14:textId="77777777" w:rsidR="00BC1251" w:rsidRDefault="00BC1251" w:rsidP="00D35350">
      <w:pPr>
        <w:pStyle w:val="FootnoteText"/>
      </w:pPr>
      <w:r>
        <w:rPr>
          <w:rStyle w:val="FootnoteReference"/>
        </w:rPr>
        <w:footnoteRef/>
      </w:r>
      <w:r>
        <w:t xml:space="preserve"> Justin Martyr </w:t>
      </w:r>
      <w:r w:rsidRPr="00EE3CD9">
        <w:rPr>
          <w:i/>
        </w:rPr>
        <w:t>Writings of Justin Martyr</w:t>
      </w:r>
      <w:r>
        <w:t xml:space="preserve"> </w:t>
      </w:r>
      <w:r w:rsidRPr="00301995">
        <w:rPr>
          <w:i/>
        </w:rPr>
        <w:t>Second Apology</w:t>
      </w:r>
      <w:r>
        <w:t xml:space="preserve"> 13 (trans. Roberts et.al) loc 1129</w:t>
      </w:r>
    </w:p>
  </w:footnote>
  <w:footnote w:id="97">
    <w:p w14:paraId="3F0EB249" w14:textId="77777777" w:rsidR="00BC1251" w:rsidRDefault="00BC1251" w:rsidP="00D35350">
      <w:pPr>
        <w:pStyle w:val="FootnoteText"/>
      </w:pPr>
      <w:r>
        <w:rPr>
          <w:rStyle w:val="FootnoteReference"/>
        </w:rPr>
        <w:footnoteRef/>
      </w:r>
      <w:r>
        <w:t xml:space="preserve"> Romans 2:14</w:t>
      </w:r>
    </w:p>
  </w:footnote>
  <w:footnote w:id="98">
    <w:p w14:paraId="31DA831F" w14:textId="77777777" w:rsidR="00BC1251" w:rsidRPr="004F49F5" w:rsidRDefault="00BC1251" w:rsidP="00D35350">
      <w:pPr>
        <w:pStyle w:val="FootnoteText"/>
      </w:pPr>
      <w:r>
        <w:rPr>
          <w:rStyle w:val="FootnoteReference"/>
        </w:rPr>
        <w:footnoteRef/>
      </w:r>
      <w:r>
        <w:t xml:space="preserve"> Justin Martyr </w:t>
      </w:r>
      <w:r>
        <w:rPr>
          <w:i/>
        </w:rPr>
        <w:t xml:space="preserve">Hortatory Address to the Greeks </w:t>
      </w:r>
      <w:r>
        <w:t>14. (trans. Roberts et.al) loc 4288  Justin’s assertion is curious and deserves consideration. Plato, born in Alexandria sometime in the 5</w:t>
      </w:r>
      <w:r w:rsidRPr="00957534">
        <w:rPr>
          <w:vertAlign w:val="superscript"/>
        </w:rPr>
        <w:t>th</w:t>
      </w:r>
      <w:r>
        <w:t xml:space="preserve"> century B.C., is thought to have traveled to Egypt after the death of his mentor and friend, Socrates. In his book, </w:t>
      </w:r>
      <w:r w:rsidRPr="00D6503D">
        <w:rPr>
          <w:i/>
        </w:rPr>
        <w:t>Plato: The Man and His Work</w:t>
      </w:r>
      <w:r>
        <w:t xml:space="preserve">, the renowned Plato scholar, A.E. Taylor, states that original members of Plato’s academy fled Athens for a while after Socrates’ trial and sentencing to death, and it was during that time that Plato traveled to Cyrene, Italy, and Egypt ( page 4).  As further evidence that the travel to Egypt might be genuine, he notes that Plato’s account of Egyptian culture in his </w:t>
      </w:r>
      <w:r w:rsidRPr="00CF1932">
        <w:rPr>
          <w:i/>
        </w:rPr>
        <w:t>Laws</w:t>
      </w:r>
      <w:r>
        <w:t xml:space="preserve"> reflects first-hand knowledge (4). Egypt, as Justin Martyr recounts, was a place where philosophers went to study and learn of the antiquity of civilizations (</w:t>
      </w:r>
      <w:r w:rsidRPr="004338D0">
        <w:rPr>
          <w:i/>
        </w:rPr>
        <w:t>Dial Trypho</w:t>
      </w:r>
      <w:r>
        <w:rPr>
          <w:i/>
        </w:rPr>
        <w:t xml:space="preserve"> </w:t>
      </w:r>
      <w:r w:rsidRPr="004338D0">
        <w:t>12)</w:t>
      </w:r>
      <w:r>
        <w:t>, and since Moses spent time in Egypt himself as a young man in the Royal household, it is not out of the realm of possibility that Plato and his philosophical predecessors encountered the writings of Moses there. Though the Septuagint, the Greek translation of the Hebrew Old Testament, was not available until after Plato had died, and there is no evidence that Plato knew the Hebrew language, it is conceivable that Hebrew works could have been verbally translated to Plato.  Plato himself infers that Solon, the Athenian statesman of the 6</w:t>
      </w:r>
      <w:r w:rsidRPr="000C3745">
        <w:rPr>
          <w:vertAlign w:val="superscript"/>
        </w:rPr>
        <w:t>th</w:t>
      </w:r>
      <w:r>
        <w:t xml:space="preserve"> century, had personal contact with wise Egyptian priests who told him of the infancy of Greek culture relative to the ancient civilizations that preceded it. (</w:t>
      </w:r>
      <w:r>
        <w:rPr>
          <w:i/>
        </w:rPr>
        <w:t xml:space="preserve">Timaeus </w:t>
      </w:r>
      <w:r>
        <w:t>page</w:t>
      </w:r>
      <w:r>
        <w:rPr>
          <w:i/>
        </w:rPr>
        <w:t xml:space="preserve"> </w:t>
      </w:r>
      <w:r>
        <w:t>5). Perhaps even more intriguing, the Hebrew prophet, Isaiah, who wrote of his visions in the years spanning 767-686 BC conveys the Lord’s intent to send Hebrew emissaries to the Javan (the name assigned to the Greeks in the ancient world) in order to declare the glory of God and His fame (Isaiah 66:19). So it is possible that Hebraic ideas had been circulating in Greece several centuries before Plato even came on the scene. Scripture also mentions that the Javan traded with Tyre, a well-known and wealthy international trading center located off the coast of Israel in the 5</w:t>
      </w:r>
      <w:r w:rsidRPr="00DE04B6">
        <w:rPr>
          <w:vertAlign w:val="superscript"/>
        </w:rPr>
        <w:t>th</w:t>
      </w:r>
      <w:r>
        <w:t xml:space="preserve"> century (Ezekiel 27:13).  So again it is entirely possible that the writings of Moses were circulated verbally and made their way back to the shores of Greece. </w:t>
      </w:r>
    </w:p>
    <w:p w14:paraId="26E5059E" w14:textId="77777777" w:rsidR="00BC1251" w:rsidRDefault="00BC1251" w:rsidP="00D35350">
      <w:pPr>
        <w:pStyle w:val="FootnoteText"/>
      </w:pPr>
    </w:p>
  </w:footnote>
  <w:footnote w:id="99">
    <w:p w14:paraId="3B155192" w14:textId="77777777" w:rsidR="00BC1251" w:rsidRDefault="00BC1251" w:rsidP="00D35350">
      <w:pPr>
        <w:pStyle w:val="FootnoteText"/>
      </w:pPr>
      <w:r>
        <w:rPr>
          <w:rStyle w:val="FootnoteReference"/>
        </w:rPr>
        <w:footnoteRef/>
      </w:r>
      <w:r>
        <w:t xml:space="preserve"> Eusebius </w:t>
      </w:r>
      <w:r w:rsidRPr="00602C48">
        <w:rPr>
          <w:i/>
        </w:rPr>
        <w:t>Preparation for the Gospel</w:t>
      </w:r>
      <w:r>
        <w:t xml:space="preserve"> Preface 11 (trans. Gifford) p. 451</w:t>
      </w:r>
    </w:p>
  </w:footnote>
  <w:footnote w:id="100">
    <w:p w14:paraId="3BE71958" w14:textId="77777777" w:rsidR="00BC1251" w:rsidRDefault="00BC1251" w:rsidP="00D35350">
      <w:pPr>
        <w:pStyle w:val="FootnoteText"/>
      </w:pPr>
      <w:r>
        <w:rPr>
          <w:rStyle w:val="FootnoteReference"/>
        </w:rPr>
        <w:footnoteRef/>
      </w:r>
      <w:r>
        <w:t xml:space="preserve"> Ibid 11.10 p. 468</w:t>
      </w:r>
    </w:p>
  </w:footnote>
  <w:footnote w:id="101">
    <w:p w14:paraId="2BC40D80" w14:textId="77777777" w:rsidR="00BC1251" w:rsidRDefault="00BC1251" w:rsidP="00D35350">
      <w:pPr>
        <w:pStyle w:val="FootnoteText"/>
      </w:pPr>
      <w:r>
        <w:rPr>
          <w:rStyle w:val="FootnoteReference"/>
        </w:rPr>
        <w:footnoteRef/>
      </w:r>
      <w:r>
        <w:t xml:space="preserve"> Justin Martyr </w:t>
      </w:r>
      <w:r>
        <w:rPr>
          <w:i/>
        </w:rPr>
        <w:t>The Writings of Justin Martyr</w:t>
      </w:r>
      <w:r>
        <w:t xml:space="preserve">- </w:t>
      </w:r>
      <w:r w:rsidRPr="001F1185">
        <w:rPr>
          <w:i/>
        </w:rPr>
        <w:t>Hortatory Address to the Greeks</w:t>
      </w:r>
      <w:r>
        <w:rPr>
          <w:i/>
        </w:rPr>
        <w:t xml:space="preserve"> </w:t>
      </w:r>
      <w:r>
        <w:t>19</w:t>
      </w:r>
      <w:r w:rsidRPr="001F1185">
        <w:rPr>
          <w:i/>
        </w:rPr>
        <w:t xml:space="preserve"> </w:t>
      </w:r>
      <w:r>
        <w:t>(trans. Roberts et.al) loc 4349</w:t>
      </w:r>
    </w:p>
    <w:p w14:paraId="1B46BABF" w14:textId="77777777" w:rsidR="00BC1251" w:rsidRDefault="00BC1251" w:rsidP="00D35350">
      <w:pPr>
        <w:pStyle w:val="FootnoteText"/>
      </w:pPr>
    </w:p>
  </w:footnote>
  <w:footnote w:id="102">
    <w:p w14:paraId="037703A9" w14:textId="77777777" w:rsidR="00BC1251" w:rsidRDefault="00BC1251" w:rsidP="00D35350">
      <w:pPr>
        <w:pStyle w:val="FootnoteText"/>
      </w:pPr>
      <w:r>
        <w:rPr>
          <w:rStyle w:val="FootnoteReference"/>
        </w:rPr>
        <w:footnoteRef/>
      </w:r>
      <w:r>
        <w:t xml:space="preserve"> Ibid 9 loc 4202</w:t>
      </w:r>
    </w:p>
  </w:footnote>
  <w:footnote w:id="103">
    <w:p w14:paraId="07D42ECF" w14:textId="77777777" w:rsidR="00BC1251" w:rsidRDefault="00BC1251" w:rsidP="00D35350">
      <w:pPr>
        <w:pStyle w:val="FootnoteText"/>
      </w:pPr>
      <w:r>
        <w:rPr>
          <w:rStyle w:val="FootnoteReference"/>
        </w:rPr>
        <w:footnoteRef/>
      </w:r>
      <w:r>
        <w:t xml:space="preserve"> Ibid 11 loc 4233</w:t>
      </w:r>
    </w:p>
  </w:footnote>
  <w:footnote w:id="104">
    <w:p w14:paraId="72146874" w14:textId="77777777" w:rsidR="00BC1251" w:rsidRDefault="00BC1251" w:rsidP="00D35350">
      <w:pPr>
        <w:pStyle w:val="FootnoteText"/>
      </w:pPr>
      <w:r>
        <w:rPr>
          <w:rStyle w:val="FootnoteReference"/>
        </w:rPr>
        <w:footnoteRef/>
      </w:r>
      <w:r>
        <w:t xml:space="preserve"> Gen 11:28</w:t>
      </w:r>
    </w:p>
  </w:footnote>
  <w:footnote w:id="105">
    <w:p w14:paraId="13F81F42" w14:textId="77777777" w:rsidR="00BC1251" w:rsidRDefault="00BC1251" w:rsidP="00D35350">
      <w:pPr>
        <w:pStyle w:val="FootnoteText"/>
      </w:pPr>
      <w:r>
        <w:rPr>
          <w:rStyle w:val="FootnoteReference"/>
        </w:rPr>
        <w:footnoteRef/>
      </w:r>
      <w:r>
        <w:t xml:space="preserve"> Justin Martyr </w:t>
      </w:r>
      <w:r w:rsidRPr="00804061">
        <w:rPr>
          <w:i/>
        </w:rPr>
        <w:t>The Writings of Justin Martyr</w:t>
      </w:r>
      <w:r>
        <w:rPr>
          <w:i/>
        </w:rPr>
        <w:t xml:space="preserve"> – Hortatory Address to the Greeks </w:t>
      </w:r>
      <w:r>
        <w:t>15</w:t>
      </w:r>
      <w:r>
        <w:rPr>
          <w:i/>
        </w:rPr>
        <w:t xml:space="preserve"> </w:t>
      </w:r>
      <w:r>
        <w:t>(trans. Roberts et.al)</w:t>
      </w:r>
      <w:r>
        <w:rPr>
          <w:i/>
        </w:rPr>
        <w:t xml:space="preserve"> </w:t>
      </w:r>
      <w:r>
        <w:t>loc 4295</w:t>
      </w:r>
    </w:p>
  </w:footnote>
  <w:footnote w:id="106">
    <w:p w14:paraId="30D3D6DB" w14:textId="77777777" w:rsidR="00BC1251" w:rsidRDefault="00BC1251" w:rsidP="00D35350">
      <w:pPr>
        <w:pStyle w:val="FootnoteText"/>
      </w:pPr>
      <w:r>
        <w:rPr>
          <w:rStyle w:val="FootnoteReference"/>
        </w:rPr>
        <w:footnoteRef/>
      </w:r>
      <w:r>
        <w:t xml:space="preserve"> Ibid 18 loc 4337</w:t>
      </w:r>
    </w:p>
  </w:footnote>
  <w:footnote w:id="107">
    <w:p w14:paraId="49E66C05" w14:textId="77777777" w:rsidR="00BC1251" w:rsidRDefault="00BC1251" w:rsidP="00D35350">
      <w:pPr>
        <w:pStyle w:val="FootnoteText"/>
      </w:pPr>
      <w:r>
        <w:rPr>
          <w:rStyle w:val="FootnoteReference"/>
        </w:rPr>
        <w:footnoteRef/>
      </w:r>
      <w:r>
        <w:t xml:space="preserve"> Ibid 19 loc 4343</w:t>
      </w:r>
    </w:p>
  </w:footnote>
  <w:footnote w:id="108">
    <w:p w14:paraId="27CADB34" w14:textId="77777777" w:rsidR="00BC1251" w:rsidRDefault="00BC1251" w:rsidP="00D35350">
      <w:pPr>
        <w:pStyle w:val="FootnoteText"/>
      </w:pPr>
      <w:r>
        <w:rPr>
          <w:rStyle w:val="FootnoteReference"/>
        </w:rPr>
        <w:footnoteRef/>
      </w:r>
      <w:r>
        <w:t xml:space="preserve"> Ibid </w:t>
      </w:r>
    </w:p>
  </w:footnote>
  <w:footnote w:id="109">
    <w:p w14:paraId="2C481622" w14:textId="77777777" w:rsidR="00BC1251" w:rsidRDefault="00BC1251" w:rsidP="00D35350">
      <w:pPr>
        <w:pStyle w:val="FootnoteText"/>
      </w:pPr>
      <w:r>
        <w:rPr>
          <w:rStyle w:val="FootnoteReference"/>
        </w:rPr>
        <w:footnoteRef/>
      </w:r>
      <w:r>
        <w:t xml:space="preserve"> Ibid</w:t>
      </w:r>
    </w:p>
  </w:footnote>
  <w:footnote w:id="110">
    <w:p w14:paraId="6485F1B0" w14:textId="77777777" w:rsidR="00BC1251" w:rsidRDefault="00BC1251" w:rsidP="00D35350">
      <w:pPr>
        <w:pStyle w:val="FootnoteText"/>
      </w:pPr>
      <w:r>
        <w:rPr>
          <w:rStyle w:val="FootnoteReference"/>
        </w:rPr>
        <w:footnoteRef/>
      </w:r>
      <w:r>
        <w:t xml:space="preserve"> Herodotus </w:t>
      </w:r>
      <w:r w:rsidRPr="00D372CE">
        <w:rPr>
          <w:i/>
        </w:rPr>
        <w:t>Eclipse</w:t>
      </w:r>
      <w:r>
        <w:t xml:space="preserve"> 1.74.2, Pliny </w:t>
      </w:r>
      <w:r w:rsidRPr="00551A65">
        <w:rPr>
          <w:i/>
        </w:rPr>
        <w:t>Natural History</w:t>
      </w:r>
      <w:r>
        <w:t xml:space="preserve"> 2.53, Studied in Egypt: Diogenes Laertius 1.24, Proclus </w:t>
      </w:r>
      <w:r w:rsidRPr="00551A65">
        <w:rPr>
          <w:i/>
        </w:rPr>
        <w:t>On Euclid</w:t>
      </w:r>
      <w:r>
        <w:t xml:space="preserve"> 65.3-11 as cited in Whitemarsh 2015: 56</w:t>
      </w:r>
    </w:p>
  </w:footnote>
  <w:footnote w:id="111">
    <w:p w14:paraId="0195D6E4" w14:textId="77777777" w:rsidR="00BC1251" w:rsidRDefault="00BC1251" w:rsidP="00D35350">
      <w:pPr>
        <w:pStyle w:val="FootnoteText"/>
      </w:pPr>
      <w:r>
        <w:rPr>
          <w:rStyle w:val="FootnoteReference"/>
        </w:rPr>
        <w:footnoteRef/>
      </w:r>
      <w:r>
        <w:t xml:space="preserve"> Justin Martyr </w:t>
      </w:r>
      <w:r w:rsidRPr="00804061">
        <w:rPr>
          <w:i/>
        </w:rPr>
        <w:t>The Writings of Justin Martyr</w:t>
      </w:r>
      <w:r>
        <w:rPr>
          <w:i/>
        </w:rPr>
        <w:t xml:space="preserve"> – Hortatory Address to the Greeks </w:t>
      </w:r>
      <w:r w:rsidRPr="00E651E4">
        <w:t>13</w:t>
      </w:r>
      <w:r>
        <w:t xml:space="preserve"> (trans. Roberts et.al)</w:t>
      </w:r>
      <w:r w:rsidRPr="00E651E4">
        <w:t xml:space="preserve"> </w:t>
      </w:r>
      <w:r>
        <w:rPr>
          <w:i/>
        </w:rPr>
        <w:t xml:space="preserve"> </w:t>
      </w:r>
      <w:r>
        <w:t>loc 4265</w:t>
      </w:r>
    </w:p>
    <w:p w14:paraId="6C619628" w14:textId="77777777" w:rsidR="00BC1251" w:rsidRDefault="00BC1251" w:rsidP="00D35350">
      <w:pPr>
        <w:pStyle w:val="FootnoteText"/>
      </w:pPr>
    </w:p>
  </w:footnote>
  <w:footnote w:id="112">
    <w:p w14:paraId="76CA789C" w14:textId="77777777" w:rsidR="00BC1251" w:rsidRDefault="00BC1251" w:rsidP="00D35350">
      <w:pPr>
        <w:pStyle w:val="FootnoteText"/>
      </w:pPr>
      <w:r>
        <w:rPr>
          <w:rStyle w:val="FootnoteReference"/>
        </w:rPr>
        <w:footnoteRef/>
      </w:r>
      <w:r>
        <w:t xml:space="preserve"> Romans 1:19-20</w:t>
      </w:r>
    </w:p>
  </w:footnote>
  <w:footnote w:id="113">
    <w:p w14:paraId="5081FC9F" w14:textId="77777777" w:rsidR="00BC1251" w:rsidRDefault="00BC1251" w:rsidP="00D35350">
      <w:pPr>
        <w:pStyle w:val="FootnoteText"/>
      </w:pPr>
      <w:r>
        <w:rPr>
          <w:rStyle w:val="FootnoteReference"/>
        </w:rPr>
        <w:footnoteRef/>
      </w:r>
      <w:r>
        <w:t xml:space="preserve"> Ibid 21-23</w:t>
      </w:r>
    </w:p>
  </w:footnote>
  <w:footnote w:id="114">
    <w:p w14:paraId="25C534A8" w14:textId="77777777" w:rsidR="00BC1251" w:rsidRDefault="00BC1251" w:rsidP="00D35350">
      <w:pPr>
        <w:pStyle w:val="FootnoteText"/>
      </w:pPr>
      <w:r>
        <w:rPr>
          <w:rStyle w:val="FootnoteReference"/>
        </w:rPr>
        <w:footnoteRef/>
      </w:r>
      <w:r>
        <w:t xml:space="preserve"> John 4:22</w:t>
      </w:r>
    </w:p>
  </w:footnote>
  <w:footnote w:id="115">
    <w:p w14:paraId="1981E328" w14:textId="77777777" w:rsidR="00BC1251" w:rsidRDefault="00BC1251" w:rsidP="00D35350">
      <w:pPr>
        <w:pStyle w:val="FootnoteText"/>
      </w:pPr>
      <w:r>
        <w:rPr>
          <w:rStyle w:val="FootnoteReference"/>
        </w:rPr>
        <w:footnoteRef/>
      </w:r>
      <w:r>
        <w:t xml:space="preserve"> Plato </w:t>
      </w:r>
      <w:r w:rsidRPr="00A44E51">
        <w:rPr>
          <w:i/>
        </w:rPr>
        <w:t>Republic</w:t>
      </w:r>
      <w:r>
        <w:t xml:space="preserve"> 2. 382e (trans: Griffith) p. 69</w:t>
      </w:r>
    </w:p>
  </w:footnote>
  <w:footnote w:id="116">
    <w:p w14:paraId="26F42C02" w14:textId="77777777" w:rsidR="00BC1251" w:rsidRDefault="00BC1251" w:rsidP="00D35350">
      <w:pPr>
        <w:pStyle w:val="FootnoteText"/>
      </w:pPr>
      <w:r>
        <w:rPr>
          <w:rStyle w:val="FootnoteReference"/>
        </w:rPr>
        <w:footnoteRef/>
      </w:r>
      <w:r>
        <w:t xml:space="preserve"> Plato </w:t>
      </w:r>
      <w:r w:rsidRPr="00E37456">
        <w:rPr>
          <w:i/>
        </w:rPr>
        <w:t xml:space="preserve">Republic </w:t>
      </w:r>
      <w:r>
        <w:t>6.506c-509b (trans: Griffith) p. 213-216</w:t>
      </w:r>
    </w:p>
  </w:footnote>
  <w:footnote w:id="117">
    <w:p w14:paraId="0048FE3B" w14:textId="77777777" w:rsidR="00BC1251" w:rsidRDefault="00BC1251" w:rsidP="00D35350">
      <w:pPr>
        <w:pStyle w:val="FootnoteText"/>
      </w:pPr>
      <w:r>
        <w:rPr>
          <w:rStyle w:val="FootnoteReference"/>
        </w:rPr>
        <w:footnoteRef/>
      </w:r>
      <w:r>
        <w:t xml:space="preserve"> Ibid 509b</w:t>
      </w:r>
    </w:p>
  </w:footnote>
  <w:footnote w:id="118">
    <w:p w14:paraId="0B4DC513" w14:textId="77777777" w:rsidR="00BC1251" w:rsidRPr="00E45D55" w:rsidRDefault="00BC1251" w:rsidP="00D35350">
      <w:pPr>
        <w:pStyle w:val="FootnoteText"/>
      </w:pPr>
      <w:r>
        <w:rPr>
          <w:rStyle w:val="FootnoteReference"/>
        </w:rPr>
        <w:footnoteRef/>
      </w:r>
      <w:r>
        <w:t xml:space="preserve"> Plato </w:t>
      </w:r>
      <w:r w:rsidRPr="00D03AA6">
        <w:rPr>
          <w:i/>
        </w:rPr>
        <w:t>Timaeus</w:t>
      </w:r>
      <w:r>
        <w:rPr>
          <w:i/>
        </w:rPr>
        <w:t xml:space="preserve"> </w:t>
      </w:r>
      <w:r>
        <w:t>(trans: Jowett) p. 19</w:t>
      </w:r>
    </w:p>
  </w:footnote>
  <w:footnote w:id="119">
    <w:p w14:paraId="418E20C0" w14:textId="77777777" w:rsidR="00BC1251" w:rsidRDefault="00BC1251" w:rsidP="00D35350">
      <w:pPr>
        <w:pStyle w:val="FootnoteText"/>
      </w:pPr>
      <w:r>
        <w:rPr>
          <w:rStyle w:val="FootnoteReference"/>
        </w:rPr>
        <w:footnoteRef/>
      </w:r>
      <w:r>
        <w:t xml:space="preserve"> Plato </w:t>
      </w:r>
      <w:r w:rsidRPr="00E37456">
        <w:rPr>
          <w:i/>
        </w:rPr>
        <w:t>Phaedo</w:t>
      </w:r>
      <w:r>
        <w:t xml:space="preserve"> 73d (trans: Tredennick) p. 122</w:t>
      </w:r>
    </w:p>
  </w:footnote>
  <w:footnote w:id="120">
    <w:p w14:paraId="048B4C79" w14:textId="77777777" w:rsidR="00BC1251" w:rsidRDefault="00BC1251" w:rsidP="00D35350">
      <w:pPr>
        <w:pStyle w:val="FootnoteText"/>
      </w:pPr>
      <w:r>
        <w:rPr>
          <w:rStyle w:val="FootnoteReference"/>
        </w:rPr>
        <w:footnoteRef/>
      </w:r>
      <w:r>
        <w:t xml:space="preserve"> Plato </w:t>
      </w:r>
      <w:r w:rsidRPr="00664BAC">
        <w:rPr>
          <w:i/>
        </w:rPr>
        <w:t>Republic</w:t>
      </w:r>
      <w:r>
        <w:t xml:space="preserve"> 6. 510d-e (trans: Griffith) 217-218.  Plato’s well-known allegory of the cave further explains this Theory of Forms. In Book 7 of the </w:t>
      </w:r>
      <w:r w:rsidRPr="006C300D">
        <w:rPr>
          <w:i/>
        </w:rPr>
        <w:t>Republic</w:t>
      </w:r>
      <w:r>
        <w:t>, Socrates describes a cave in which people sit, chained, so that they are not able to turn their heads but are forced to look straight ahead.  They have been there since birth.  Behind and above them, a fire burns.  In front of the fire, but behind the chained people, are others holding up implements of all sorts of materials from people to animals to things in front of the fire so that images or shadows of these figures are cast onto the wall in front of the restrained people.  Being manacled, they only see the shadowy figures.  Thus, they think the truth is the shadow. They cannot know the shadow’s standard much less the light that shines on the standard and causes its shadow unless they free themselves from their shackles. The light is like the sun that makes visible things to the eye.   The Creator, transcendent cause of the light, directs the light onto the standard or Form whose shadow the ignorant are restricted to seeing. Plato argued that man’s highest purpose was to break free from these symbolic chains keeping him ignorant, get out of the cave, and contemplate and pursue the upper realm where the transcendent Good, the Creator of the fire resides.  There, Plato says one will see and know that the Creator is “…the cause of all that is right and good for everything…it produces light and light’s sovereign, the sun, while in the realm of thought, it is itself sovereign, producing truth and reason unassisted.”  He believes that “anyone who is going to act wisely either in private life or in public life must have had a sight of this.” (</w:t>
      </w:r>
      <w:r w:rsidRPr="006C300D">
        <w:rPr>
          <w:i/>
        </w:rPr>
        <w:t>Republic</w:t>
      </w:r>
      <w:r>
        <w:t xml:space="preserve"> 7.517c) </w:t>
      </w:r>
    </w:p>
  </w:footnote>
  <w:footnote w:id="121">
    <w:p w14:paraId="6F016345" w14:textId="77777777" w:rsidR="00BC1251" w:rsidRDefault="00BC1251" w:rsidP="00D35350">
      <w:pPr>
        <w:pStyle w:val="FootnoteText"/>
      </w:pPr>
      <w:r>
        <w:rPr>
          <w:rStyle w:val="FootnoteReference"/>
        </w:rPr>
        <w:footnoteRef/>
      </w:r>
      <w:r>
        <w:t xml:space="preserve"> Plato </w:t>
      </w:r>
      <w:r w:rsidRPr="00101337">
        <w:rPr>
          <w:i/>
        </w:rPr>
        <w:t>Phaedo</w:t>
      </w:r>
      <w:r>
        <w:t xml:space="preserve"> 69e (trans. Tredennick) p.116-117 In the </w:t>
      </w:r>
      <w:r w:rsidRPr="00101337">
        <w:rPr>
          <w:i/>
        </w:rPr>
        <w:t>Phaedo</w:t>
      </w:r>
      <w:r>
        <w:t>, in which Socrates provides a dissertation on the nature and activity of the soul, Socrates refers to an “old legend” which reveals that souls do reside with God. This legend is the Orphic Doctrine, a mystery religion similar to the Elysian mysteries referenced earlier. Like the Elysian mysteries, the doctrine concerns purifying the soul so as to obtain blessing in the present life and after death. The Orphic Doctrine reflected a recognition of sin which, of course, is a central tenet in the Christian religion and the reason man is separated from God and in need of redemption by Him (Romans 6:23).  The core story of these mysteries involves the son of Zeus, Zagreus, being slain and then devoured by the wicked earth-born Titans. Zeus punishes the Titans who are turned to the ash from which the human race springs. Humans thus have the rebellious spirit of the Titans along with the godly one of Zagreus. They are composed of both the “carnal and the spiritual.” Along with the carnal aspect, ‘they inherit the guilt of the Titans, their ‘deeds unrighteous’ and are doomed to ‘suffer the suffering’ and do penance for their ‘ancient sin.’” (Compagno tablet, b, Timpone Grande tablet; Pindar, Fr. 106, and Weil’s commentary, p. 36 as cited in Norlin 1908:92-93) This penance involves successive lives on earth in which the soul, occupying a new body each time, may prove itself worthy to rejoin the gods at some indefinite point. Living a righteous life and undergoing the rites of the religion were the golden ticket to heaven. This tradition certainly aligned with Socrates’ definition of the philosophic life and there being no higher endeavor in life than ensuring the soul’s final resting with the “good and wise God.” (</w:t>
      </w:r>
      <w:r w:rsidRPr="003C7733">
        <w:rPr>
          <w:i/>
        </w:rPr>
        <w:t>Phaedo</w:t>
      </w:r>
      <w:r>
        <w:t xml:space="preserve"> 80a trans. Tredennick p.132). </w:t>
      </w:r>
    </w:p>
  </w:footnote>
  <w:footnote w:id="122">
    <w:p w14:paraId="234A3971" w14:textId="77777777" w:rsidR="00BC1251" w:rsidRPr="00F40DD8" w:rsidRDefault="00BC1251" w:rsidP="00D35350">
      <w:pPr>
        <w:pStyle w:val="FootnoteText"/>
      </w:pPr>
      <w:r>
        <w:rPr>
          <w:rStyle w:val="FootnoteReference"/>
        </w:rPr>
        <w:footnoteRef/>
      </w:r>
      <w:r>
        <w:t xml:space="preserve"> Ibid 74e-76a  p.125</w:t>
      </w:r>
    </w:p>
  </w:footnote>
  <w:footnote w:id="123">
    <w:p w14:paraId="718A62C3" w14:textId="77777777" w:rsidR="00BC1251" w:rsidRPr="0064265E" w:rsidRDefault="00BC1251" w:rsidP="00D35350">
      <w:pPr>
        <w:pStyle w:val="FootnoteText"/>
      </w:pPr>
      <w:r>
        <w:rPr>
          <w:rStyle w:val="FootnoteReference"/>
        </w:rPr>
        <w:footnoteRef/>
      </w:r>
      <w:r>
        <w:t xml:space="preserve"> In the first four chapters of his book, </w:t>
      </w:r>
      <w:r w:rsidRPr="00DE6FE7">
        <w:rPr>
          <w:i/>
        </w:rPr>
        <w:t>Mere Christianity</w:t>
      </w:r>
      <w:r>
        <w:t>, C.S. Lewis provides excellent insight to the notion that all people know of some standard by which actions should be judged.  Readers familiar with his work will recall that he defends the concept of an intelligent and loving God by the very fact that we humans are all aware of an objective law of morality that compels us to behave in a certain way, many times regardless of whether it benefits us or even that of society.  Lewis proves the existence of this standard as he lays out his claims in the first few chapters of the book, but it can be evidenced in the everyday exchange between people from infancy. These exchanges manifest an appeal to some standard that we all expect everyone else to know about. For example, Lewis notes that we use phrases such as “that’s not fair” or “you promised” or “leave him alone; he has not done anything to you” etc. These all involve an appeal to another to adhere to some unspoken standard of morality that holds humans accountable. He refutes the objections that these appeals are merely instinct or mere habits of social convention as there are plenty of instances where people choose sometimes to forego what normally would be deemed good.  For example,  generally sexual impulses are beneficial not only for pleasure but for procreation, both good in God’s eyes, but they are not always appropriate to act on in certain situations or there  might be times where a mother’s love and care for her own child might be suppressed in order to care for another. It is clear that most feel compelled by something to act in a certain way.  Unlike the laws of nature, however, we can either choose to obey this impulse or deny it.</w:t>
      </w:r>
    </w:p>
  </w:footnote>
  <w:footnote w:id="124">
    <w:p w14:paraId="64FBD450" w14:textId="77777777" w:rsidR="00BC1251" w:rsidRDefault="00BC1251" w:rsidP="00D35350">
      <w:pPr>
        <w:pStyle w:val="FootnoteText"/>
      </w:pPr>
      <w:r>
        <w:rPr>
          <w:rStyle w:val="FootnoteReference"/>
        </w:rPr>
        <w:footnoteRef/>
      </w:r>
      <w:r>
        <w:t xml:space="preserve"> Rom 2:15</w:t>
      </w:r>
    </w:p>
  </w:footnote>
  <w:footnote w:id="125">
    <w:p w14:paraId="2C0CFC79" w14:textId="77777777" w:rsidR="00BC1251" w:rsidRDefault="00BC1251" w:rsidP="00D35350">
      <w:pPr>
        <w:pStyle w:val="FootnoteText"/>
      </w:pPr>
      <w:r>
        <w:rPr>
          <w:rStyle w:val="FootnoteReference"/>
        </w:rPr>
        <w:footnoteRef/>
      </w:r>
      <w:r>
        <w:t xml:space="preserve"> Ex 24:12-Ex 25:9</w:t>
      </w:r>
    </w:p>
    <w:p w14:paraId="093E67A8" w14:textId="77777777" w:rsidR="00BC1251" w:rsidRDefault="00BC1251" w:rsidP="00D35350">
      <w:pPr>
        <w:pStyle w:val="FootnoteText"/>
      </w:pPr>
    </w:p>
  </w:footnote>
  <w:footnote w:id="126">
    <w:p w14:paraId="3A1B4643" w14:textId="77777777" w:rsidR="00BC1251" w:rsidRDefault="00BC1251" w:rsidP="00D35350">
      <w:pPr>
        <w:pStyle w:val="FootnoteText"/>
      </w:pPr>
      <w:r>
        <w:rPr>
          <w:rStyle w:val="FootnoteReference"/>
        </w:rPr>
        <w:footnoteRef/>
      </w:r>
      <w:r>
        <w:t xml:space="preserve"> Ex 25:9</w:t>
      </w:r>
    </w:p>
  </w:footnote>
  <w:footnote w:id="127">
    <w:p w14:paraId="436354F4" w14:textId="77777777" w:rsidR="00BC1251" w:rsidRDefault="00BC1251" w:rsidP="00D35350">
      <w:pPr>
        <w:pStyle w:val="FootnoteText"/>
      </w:pPr>
      <w:r>
        <w:rPr>
          <w:rStyle w:val="FootnoteReference"/>
        </w:rPr>
        <w:footnoteRef/>
      </w:r>
      <w:r>
        <w:t xml:space="preserve"> Justin Martyr </w:t>
      </w:r>
      <w:r w:rsidRPr="000A64AC">
        <w:rPr>
          <w:i/>
        </w:rPr>
        <w:t>Exhortation to the Greeks</w:t>
      </w:r>
      <w:r>
        <w:t xml:space="preserve"> 29 (trans. Roberts et.al) loc 4544</w:t>
      </w:r>
    </w:p>
  </w:footnote>
  <w:footnote w:id="128">
    <w:p w14:paraId="54BEDB99" w14:textId="77777777" w:rsidR="00BC1251" w:rsidRDefault="00BC1251" w:rsidP="00D35350">
      <w:pPr>
        <w:pStyle w:val="FootnoteText"/>
      </w:pPr>
      <w:r>
        <w:rPr>
          <w:rStyle w:val="FootnoteReference"/>
        </w:rPr>
        <w:footnoteRef/>
      </w:r>
      <w:r>
        <w:t xml:space="preserve"> Gen 1:1</w:t>
      </w:r>
    </w:p>
  </w:footnote>
  <w:footnote w:id="129">
    <w:p w14:paraId="38FB56F2" w14:textId="77777777" w:rsidR="00BC1251" w:rsidRDefault="00BC1251" w:rsidP="00D35350">
      <w:pPr>
        <w:pStyle w:val="FootnoteText"/>
      </w:pPr>
      <w:r>
        <w:rPr>
          <w:rStyle w:val="FootnoteReference"/>
        </w:rPr>
        <w:footnoteRef/>
      </w:r>
      <w:r>
        <w:t xml:space="preserve"> Gen 1:2</w:t>
      </w:r>
    </w:p>
  </w:footnote>
  <w:footnote w:id="130">
    <w:p w14:paraId="1D435E01" w14:textId="77777777" w:rsidR="00BC1251" w:rsidRDefault="00BC1251" w:rsidP="00D35350">
      <w:pPr>
        <w:pStyle w:val="FootnoteText"/>
      </w:pPr>
      <w:r>
        <w:rPr>
          <w:rStyle w:val="FootnoteReference"/>
        </w:rPr>
        <w:footnoteRef/>
      </w:r>
      <w:r>
        <w:t xml:space="preserve"> Gen 1:26-28</w:t>
      </w:r>
    </w:p>
  </w:footnote>
  <w:footnote w:id="131">
    <w:p w14:paraId="3C7A08E8" w14:textId="77777777" w:rsidR="00BC1251" w:rsidRDefault="00BC1251" w:rsidP="00D35350">
      <w:pPr>
        <w:pStyle w:val="FootnoteText"/>
      </w:pPr>
      <w:r>
        <w:rPr>
          <w:rStyle w:val="FootnoteReference"/>
        </w:rPr>
        <w:footnoteRef/>
      </w:r>
      <w:r>
        <w:t xml:space="preserve"> Gen 2: 7</w:t>
      </w:r>
    </w:p>
  </w:footnote>
  <w:footnote w:id="132">
    <w:p w14:paraId="30B47D21" w14:textId="77777777" w:rsidR="00BC1251" w:rsidRDefault="00BC1251" w:rsidP="00D35350">
      <w:pPr>
        <w:pStyle w:val="FootnoteText"/>
      </w:pPr>
      <w:r>
        <w:rPr>
          <w:rStyle w:val="FootnoteReference"/>
        </w:rPr>
        <w:footnoteRef/>
      </w:r>
      <w:r>
        <w:t xml:space="preserve"> Plato </w:t>
      </w:r>
      <w:r w:rsidRPr="000E4D28">
        <w:rPr>
          <w:i/>
        </w:rPr>
        <w:t>Timaeus</w:t>
      </w:r>
      <w:r>
        <w:t xml:space="preserve"> (trans. Jowett) p. 20</w:t>
      </w:r>
    </w:p>
  </w:footnote>
  <w:footnote w:id="133">
    <w:p w14:paraId="17313475" w14:textId="77777777" w:rsidR="00BC1251" w:rsidRDefault="00BC1251" w:rsidP="00D35350">
      <w:pPr>
        <w:pStyle w:val="FootnoteText"/>
      </w:pPr>
      <w:r>
        <w:rPr>
          <w:rStyle w:val="FootnoteReference"/>
        </w:rPr>
        <w:footnoteRef/>
      </w:r>
      <w:r>
        <w:t xml:space="preserve"> Justin Martyr </w:t>
      </w:r>
      <w:r w:rsidRPr="007E29E5">
        <w:rPr>
          <w:i/>
        </w:rPr>
        <w:t>Exhortation to the Greeks</w:t>
      </w:r>
      <w:r>
        <w:t xml:space="preserve"> 25 (trans. Roberts et.al) loc 4445</w:t>
      </w:r>
    </w:p>
  </w:footnote>
  <w:footnote w:id="134">
    <w:p w14:paraId="55B61B55" w14:textId="77777777" w:rsidR="00BC1251" w:rsidRDefault="00BC1251" w:rsidP="00D35350">
      <w:pPr>
        <w:pStyle w:val="FootnoteText"/>
      </w:pPr>
      <w:r>
        <w:rPr>
          <w:rStyle w:val="FootnoteReference"/>
        </w:rPr>
        <w:footnoteRef/>
      </w:r>
      <w:r>
        <w:t xml:space="preserve"> Plato </w:t>
      </w:r>
      <w:r w:rsidRPr="006E77A9">
        <w:rPr>
          <w:i/>
        </w:rPr>
        <w:t>Republic</w:t>
      </w:r>
      <w:r>
        <w:t xml:space="preserve"> 2.377d-378d (trans. Griffith) p. 62-63</w:t>
      </w:r>
    </w:p>
  </w:footnote>
  <w:footnote w:id="135">
    <w:p w14:paraId="464379E0" w14:textId="77777777" w:rsidR="00BC1251" w:rsidRDefault="00BC1251" w:rsidP="00D35350">
      <w:pPr>
        <w:pStyle w:val="FootnoteText"/>
      </w:pPr>
      <w:r>
        <w:rPr>
          <w:rStyle w:val="FootnoteReference"/>
        </w:rPr>
        <w:footnoteRef/>
      </w:r>
      <w:r>
        <w:t xml:space="preserve"> Plato </w:t>
      </w:r>
      <w:r w:rsidRPr="00FB1C0B">
        <w:rPr>
          <w:i/>
        </w:rPr>
        <w:t>Timaeus</w:t>
      </w:r>
      <w:r>
        <w:t xml:space="preserve"> (trans. Jowett) p. 19</w:t>
      </w:r>
    </w:p>
  </w:footnote>
  <w:footnote w:id="136">
    <w:p w14:paraId="25A752BB" w14:textId="77777777" w:rsidR="00BC1251" w:rsidRDefault="00BC1251" w:rsidP="00D35350">
      <w:pPr>
        <w:pStyle w:val="FootnoteText"/>
      </w:pPr>
      <w:r>
        <w:rPr>
          <w:rStyle w:val="FootnoteReference"/>
        </w:rPr>
        <w:footnoteRef/>
      </w:r>
      <w:r>
        <w:t xml:space="preserve"> Gen 1:31</w:t>
      </w:r>
    </w:p>
  </w:footnote>
  <w:footnote w:id="137">
    <w:p w14:paraId="1F1D86EF" w14:textId="77777777" w:rsidR="00BC1251" w:rsidRDefault="00BC1251" w:rsidP="00D35350">
      <w:pPr>
        <w:pStyle w:val="FootnoteText"/>
      </w:pPr>
      <w:r>
        <w:rPr>
          <w:rStyle w:val="FootnoteReference"/>
        </w:rPr>
        <w:footnoteRef/>
      </w:r>
      <w:r>
        <w:t xml:space="preserve"> John 1:14</w:t>
      </w:r>
    </w:p>
  </w:footnote>
  <w:footnote w:id="138">
    <w:p w14:paraId="4ACE3EBD" w14:textId="77777777" w:rsidR="00BC1251" w:rsidRDefault="00BC1251" w:rsidP="00D35350">
      <w:pPr>
        <w:pStyle w:val="FootnoteText"/>
      </w:pPr>
      <w:r>
        <w:rPr>
          <w:rStyle w:val="FootnoteReference"/>
        </w:rPr>
        <w:footnoteRef/>
      </w:r>
      <w:r>
        <w:t xml:space="preserve"> John 14:9</w:t>
      </w:r>
    </w:p>
  </w:footnote>
  <w:footnote w:id="139">
    <w:p w14:paraId="6549B02D" w14:textId="77777777" w:rsidR="00BC1251" w:rsidRDefault="00BC1251" w:rsidP="00D35350">
      <w:pPr>
        <w:pStyle w:val="FootnoteText"/>
      </w:pPr>
      <w:r>
        <w:rPr>
          <w:rStyle w:val="FootnoteReference"/>
        </w:rPr>
        <w:footnoteRef/>
      </w:r>
      <w:r>
        <w:t xml:space="preserve"> Plato </w:t>
      </w:r>
      <w:r w:rsidRPr="0039451F">
        <w:rPr>
          <w:i/>
        </w:rPr>
        <w:t>Timaeus</w:t>
      </w:r>
      <w:r>
        <w:t xml:space="preserve"> (trans. Jowett) p. 18</w:t>
      </w:r>
    </w:p>
  </w:footnote>
  <w:footnote w:id="140">
    <w:p w14:paraId="56F88E2E" w14:textId="77777777" w:rsidR="00BC1251" w:rsidRDefault="00BC1251" w:rsidP="00D35350">
      <w:pPr>
        <w:pStyle w:val="FootnoteText"/>
      </w:pPr>
      <w:r>
        <w:rPr>
          <w:rStyle w:val="FootnoteReference"/>
        </w:rPr>
        <w:footnoteRef/>
      </w:r>
      <w:r>
        <w:t xml:space="preserve"> Gen 1:26 “Let us make man in our image, according to our likeness.” </w:t>
      </w:r>
    </w:p>
  </w:footnote>
  <w:footnote w:id="141">
    <w:p w14:paraId="187360C4" w14:textId="77777777" w:rsidR="00BC1251" w:rsidRDefault="00BC1251" w:rsidP="00D35350">
      <w:pPr>
        <w:pStyle w:val="FootnoteText"/>
      </w:pPr>
      <w:r>
        <w:rPr>
          <w:rStyle w:val="FootnoteReference"/>
        </w:rPr>
        <w:footnoteRef/>
      </w:r>
      <w:r>
        <w:t xml:space="preserve"> Plato </w:t>
      </w:r>
      <w:r w:rsidRPr="0039451F">
        <w:rPr>
          <w:i/>
        </w:rPr>
        <w:t xml:space="preserve">Timaeus </w:t>
      </w:r>
      <w:r>
        <w:t>(trans. Jowett) p. 18-20</w:t>
      </w:r>
    </w:p>
  </w:footnote>
  <w:footnote w:id="142">
    <w:p w14:paraId="1D5401D1" w14:textId="77777777" w:rsidR="00BC1251" w:rsidRDefault="00BC1251" w:rsidP="00D35350">
      <w:pPr>
        <w:pStyle w:val="FootnoteText"/>
      </w:pPr>
      <w:r>
        <w:rPr>
          <w:rStyle w:val="FootnoteReference"/>
        </w:rPr>
        <w:footnoteRef/>
      </w:r>
      <w:r>
        <w:t xml:space="preserve"> Ibid p.20</w:t>
      </w:r>
    </w:p>
  </w:footnote>
  <w:footnote w:id="143">
    <w:p w14:paraId="3AD674C2" w14:textId="77777777" w:rsidR="00BC1251" w:rsidRDefault="00BC1251" w:rsidP="00D35350">
      <w:pPr>
        <w:pStyle w:val="FootnoteText"/>
      </w:pPr>
      <w:r>
        <w:rPr>
          <w:rStyle w:val="FootnoteReference"/>
        </w:rPr>
        <w:footnoteRef/>
      </w:r>
      <w:r>
        <w:t xml:space="preserve"> Plato Timaeus (trans. Jowett) p.25</w:t>
      </w:r>
    </w:p>
  </w:footnote>
  <w:footnote w:id="144">
    <w:p w14:paraId="504A1B68" w14:textId="77777777" w:rsidR="00BC1251" w:rsidRDefault="00BC1251" w:rsidP="00D35350">
      <w:pPr>
        <w:pStyle w:val="FootnoteText"/>
      </w:pPr>
      <w:r>
        <w:rPr>
          <w:rStyle w:val="FootnoteReference"/>
        </w:rPr>
        <w:footnoteRef/>
      </w:r>
      <w:r>
        <w:t xml:space="preserve"> Latura 2012: 883</w:t>
      </w:r>
    </w:p>
  </w:footnote>
  <w:footnote w:id="145">
    <w:p w14:paraId="460A31F5" w14:textId="77777777" w:rsidR="00BC1251" w:rsidRDefault="00BC1251" w:rsidP="00D35350">
      <w:pPr>
        <w:pStyle w:val="FootnoteText"/>
      </w:pPr>
      <w:r>
        <w:rPr>
          <w:rStyle w:val="FootnoteReference"/>
        </w:rPr>
        <w:footnoteRef/>
      </w:r>
      <w:r>
        <w:t xml:space="preserve"> Plato </w:t>
      </w:r>
      <w:r w:rsidRPr="0055259A">
        <w:rPr>
          <w:i/>
        </w:rPr>
        <w:t>Timaeus</w:t>
      </w:r>
      <w:r>
        <w:t xml:space="preserve"> 3, p. 23-24 as cited in Latura 2012: 882 See Fig. 1</w:t>
      </w:r>
    </w:p>
  </w:footnote>
  <w:footnote w:id="146">
    <w:p w14:paraId="102B614B" w14:textId="77777777" w:rsidR="00BC1251" w:rsidRDefault="00BC1251" w:rsidP="00D35350">
      <w:pPr>
        <w:pStyle w:val="FootnoteText"/>
      </w:pPr>
      <w:r>
        <w:rPr>
          <w:rStyle w:val="FootnoteReference"/>
        </w:rPr>
        <w:footnoteRef/>
      </w:r>
      <w:r>
        <w:t xml:space="preserve"> Latura 2012: 884  See Fig. 2</w:t>
      </w:r>
    </w:p>
  </w:footnote>
  <w:footnote w:id="147">
    <w:p w14:paraId="6B403330" w14:textId="77777777" w:rsidR="00BC1251" w:rsidRDefault="00BC1251" w:rsidP="00D35350">
      <w:pPr>
        <w:pStyle w:val="FootnoteText"/>
      </w:pPr>
      <w:r>
        <w:rPr>
          <w:rStyle w:val="FootnoteReference"/>
        </w:rPr>
        <w:footnoteRef/>
      </w:r>
      <w:r>
        <w:t xml:space="preserve"> Justin Martyr </w:t>
      </w:r>
      <w:r w:rsidRPr="00103782">
        <w:rPr>
          <w:i/>
        </w:rPr>
        <w:t>The Writings of Justin Martyr First Apology</w:t>
      </w:r>
      <w:r>
        <w:t xml:space="preserve"> 60 (trans. Roberts et.al) loc 782</w:t>
      </w:r>
    </w:p>
  </w:footnote>
  <w:footnote w:id="148">
    <w:p w14:paraId="18F8BA71" w14:textId="77777777" w:rsidR="00BC1251" w:rsidRDefault="00BC1251" w:rsidP="00D35350">
      <w:pPr>
        <w:pStyle w:val="FootnoteText"/>
      </w:pPr>
      <w:r>
        <w:rPr>
          <w:rStyle w:val="FootnoteReference"/>
        </w:rPr>
        <w:footnoteRef/>
      </w:r>
      <w:r>
        <w:t xml:space="preserve"> 1 Cor 1:18</w:t>
      </w:r>
    </w:p>
  </w:footnote>
  <w:footnote w:id="149">
    <w:p w14:paraId="19153A39" w14:textId="77777777" w:rsidR="00BC1251" w:rsidRDefault="00BC1251" w:rsidP="00D35350">
      <w:pPr>
        <w:pStyle w:val="FootnoteText"/>
      </w:pPr>
      <w:r>
        <w:rPr>
          <w:rStyle w:val="FootnoteReference"/>
        </w:rPr>
        <w:footnoteRef/>
      </w:r>
      <w:r>
        <w:t xml:space="preserve"> Eusebius </w:t>
      </w:r>
      <w:r w:rsidRPr="006129C9">
        <w:rPr>
          <w:i/>
        </w:rPr>
        <w:t>The Church History</w:t>
      </w:r>
      <w:r>
        <w:t xml:space="preserve"> 9 (trans. Maier) p.304-307.  Eusebius conveys that Constantine had this symbol (Fig. 3) emblazoned on the military standards or flags which were carried into battle.  He was victorious just as Christ had promised.  As is well-known, Constantine ended all persecution of Christians and proclaimed Christianity the official religion of the Roman Empire. </w:t>
      </w:r>
    </w:p>
  </w:footnote>
  <w:footnote w:id="150">
    <w:p w14:paraId="5E6766E2" w14:textId="77777777" w:rsidR="00BC1251" w:rsidRDefault="00BC1251" w:rsidP="00D35350">
      <w:pPr>
        <w:pStyle w:val="FootnoteText"/>
      </w:pPr>
      <w:r>
        <w:rPr>
          <w:rStyle w:val="FootnoteReference"/>
        </w:rPr>
        <w:footnoteRef/>
      </w:r>
      <w:r>
        <w:t xml:space="preserve"> Prov 20:12</w:t>
      </w:r>
    </w:p>
  </w:footnote>
  <w:footnote w:id="151">
    <w:p w14:paraId="3FE2E590" w14:textId="77777777" w:rsidR="00BC1251" w:rsidRDefault="00BC1251" w:rsidP="00D35350">
      <w:pPr>
        <w:pStyle w:val="FootnoteText"/>
      </w:pPr>
      <w:r>
        <w:rPr>
          <w:rStyle w:val="FootnoteReference"/>
        </w:rPr>
        <w:footnoteRef/>
      </w:r>
      <w:r>
        <w:t xml:space="preserve"> Plato </w:t>
      </w:r>
      <w:r w:rsidRPr="00D97DA8">
        <w:rPr>
          <w:i/>
        </w:rPr>
        <w:t>Apology</w:t>
      </w:r>
      <w:r>
        <w:t xml:space="preserve"> 38a The Last Days of Socrates  p.70</w:t>
      </w:r>
    </w:p>
  </w:footnote>
  <w:footnote w:id="152">
    <w:p w14:paraId="7E8D89A5" w14:textId="77777777" w:rsidR="00BC1251" w:rsidRDefault="00BC1251" w:rsidP="00D35350">
      <w:pPr>
        <w:pStyle w:val="FootnoteText"/>
      </w:pPr>
      <w:r>
        <w:rPr>
          <w:rStyle w:val="FootnoteReference"/>
        </w:rPr>
        <w:footnoteRef/>
      </w:r>
      <w:r>
        <w:t xml:space="preserve"> Matthew 16:13-16, Mark 8:27-29, Luke 9:18-20</w:t>
      </w:r>
    </w:p>
  </w:footnote>
  <w:footnote w:id="153">
    <w:p w14:paraId="16E671F6" w14:textId="77777777" w:rsidR="00BC1251" w:rsidRDefault="00BC1251" w:rsidP="00D35350">
      <w:pPr>
        <w:pStyle w:val="FootnoteText"/>
      </w:pPr>
      <w:r>
        <w:rPr>
          <w:rStyle w:val="FootnoteReference"/>
        </w:rPr>
        <w:footnoteRef/>
      </w:r>
      <w:r>
        <w:t xml:space="preserve"> Plato </w:t>
      </w:r>
      <w:r w:rsidRPr="008B16F9">
        <w:rPr>
          <w:i/>
        </w:rPr>
        <w:t>Apology</w:t>
      </w:r>
      <w:r>
        <w:t xml:space="preserve"> 27b, 29a  (trans. Tredennick) </w:t>
      </w:r>
      <w:r w:rsidRPr="008B16F9">
        <w:rPr>
          <w:i/>
        </w:rPr>
        <w:t>Last Days of Socrates</w:t>
      </w:r>
      <w:r>
        <w:t xml:space="preserve"> p.59, p.61</w:t>
      </w:r>
    </w:p>
  </w:footnote>
  <w:footnote w:id="154">
    <w:p w14:paraId="21AE96F4" w14:textId="77777777" w:rsidR="00BC1251" w:rsidRDefault="00BC1251" w:rsidP="00D35350">
      <w:pPr>
        <w:pStyle w:val="FootnoteText"/>
      </w:pPr>
      <w:r>
        <w:rPr>
          <w:rStyle w:val="FootnoteReference"/>
        </w:rPr>
        <w:footnoteRef/>
      </w:r>
      <w:r>
        <w:t xml:space="preserve"> Ibid 26a p.57</w:t>
      </w:r>
    </w:p>
  </w:footnote>
  <w:footnote w:id="155">
    <w:p w14:paraId="41E1C50A" w14:textId="77777777" w:rsidR="00BC1251" w:rsidRDefault="00BC1251" w:rsidP="00D35350">
      <w:pPr>
        <w:pStyle w:val="FootnoteText"/>
      </w:pPr>
      <w:r>
        <w:rPr>
          <w:rStyle w:val="FootnoteReference"/>
        </w:rPr>
        <w:footnoteRef/>
      </w:r>
      <w:r>
        <w:t xml:space="preserve"> Ibid 30d-33a p.64-65</w:t>
      </w:r>
    </w:p>
  </w:footnote>
  <w:footnote w:id="156">
    <w:p w14:paraId="0D50E588" w14:textId="77777777" w:rsidR="00BC1251" w:rsidRDefault="00BC1251" w:rsidP="00D35350">
      <w:pPr>
        <w:pStyle w:val="FootnoteText"/>
      </w:pPr>
      <w:r>
        <w:rPr>
          <w:rStyle w:val="FootnoteReference"/>
        </w:rPr>
        <w:footnoteRef/>
      </w:r>
      <w:r>
        <w:t xml:space="preserve"> Ibid 38a p.72</w:t>
      </w:r>
    </w:p>
  </w:footnote>
  <w:footnote w:id="157">
    <w:p w14:paraId="73823E29" w14:textId="77777777" w:rsidR="00BC1251" w:rsidRDefault="00BC1251" w:rsidP="00D35350">
      <w:pPr>
        <w:pStyle w:val="FootnoteText"/>
      </w:pPr>
      <w:r>
        <w:rPr>
          <w:rStyle w:val="FootnoteReference"/>
        </w:rPr>
        <w:footnoteRef/>
      </w:r>
      <w:r>
        <w:t xml:space="preserve"> Ibid 30a p.62; Plato </w:t>
      </w:r>
      <w:r w:rsidRPr="00E61A5D">
        <w:rPr>
          <w:i/>
        </w:rPr>
        <w:t xml:space="preserve">Republic </w:t>
      </w:r>
      <w:r>
        <w:t>394d (trans. Griffith) p. 83</w:t>
      </w:r>
    </w:p>
  </w:footnote>
  <w:footnote w:id="158">
    <w:p w14:paraId="6697AE18" w14:textId="77777777" w:rsidR="00BC1251" w:rsidRDefault="00BC1251" w:rsidP="00D35350">
      <w:pPr>
        <w:pStyle w:val="FootnoteText"/>
      </w:pPr>
      <w:r>
        <w:rPr>
          <w:rStyle w:val="FootnoteReference"/>
        </w:rPr>
        <w:footnoteRef/>
      </w:r>
      <w:r>
        <w:t xml:space="preserve"> Ibid 38b p.73</w:t>
      </w:r>
    </w:p>
  </w:footnote>
  <w:footnote w:id="159">
    <w:p w14:paraId="63FEAAA7" w14:textId="77777777" w:rsidR="00BC1251" w:rsidRDefault="00BC1251" w:rsidP="00D35350">
      <w:pPr>
        <w:pStyle w:val="FootnoteText"/>
      </w:pPr>
      <w:r>
        <w:rPr>
          <w:rStyle w:val="FootnoteReference"/>
        </w:rPr>
        <w:footnoteRef/>
      </w:r>
      <w:r>
        <w:t xml:space="preserve"> John 18: 37-38</w:t>
      </w:r>
    </w:p>
  </w:footnote>
  <w:footnote w:id="160">
    <w:p w14:paraId="3BE5C400" w14:textId="77777777" w:rsidR="00BC1251" w:rsidRDefault="00BC1251" w:rsidP="00D35350">
      <w:pPr>
        <w:pStyle w:val="FootnoteText"/>
      </w:pPr>
      <w:r>
        <w:rPr>
          <w:rStyle w:val="FootnoteReference"/>
        </w:rPr>
        <w:footnoteRef/>
      </w:r>
      <w:r>
        <w:t xml:space="preserve"> Justin Martyr </w:t>
      </w:r>
      <w:r w:rsidRPr="002B3BF6">
        <w:rPr>
          <w:i/>
        </w:rPr>
        <w:t>The Writings of Justin Martyr Second Apology</w:t>
      </w:r>
      <w:r>
        <w:t xml:space="preserve"> 10 (trans: Roberts et.al) loc 1081</w:t>
      </w:r>
    </w:p>
  </w:footnote>
  <w:footnote w:id="161">
    <w:p w14:paraId="789D0D16" w14:textId="77777777" w:rsidR="00BC1251" w:rsidRDefault="00BC1251" w:rsidP="00D35350">
      <w:pPr>
        <w:pStyle w:val="FootnoteText"/>
      </w:pPr>
      <w:r>
        <w:rPr>
          <w:rStyle w:val="FootnoteReference"/>
        </w:rPr>
        <w:footnoteRef/>
      </w:r>
      <w:r>
        <w:t xml:space="preserve"> Plato </w:t>
      </w:r>
      <w:r w:rsidRPr="00867E92">
        <w:rPr>
          <w:i/>
        </w:rPr>
        <w:t>Apology</w:t>
      </w:r>
      <w:r>
        <w:t xml:space="preserve"> 27a </w:t>
      </w:r>
      <w:r w:rsidRPr="00867E92">
        <w:rPr>
          <w:i/>
        </w:rPr>
        <w:t>The Last Day</w:t>
      </w:r>
      <w:r>
        <w:rPr>
          <w:i/>
        </w:rPr>
        <w:t>s</w:t>
      </w:r>
      <w:r w:rsidRPr="00867E92">
        <w:rPr>
          <w:i/>
        </w:rPr>
        <w:t xml:space="preserve"> of Socrates</w:t>
      </w:r>
      <w:r>
        <w:t xml:space="preserve"> p.58</w:t>
      </w:r>
    </w:p>
  </w:footnote>
  <w:footnote w:id="162">
    <w:p w14:paraId="3C0C0412" w14:textId="77777777" w:rsidR="00BC1251" w:rsidRDefault="00BC1251" w:rsidP="00D35350">
      <w:pPr>
        <w:pStyle w:val="FootnoteText"/>
      </w:pPr>
      <w:r>
        <w:rPr>
          <w:rStyle w:val="FootnoteReference"/>
        </w:rPr>
        <w:footnoteRef/>
      </w:r>
      <w:r>
        <w:t xml:space="preserve"> Plato </w:t>
      </w:r>
      <w:r w:rsidRPr="005F2321">
        <w:rPr>
          <w:i/>
        </w:rPr>
        <w:t xml:space="preserve">Euthydemus </w:t>
      </w:r>
      <w:r>
        <w:rPr>
          <w:i/>
        </w:rPr>
        <w:t>(</w:t>
      </w:r>
      <w:r w:rsidRPr="005F2321">
        <w:t>trans. Jowett</w:t>
      </w:r>
      <w:r>
        <w:rPr>
          <w:i/>
        </w:rPr>
        <w:t>) Plato Complete Works p.588</w:t>
      </w:r>
    </w:p>
  </w:footnote>
  <w:footnote w:id="163">
    <w:p w14:paraId="340502C7" w14:textId="77777777" w:rsidR="00BC1251" w:rsidRDefault="00BC1251" w:rsidP="00D35350">
      <w:pPr>
        <w:pStyle w:val="FootnoteText"/>
      </w:pPr>
      <w:r>
        <w:rPr>
          <w:rStyle w:val="FootnoteReference"/>
        </w:rPr>
        <w:footnoteRef/>
      </w:r>
      <w:r>
        <w:t xml:space="preserve"> Britannica, 2020</w:t>
      </w:r>
    </w:p>
  </w:footnote>
  <w:footnote w:id="164">
    <w:p w14:paraId="3F4856C6" w14:textId="77777777" w:rsidR="00BC1251" w:rsidRDefault="00BC1251" w:rsidP="00D35350">
      <w:pPr>
        <w:pStyle w:val="FootnoteText"/>
      </w:pPr>
      <w:r>
        <w:rPr>
          <w:rStyle w:val="FootnoteReference"/>
        </w:rPr>
        <w:footnoteRef/>
      </w:r>
      <w:r>
        <w:t xml:space="preserve"> Plato </w:t>
      </w:r>
      <w:r w:rsidRPr="00D30352">
        <w:rPr>
          <w:i/>
        </w:rPr>
        <w:t xml:space="preserve">Timaeus </w:t>
      </w:r>
      <w:r>
        <w:t>Sec 1 (trans. Jowett) p. 5</w:t>
      </w:r>
    </w:p>
  </w:footnote>
  <w:footnote w:id="165">
    <w:p w14:paraId="5535B289" w14:textId="77777777" w:rsidR="00BC1251" w:rsidRDefault="00BC1251" w:rsidP="00D35350">
      <w:pPr>
        <w:pStyle w:val="FootnoteText"/>
      </w:pPr>
      <w:r>
        <w:rPr>
          <w:rStyle w:val="FootnoteReference"/>
        </w:rPr>
        <w:footnoteRef/>
      </w:r>
      <w:r>
        <w:t xml:space="preserve"> Virgil </w:t>
      </w:r>
      <w:r w:rsidRPr="00A21910">
        <w:rPr>
          <w:i/>
        </w:rPr>
        <w:t>Aeneid</w:t>
      </w:r>
      <w:r>
        <w:t xml:space="preserve"> 1.344 (trans. Fagles) p.57</w:t>
      </w:r>
    </w:p>
  </w:footnote>
  <w:footnote w:id="166">
    <w:p w14:paraId="080F0BFD" w14:textId="77777777" w:rsidR="00BC1251" w:rsidRDefault="00BC1251" w:rsidP="00D35350">
      <w:pPr>
        <w:pStyle w:val="FootnoteText"/>
      </w:pPr>
      <w:r>
        <w:rPr>
          <w:rStyle w:val="FootnoteReference"/>
        </w:rPr>
        <w:footnoteRef/>
      </w:r>
      <w:r>
        <w:t xml:space="preserve"> Taylor 1926:191-192</w:t>
      </w:r>
    </w:p>
  </w:footnote>
  <w:footnote w:id="167">
    <w:p w14:paraId="49A23774" w14:textId="77777777" w:rsidR="00BC1251" w:rsidRDefault="00BC1251" w:rsidP="00D35350">
      <w:pPr>
        <w:pStyle w:val="FootnoteText"/>
      </w:pPr>
      <w:r>
        <w:rPr>
          <w:rStyle w:val="FootnoteReference"/>
        </w:rPr>
        <w:footnoteRef/>
      </w:r>
      <w:r>
        <w:t xml:space="preserve">Clement </w:t>
      </w:r>
      <w:r w:rsidRPr="004D38C9">
        <w:rPr>
          <w:i/>
        </w:rPr>
        <w:t>The Stromata</w:t>
      </w:r>
      <w:r>
        <w:t xml:space="preserve"> Introductory note loc 14</w:t>
      </w:r>
    </w:p>
  </w:footnote>
  <w:footnote w:id="168">
    <w:p w14:paraId="6F364118" w14:textId="77777777" w:rsidR="00BC1251" w:rsidRDefault="00BC1251" w:rsidP="00D35350">
      <w:pPr>
        <w:pStyle w:val="FootnoteText"/>
      </w:pPr>
      <w:r>
        <w:rPr>
          <w:rStyle w:val="FootnoteReference"/>
        </w:rPr>
        <w:footnoteRef/>
      </w:r>
      <w:r>
        <w:t xml:space="preserve"> Clement </w:t>
      </w:r>
      <w:r w:rsidRPr="004D38C9">
        <w:rPr>
          <w:i/>
        </w:rPr>
        <w:t>The Stromata</w:t>
      </w:r>
      <w:r>
        <w:t xml:space="preserve"> 6.6.44 as cited in Muckle 1951: 80.  Clement often identified Jews as barbarians and the Old Testament as “barbarian philosophy.”</w:t>
      </w:r>
    </w:p>
  </w:footnote>
  <w:footnote w:id="169">
    <w:p w14:paraId="0F6C1B66" w14:textId="77777777" w:rsidR="00BC1251" w:rsidRDefault="00BC1251" w:rsidP="00D35350">
      <w:pPr>
        <w:pStyle w:val="FootnoteText"/>
      </w:pPr>
      <w:r>
        <w:rPr>
          <w:rStyle w:val="FootnoteReference"/>
        </w:rPr>
        <w:footnoteRef/>
      </w:r>
      <w:r>
        <w:t xml:space="preserve"> Ibid </w:t>
      </w:r>
    </w:p>
  </w:footnote>
  <w:footnote w:id="170">
    <w:p w14:paraId="4163DE43" w14:textId="77777777" w:rsidR="00BC1251" w:rsidRDefault="00BC1251" w:rsidP="00D35350">
      <w:pPr>
        <w:pStyle w:val="FootnoteText"/>
      </w:pPr>
      <w:r>
        <w:rPr>
          <w:rStyle w:val="FootnoteReference"/>
        </w:rPr>
        <w:footnoteRef/>
      </w:r>
      <w:r>
        <w:t xml:space="preserve"> Clement </w:t>
      </w:r>
      <w:r w:rsidRPr="008C49DC">
        <w:rPr>
          <w:i/>
        </w:rPr>
        <w:t>The Stromata</w:t>
      </w:r>
      <w:r>
        <w:t xml:space="preserve"> 1.15 (trans. Overett) p. 40</w:t>
      </w:r>
    </w:p>
  </w:footnote>
  <w:footnote w:id="171">
    <w:p w14:paraId="2F5291BF" w14:textId="77777777" w:rsidR="00BC1251" w:rsidRDefault="00BC1251" w:rsidP="00D35350">
      <w:pPr>
        <w:pStyle w:val="FootnoteText"/>
      </w:pPr>
      <w:r>
        <w:rPr>
          <w:rStyle w:val="FootnoteReference"/>
        </w:rPr>
        <w:footnoteRef/>
      </w:r>
      <w:r>
        <w:t xml:space="preserve"> Ibid p. 42; Plutarch </w:t>
      </w:r>
      <w:r w:rsidRPr="00362BA3">
        <w:rPr>
          <w:i/>
        </w:rPr>
        <w:t>The Parallel Lives</w:t>
      </w:r>
      <w:r>
        <w:rPr>
          <w:i/>
        </w:rPr>
        <w:t xml:space="preserve"> </w:t>
      </w:r>
      <w:r w:rsidRPr="005F40CE">
        <w:t>1.1</w:t>
      </w:r>
      <w:r>
        <w:rPr>
          <w:i/>
        </w:rPr>
        <w:t xml:space="preserve"> </w:t>
      </w:r>
      <w:r>
        <w:t xml:space="preserve"> published in Vol. 1 of Loeb Classical Library edition 1914 p.307</w:t>
      </w:r>
    </w:p>
  </w:footnote>
  <w:footnote w:id="172">
    <w:p w14:paraId="0DAE2B53" w14:textId="77777777" w:rsidR="00BC1251" w:rsidRDefault="00BC1251" w:rsidP="00D35350">
      <w:pPr>
        <w:pStyle w:val="FootnoteText"/>
      </w:pPr>
      <w:r>
        <w:rPr>
          <w:rStyle w:val="FootnoteReference"/>
        </w:rPr>
        <w:footnoteRef/>
      </w:r>
      <w:r>
        <w:t xml:space="preserve"> Clement </w:t>
      </w:r>
      <w:r w:rsidRPr="008C49DC">
        <w:rPr>
          <w:i/>
        </w:rPr>
        <w:t>The Stromata</w:t>
      </w:r>
      <w:r>
        <w:t xml:space="preserve"> 1.15 (trans. Overett) p. 44</w:t>
      </w:r>
    </w:p>
  </w:footnote>
  <w:footnote w:id="173">
    <w:p w14:paraId="6DC0C7F2" w14:textId="77777777" w:rsidR="00BC1251" w:rsidRDefault="00BC1251" w:rsidP="00D35350">
      <w:pPr>
        <w:pStyle w:val="FootnoteText"/>
      </w:pPr>
      <w:r>
        <w:rPr>
          <w:rStyle w:val="FootnoteReference"/>
        </w:rPr>
        <w:footnoteRef/>
      </w:r>
      <w:r>
        <w:t xml:space="preserve"> Plato </w:t>
      </w:r>
      <w:r w:rsidRPr="009454CE">
        <w:rPr>
          <w:i/>
        </w:rPr>
        <w:t>Phaedo</w:t>
      </w:r>
      <w:r>
        <w:t xml:space="preserve"> 118 </w:t>
      </w:r>
      <w:r w:rsidRPr="009454CE">
        <w:rPr>
          <w:i/>
        </w:rPr>
        <w:t>The Last Days of Socrates</w:t>
      </w:r>
      <w:r>
        <w:t xml:space="preserve"> (trans. Tredennick) p. 183</w:t>
      </w:r>
    </w:p>
  </w:footnote>
  <w:footnote w:id="174">
    <w:p w14:paraId="17C382FB" w14:textId="77777777" w:rsidR="00BC1251" w:rsidRDefault="00BC1251" w:rsidP="00D35350">
      <w:pPr>
        <w:pStyle w:val="FootnoteText"/>
      </w:pPr>
      <w:r>
        <w:rPr>
          <w:rStyle w:val="FootnoteReference"/>
        </w:rPr>
        <w:footnoteRef/>
      </w:r>
      <w:r>
        <w:t xml:space="preserve">  Clement </w:t>
      </w:r>
      <w:r w:rsidRPr="00F51524">
        <w:rPr>
          <w:i/>
        </w:rPr>
        <w:t>Exhortation to the Greeks</w:t>
      </w:r>
      <w:r>
        <w:t xml:space="preserve"> 2.24P (trans. Butterworth)  p. 57</w:t>
      </w:r>
    </w:p>
  </w:footnote>
  <w:footnote w:id="175">
    <w:p w14:paraId="42849899" w14:textId="77777777" w:rsidR="00BC1251" w:rsidRDefault="00BC1251" w:rsidP="00D35350">
      <w:pPr>
        <w:pStyle w:val="FootnoteText"/>
      </w:pPr>
      <w:r>
        <w:rPr>
          <w:rStyle w:val="FootnoteReference"/>
        </w:rPr>
        <w:footnoteRef/>
      </w:r>
      <w:r>
        <w:t xml:space="preserve"> Callimachus, Hymn to Zeus 8-9 as cited in bid 2.32P p.79.  “This claim of the Cretans to possess the tomb of Zeus is said to have earned them their traditional reputation as liars.”</w:t>
      </w:r>
    </w:p>
  </w:footnote>
  <w:footnote w:id="176">
    <w:p w14:paraId="73DEEF02" w14:textId="77777777" w:rsidR="00BC1251" w:rsidRDefault="00BC1251" w:rsidP="00D35350">
      <w:pPr>
        <w:pStyle w:val="FootnoteText"/>
      </w:pPr>
      <w:r>
        <w:rPr>
          <w:rStyle w:val="FootnoteReference"/>
        </w:rPr>
        <w:footnoteRef/>
      </w:r>
      <w:r>
        <w:t xml:space="preserve"> 1 Corinthians 13:11</w:t>
      </w:r>
    </w:p>
  </w:footnote>
  <w:footnote w:id="177">
    <w:p w14:paraId="4A84203A" w14:textId="77777777" w:rsidR="00BC1251" w:rsidRDefault="00BC1251" w:rsidP="00D35350">
      <w:pPr>
        <w:pStyle w:val="FootnoteText"/>
      </w:pPr>
      <w:r>
        <w:rPr>
          <w:rStyle w:val="FootnoteReference"/>
        </w:rPr>
        <w:footnoteRef/>
      </w:r>
      <w:r>
        <w:t xml:space="preserve"> Clement </w:t>
      </w:r>
      <w:r w:rsidRPr="00FD3D4D">
        <w:rPr>
          <w:i/>
        </w:rPr>
        <w:t>The Stromata</w:t>
      </w:r>
      <w:r>
        <w:t xml:space="preserve"> 5.3 (trans. Overett) p.293-294</w:t>
      </w:r>
    </w:p>
  </w:footnote>
  <w:footnote w:id="178">
    <w:p w14:paraId="12DCFBC7" w14:textId="136B0626" w:rsidR="00792195" w:rsidRDefault="00792195">
      <w:pPr>
        <w:pStyle w:val="FootnoteText"/>
      </w:pPr>
      <w:r>
        <w:rPr>
          <w:rStyle w:val="FootnoteReference"/>
        </w:rPr>
        <w:footnoteRef/>
      </w:r>
      <w:r>
        <w:t xml:space="preserve"> Micah 6:8</w:t>
      </w:r>
    </w:p>
  </w:footnote>
  <w:footnote w:id="179">
    <w:p w14:paraId="3BEDA8D5" w14:textId="6D93C36D" w:rsidR="00AC034E" w:rsidRDefault="00AC034E">
      <w:pPr>
        <w:pStyle w:val="FootnoteText"/>
      </w:pPr>
      <w:r>
        <w:rPr>
          <w:rStyle w:val="FootnoteReference"/>
        </w:rPr>
        <w:footnoteRef/>
      </w:r>
      <w:r>
        <w:t xml:space="preserve"> Homer, </w:t>
      </w:r>
      <w:r w:rsidRPr="00AC034E">
        <w:rPr>
          <w:i/>
        </w:rPr>
        <w:t>The Illiad</w:t>
      </w:r>
      <w:r>
        <w:t xml:space="preserve"> 22.1 (trans. Fitzgerald), p. 115-59 as cited in Hampsey 2016:  287-288</w:t>
      </w:r>
    </w:p>
  </w:footnote>
  <w:footnote w:id="180">
    <w:p w14:paraId="21D6A3C2" w14:textId="65EB65FE" w:rsidR="00FF757A" w:rsidRDefault="00FF757A">
      <w:pPr>
        <w:pStyle w:val="FootnoteText"/>
      </w:pPr>
      <w:r>
        <w:rPr>
          <w:rStyle w:val="FootnoteReference"/>
        </w:rPr>
        <w:footnoteRef/>
      </w:r>
      <w:r>
        <w:t xml:space="preserve"> Ibid</w:t>
      </w:r>
    </w:p>
  </w:footnote>
  <w:footnote w:id="181">
    <w:p w14:paraId="66DE24A3" w14:textId="1063C818" w:rsidR="00A37C64" w:rsidRDefault="00A37C64">
      <w:pPr>
        <w:pStyle w:val="FootnoteText"/>
      </w:pPr>
      <w:r>
        <w:rPr>
          <w:rStyle w:val="FootnoteReference"/>
        </w:rPr>
        <w:footnoteRef/>
      </w:r>
      <w:r>
        <w:t xml:space="preserve"> Homer Illiad 22.393</w:t>
      </w:r>
      <w:r w:rsidR="00DF2F27">
        <w:t xml:space="preserve"> (trans. Pope) p. 645-646</w:t>
      </w:r>
      <w:r w:rsidR="00227A86">
        <w:t>; 6.123-124 p.204-205</w:t>
      </w:r>
    </w:p>
  </w:footnote>
  <w:footnote w:id="182">
    <w:p w14:paraId="6920791F" w14:textId="162BB5C6" w:rsidR="00AC42C9" w:rsidRDefault="00AC42C9">
      <w:pPr>
        <w:pStyle w:val="FootnoteText"/>
      </w:pPr>
      <w:r>
        <w:rPr>
          <w:rStyle w:val="FootnoteReference"/>
        </w:rPr>
        <w:footnoteRef/>
      </w:r>
      <w:r>
        <w:t xml:space="preserve"> Ibid 6.199-120 p. 198-199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EB418B"/>
    <w:multiLevelType w:val="hybridMultilevel"/>
    <w:tmpl w:val="79BEEA5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1AE0"/>
    <w:rsid w:val="00004711"/>
    <w:rsid w:val="00004918"/>
    <w:rsid w:val="0001174D"/>
    <w:rsid w:val="00011E47"/>
    <w:rsid w:val="00012483"/>
    <w:rsid w:val="000134D9"/>
    <w:rsid w:val="00025B92"/>
    <w:rsid w:val="000265D0"/>
    <w:rsid w:val="00031AC8"/>
    <w:rsid w:val="00042893"/>
    <w:rsid w:val="00043AA8"/>
    <w:rsid w:val="00044004"/>
    <w:rsid w:val="0004569E"/>
    <w:rsid w:val="00045A8E"/>
    <w:rsid w:val="00054E3E"/>
    <w:rsid w:val="000556F4"/>
    <w:rsid w:val="00061B43"/>
    <w:rsid w:val="0006709A"/>
    <w:rsid w:val="000732F3"/>
    <w:rsid w:val="00077385"/>
    <w:rsid w:val="00080F44"/>
    <w:rsid w:val="00081C61"/>
    <w:rsid w:val="000905E4"/>
    <w:rsid w:val="00094C62"/>
    <w:rsid w:val="00095084"/>
    <w:rsid w:val="00096F6E"/>
    <w:rsid w:val="000A3A19"/>
    <w:rsid w:val="000B6E75"/>
    <w:rsid w:val="000C1857"/>
    <w:rsid w:val="000C5318"/>
    <w:rsid w:val="000C61EC"/>
    <w:rsid w:val="000D566C"/>
    <w:rsid w:val="000E1589"/>
    <w:rsid w:val="000E58E4"/>
    <w:rsid w:val="000E7E3B"/>
    <w:rsid w:val="000F3800"/>
    <w:rsid w:val="00105A47"/>
    <w:rsid w:val="00110520"/>
    <w:rsid w:val="001334AA"/>
    <w:rsid w:val="001436D0"/>
    <w:rsid w:val="0014481C"/>
    <w:rsid w:val="001517B0"/>
    <w:rsid w:val="0015352A"/>
    <w:rsid w:val="0015670B"/>
    <w:rsid w:val="001600D9"/>
    <w:rsid w:val="001651EF"/>
    <w:rsid w:val="001656CB"/>
    <w:rsid w:val="00165F81"/>
    <w:rsid w:val="001750FB"/>
    <w:rsid w:val="00175B30"/>
    <w:rsid w:val="0018318F"/>
    <w:rsid w:val="001838D2"/>
    <w:rsid w:val="00190C71"/>
    <w:rsid w:val="0019632D"/>
    <w:rsid w:val="001A2AD7"/>
    <w:rsid w:val="001A4279"/>
    <w:rsid w:val="001B12B4"/>
    <w:rsid w:val="001B2D5B"/>
    <w:rsid w:val="001C02EB"/>
    <w:rsid w:val="001C7EC6"/>
    <w:rsid w:val="001D19C1"/>
    <w:rsid w:val="001D58C9"/>
    <w:rsid w:val="001E4F0D"/>
    <w:rsid w:val="001F0D0B"/>
    <w:rsid w:val="001F33E7"/>
    <w:rsid w:val="001F67EC"/>
    <w:rsid w:val="00200F70"/>
    <w:rsid w:val="00202BA6"/>
    <w:rsid w:val="00204C64"/>
    <w:rsid w:val="00215AFC"/>
    <w:rsid w:val="002161C2"/>
    <w:rsid w:val="00216BC7"/>
    <w:rsid w:val="00216EBE"/>
    <w:rsid w:val="00227A86"/>
    <w:rsid w:val="00232570"/>
    <w:rsid w:val="002325AF"/>
    <w:rsid w:val="00234847"/>
    <w:rsid w:val="002362FE"/>
    <w:rsid w:val="0023761A"/>
    <w:rsid w:val="00244C11"/>
    <w:rsid w:val="0025193F"/>
    <w:rsid w:val="002538EB"/>
    <w:rsid w:val="00253950"/>
    <w:rsid w:val="0025531C"/>
    <w:rsid w:val="00255B96"/>
    <w:rsid w:val="002613A0"/>
    <w:rsid w:val="00270E33"/>
    <w:rsid w:val="00274957"/>
    <w:rsid w:val="00275CB2"/>
    <w:rsid w:val="0027614C"/>
    <w:rsid w:val="002821A5"/>
    <w:rsid w:val="0028655E"/>
    <w:rsid w:val="00294A62"/>
    <w:rsid w:val="00294FF2"/>
    <w:rsid w:val="00297924"/>
    <w:rsid w:val="002A100A"/>
    <w:rsid w:val="002A570E"/>
    <w:rsid w:val="002B2224"/>
    <w:rsid w:val="002B38E2"/>
    <w:rsid w:val="002B4EB4"/>
    <w:rsid w:val="002B64FB"/>
    <w:rsid w:val="002C370B"/>
    <w:rsid w:val="002C67E8"/>
    <w:rsid w:val="002C7C76"/>
    <w:rsid w:val="002D0808"/>
    <w:rsid w:val="002D0815"/>
    <w:rsid w:val="002D32FF"/>
    <w:rsid w:val="002D3D69"/>
    <w:rsid w:val="002D682A"/>
    <w:rsid w:val="002E6928"/>
    <w:rsid w:val="002F1095"/>
    <w:rsid w:val="002F5003"/>
    <w:rsid w:val="00304312"/>
    <w:rsid w:val="00304821"/>
    <w:rsid w:val="00321881"/>
    <w:rsid w:val="003229AB"/>
    <w:rsid w:val="00327EEF"/>
    <w:rsid w:val="00333CD5"/>
    <w:rsid w:val="00335809"/>
    <w:rsid w:val="003411E7"/>
    <w:rsid w:val="00342097"/>
    <w:rsid w:val="00343093"/>
    <w:rsid w:val="00343BE1"/>
    <w:rsid w:val="00346893"/>
    <w:rsid w:val="003513D1"/>
    <w:rsid w:val="003514B9"/>
    <w:rsid w:val="003612D4"/>
    <w:rsid w:val="00367C6E"/>
    <w:rsid w:val="00367E6A"/>
    <w:rsid w:val="00370AAD"/>
    <w:rsid w:val="00372F30"/>
    <w:rsid w:val="00375246"/>
    <w:rsid w:val="00377A86"/>
    <w:rsid w:val="00380E79"/>
    <w:rsid w:val="00386C6B"/>
    <w:rsid w:val="003875DD"/>
    <w:rsid w:val="0039360E"/>
    <w:rsid w:val="00397419"/>
    <w:rsid w:val="003B1F8F"/>
    <w:rsid w:val="003B3836"/>
    <w:rsid w:val="003C3231"/>
    <w:rsid w:val="003D1F76"/>
    <w:rsid w:val="003E005F"/>
    <w:rsid w:val="003E5903"/>
    <w:rsid w:val="003E79AC"/>
    <w:rsid w:val="004001FA"/>
    <w:rsid w:val="004017C0"/>
    <w:rsid w:val="00402113"/>
    <w:rsid w:val="00402852"/>
    <w:rsid w:val="00405900"/>
    <w:rsid w:val="0040681A"/>
    <w:rsid w:val="00412568"/>
    <w:rsid w:val="00414694"/>
    <w:rsid w:val="00417C8E"/>
    <w:rsid w:val="00423E91"/>
    <w:rsid w:val="00425645"/>
    <w:rsid w:val="00430787"/>
    <w:rsid w:val="004410A0"/>
    <w:rsid w:val="00446312"/>
    <w:rsid w:val="00464DD4"/>
    <w:rsid w:val="004652B2"/>
    <w:rsid w:val="004655BF"/>
    <w:rsid w:val="00467A15"/>
    <w:rsid w:val="00470042"/>
    <w:rsid w:val="004731F7"/>
    <w:rsid w:val="004732EA"/>
    <w:rsid w:val="00475310"/>
    <w:rsid w:val="004855A8"/>
    <w:rsid w:val="0048772F"/>
    <w:rsid w:val="00492B8C"/>
    <w:rsid w:val="00494BEB"/>
    <w:rsid w:val="0049789B"/>
    <w:rsid w:val="004A0AF8"/>
    <w:rsid w:val="004A39B3"/>
    <w:rsid w:val="004A5C72"/>
    <w:rsid w:val="004B28FA"/>
    <w:rsid w:val="004C14D6"/>
    <w:rsid w:val="004C6223"/>
    <w:rsid w:val="004C6ADF"/>
    <w:rsid w:val="004D4DA4"/>
    <w:rsid w:val="004D5366"/>
    <w:rsid w:val="004E431C"/>
    <w:rsid w:val="004E54EA"/>
    <w:rsid w:val="004E6CC3"/>
    <w:rsid w:val="004F1AA6"/>
    <w:rsid w:val="004F5237"/>
    <w:rsid w:val="00501384"/>
    <w:rsid w:val="00516766"/>
    <w:rsid w:val="0052457F"/>
    <w:rsid w:val="00524AB5"/>
    <w:rsid w:val="00542897"/>
    <w:rsid w:val="00550475"/>
    <w:rsid w:val="00557615"/>
    <w:rsid w:val="00566B36"/>
    <w:rsid w:val="00572CBD"/>
    <w:rsid w:val="00577046"/>
    <w:rsid w:val="00577267"/>
    <w:rsid w:val="00580675"/>
    <w:rsid w:val="00584FBA"/>
    <w:rsid w:val="00587BD0"/>
    <w:rsid w:val="00587F61"/>
    <w:rsid w:val="00590D7A"/>
    <w:rsid w:val="005943DE"/>
    <w:rsid w:val="00594937"/>
    <w:rsid w:val="00595CAE"/>
    <w:rsid w:val="005B0527"/>
    <w:rsid w:val="005B38C3"/>
    <w:rsid w:val="005B495D"/>
    <w:rsid w:val="005C7810"/>
    <w:rsid w:val="005D398B"/>
    <w:rsid w:val="005D39CB"/>
    <w:rsid w:val="005D3E56"/>
    <w:rsid w:val="005E3C5E"/>
    <w:rsid w:val="005E5929"/>
    <w:rsid w:val="005F1B52"/>
    <w:rsid w:val="00604C49"/>
    <w:rsid w:val="0060527F"/>
    <w:rsid w:val="00605A09"/>
    <w:rsid w:val="00611318"/>
    <w:rsid w:val="006124EB"/>
    <w:rsid w:val="006128C4"/>
    <w:rsid w:val="00612DD7"/>
    <w:rsid w:val="00613B52"/>
    <w:rsid w:val="00631CA5"/>
    <w:rsid w:val="006370B5"/>
    <w:rsid w:val="00642F34"/>
    <w:rsid w:val="00650644"/>
    <w:rsid w:val="0067083C"/>
    <w:rsid w:val="00671064"/>
    <w:rsid w:val="00671572"/>
    <w:rsid w:val="00673EBD"/>
    <w:rsid w:val="006756BD"/>
    <w:rsid w:val="00677842"/>
    <w:rsid w:val="0068017B"/>
    <w:rsid w:val="00680856"/>
    <w:rsid w:val="006A0144"/>
    <w:rsid w:val="006A3A13"/>
    <w:rsid w:val="006B1248"/>
    <w:rsid w:val="006B29EF"/>
    <w:rsid w:val="006B31E2"/>
    <w:rsid w:val="006B3AB7"/>
    <w:rsid w:val="006B6F04"/>
    <w:rsid w:val="006B748E"/>
    <w:rsid w:val="006C19E8"/>
    <w:rsid w:val="006C300E"/>
    <w:rsid w:val="006C74E6"/>
    <w:rsid w:val="006C7FCA"/>
    <w:rsid w:val="006D0675"/>
    <w:rsid w:val="006D1756"/>
    <w:rsid w:val="006D22E1"/>
    <w:rsid w:val="006D7BAC"/>
    <w:rsid w:val="006E22B1"/>
    <w:rsid w:val="006E3722"/>
    <w:rsid w:val="0070198D"/>
    <w:rsid w:val="007035EE"/>
    <w:rsid w:val="00711352"/>
    <w:rsid w:val="00713E69"/>
    <w:rsid w:val="007255D1"/>
    <w:rsid w:val="00735544"/>
    <w:rsid w:val="00736B2B"/>
    <w:rsid w:val="00736EA8"/>
    <w:rsid w:val="0074773F"/>
    <w:rsid w:val="00747FE4"/>
    <w:rsid w:val="007571C8"/>
    <w:rsid w:val="00760DC9"/>
    <w:rsid w:val="00762662"/>
    <w:rsid w:val="007655D6"/>
    <w:rsid w:val="007678A7"/>
    <w:rsid w:val="0077053D"/>
    <w:rsid w:val="00775F13"/>
    <w:rsid w:val="00776874"/>
    <w:rsid w:val="00782498"/>
    <w:rsid w:val="0078401A"/>
    <w:rsid w:val="00786F9E"/>
    <w:rsid w:val="00792195"/>
    <w:rsid w:val="007944C2"/>
    <w:rsid w:val="007B1A56"/>
    <w:rsid w:val="007B2051"/>
    <w:rsid w:val="007B5226"/>
    <w:rsid w:val="007C6612"/>
    <w:rsid w:val="007D229F"/>
    <w:rsid w:val="007D6C2C"/>
    <w:rsid w:val="007E0026"/>
    <w:rsid w:val="007E03F5"/>
    <w:rsid w:val="007E1FB0"/>
    <w:rsid w:val="007E2A28"/>
    <w:rsid w:val="007F0369"/>
    <w:rsid w:val="007F1E3B"/>
    <w:rsid w:val="007F2596"/>
    <w:rsid w:val="007F2E6F"/>
    <w:rsid w:val="007F3A62"/>
    <w:rsid w:val="007F7AF6"/>
    <w:rsid w:val="007F7FC4"/>
    <w:rsid w:val="00802ABE"/>
    <w:rsid w:val="00816E8E"/>
    <w:rsid w:val="008225F2"/>
    <w:rsid w:val="0082595F"/>
    <w:rsid w:val="00825BEA"/>
    <w:rsid w:val="0083276B"/>
    <w:rsid w:val="00833135"/>
    <w:rsid w:val="008342D4"/>
    <w:rsid w:val="00841176"/>
    <w:rsid w:val="00847375"/>
    <w:rsid w:val="0085087B"/>
    <w:rsid w:val="00865F5D"/>
    <w:rsid w:val="00876DC9"/>
    <w:rsid w:val="00882FAC"/>
    <w:rsid w:val="00886969"/>
    <w:rsid w:val="008951C5"/>
    <w:rsid w:val="00896A40"/>
    <w:rsid w:val="00897838"/>
    <w:rsid w:val="008A07B7"/>
    <w:rsid w:val="008A1E79"/>
    <w:rsid w:val="008A30E5"/>
    <w:rsid w:val="008A5CE9"/>
    <w:rsid w:val="008C39FF"/>
    <w:rsid w:val="008C64F5"/>
    <w:rsid w:val="008C65DE"/>
    <w:rsid w:val="008C727C"/>
    <w:rsid w:val="008D64BD"/>
    <w:rsid w:val="008D7594"/>
    <w:rsid w:val="008E0219"/>
    <w:rsid w:val="008E0C81"/>
    <w:rsid w:val="008E4E77"/>
    <w:rsid w:val="008F040C"/>
    <w:rsid w:val="008F1CE4"/>
    <w:rsid w:val="00900FDC"/>
    <w:rsid w:val="00903CE7"/>
    <w:rsid w:val="00905131"/>
    <w:rsid w:val="00905184"/>
    <w:rsid w:val="009110A3"/>
    <w:rsid w:val="0091216C"/>
    <w:rsid w:val="00914975"/>
    <w:rsid w:val="00916CB5"/>
    <w:rsid w:val="00924D74"/>
    <w:rsid w:val="009302A9"/>
    <w:rsid w:val="009360D6"/>
    <w:rsid w:val="009367E1"/>
    <w:rsid w:val="00936DEC"/>
    <w:rsid w:val="009402F1"/>
    <w:rsid w:val="00940391"/>
    <w:rsid w:val="00941F07"/>
    <w:rsid w:val="0094358D"/>
    <w:rsid w:val="00954022"/>
    <w:rsid w:val="00967032"/>
    <w:rsid w:val="00971B6A"/>
    <w:rsid w:val="00972F26"/>
    <w:rsid w:val="009802FF"/>
    <w:rsid w:val="00981C5E"/>
    <w:rsid w:val="0098226E"/>
    <w:rsid w:val="00990DE0"/>
    <w:rsid w:val="009938D1"/>
    <w:rsid w:val="00993C59"/>
    <w:rsid w:val="00994002"/>
    <w:rsid w:val="00994175"/>
    <w:rsid w:val="00996B8B"/>
    <w:rsid w:val="009A0543"/>
    <w:rsid w:val="009A1C52"/>
    <w:rsid w:val="009A29F3"/>
    <w:rsid w:val="009B0D68"/>
    <w:rsid w:val="009B6ACC"/>
    <w:rsid w:val="009C72FA"/>
    <w:rsid w:val="009C739E"/>
    <w:rsid w:val="009D5A6E"/>
    <w:rsid w:val="009D764D"/>
    <w:rsid w:val="009D7A7C"/>
    <w:rsid w:val="009E0675"/>
    <w:rsid w:val="009E3483"/>
    <w:rsid w:val="009E39AF"/>
    <w:rsid w:val="009E5938"/>
    <w:rsid w:val="009E7A39"/>
    <w:rsid w:val="009F2201"/>
    <w:rsid w:val="009F71E4"/>
    <w:rsid w:val="00A02186"/>
    <w:rsid w:val="00A03AD8"/>
    <w:rsid w:val="00A0491F"/>
    <w:rsid w:val="00A06263"/>
    <w:rsid w:val="00A07C61"/>
    <w:rsid w:val="00A11DC5"/>
    <w:rsid w:val="00A24A5E"/>
    <w:rsid w:val="00A27473"/>
    <w:rsid w:val="00A31551"/>
    <w:rsid w:val="00A358E2"/>
    <w:rsid w:val="00A37C64"/>
    <w:rsid w:val="00A40D78"/>
    <w:rsid w:val="00A4184C"/>
    <w:rsid w:val="00A4240A"/>
    <w:rsid w:val="00A42682"/>
    <w:rsid w:val="00A455D7"/>
    <w:rsid w:val="00A509C7"/>
    <w:rsid w:val="00A6034B"/>
    <w:rsid w:val="00A640B0"/>
    <w:rsid w:val="00A650EC"/>
    <w:rsid w:val="00A67CCE"/>
    <w:rsid w:val="00A73D7B"/>
    <w:rsid w:val="00A75563"/>
    <w:rsid w:val="00A81C05"/>
    <w:rsid w:val="00A833DF"/>
    <w:rsid w:val="00A85B6E"/>
    <w:rsid w:val="00A928B9"/>
    <w:rsid w:val="00A95025"/>
    <w:rsid w:val="00AB00BD"/>
    <w:rsid w:val="00AB0606"/>
    <w:rsid w:val="00AB2A32"/>
    <w:rsid w:val="00AB7809"/>
    <w:rsid w:val="00AC034E"/>
    <w:rsid w:val="00AC0824"/>
    <w:rsid w:val="00AC0BAA"/>
    <w:rsid w:val="00AC1E6F"/>
    <w:rsid w:val="00AC1EFE"/>
    <w:rsid w:val="00AC266E"/>
    <w:rsid w:val="00AC3E2E"/>
    <w:rsid w:val="00AC42C9"/>
    <w:rsid w:val="00AC64A6"/>
    <w:rsid w:val="00AD75E6"/>
    <w:rsid w:val="00AE4125"/>
    <w:rsid w:val="00AF7443"/>
    <w:rsid w:val="00AF7E46"/>
    <w:rsid w:val="00B05092"/>
    <w:rsid w:val="00B05C53"/>
    <w:rsid w:val="00B05EC4"/>
    <w:rsid w:val="00B06517"/>
    <w:rsid w:val="00B1747C"/>
    <w:rsid w:val="00B20920"/>
    <w:rsid w:val="00B21937"/>
    <w:rsid w:val="00B23F84"/>
    <w:rsid w:val="00B25785"/>
    <w:rsid w:val="00B279C1"/>
    <w:rsid w:val="00B30636"/>
    <w:rsid w:val="00B32516"/>
    <w:rsid w:val="00B37074"/>
    <w:rsid w:val="00B45D29"/>
    <w:rsid w:val="00B46F88"/>
    <w:rsid w:val="00B473D8"/>
    <w:rsid w:val="00B5755B"/>
    <w:rsid w:val="00B57930"/>
    <w:rsid w:val="00B6032D"/>
    <w:rsid w:val="00B61AE0"/>
    <w:rsid w:val="00B62FB7"/>
    <w:rsid w:val="00B64EC0"/>
    <w:rsid w:val="00B65383"/>
    <w:rsid w:val="00B71C81"/>
    <w:rsid w:val="00B8289B"/>
    <w:rsid w:val="00B92665"/>
    <w:rsid w:val="00B92835"/>
    <w:rsid w:val="00B92C94"/>
    <w:rsid w:val="00BA2693"/>
    <w:rsid w:val="00BA2CF3"/>
    <w:rsid w:val="00BB2782"/>
    <w:rsid w:val="00BC1251"/>
    <w:rsid w:val="00BC1DA4"/>
    <w:rsid w:val="00BC3BC4"/>
    <w:rsid w:val="00BC4CB7"/>
    <w:rsid w:val="00BC57A1"/>
    <w:rsid w:val="00BC70B3"/>
    <w:rsid w:val="00BC7FBC"/>
    <w:rsid w:val="00BD0568"/>
    <w:rsid w:val="00BD3881"/>
    <w:rsid w:val="00BD6379"/>
    <w:rsid w:val="00BD6E2E"/>
    <w:rsid w:val="00BE4048"/>
    <w:rsid w:val="00BE469A"/>
    <w:rsid w:val="00BE5023"/>
    <w:rsid w:val="00BF333E"/>
    <w:rsid w:val="00BF3B65"/>
    <w:rsid w:val="00C037CC"/>
    <w:rsid w:val="00C04CAC"/>
    <w:rsid w:val="00C06763"/>
    <w:rsid w:val="00C127AE"/>
    <w:rsid w:val="00C252DE"/>
    <w:rsid w:val="00C26408"/>
    <w:rsid w:val="00C30CFD"/>
    <w:rsid w:val="00C336C0"/>
    <w:rsid w:val="00C34025"/>
    <w:rsid w:val="00C55471"/>
    <w:rsid w:val="00C55E56"/>
    <w:rsid w:val="00C57FAD"/>
    <w:rsid w:val="00C60FF9"/>
    <w:rsid w:val="00C62068"/>
    <w:rsid w:val="00C74A1D"/>
    <w:rsid w:val="00C75548"/>
    <w:rsid w:val="00C755ED"/>
    <w:rsid w:val="00C757E5"/>
    <w:rsid w:val="00C75C45"/>
    <w:rsid w:val="00C85E55"/>
    <w:rsid w:val="00C87D46"/>
    <w:rsid w:val="00C91F83"/>
    <w:rsid w:val="00CA181F"/>
    <w:rsid w:val="00CA64B2"/>
    <w:rsid w:val="00CB02FB"/>
    <w:rsid w:val="00CB46D7"/>
    <w:rsid w:val="00CC434F"/>
    <w:rsid w:val="00CC462D"/>
    <w:rsid w:val="00CC6D52"/>
    <w:rsid w:val="00CC7D1F"/>
    <w:rsid w:val="00CD079D"/>
    <w:rsid w:val="00CD4D69"/>
    <w:rsid w:val="00CD74D1"/>
    <w:rsid w:val="00CE5C22"/>
    <w:rsid w:val="00CF0128"/>
    <w:rsid w:val="00CF0821"/>
    <w:rsid w:val="00D025AE"/>
    <w:rsid w:val="00D03CBE"/>
    <w:rsid w:val="00D04B9D"/>
    <w:rsid w:val="00D1318A"/>
    <w:rsid w:val="00D13E1C"/>
    <w:rsid w:val="00D224B0"/>
    <w:rsid w:val="00D25077"/>
    <w:rsid w:val="00D26651"/>
    <w:rsid w:val="00D30BA6"/>
    <w:rsid w:val="00D32E24"/>
    <w:rsid w:val="00D32F1B"/>
    <w:rsid w:val="00D35350"/>
    <w:rsid w:val="00D419BF"/>
    <w:rsid w:val="00D42DA4"/>
    <w:rsid w:val="00D465B1"/>
    <w:rsid w:val="00D50CE3"/>
    <w:rsid w:val="00D5633A"/>
    <w:rsid w:val="00D57867"/>
    <w:rsid w:val="00D61549"/>
    <w:rsid w:val="00D65562"/>
    <w:rsid w:val="00D70CBA"/>
    <w:rsid w:val="00D70F12"/>
    <w:rsid w:val="00D73ABA"/>
    <w:rsid w:val="00D749C6"/>
    <w:rsid w:val="00D74F34"/>
    <w:rsid w:val="00D77027"/>
    <w:rsid w:val="00D862D4"/>
    <w:rsid w:val="00D90214"/>
    <w:rsid w:val="00D93EF1"/>
    <w:rsid w:val="00D940A6"/>
    <w:rsid w:val="00DA1D4A"/>
    <w:rsid w:val="00DB309B"/>
    <w:rsid w:val="00DB4B01"/>
    <w:rsid w:val="00DB7B47"/>
    <w:rsid w:val="00DC07B3"/>
    <w:rsid w:val="00DC2BED"/>
    <w:rsid w:val="00DD2C5F"/>
    <w:rsid w:val="00DD5B3D"/>
    <w:rsid w:val="00DD6860"/>
    <w:rsid w:val="00DD69FA"/>
    <w:rsid w:val="00DF0E73"/>
    <w:rsid w:val="00DF1DA4"/>
    <w:rsid w:val="00DF2F27"/>
    <w:rsid w:val="00DF3081"/>
    <w:rsid w:val="00E01AEB"/>
    <w:rsid w:val="00E03B64"/>
    <w:rsid w:val="00E11908"/>
    <w:rsid w:val="00E16905"/>
    <w:rsid w:val="00E23241"/>
    <w:rsid w:val="00E2461B"/>
    <w:rsid w:val="00E3086B"/>
    <w:rsid w:val="00E30D3D"/>
    <w:rsid w:val="00E31478"/>
    <w:rsid w:val="00E33A39"/>
    <w:rsid w:val="00E3539A"/>
    <w:rsid w:val="00E41A9A"/>
    <w:rsid w:val="00E44FAC"/>
    <w:rsid w:val="00E60DF8"/>
    <w:rsid w:val="00E637C1"/>
    <w:rsid w:val="00E65177"/>
    <w:rsid w:val="00E652DA"/>
    <w:rsid w:val="00E70D5F"/>
    <w:rsid w:val="00E751FD"/>
    <w:rsid w:val="00E768E2"/>
    <w:rsid w:val="00E77E43"/>
    <w:rsid w:val="00E810A4"/>
    <w:rsid w:val="00E85C62"/>
    <w:rsid w:val="00E87084"/>
    <w:rsid w:val="00E9181D"/>
    <w:rsid w:val="00E94CD2"/>
    <w:rsid w:val="00EA2FBD"/>
    <w:rsid w:val="00EA72E8"/>
    <w:rsid w:val="00EA7D8E"/>
    <w:rsid w:val="00EB3AB6"/>
    <w:rsid w:val="00EB3CED"/>
    <w:rsid w:val="00EB4134"/>
    <w:rsid w:val="00EB787A"/>
    <w:rsid w:val="00EC3B86"/>
    <w:rsid w:val="00EC40C1"/>
    <w:rsid w:val="00EC432E"/>
    <w:rsid w:val="00ED1D01"/>
    <w:rsid w:val="00ED43B1"/>
    <w:rsid w:val="00ED5396"/>
    <w:rsid w:val="00EF27BB"/>
    <w:rsid w:val="00EF315D"/>
    <w:rsid w:val="00EF381E"/>
    <w:rsid w:val="00EF39E3"/>
    <w:rsid w:val="00EF5758"/>
    <w:rsid w:val="00F11712"/>
    <w:rsid w:val="00F15275"/>
    <w:rsid w:val="00F153FE"/>
    <w:rsid w:val="00F178ED"/>
    <w:rsid w:val="00F22396"/>
    <w:rsid w:val="00F35110"/>
    <w:rsid w:val="00F44E0D"/>
    <w:rsid w:val="00F503AE"/>
    <w:rsid w:val="00F50BEC"/>
    <w:rsid w:val="00F550F6"/>
    <w:rsid w:val="00F558B5"/>
    <w:rsid w:val="00F56664"/>
    <w:rsid w:val="00F61071"/>
    <w:rsid w:val="00F64B91"/>
    <w:rsid w:val="00F66E1D"/>
    <w:rsid w:val="00F674E1"/>
    <w:rsid w:val="00F767AC"/>
    <w:rsid w:val="00F81076"/>
    <w:rsid w:val="00F90318"/>
    <w:rsid w:val="00F90CC0"/>
    <w:rsid w:val="00F91DD5"/>
    <w:rsid w:val="00F926FC"/>
    <w:rsid w:val="00F97169"/>
    <w:rsid w:val="00F979C7"/>
    <w:rsid w:val="00FB24E1"/>
    <w:rsid w:val="00FB5035"/>
    <w:rsid w:val="00FB7ED7"/>
    <w:rsid w:val="00FC1AE3"/>
    <w:rsid w:val="00FC4FC6"/>
    <w:rsid w:val="00FC665B"/>
    <w:rsid w:val="00FC6CFF"/>
    <w:rsid w:val="00FD691F"/>
    <w:rsid w:val="00FE00D6"/>
    <w:rsid w:val="00FF0B3E"/>
    <w:rsid w:val="00FF3611"/>
    <w:rsid w:val="00FF3A70"/>
    <w:rsid w:val="00FF44CF"/>
    <w:rsid w:val="00FF4D87"/>
    <w:rsid w:val="00FF757A"/>
    <w:rsid w:val="00FF7E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5EA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1AE0"/>
  </w:style>
  <w:style w:type="paragraph" w:styleId="Heading1">
    <w:name w:val="heading 1"/>
    <w:basedOn w:val="Normal"/>
    <w:link w:val="Heading1Char"/>
    <w:uiPriority w:val="9"/>
    <w:qFormat/>
    <w:rsid w:val="001D58C9"/>
    <w:pPr>
      <w:spacing w:before="100" w:beforeAutospacing="1" w:after="100" w:afterAutospacing="1" w:line="240" w:lineRule="auto"/>
      <w:outlineLvl w:val="0"/>
    </w:pPr>
    <w:rPr>
      <w:rFonts w:ascii="Times New Roman" w:eastAsia="Times New Roman" w:hAnsi="Times New Roman" w:cs="Times New Roman"/>
      <w:b/>
      <w:bCs/>
      <w:kern w:val="36"/>
      <w:sz w:val="36"/>
      <w:szCs w:val="48"/>
    </w:rPr>
  </w:style>
  <w:style w:type="paragraph" w:styleId="Heading2">
    <w:name w:val="heading 2"/>
    <w:basedOn w:val="Normal"/>
    <w:next w:val="Normal"/>
    <w:link w:val="Heading2Char"/>
    <w:uiPriority w:val="9"/>
    <w:unhideWhenUsed/>
    <w:qFormat/>
    <w:rsid w:val="001D58C9"/>
    <w:pPr>
      <w:keepNext/>
      <w:keepLines/>
      <w:spacing w:before="40" w:after="0"/>
      <w:outlineLvl w:val="1"/>
    </w:pPr>
    <w:rPr>
      <w:rFonts w:ascii="Times New Roman" w:eastAsiaTheme="majorEastAsia" w:hAnsi="Times New Roman" w:cstheme="majorBidi"/>
      <w:color w:val="365F91" w:themeColor="accent1" w:themeShade="BF"/>
      <w:sz w:val="32"/>
      <w:szCs w:val="26"/>
    </w:rPr>
  </w:style>
  <w:style w:type="paragraph" w:styleId="Heading3">
    <w:name w:val="heading 3"/>
    <w:basedOn w:val="Normal"/>
    <w:next w:val="Normal"/>
    <w:link w:val="Heading3Char"/>
    <w:uiPriority w:val="9"/>
    <w:unhideWhenUsed/>
    <w:qFormat/>
    <w:rsid w:val="001D58C9"/>
    <w:pPr>
      <w:keepNext/>
      <w:keepLines/>
      <w:spacing w:before="40" w:after="0"/>
      <w:outlineLvl w:val="2"/>
    </w:pPr>
    <w:rPr>
      <w:rFonts w:asciiTheme="majorHAnsi" w:eastAsiaTheme="majorEastAsia" w:hAnsiTheme="majorHAnsi" w:cstheme="majorBidi"/>
      <w:color w:val="243F60"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AE0"/>
    <w:pPr>
      <w:ind w:left="720"/>
      <w:contextualSpacing/>
    </w:pPr>
  </w:style>
  <w:style w:type="paragraph" w:styleId="FootnoteText">
    <w:name w:val="footnote text"/>
    <w:basedOn w:val="Normal"/>
    <w:link w:val="FootnoteTextChar"/>
    <w:uiPriority w:val="99"/>
    <w:semiHidden/>
    <w:unhideWhenUsed/>
    <w:rsid w:val="00B61A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1AE0"/>
    <w:rPr>
      <w:sz w:val="20"/>
      <w:szCs w:val="20"/>
    </w:rPr>
  </w:style>
  <w:style w:type="character" w:styleId="FootnoteReference">
    <w:name w:val="footnote reference"/>
    <w:basedOn w:val="DefaultParagraphFont"/>
    <w:uiPriority w:val="99"/>
    <w:semiHidden/>
    <w:unhideWhenUsed/>
    <w:rsid w:val="00B61AE0"/>
    <w:rPr>
      <w:vertAlign w:val="superscript"/>
    </w:rPr>
  </w:style>
  <w:style w:type="character" w:styleId="Hyperlink">
    <w:name w:val="Hyperlink"/>
    <w:basedOn w:val="DefaultParagraphFont"/>
    <w:uiPriority w:val="99"/>
    <w:unhideWhenUsed/>
    <w:rsid w:val="00B61AE0"/>
    <w:rPr>
      <w:color w:val="0000FF" w:themeColor="hyperlink"/>
      <w:u w:val="single"/>
    </w:rPr>
  </w:style>
  <w:style w:type="paragraph" w:customStyle="1" w:styleId="citationinfo">
    <w:name w:val="citationinfo"/>
    <w:basedOn w:val="Normal"/>
    <w:rsid w:val="00B61AE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61AE0"/>
    <w:rPr>
      <w:i/>
      <w:iCs/>
    </w:rPr>
  </w:style>
  <w:style w:type="character" w:customStyle="1" w:styleId="Heading1Char">
    <w:name w:val="Heading 1 Char"/>
    <w:basedOn w:val="DefaultParagraphFont"/>
    <w:link w:val="Heading1"/>
    <w:uiPriority w:val="9"/>
    <w:rsid w:val="001D58C9"/>
    <w:rPr>
      <w:rFonts w:ascii="Times New Roman" w:eastAsia="Times New Roman" w:hAnsi="Times New Roman" w:cs="Times New Roman"/>
      <w:b/>
      <w:bCs/>
      <w:kern w:val="36"/>
      <w:sz w:val="36"/>
      <w:szCs w:val="48"/>
    </w:rPr>
  </w:style>
  <w:style w:type="paragraph" w:styleId="EndnoteText">
    <w:name w:val="endnote text"/>
    <w:basedOn w:val="Normal"/>
    <w:link w:val="EndnoteTextChar"/>
    <w:uiPriority w:val="99"/>
    <w:semiHidden/>
    <w:unhideWhenUsed/>
    <w:rsid w:val="00C2640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6408"/>
    <w:rPr>
      <w:sz w:val="20"/>
      <w:szCs w:val="20"/>
    </w:rPr>
  </w:style>
  <w:style w:type="character" w:styleId="EndnoteReference">
    <w:name w:val="endnote reference"/>
    <w:basedOn w:val="DefaultParagraphFont"/>
    <w:uiPriority w:val="99"/>
    <w:semiHidden/>
    <w:unhideWhenUsed/>
    <w:rsid w:val="00C26408"/>
    <w:rPr>
      <w:vertAlign w:val="superscript"/>
    </w:rPr>
  </w:style>
  <w:style w:type="character" w:styleId="CommentReference">
    <w:name w:val="annotation reference"/>
    <w:basedOn w:val="DefaultParagraphFont"/>
    <w:uiPriority w:val="99"/>
    <w:semiHidden/>
    <w:unhideWhenUsed/>
    <w:rsid w:val="003E5903"/>
    <w:rPr>
      <w:sz w:val="16"/>
      <w:szCs w:val="16"/>
    </w:rPr>
  </w:style>
  <w:style w:type="paragraph" w:styleId="CommentText">
    <w:name w:val="annotation text"/>
    <w:basedOn w:val="Normal"/>
    <w:link w:val="CommentTextChar"/>
    <w:uiPriority w:val="99"/>
    <w:semiHidden/>
    <w:unhideWhenUsed/>
    <w:rsid w:val="003E5903"/>
    <w:pPr>
      <w:spacing w:line="240" w:lineRule="auto"/>
    </w:pPr>
    <w:rPr>
      <w:sz w:val="20"/>
      <w:szCs w:val="20"/>
    </w:rPr>
  </w:style>
  <w:style w:type="character" w:customStyle="1" w:styleId="CommentTextChar">
    <w:name w:val="Comment Text Char"/>
    <w:basedOn w:val="DefaultParagraphFont"/>
    <w:link w:val="CommentText"/>
    <w:uiPriority w:val="99"/>
    <w:semiHidden/>
    <w:rsid w:val="003E5903"/>
    <w:rPr>
      <w:sz w:val="20"/>
      <w:szCs w:val="20"/>
    </w:rPr>
  </w:style>
  <w:style w:type="paragraph" w:styleId="CommentSubject">
    <w:name w:val="annotation subject"/>
    <w:basedOn w:val="CommentText"/>
    <w:next w:val="CommentText"/>
    <w:link w:val="CommentSubjectChar"/>
    <w:uiPriority w:val="99"/>
    <w:semiHidden/>
    <w:unhideWhenUsed/>
    <w:rsid w:val="003E5903"/>
    <w:rPr>
      <w:b/>
      <w:bCs/>
    </w:rPr>
  </w:style>
  <w:style w:type="character" w:customStyle="1" w:styleId="CommentSubjectChar">
    <w:name w:val="Comment Subject Char"/>
    <w:basedOn w:val="CommentTextChar"/>
    <w:link w:val="CommentSubject"/>
    <w:uiPriority w:val="99"/>
    <w:semiHidden/>
    <w:rsid w:val="003E5903"/>
    <w:rPr>
      <w:b/>
      <w:bCs/>
      <w:sz w:val="20"/>
      <w:szCs w:val="20"/>
    </w:rPr>
  </w:style>
  <w:style w:type="paragraph" w:styleId="BalloonText">
    <w:name w:val="Balloon Text"/>
    <w:basedOn w:val="Normal"/>
    <w:link w:val="BalloonTextChar"/>
    <w:uiPriority w:val="99"/>
    <w:semiHidden/>
    <w:unhideWhenUsed/>
    <w:rsid w:val="003E59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903"/>
    <w:rPr>
      <w:rFonts w:ascii="Tahoma" w:hAnsi="Tahoma" w:cs="Tahoma"/>
      <w:sz w:val="16"/>
      <w:szCs w:val="16"/>
    </w:rPr>
  </w:style>
  <w:style w:type="character" w:customStyle="1" w:styleId="a-text-bold">
    <w:name w:val="a-text-bold"/>
    <w:basedOn w:val="DefaultParagraphFont"/>
    <w:rsid w:val="007F1E3B"/>
  </w:style>
  <w:style w:type="character" w:customStyle="1" w:styleId="Heading2Char">
    <w:name w:val="Heading 2 Char"/>
    <w:basedOn w:val="DefaultParagraphFont"/>
    <w:link w:val="Heading2"/>
    <w:uiPriority w:val="9"/>
    <w:rsid w:val="001D58C9"/>
    <w:rPr>
      <w:rFonts w:ascii="Times New Roman" w:eastAsiaTheme="majorEastAsia" w:hAnsi="Times New Roman" w:cstheme="majorBidi"/>
      <w:color w:val="365F91" w:themeColor="accent1" w:themeShade="BF"/>
      <w:sz w:val="32"/>
      <w:szCs w:val="26"/>
    </w:rPr>
  </w:style>
  <w:style w:type="paragraph" w:styleId="TOCHeading">
    <w:name w:val="TOC Heading"/>
    <w:basedOn w:val="Heading1"/>
    <w:next w:val="Normal"/>
    <w:uiPriority w:val="39"/>
    <w:unhideWhenUsed/>
    <w:qFormat/>
    <w:rsid w:val="00BE469A"/>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BE469A"/>
    <w:pPr>
      <w:spacing w:after="100"/>
      <w:ind w:left="220"/>
    </w:pPr>
  </w:style>
  <w:style w:type="paragraph" w:styleId="Header">
    <w:name w:val="header"/>
    <w:basedOn w:val="Normal"/>
    <w:link w:val="HeaderChar"/>
    <w:uiPriority w:val="99"/>
    <w:unhideWhenUsed/>
    <w:rsid w:val="00BE4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69A"/>
  </w:style>
  <w:style w:type="paragraph" w:styleId="Footer">
    <w:name w:val="footer"/>
    <w:basedOn w:val="Normal"/>
    <w:link w:val="FooterChar"/>
    <w:uiPriority w:val="99"/>
    <w:unhideWhenUsed/>
    <w:rsid w:val="00BE46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69A"/>
  </w:style>
  <w:style w:type="paragraph" w:styleId="NoSpacing">
    <w:name w:val="No Spacing"/>
    <w:uiPriority w:val="1"/>
    <w:qFormat/>
    <w:rsid w:val="00AB00BD"/>
    <w:pPr>
      <w:spacing w:after="0" w:line="240" w:lineRule="auto"/>
    </w:pPr>
    <w:rPr>
      <w:color w:val="1F497D" w:themeColor="text2"/>
      <w:sz w:val="20"/>
      <w:szCs w:val="20"/>
    </w:rPr>
  </w:style>
  <w:style w:type="character" w:customStyle="1" w:styleId="Heading3Char">
    <w:name w:val="Heading 3 Char"/>
    <w:basedOn w:val="DefaultParagraphFont"/>
    <w:link w:val="Heading3"/>
    <w:uiPriority w:val="9"/>
    <w:rsid w:val="001D58C9"/>
    <w:rPr>
      <w:rFonts w:asciiTheme="majorHAnsi" w:eastAsiaTheme="majorEastAsia" w:hAnsiTheme="majorHAnsi" w:cstheme="majorBidi"/>
      <w:color w:val="243F60" w:themeColor="accent1" w:themeShade="7F"/>
      <w:sz w:val="28"/>
      <w:szCs w:val="24"/>
    </w:rPr>
  </w:style>
  <w:style w:type="paragraph" w:styleId="TOC3">
    <w:name w:val="toc 3"/>
    <w:basedOn w:val="Normal"/>
    <w:next w:val="Normal"/>
    <w:autoRedefine/>
    <w:uiPriority w:val="39"/>
    <w:unhideWhenUsed/>
    <w:rsid w:val="00A31551"/>
    <w:pPr>
      <w:spacing w:after="100"/>
      <w:ind w:left="440"/>
    </w:pPr>
  </w:style>
  <w:style w:type="paragraph" w:styleId="TOC1">
    <w:name w:val="toc 1"/>
    <w:basedOn w:val="Normal"/>
    <w:next w:val="Normal"/>
    <w:autoRedefine/>
    <w:uiPriority w:val="39"/>
    <w:unhideWhenUsed/>
    <w:rsid w:val="00A31551"/>
    <w:pPr>
      <w:spacing w:after="100"/>
    </w:pPr>
  </w:style>
  <w:style w:type="paragraph" w:customStyle="1" w:styleId="HarvardBibliography">
    <w:name w:val="Harvard Bibliography"/>
    <w:basedOn w:val="Normal"/>
    <w:link w:val="HarvardBibliographyChar"/>
    <w:qFormat/>
    <w:rsid w:val="00E768E2"/>
    <w:pPr>
      <w:spacing w:line="360" w:lineRule="auto"/>
      <w:ind w:left="432" w:hanging="432"/>
    </w:pPr>
    <w:rPr>
      <w:rFonts w:ascii="Times New Roman" w:hAnsi="Times New Roman" w:cs="Times New Roman"/>
      <w:sz w:val="24"/>
      <w:szCs w:val="24"/>
    </w:rPr>
  </w:style>
  <w:style w:type="character" w:customStyle="1" w:styleId="UnresolvedMention">
    <w:name w:val="Unresolved Mention"/>
    <w:basedOn w:val="DefaultParagraphFont"/>
    <w:uiPriority w:val="99"/>
    <w:semiHidden/>
    <w:unhideWhenUsed/>
    <w:rsid w:val="00E768E2"/>
    <w:rPr>
      <w:color w:val="605E5C"/>
      <w:shd w:val="clear" w:color="auto" w:fill="E1DFDD"/>
    </w:rPr>
  </w:style>
  <w:style w:type="character" w:customStyle="1" w:styleId="HarvardBibliographyChar">
    <w:name w:val="Harvard Bibliography Char"/>
    <w:basedOn w:val="DefaultParagraphFont"/>
    <w:link w:val="HarvardBibliography"/>
    <w:rsid w:val="00E768E2"/>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1AE0"/>
  </w:style>
  <w:style w:type="paragraph" w:styleId="Heading1">
    <w:name w:val="heading 1"/>
    <w:basedOn w:val="Normal"/>
    <w:link w:val="Heading1Char"/>
    <w:uiPriority w:val="9"/>
    <w:qFormat/>
    <w:rsid w:val="001D58C9"/>
    <w:pPr>
      <w:spacing w:before="100" w:beforeAutospacing="1" w:after="100" w:afterAutospacing="1" w:line="240" w:lineRule="auto"/>
      <w:outlineLvl w:val="0"/>
    </w:pPr>
    <w:rPr>
      <w:rFonts w:ascii="Times New Roman" w:eastAsia="Times New Roman" w:hAnsi="Times New Roman" w:cs="Times New Roman"/>
      <w:b/>
      <w:bCs/>
      <w:kern w:val="36"/>
      <w:sz w:val="36"/>
      <w:szCs w:val="48"/>
    </w:rPr>
  </w:style>
  <w:style w:type="paragraph" w:styleId="Heading2">
    <w:name w:val="heading 2"/>
    <w:basedOn w:val="Normal"/>
    <w:next w:val="Normal"/>
    <w:link w:val="Heading2Char"/>
    <w:uiPriority w:val="9"/>
    <w:unhideWhenUsed/>
    <w:qFormat/>
    <w:rsid w:val="001D58C9"/>
    <w:pPr>
      <w:keepNext/>
      <w:keepLines/>
      <w:spacing w:before="40" w:after="0"/>
      <w:outlineLvl w:val="1"/>
    </w:pPr>
    <w:rPr>
      <w:rFonts w:ascii="Times New Roman" w:eastAsiaTheme="majorEastAsia" w:hAnsi="Times New Roman" w:cstheme="majorBidi"/>
      <w:color w:val="365F91" w:themeColor="accent1" w:themeShade="BF"/>
      <w:sz w:val="32"/>
      <w:szCs w:val="26"/>
    </w:rPr>
  </w:style>
  <w:style w:type="paragraph" w:styleId="Heading3">
    <w:name w:val="heading 3"/>
    <w:basedOn w:val="Normal"/>
    <w:next w:val="Normal"/>
    <w:link w:val="Heading3Char"/>
    <w:uiPriority w:val="9"/>
    <w:unhideWhenUsed/>
    <w:qFormat/>
    <w:rsid w:val="001D58C9"/>
    <w:pPr>
      <w:keepNext/>
      <w:keepLines/>
      <w:spacing w:before="40" w:after="0"/>
      <w:outlineLvl w:val="2"/>
    </w:pPr>
    <w:rPr>
      <w:rFonts w:asciiTheme="majorHAnsi" w:eastAsiaTheme="majorEastAsia" w:hAnsiTheme="majorHAnsi" w:cstheme="majorBidi"/>
      <w:color w:val="243F60"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AE0"/>
    <w:pPr>
      <w:ind w:left="720"/>
      <w:contextualSpacing/>
    </w:pPr>
  </w:style>
  <w:style w:type="paragraph" w:styleId="FootnoteText">
    <w:name w:val="footnote text"/>
    <w:basedOn w:val="Normal"/>
    <w:link w:val="FootnoteTextChar"/>
    <w:uiPriority w:val="99"/>
    <w:semiHidden/>
    <w:unhideWhenUsed/>
    <w:rsid w:val="00B61A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1AE0"/>
    <w:rPr>
      <w:sz w:val="20"/>
      <w:szCs w:val="20"/>
    </w:rPr>
  </w:style>
  <w:style w:type="character" w:styleId="FootnoteReference">
    <w:name w:val="footnote reference"/>
    <w:basedOn w:val="DefaultParagraphFont"/>
    <w:uiPriority w:val="99"/>
    <w:semiHidden/>
    <w:unhideWhenUsed/>
    <w:rsid w:val="00B61AE0"/>
    <w:rPr>
      <w:vertAlign w:val="superscript"/>
    </w:rPr>
  </w:style>
  <w:style w:type="character" w:styleId="Hyperlink">
    <w:name w:val="Hyperlink"/>
    <w:basedOn w:val="DefaultParagraphFont"/>
    <w:uiPriority w:val="99"/>
    <w:unhideWhenUsed/>
    <w:rsid w:val="00B61AE0"/>
    <w:rPr>
      <w:color w:val="0000FF" w:themeColor="hyperlink"/>
      <w:u w:val="single"/>
    </w:rPr>
  </w:style>
  <w:style w:type="paragraph" w:customStyle="1" w:styleId="citationinfo">
    <w:name w:val="citationinfo"/>
    <w:basedOn w:val="Normal"/>
    <w:rsid w:val="00B61AE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61AE0"/>
    <w:rPr>
      <w:i/>
      <w:iCs/>
    </w:rPr>
  </w:style>
  <w:style w:type="character" w:customStyle="1" w:styleId="Heading1Char">
    <w:name w:val="Heading 1 Char"/>
    <w:basedOn w:val="DefaultParagraphFont"/>
    <w:link w:val="Heading1"/>
    <w:uiPriority w:val="9"/>
    <w:rsid w:val="001D58C9"/>
    <w:rPr>
      <w:rFonts w:ascii="Times New Roman" w:eastAsia="Times New Roman" w:hAnsi="Times New Roman" w:cs="Times New Roman"/>
      <w:b/>
      <w:bCs/>
      <w:kern w:val="36"/>
      <w:sz w:val="36"/>
      <w:szCs w:val="48"/>
    </w:rPr>
  </w:style>
  <w:style w:type="paragraph" w:styleId="EndnoteText">
    <w:name w:val="endnote text"/>
    <w:basedOn w:val="Normal"/>
    <w:link w:val="EndnoteTextChar"/>
    <w:uiPriority w:val="99"/>
    <w:semiHidden/>
    <w:unhideWhenUsed/>
    <w:rsid w:val="00C2640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6408"/>
    <w:rPr>
      <w:sz w:val="20"/>
      <w:szCs w:val="20"/>
    </w:rPr>
  </w:style>
  <w:style w:type="character" w:styleId="EndnoteReference">
    <w:name w:val="endnote reference"/>
    <w:basedOn w:val="DefaultParagraphFont"/>
    <w:uiPriority w:val="99"/>
    <w:semiHidden/>
    <w:unhideWhenUsed/>
    <w:rsid w:val="00C26408"/>
    <w:rPr>
      <w:vertAlign w:val="superscript"/>
    </w:rPr>
  </w:style>
  <w:style w:type="character" w:styleId="CommentReference">
    <w:name w:val="annotation reference"/>
    <w:basedOn w:val="DefaultParagraphFont"/>
    <w:uiPriority w:val="99"/>
    <w:semiHidden/>
    <w:unhideWhenUsed/>
    <w:rsid w:val="003E5903"/>
    <w:rPr>
      <w:sz w:val="16"/>
      <w:szCs w:val="16"/>
    </w:rPr>
  </w:style>
  <w:style w:type="paragraph" w:styleId="CommentText">
    <w:name w:val="annotation text"/>
    <w:basedOn w:val="Normal"/>
    <w:link w:val="CommentTextChar"/>
    <w:uiPriority w:val="99"/>
    <w:semiHidden/>
    <w:unhideWhenUsed/>
    <w:rsid w:val="003E5903"/>
    <w:pPr>
      <w:spacing w:line="240" w:lineRule="auto"/>
    </w:pPr>
    <w:rPr>
      <w:sz w:val="20"/>
      <w:szCs w:val="20"/>
    </w:rPr>
  </w:style>
  <w:style w:type="character" w:customStyle="1" w:styleId="CommentTextChar">
    <w:name w:val="Comment Text Char"/>
    <w:basedOn w:val="DefaultParagraphFont"/>
    <w:link w:val="CommentText"/>
    <w:uiPriority w:val="99"/>
    <w:semiHidden/>
    <w:rsid w:val="003E5903"/>
    <w:rPr>
      <w:sz w:val="20"/>
      <w:szCs w:val="20"/>
    </w:rPr>
  </w:style>
  <w:style w:type="paragraph" w:styleId="CommentSubject">
    <w:name w:val="annotation subject"/>
    <w:basedOn w:val="CommentText"/>
    <w:next w:val="CommentText"/>
    <w:link w:val="CommentSubjectChar"/>
    <w:uiPriority w:val="99"/>
    <w:semiHidden/>
    <w:unhideWhenUsed/>
    <w:rsid w:val="003E5903"/>
    <w:rPr>
      <w:b/>
      <w:bCs/>
    </w:rPr>
  </w:style>
  <w:style w:type="character" w:customStyle="1" w:styleId="CommentSubjectChar">
    <w:name w:val="Comment Subject Char"/>
    <w:basedOn w:val="CommentTextChar"/>
    <w:link w:val="CommentSubject"/>
    <w:uiPriority w:val="99"/>
    <w:semiHidden/>
    <w:rsid w:val="003E5903"/>
    <w:rPr>
      <w:b/>
      <w:bCs/>
      <w:sz w:val="20"/>
      <w:szCs w:val="20"/>
    </w:rPr>
  </w:style>
  <w:style w:type="paragraph" w:styleId="BalloonText">
    <w:name w:val="Balloon Text"/>
    <w:basedOn w:val="Normal"/>
    <w:link w:val="BalloonTextChar"/>
    <w:uiPriority w:val="99"/>
    <w:semiHidden/>
    <w:unhideWhenUsed/>
    <w:rsid w:val="003E59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903"/>
    <w:rPr>
      <w:rFonts w:ascii="Tahoma" w:hAnsi="Tahoma" w:cs="Tahoma"/>
      <w:sz w:val="16"/>
      <w:szCs w:val="16"/>
    </w:rPr>
  </w:style>
  <w:style w:type="character" w:customStyle="1" w:styleId="a-text-bold">
    <w:name w:val="a-text-bold"/>
    <w:basedOn w:val="DefaultParagraphFont"/>
    <w:rsid w:val="007F1E3B"/>
  </w:style>
  <w:style w:type="character" w:customStyle="1" w:styleId="Heading2Char">
    <w:name w:val="Heading 2 Char"/>
    <w:basedOn w:val="DefaultParagraphFont"/>
    <w:link w:val="Heading2"/>
    <w:uiPriority w:val="9"/>
    <w:rsid w:val="001D58C9"/>
    <w:rPr>
      <w:rFonts w:ascii="Times New Roman" w:eastAsiaTheme="majorEastAsia" w:hAnsi="Times New Roman" w:cstheme="majorBidi"/>
      <w:color w:val="365F91" w:themeColor="accent1" w:themeShade="BF"/>
      <w:sz w:val="32"/>
      <w:szCs w:val="26"/>
    </w:rPr>
  </w:style>
  <w:style w:type="paragraph" w:styleId="TOCHeading">
    <w:name w:val="TOC Heading"/>
    <w:basedOn w:val="Heading1"/>
    <w:next w:val="Normal"/>
    <w:uiPriority w:val="39"/>
    <w:unhideWhenUsed/>
    <w:qFormat/>
    <w:rsid w:val="00BE469A"/>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BE469A"/>
    <w:pPr>
      <w:spacing w:after="100"/>
      <w:ind w:left="220"/>
    </w:pPr>
  </w:style>
  <w:style w:type="paragraph" w:styleId="Header">
    <w:name w:val="header"/>
    <w:basedOn w:val="Normal"/>
    <w:link w:val="HeaderChar"/>
    <w:uiPriority w:val="99"/>
    <w:unhideWhenUsed/>
    <w:rsid w:val="00BE4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69A"/>
  </w:style>
  <w:style w:type="paragraph" w:styleId="Footer">
    <w:name w:val="footer"/>
    <w:basedOn w:val="Normal"/>
    <w:link w:val="FooterChar"/>
    <w:uiPriority w:val="99"/>
    <w:unhideWhenUsed/>
    <w:rsid w:val="00BE46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69A"/>
  </w:style>
  <w:style w:type="paragraph" w:styleId="NoSpacing">
    <w:name w:val="No Spacing"/>
    <w:uiPriority w:val="1"/>
    <w:qFormat/>
    <w:rsid w:val="00AB00BD"/>
    <w:pPr>
      <w:spacing w:after="0" w:line="240" w:lineRule="auto"/>
    </w:pPr>
    <w:rPr>
      <w:color w:val="1F497D" w:themeColor="text2"/>
      <w:sz w:val="20"/>
      <w:szCs w:val="20"/>
    </w:rPr>
  </w:style>
  <w:style w:type="character" w:customStyle="1" w:styleId="Heading3Char">
    <w:name w:val="Heading 3 Char"/>
    <w:basedOn w:val="DefaultParagraphFont"/>
    <w:link w:val="Heading3"/>
    <w:uiPriority w:val="9"/>
    <w:rsid w:val="001D58C9"/>
    <w:rPr>
      <w:rFonts w:asciiTheme="majorHAnsi" w:eastAsiaTheme="majorEastAsia" w:hAnsiTheme="majorHAnsi" w:cstheme="majorBidi"/>
      <w:color w:val="243F60" w:themeColor="accent1" w:themeShade="7F"/>
      <w:sz w:val="28"/>
      <w:szCs w:val="24"/>
    </w:rPr>
  </w:style>
  <w:style w:type="paragraph" w:styleId="TOC3">
    <w:name w:val="toc 3"/>
    <w:basedOn w:val="Normal"/>
    <w:next w:val="Normal"/>
    <w:autoRedefine/>
    <w:uiPriority w:val="39"/>
    <w:unhideWhenUsed/>
    <w:rsid w:val="00A31551"/>
    <w:pPr>
      <w:spacing w:after="100"/>
      <w:ind w:left="440"/>
    </w:pPr>
  </w:style>
  <w:style w:type="paragraph" w:styleId="TOC1">
    <w:name w:val="toc 1"/>
    <w:basedOn w:val="Normal"/>
    <w:next w:val="Normal"/>
    <w:autoRedefine/>
    <w:uiPriority w:val="39"/>
    <w:unhideWhenUsed/>
    <w:rsid w:val="00A31551"/>
    <w:pPr>
      <w:spacing w:after="100"/>
    </w:pPr>
  </w:style>
  <w:style w:type="paragraph" w:customStyle="1" w:styleId="HarvardBibliography">
    <w:name w:val="Harvard Bibliography"/>
    <w:basedOn w:val="Normal"/>
    <w:link w:val="HarvardBibliographyChar"/>
    <w:qFormat/>
    <w:rsid w:val="00E768E2"/>
    <w:pPr>
      <w:spacing w:line="360" w:lineRule="auto"/>
      <w:ind w:left="432" w:hanging="432"/>
    </w:pPr>
    <w:rPr>
      <w:rFonts w:ascii="Times New Roman" w:hAnsi="Times New Roman" w:cs="Times New Roman"/>
      <w:sz w:val="24"/>
      <w:szCs w:val="24"/>
    </w:rPr>
  </w:style>
  <w:style w:type="character" w:customStyle="1" w:styleId="UnresolvedMention">
    <w:name w:val="Unresolved Mention"/>
    <w:basedOn w:val="DefaultParagraphFont"/>
    <w:uiPriority w:val="99"/>
    <w:semiHidden/>
    <w:unhideWhenUsed/>
    <w:rsid w:val="00E768E2"/>
    <w:rPr>
      <w:color w:val="605E5C"/>
      <w:shd w:val="clear" w:color="auto" w:fill="E1DFDD"/>
    </w:rPr>
  </w:style>
  <w:style w:type="character" w:customStyle="1" w:styleId="HarvardBibliographyChar">
    <w:name w:val="Harvard Bibliography Char"/>
    <w:basedOn w:val="DefaultParagraphFont"/>
    <w:link w:val="HarvardBibliography"/>
    <w:rsid w:val="00E768E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57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bs.org/wgbh/pages/frontline/shows/religion/why/appeal.html"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gutenberg.org/files/6130/old/6130-pdf.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99C058-6A02-40BD-92B3-B6E56BB98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810</TotalTime>
  <Pages>57</Pages>
  <Words>15191</Words>
  <Characters>76716</Characters>
  <Application>Microsoft Office Word</Application>
  <DocSecurity>0</DocSecurity>
  <Lines>1111</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Family</dc:creator>
  <cp:lastModifiedBy>Family</cp:lastModifiedBy>
  <cp:revision>106</cp:revision>
  <dcterms:created xsi:type="dcterms:W3CDTF">2021-01-30T04:45:00Z</dcterms:created>
  <dcterms:modified xsi:type="dcterms:W3CDTF">2021-01-30T18:34:00Z</dcterms:modified>
</cp:coreProperties>
</file>