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720" w:firstLine="0"/>
        <w:rPr/>
      </w:pPr>
      <w:r w:rsidDel="00000000" w:rsidR="00000000" w:rsidRPr="00000000">
        <w:rPr>
          <w:rtl w:val="0"/>
        </w:rPr>
      </w:r>
    </w:p>
    <w:p w:rsidR="00000000" w:rsidDel="00000000" w:rsidP="00000000" w:rsidRDefault="00000000" w:rsidRPr="00000000" w14:paraId="00000002">
      <w:pPr>
        <w:ind w:left="1440" w:firstLine="0"/>
        <w:rPr/>
      </w:pPr>
      <w:r w:rsidDel="00000000" w:rsidR="00000000" w:rsidRPr="00000000">
        <w:rPr>
          <w:rtl w:val="0"/>
        </w:rPr>
      </w:r>
    </w:p>
    <w:p w:rsidR="00000000" w:rsidDel="00000000" w:rsidP="00000000" w:rsidRDefault="00000000" w:rsidRPr="00000000" w14:paraId="00000003">
      <w:pPr>
        <w:ind w:left="0" w:firstLine="0"/>
        <w:rPr/>
      </w:pPr>
      <w:r w:rsidDel="00000000" w:rsidR="00000000" w:rsidRPr="00000000">
        <w:rPr>
          <w:rtl w:val="0"/>
        </w:rPr>
        <w:t xml:space="preserve">For my essay topic, I have chosen to look into Judith Butler’s theory of gender performativity and the way that it can be applied to the phenomena of hyper-masculinity and hyper-femininity. I have studiedButler’s Gender Performativity from a media perspective, however applying the theory from a historical perspective will be a new challenge. I plan on having both ancient and modern examples in order to show contrasts and parallels between my examples in order to more clearly create links between Butler’s theory, hyper-masculinity, hyper-femininity and my degree scheme. </w:t>
      </w:r>
    </w:p>
    <w:p w:rsidR="00000000" w:rsidDel="00000000" w:rsidP="00000000" w:rsidRDefault="00000000" w:rsidRPr="00000000" w14:paraId="00000004">
      <w:pPr>
        <w:ind w:left="1440" w:firstLine="0"/>
        <w:rPr/>
      </w:pPr>
      <w:r w:rsidDel="00000000" w:rsidR="00000000" w:rsidRPr="00000000">
        <w:rPr>
          <w:rtl w:val="0"/>
        </w:rPr>
      </w:r>
    </w:p>
    <w:p w:rsidR="00000000" w:rsidDel="00000000" w:rsidP="00000000" w:rsidRDefault="00000000" w:rsidRPr="00000000" w14:paraId="00000005">
      <w:pPr>
        <w:ind w:left="0" w:firstLine="0"/>
        <w:rPr/>
      </w:pPr>
      <w:r w:rsidDel="00000000" w:rsidR="00000000" w:rsidRPr="00000000">
        <w:rPr>
          <w:rtl w:val="0"/>
        </w:rPr>
        <w:t xml:space="preserve">Butler’s theory suggests that gender is a performance rather than an established or set construct. One brilliant example of Gender Performativity is the drag community, in which many individuals choose to display characteristics that are not stereotypically associated with the gender they assign themselves within their day to day lives. Drag performances also see individuals using social constructs and stereotypes to appear as a gender which they do not necessarily identify with outside of drag; such as wider hips, larger chests, long hair and heels which are typically feminine traits being highlighted by a drag queen. When these characteristics are applied for the sake of drag, they are generally over exaggerated or extreme, which could be defined as hyper-feminine (This is also similar for drag kings who will enhance more masculine features eg. jaw).</w:t>
      </w:r>
    </w:p>
    <w:p w:rsidR="00000000" w:rsidDel="00000000" w:rsidP="00000000" w:rsidRDefault="00000000" w:rsidRPr="00000000" w14:paraId="00000006">
      <w:pPr>
        <w:ind w:left="1440" w:firstLine="0"/>
        <w:rPr/>
      </w:pPr>
      <w:r w:rsidDel="00000000" w:rsidR="00000000" w:rsidRPr="00000000">
        <w:rPr>
          <w:rtl w:val="0"/>
        </w:rPr>
      </w:r>
    </w:p>
    <w:p w:rsidR="00000000" w:rsidDel="00000000" w:rsidP="00000000" w:rsidRDefault="00000000" w:rsidRPr="00000000" w14:paraId="00000007">
      <w:pPr>
        <w:ind w:left="0" w:firstLine="0"/>
        <w:rPr/>
      </w:pPr>
      <w:r w:rsidDel="00000000" w:rsidR="00000000" w:rsidRPr="00000000">
        <w:rPr>
          <w:rtl w:val="0"/>
        </w:rPr>
        <w:t xml:space="preserve">There are also ways I will be applying Butler's theory to the ancient world; after all, the idea of the ‘Homeric Hero’ can be seen as the base model for the ‘perfect man’ even in modern society</w:t>
      </w:r>
      <w:r w:rsidDel="00000000" w:rsidR="00000000" w:rsidRPr="00000000">
        <w:rPr>
          <w:vertAlign w:val="superscript"/>
        </w:rPr>
        <w:footnoteReference w:customMarkFollows="0" w:id="0"/>
      </w:r>
      <w:r w:rsidDel="00000000" w:rsidR="00000000" w:rsidRPr="00000000">
        <w:rPr>
          <w:rtl w:val="0"/>
        </w:rPr>
        <w:t xml:space="preserve">. The men we see idolised within Homer’s work (I plan to focus and expand upon the Iliad and the Aeneid) are, by definition, hyper-masculine. These men are described and often depicted as strong, well built with muscles and rugged looking faces, they are warriors who show little to no fear in the face of danger. On many occasions, these individuals can be seen taking advantage of women (and sometimes other men) as a display of dominance and power over others. These actions are an example of a performance, dominance and power are frequently described as masculine traits, combined with appearance and how the men choose to maintain the way they look we can see that they are reinforcing their identity by outwardly performing masculine qualities. However there are examples of these heroes showing their more feminine side, such as Achilles’ wailing and grief at the death of his friend Patroclus or Hector’s fear as he prepares for death.</w:t>
      </w:r>
    </w:p>
    <w:p w:rsidR="00000000" w:rsidDel="00000000" w:rsidP="00000000" w:rsidRDefault="00000000" w:rsidRPr="00000000" w14:paraId="00000008">
      <w:pPr>
        <w:ind w:left="0" w:firstLine="0"/>
        <w:rPr/>
      </w:pPr>
      <w:r w:rsidDel="00000000" w:rsidR="00000000" w:rsidRPr="00000000">
        <w:rPr>
          <w:rtl w:val="0"/>
        </w:rPr>
        <w:t xml:space="preserve">I also plan to show how young men and boys within Hellenistic period were often associated with femininity or typically feminine characteristics despite identifying as male and how this could link to the prevalence of pederasty within the time period. This, paired with examples that could be considered feminine such as the Emperor Nero’s love for the arts (and possibly other men) will help me to show that Butler’s theory is accurate despite the general portrayals of hyper-masculinity and hyper-femininity.</w:t>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0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"Masculinity in Ancient Greece - The Courtauldian." 28 Feb. 2019, </w:t>
      </w:r>
      <w:hyperlink r:id="rId1">
        <w:r w:rsidDel="00000000" w:rsidR="00000000" w:rsidRPr="00000000">
          <w:rPr>
            <w:color w:val="1155cc"/>
            <w:sz w:val="20"/>
            <w:szCs w:val="20"/>
            <w:u w:val="single"/>
            <w:rtl w:val="0"/>
          </w:rPr>
          <w:t xml:space="preserve">https://www.courtauldian.com/single-post/2019/02/28/masculinity-in-ancient-greece</w:t>
        </w:r>
      </w:hyperlink>
      <w:r w:rsidDel="00000000" w:rsidR="00000000" w:rsidRPr="00000000">
        <w:rPr>
          <w:sz w:val="20"/>
          <w:szCs w:val="20"/>
          <w:rtl w:val="0"/>
        </w:rPr>
        <w:t xml:space="preserve">. </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9">
    <w:pPr>
      <w:rPr/>
    </w:pPr>
    <w:r w:rsidDel="00000000" w:rsidR="00000000" w:rsidRPr="00000000">
      <w:rPr>
        <w:rtl w:val="0"/>
      </w:rPr>
      <w:t xml:space="preserve">Zara Louise Matthewson</w:t>
    </w:r>
  </w:p>
  <w:p w:rsidR="00000000" w:rsidDel="00000000" w:rsidP="00000000" w:rsidRDefault="00000000" w:rsidRPr="00000000" w14:paraId="0000000A">
    <w:pPr>
      <w:rPr/>
    </w:pPr>
    <w:r w:rsidDel="00000000" w:rsidR="00000000" w:rsidRPr="00000000">
      <w:rPr>
        <w:rtl w:val="0"/>
      </w:rPr>
      <w:t xml:space="preserve">500 Word Abstract</w:t>
    </w:r>
  </w:p>
  <w:p w:rsidR="00000000" w:rsidDel="00000000" w:rsidP="00000000" w:rsidRDefault="00000000" w:rsidRPr="00000000" w14:paraId="0000000B">
    <w:pPr>
      <w:rPr/>
    </w:pPr>
    <w:r w:rsidDel="00000000" w:rsidR="00000000" w:rsidRPr="00000000">
      <w:rPr>
        <w:rtl w:val="0"/>
      </w:rPr>
      <w:t xml:space="preserve">HPRS5042</w:t>
    </w:r>
  </w:p>
  <w:p w:rsidR="00000000" w:rsidDel="00000000" w:rsidP="00000000" w:rsidRDefault="00000000" w:rsidRPr="00000000" w14:paraId="0000000C">
    <w:pPr>
      <w:rPr/>
    </w:pPr>
    <w:r w:rsidDel="00000000" w:rsidR="00000000" w:rsidRPr="00000000">
      <w:rPr>
        <w:rtl w:val="0"/>
      </w:rPr>
      <w:t xml:space="preserve">Complex Bodies: Questioning Gender, Religion and Sexuality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courtauldian.com/single-post/2019/02/28/masculinity-in-ancient-gree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