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353CA" w14:textId="77777777" w:rsidR="00C2336A" w:rsidRDefault="00C2336A" w:rsidP="00D72A76">
      <w:pPr>
        <w:jc w:val="center"/>
        <w:rPr>
          <w:b/>
          <w:sz w:val="28"/>
        </w:rPr>
      </w:pPr>
      <w:r>
        <w:rPr>
          <w:b/>
          <w:sz w:val="28"/>
        </w:rPr>
        <w:t>Section 1:</w:t>
      </w:r>
    </w:p>
    <w:p w14:paraId="305C0617" w14:textId="0EEF7F4D" w:rsidR="00622995" w:rsidRPr="009B5F32" w:rsidRDefault="00257D9B" w:rsidP="00D72A76">
      <w:pPr>
        <w:jc w:val="center"/>
        <w:rPr>
          <w:b/>
          <w:sz w:val="28"/>
        </w:rPr>
      </w:pPr>
      <w:r w:rsidRPr="009B5F32">
        <w:rPr>
          <w:b/>
          <w:sz w:val="28"/>
        </w:rPr>
        <w:t>Personal Development Plan</w:t>
      </w:r>
    </w:p>
    <w:p w14:paraId="55626B5C" w14:textId="0FA9CBF8" w:rsidR="00257D9B" w:rsidRDefault="00257D9B" w:rsidP="00D72A76">
      <w:pPr>
        <w:jc w:val="center"/>
        <w:rPr>
          <w:b/>
          <w:iCs/>
          <w:sz w:val="28"/>
        </w:rPr>
      </w:pPr>
      <w:r w:rsidRPr="009B5F32">
        <w:rPr>
          <w:b/>
          <w:sz w:val="28"/>
        </w:rPr>
        <w:t>Name:</w:t>
      </w:r>
      <w:r w:rsidR="007B1CE6">
        <w:rPr>
          <w:b/>
          <w:sz w:val="28"/>
        </w:rPr>
        <w:t xml:space="preserve">  </w:t>
      </w:r>
      <w:r w:rsidR="002674EE">
        <w:rPr>
          <w:b/>
          <w:iCs/>
          <w:sz w:val="28"/>
        </w:rPr>
        <w:t>Siobhan Roper.</w:t>
      </w:r>
    </w:p>
    <w:p w14:paraId="33BC9D02" w14:textId="28F37E86" w:rsidR="00D72A76" w:rsidRPr="002674EE" w:rsidRDefault="00D72A76" w:rsidP="00D72A76">
      <w:pPr>
        <w:jc w:val="center"/>
        <w:rPr>
          <w:b/>
          <w:iCs/>
          <w:sz w:val="28"/>
        </w:rPr>
      </w:pPr>
      <w:r>
        <w:rPr>
          <w:b/>
          <w:iCs/>
          <w:sz w:val="28"/>
        </w:rPr>
        <w:t>Date: 13/01/2024.</w:t>
      </w:r>
    </w:p>
    <w:tbl>
      <w:tblPr>
        <w:tblStyle w:val="TableGrid"/>
        <w:tblW w:w="0" w:type="auto"/>
        <w:tblLook w:val="04A0" w:firstRow="1" w:lastRow="0" w:firstColumn="1" w:lastColumn="0" w:noHBand="0" w:noVBand="1"/>
      </w:tblPr>
      <w:tblGrid>
        <w:gridCol w:w="3483"/>
        <w:gridCol w:w="3483"/>
        <w:gridCol w:w="3487"/>
        <w:gridCol w:w="3495"/>
      </w:tblGrid>
      <w:tr w:rsidR="00257D9B" w14:paraId="2C03565E" w14:textId="77777777" w:rsidTr="00257D9B">
        <w:tc>
          <w:tcPr>
            <w:tcW w:w="3543" w:type="dxa"/>
          </w:tcPr>
          <w:p w14:paraId="3BBD7B71"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Objectives</w:t>
            </w:r>
          </w:p>
          <w:p w14:paraId="6F3581C7"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What do I want to be able to do or do better?</w:t>
            </w:r>
          </w:p>
        </w:tc>
        <w:tc>
          <w:tcPr>
            <w:tcW w:w="3543" w:type="dxa"/>
          </w:tcPr>
          <w:p w14:paraId="72C0A66D"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Success Criteria:</w:t>
            </w:r>
          </w:p>
          <w:p w14:paraId="63BD9C9B"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How will I recognise success?</w:t>
            </w:r>
          </w:p>
          <w:p w14:paraId="7C2DCDA2"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How will I review and measure my improvement?</w:t>
            </w:r>
          </w:p>
        </w:tc>
        <w:tc>
          <w:tcPr>
            <w:tcW w:w="3544" w:type="dxa"/>
          </w:tcPr>
          <w:p w14:paraId="0436AC34"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Actions:</w:t>
            </w:r>
          </w:p>
          <w:p w14:paraId="4078ED2E"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What methods will I use to achieve my learning objectives?</w:t>
            </w:r>
          </w:p>
        </w:tc>
        <w:tc>
          <w:tcPr>
            <w:tcW w:w="3544" w:type="dxa"/>
          </w:tcPr>
          <w:p w14:paraId="7A2FD094"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Implementation</w:t>
            </w:r>
            <w:r w:rsidR="009B5F32" w:rsidRPr="00D72A76">
              <w:rPr>
                <w:rFonts w:ascii="Arial" w:hAnsi="Arial" w:cs="Arial"/>
                <w:b/>
                <w:i/>
                <w:sz w:val="24"/>
                <w:szCs w:val="24"/>
              </w:rPr>
              <w:t>:</w:t>
            </w:r>
          </w:p>
          <w:p w14:paraId="1761B9ED"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How will I practice and apply what I learn?</w:t>
            </w:r>
          </w:p>
          <w:p w14:paraId="1B266BD4"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Timescale?</w:t>
            </w:r>
          </w:p>
        </w:tc>
      </w:tr>
      <w:tr w:rsidR="00257D9B" w14:paraId="054B31E7" w14:textId="77777777" w:rsidTr="00257D9B">
        <w:tc>
          <w:tcPr>
            <w:tcW w:w="3543" w:type="dxa"/>
          </w:tcPr>
          <w:p w14:paraId="17153063" w14:textId="27D5DD1F"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To increase my understanding in</w:t>
            </w:r>
            <w:r w:rsidR="005B6939" w:rsidRPr="00D72A76">
              <w:rPr>
                <w:rFonts w:ascii="Arial" w:hAnsi="Arial" w:cs="Arial"/>
                <w:sz w:val="24"/>
                <w:szCs w:val="24"/>
              </w:rPr>
              <w:t xml:space="preserve"> young people</w:t>
            </w:r>
            <w:r w:rsidRPr="00D72A76">
              <w:rPr>
                <w:rFonts w:ascii="Arial" w:hAnsi="Arial" w:cs="Arial"/>
                <w:sz w:val="24"/>
                <w:szCs w:val="24"/>
              </w:rPr>
              <w:t>’s development</w:t>
            </w:r>
            <w:r w:rsidR="005B6939" w:rsidRPr="00D72A76">
              <w:rPr>
                <w:rFonts w:ascii="Arial" w:hAnsi="Arial" w:cs="Arial"/>
                <w:sz w:val="24"/>
                <w:szCs w:val="24"/>
              </w:rPr>
              <w:t xml:space="preserve"> &amp;</w:t>
            </w:r>
            <w:r w:rsidRPr="00D72A76">
              <w:rPr>
                <w:rFonts w:ascii="Arial" w:hAnsi="Arial" w:cs="Arial"/>
                <w:sz w:val="24"/>
                <w:szCs w:val="24"/>
              </w:rPr>
              <w:t xml:space="preserve"> the</w:t>
            </w:r>
            <w:r w:rsidR="005B6939" w:rsidRPr="00D72A76">
              <w:rPr>
                <w:rFonts w:ascii="Arial" w:hAnsi="Arial" w:cs="Arial"/>
                <w:sz w:val="24"/>
                <w:szCs w:val="24"/>
              </w:rPr>
              <w:t xml:space="preserve"> Community Services</w:t>
            </w:r>
            <w:r w:rsidRPr="00D72A76">
              <w:rPr>
                <w:rFonts w:ascii="Arial" w:hAnsi="Arial" w:cs="Arial"/>
                <w:sz w:val="24"/>
                <w:szCs w:val="24"/>
              </w:rPr>
              <w:t xml:space="preserve"> provided to support students</w:t>
            </w:r>
            <w:r w:rsidR="003355E5" w:rsidRPr="00D72A76">
              <w:rPr>
                <w:rFonts w:ascii="Arial" w:hAnsi="Arial" w:cs="Arial"/>
                <w:sz w:val="24"/>
                <w:szCs w:val="24"/>
              </w:rPr>
              <w:t>.</w:t>
            </w:r>
          </w:p>
        </w:tc>
        <w:tc>
          <w:tcPr>
            <w:tcW w:w="3543" w:type="dxa"/>
          </w:tcPr>
          <w:p w14:paraId="21C45271" w14:textId="2071EF72"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Be able to complete assessments to a high standard putting into words what I have learnt.</w:t>
            </w:r>
          </w:p>
          <w:p w14:paraId="7D0F63AB" w14:textId="77777777" w:rsidR="00D72A76" w:rsidRPr="00D72A76" w:rsidRDefault="00D72A76" w:rsidP="00D72A76">
            <w:pPr>
              <w:spacing w:line="360" w:lineRule="auto"/>
              <w:rPr>
                <w:rFonts w:ascii="Arial" w:hAnsi="Arial" w:cs="Arial"/>
                <w:sz w:val="24"/>
                <w:szCs w:val="24"/>
              </w:rPr>
            </w:pPr>
          </w:p>
          <w:p w14:paraId="1CE50A26"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Reflect on feedback and marks from assessments.</w:t>
            </w:r>
          </w:p>
          <w:p w14:paraId="49674230" w14:textId="77777777" w:rsidR="00D72A76" w:rsidRPr="00D72A76" w:rsidRDefault="00D72A76" w:rsidP="00D72A76">
            <w:pPr>
              <w:spacing w:line="360" w:lineRule="auto"/>
              <w:rPr>
                <w:rFonts w:ascii="Arial" w:hAnsi="Arial" w:cs="Arial"/>
                <w:sz w:val="24"/>
                <w:szCs w:val="24"/>
              </w:rPr>
            </w:pPr>
          </w:p>
          <w:p w14:paraId="0843F5A8" w14:textId="1B87A50D"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From feedback investigate more research that I missed within the assessment.</w:t>
            </w:r>
          </w:p>
          <w:p w14:paraId="6A48C356" w14:textId="77777777" w:rsidR="00D72A76" w:rsidRPr="00D72A76" w:rsidRDefault="00D72A76" w:rsidP="00D72A76">
            <w:pPr>
              <w:spacing w:line="360" w:lineRule="auto"/>
              <w:rPr>
                <w:rFonts w:ascii="Arial" w:hAnsi="Arial" w:cs="Arial"/>
                <w:sz w:val="24"/>
                <w:szCs w:val="24"/>
              </w:rPr>
            </w:pPr>
          </w:p>
          <w:p w14:paraId="22EE1072" w14:textId="039B6F74" w:rsidR="00D72A76" w:rsidRPr="00D72A76" w:rsidRDefault="00D72A76" w:rsidP="00D72A76">
            <w:pPr>
              <w:spacing w:line="360" w:lineRule="auto"/>
              <w:rPr>
                <w:rFonts w:ascii="Arial" w:hAnsi="Arial" w:cs="Arial"/>
                <w:sz w:val="24"/>
                <w:szCs w:val="24"/>
              </w:rPr>
            </w:pPr>
          </w:p>
        </w:tc>
        <w:tc>
          <w:tcPr>
            <w:tcW w:w="3544" w:type="dxa"/>
          </w:tcPr>
          <w:p w14:paraId="37180470" w14:textId="77777777" w:rsidR="00257D9B" w:rsidRPr="00D72A76" w:rsidRDefault="005B6939" w:rsidP="00D72A76">
            <w:pPr>
              <w:spacing w:line="360" w:lineRule="auto"/>
              <w:rPr>
                <w:rFonts w:ascii="Arial" w:hAnsi="Arial" w:cs="Arial"/>
                <w:sz w:val="24"/>
                <w:szCs w:val="24"/>
              </w:rPr>
            </w:pPr>
            <w:r w:rsidRPr="00D72A76">
              <w:rPr>
                <w:rFonts w:ascii="Arial" w:hAnsi="Arial" w:cs="Arial"/>
                <w:sz w:val="24"/>
                <w:szCs w:val="24"/>
              </w:rPr>
              <w:lastRenderedPageBreak/>
              <w:t xml:space="preserve">Attend </w:t>
            </w:r>
            <w:r w:rsidR="002674EE" w:rsidRPr="00D72A76">
              <w:rPr>
                <w:rFonts w:ascii="Arial" w:hAnsi="Arial" w:cs="Arial"/>
                <w:sz w:val="24"/>
                <w:szCs w:val="24"/>
              </w:rPr>
              <w:t xml:space="preserve">course </w:t>
            </w:r>
            <w:r w:rsidRPr="00D72A76">
              <w:rPr>
                <w:rFonts w:ascii="Arial" w:hAnsi="Arial" w:cs="Arial"/>
                <w:sz w:val="24"/>
                <w:szCs w:val="24"/>
              </w:rPr>
              <w:t>workshop</w:t>
            </w:r>
            <w:r w:rsidR="002674EE" w:rsidRPr="00D72A76">
              <w:rPr>
                <w:rFonts w:ascii="Arial" w:hAnsi="Arial" w:cs="Arial"/>
                <w:sz w:val="24"/>
                <w:szCs w:val="24"/>
              </w:rPr>
              <w:t>s</w:t>
            </w:r>
            <w:r w:rsidRPr="00D72A76">
              <w:rPr>
                <w:rFonts w:ascii="Arial" w:hAnsi="Arial" w:cs="Arial"/>
                <w:sz w:val="24"/>
                <w:szCs w:val="24"/>
              </w:rPr>
              <w:t xml:space="preserve"> and lectures, focussing on coursework and tasks provided</w:t>
            </w:r>
            <w:r w:rsidR="003355E5" w:rsidRPr="00D72A76">
              <w:rPr>
                <w:rFonts w:ascii="Arial" w:hAnsi="Arial" w:cs="Arial"/>
                <w:sz w:val="24"/>
                <w:szCs w:val="24"/>
              </w:rPr>
              <w:t>.</w:t>
            </w:r>
          </w:p>
          <w:p w14:paraId="683B8DF2" w14:textId="77777777" w:rsidR="002674EE" w:rsidRPr="00D72A76" w:rsidRDefault="002674EE" w:rsidP="00D72A76">
            <w:pPr>
              <w:spacing w:line="360" w:lineRule="auto"/>
              <w:rPr>
                <w:rFonts w:ascii="Arial" w:hAnsi="Arial" w:cs="Arial"/>
                <w:sz w:val="24"/>
                <w:szCs w:val="24"/>
              </w:rPr>
            </w:pPr>
          </w:p>
          <w:p w14:paraId="21F9AE06" w14:textId="6B56AB56"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Look into different research conducted on the development of young people and on community services that should be provided to support students.</w:t>
            </w:r>
          </w:p>
        </w:tc>
        <w:tc>
          <w:tcPr>
            <w:tcW w:w="3544" w:type="dxa"/>
          </w:tcPr>
          <w:p w14:paraId="59498338" w14:textId="4F30CDDA"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Implement working with different services in and out of the college to support students in all aspects.</w:t>
            </w:r>
          </w:p>
          <w:p w14:paraId="3AED0852" w14:textId="77777777" w:rsidR="002674EE" w:rsidRPr="00D72A76" w:rsidRDefault="002674EE" w:rsidP="00D72A76">
            <w:pPr>
              <w:spacing w:line="360" w:lineRule="auto"/>
              <w:rPr>
                <w:rFonts w:ascii="Arial" w:hAnsi="Arial" w:cs="Arial"/>
                <w:sz w:val="24"/>
                <w:szCs w:val="24"/>
              </w:rPr>
            </w:pPr>
          </w:p>
          <w:p w14:paraId="0295D009" w14:textId="7FFB17B0"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Attend tutorials to receive feedback and support on my progress.</w:t>
            </w:r>
          </w:p>
          <w:p w14:paraId="697ED107" w14:textId="77777777" w:rsidR="002674EE" w:rsidRPr="00D72A76" w:rsidRDefault="002674EE" w:rsidP="00D72A76">
            <w:pPr>
              <w:spacing w:line="360" w:lineRule="auto"/>
              <w:rPr>
                <w:rFonts w:ascii="Arial" w:hAnsi="Arial" w:cs="Arial"/>
                <w:sz w:val="24"/>
                <w:szCs w:val="24"/>
              </w:rPr>
            </w:pPr>
          </w:p>
          <w:p w14:paraId="5336830D" w14:textId="2D640835"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Take on feedback to improve on my learning within the course.</w:t>
            </w:r>
          </w:p>
          <w:p w14:paraId="7DF31CE8" w14:textId="77777777" w:rsidR="002674EE" w:rsidRPr="00D72A76" w:rsidRDefault="002674EE" w:rsidP="00D72A76">
            <w:pPr>
              <w:spacing w:line="360" w:lineRule="auto"/>
              <w:rPr>
                <w:rFonts w:ascii="Arial" w:hAnsi="Arial" w:cs="Arial"/>
                <w:sz w:val="24"/>
                <w:szCs w:val="24"/>
              </w:rPr>
            </w:pPr>
          </w:p>
          <w:p w14:paraId="557BB13C" w14:textId="75028D49" w:rsidR="009B5F32" w:rsidRPr="00D72A76" w:rsidRDefault="009B5F32" w:rsidP="00D72A76">
            <w:pPr>
              <w:spacing w:line="360" w:lineRule="auto"/>
              <w:rPr>
                <w:rFonts w:ascii="Arial" w:hAnsi="Arial" w:cs="Arial"/>
                <w:sz w:val="24"/>
                <w:szCs w:val="24"/>
              </w:rPr>
            </w:pPr>
            <w:r w:rsidRPr="00D72A76">
              <w:rPr>
                <w:rFonts w:ascii="Arial" w:hAnsi="Arial" w:cs="Arial"/>
                <w:sz w:val="24"/>
                <w:szCs w:val="24"/>
              </w:rPr>
              <w:t xml:space="preserve">Timescale: </w:t>
            </w:r>
            <w:r w:rsidR="002674EE" w:rsidRPr="00D72A76">
              <w:rPr>
                <w:rFonts w:ascii="Arial" w:hAnsi="Arial" w:cs="Arial"/>
                <w:sz w:val="24"/>
                <w:szCs w:val="24"/>
              </w:rPr>
              <w:t>Termly</w:t>
            </w:r>
          </w:p>
        </w:tc>
      </w:tr>
      <w:tr w:rsidR="00257D9B" w14:paraId="0DB2C3FA" w14:textId="77777777" w:rsidTr="00257D9B">
        <w:tc>
          <w:tcPr>
            <w:tcW w:w="3543" w:type="dxa"/>
          </w:tcPr>
          <w:p w14:paraId="30C61BFF" w14:textId="63C18DF5"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Be able to work alongside professionals within the community to support and mentor students.</w:t>
            </w:r>
          </w:p>
        </w:tc>
        <w:tc>
          <w:tcPr>
            <w:tcW w:w="3543" w:type="dxa"/>
          </w:tcPr>
          <w:p w14:paraId="3CFBDBC7"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Check procedures I have completed with the health and safety officer to get signed off.</w:t>
            </w:r>
          </w:p>
          <w:p w14:paraId="05DEC0A8" w14:textId="77777777" w:rsidR="00D72A76" w:rsidRPr="00D72A76" w:rsidRDefault="00D72A76" w:rsidP="00D72A76">
            <w:pPr>
              <w:spacing w:line="360" w:lineRule="auto"/>
              <w:rPr>
                <w:rFonts w:ascii="Arial" w:hAnsi="Arial" w:cs="Arial"/>
                <w:sz w:val="24"/>
                <w:szCs w:val="24"/>
              </w:rPr>
            </w:pPr>
          </w:p>
          <w:p w14:paraId="5094D230"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Receive feedback from different organisations to make sure they feel comfortable and happy with the progress of the relationship.</w:t>
            </w:r>
          </w:p>
          <w:p w14:paraId="40317071" w14:textId="77777777" w:rsidR="00D72A76" w:rsidRPr="00D72A76" w:rsidRDefault="00D72A76" w:rsidP="00D72A76">
            <w:pPr>
              <w:spacing w:line="360" w:lineRule="auto"/>
              <w:rPr>
                <w:rFonts w:ascii="Arial" w:hAnsi="Arial" w:cs="Arial"/>
                <w:sz w:val="24"/>
                <w:szCs w:val="24"/>
              </w:rPr>
            </w:pPr>
          </w:p>
          <w:p w14:paraId="3B2CDE81" w14:textId="1B8F2706"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Reflect and improve on any issues, discuss with students and professional on placement experiences.</w:t>
            </w:r>
          </w:p>
        </w:tc>
        <w:tc>
          <w:tcPr>
            <w:tcW w:w="3544" w:type="dxa"/>
          </w:tcPr>
          <w:p w14:paraId="3C6E9E2C" w14:textId="77777777" w:rsidR="005B6939" w:rsidRPr="00D72A76" w:rsidRDefault="002674EE" w:rsidP="00D72A76">
            <w:pPr>
              <w:spacing w:line="360" w:lineRule="auto"/>
              <w:rPr>
                <w:rFonts w:ascii="Arial" w:hAnsi="Arial" w:cs="Arial"/>
                <w:sz w:val="24"/>
                <w:szCs w:val="24"/>
              </w:rPr>
            </w:pPr>
            <w:r w:rsidRPr="00D72A76">
              <w:rPr>
                <w:rFonts w:ascii="Arial" w:hAnsi="Arial" w:cs="Arial"/>
                <w:sz w:val="24"/>
                <w:szCs w:val="24"/>
              </w:rPr>
              <w:t>Build relationships with other professionals within the care sector.</w:t>
            </w:r>
          </w:p>
          <w:p w14:paraId="52EBA227" w14:textId="77777777" w:rsidR="002674EE" w:rsidRPr="00D72A76" w:rsidRDefault="002674EE" w:rsidP="00D72A76">
            <w:pPr>
              <w:spacing w:line="360" w:lineRule="auto"/>
              <w:rPr>
                <w:rFonts w:ascii="Arial" w:hAnsi="Arial" w:cs="Arial"/>
                <w:sz w:val="24"/>
                <w:szCs w:val="24"/>
              </w:rPr>
            </w:pPr>
          </w:p>
          <w:p w14:paraId="5D5D02BA" w14:textId="7C445DF1"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Use policies and procedures in place to create a happy and safe placement environment for students to attend.</w:t>
            </w:r>
          </w:p>
          <w:p w14:paraId="7FCF1BE9" w14:textId="77777777" w:rsidR="002674EE" w:rsidRPr="00D72A76" w:rsidRDefault="002674EE" w:rsidP="00D72A76">
            <w:pPr>
              <w:spacing w:line="360" w:lineRule="auto"/>
              <w:rPr>
                <w:rFonts w:ascii="Arial" w:hAnsi="Arial" w:cs="Arial"/>
                <w:sz w:val="24"/>
                <w:szCs w:val="24"/>
              </w:rPr>
            </w:pPr>
          </w:p>
          <w:p w14:paraId="43F5E794" w14:textId="51BA1B4F"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 xml:space="preserve">Use different communication methods to keep updated on how the setting is getting on with the experience. </w:t>
            </w:r>
          </w:p>
        </w:tc>
        <w:tc>
          <w:tcPr>
            <w:tcW w:w="3544" w:type="dxa"/>
          </w:tcPr>
          <w:p w14:paraId="0815B09F" w14:textId="5CB8E8F5" w:rsidR="003355E5" w:rsidRPr="00D72A76" w:rsidRDefault="002674EE" w:rsidP="00D72A76">
            <w:pPr>
              <w:spacing w:line="360" w:lineRule="auto"/>
              <w:rPr>
                <w:rFonts w:ascii="Arial" w:hAnsi="Arial" w:cs="Arial"/>
                <w:sz w:val="24"/>
                <w:szCs w:val="24"/>
              </w:rPr>
            </w:pPr>
            <w:r w:rsidRPr="00D72A76">
              <w:rPr>
                <w:rFonts w:ascii="Arial" w:hAnsi="Arial" w:cs="Arial"/>
                <w:sz w:val="24"/>
                <w:szCs w:val="24"/>
              </w:rPr>
              <w:t>Incorporate settings into placement experiences for students to attend.</w:t>
            </w:r>
          </w:p>
          <w:p w14:paraId="43AAF51D" w14:textId="77777777" w:rsidR="002674EE" w:rsidRPr="00D72A76" w:rsidRDefault="002674EE" w:rsidP="00D72A76">
            <w:pPr>
              <w:spacing w:line="360" w:lineRule="auto"/>
              <w:rPr>
                <w:rFonts w:ascii="Arial" w:hAnsi="Arial" w:cs="Arial"/>
                <w:sz w:val="24"/>
                <w:szCs w:val="24"/>
              </w:rPr>
            </w:pPr>
          </w:p>
          <w:p w14:paraId="1FF60627" w14:textId="2A18941F"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Make sure each party has an understanding of what will be expected of them while a placement is taking place.</w:t>
            </w:r>
          </w:p>
          <w:p w14:paraId="63920800" w14:textId="77777777" w:rsidR="002674EE" w:rsidRPr="00D72A76" w:rsidRDefault="002674EE" w:rsidP="00D72A76">
            <w:pPr>
              <w:spacing w:line="360" w:lineRule="auto"/>
              <w:rPr>
                <w:rFonts w:ascii="Arial" w:hAnsi="Arial" w:cs="Arial"/>
                <w:sz w:val="24"/>
                <w:szCs w:val="24"/>
              </w:rPr>
            </w:pPr>
          </w:p>
          <w:p w14:paraId="48E75704" w14:textId="3D674FFD"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 xml:space="preserve">Give settings all the relevant paperwork, therefore they understand how procedures are followed within the college to keep them and the student safe during placement. </w:t>
            </w:r>
          </w:p>
          <w:p w14:paraId="740A7DC1" w14:textId="77777777" w:rsidR="002674EE" w:rsidRPr="00D72A76" w:rsidRDefault="002674EE" w:rsidP="00D72A76">
            <w:pPr>
              <w:spacing w:line="360" w:lineRule="auto"/>
              <w:rPr>
                <w:rFonts w:ascii="Arial" w:hAnsi="Arial" w:cs="Arial"/>
                <w:sz w:val="24"/>
                <w:szCs w:val="24"/>
              </w:rPr>
            </w:pPr>
          </w:p>
          <w:p w14:paraId="4C06E275" w14:textId="27291F0F"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 xml:space="preserve">Make sure myself or a team member available to contact </w:t>
            </w:r>
            <w:r w:rsidRPr="00D72A76">
              <w:rPr>
                <w:rFonts w:ascii="Arial" w:hAnsi="Arial" w:cs="Arial"/>
                <w:sz w:val="24"/>
                <w:szCs w:val="24"/>
              </w:rPr>
              <w:lastRenderedPageBreak/>
              <w:t>when students are attending placement blocks.</w:t>
            </w:r>
          </w:p>
          <w:p w14:paraId="68F4FA5F" w14:textId="77777777" w:rsidR="002674EE" w:rsidRPr="00D72A76" w:rsidRDefault="002674EE" w:rsidP="00D72A76">
            <w:pPr>
              <w:spacing w:line="360" w:lineRule="auto"/>
              <w:rPr>
                <w:rFonts w:ascii="Arial" w:hAnsi="Arial" w:cs="Arial"/>
                <w:sz w:val="24"/>
                <w:szCs w:val="24"/>
              </w:rPr>
            </w:pPr>
          </w:p>
          <w:p w14:paraId="43256C26" w14:textId="77777777" w:rsidR="009B5F32" w:rsidRPr="00D72A76" w:rsidRDefault="009B5F32" w:rsidP="00D72A76">
            <w:pPr>
              <w:spacing w:line="360" w:lineRule="auto"/>
              <w:rPr>
                <w:rFonts w:ascii="Arial" w:hAnsi="Arial" w:cs="Arial"/>
                <w:sz w:val="24"/>
                <w:szCs w:val="24"/>
              </w:rPr>
            </w:pPr>
            <w:r w:rsidRPr="00D72A76">
              <w:rPr>
                <w:rFonts w:ascii="Arial" w:hAnsi="Arial" w:cs="Arial"/>
                <w:sz w:val="24"/>
                <w:szCs w:val="24"/>
              </w:rPr>
              <w:t>Timescale: Annually</w:t>
            </w:r>
          </w:p>
        </w:tc>
      </w:tr>
      <w:tr w:rsidR="00257D9B" w14:paraId="3B694906" w14:textId="77777777" w:rsidTr="00257D9B">
        <w:tc>
          <w:tcPr>
            <w:tcW w:w="3543" w:type="dxa"/>
          </w:tcPr>
          <w:p w14:paraId="1E14FCF4" w14:textId="568146F4"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Research to gain knowledge on the role of families in young people’s development.</w:t>
            </w:r>
          </w:p>
        </w:tc>
        <w:tc>
          <w:tcPr>
            <w:tcW w:w="3543" w:type="dxa"/>
          </w:tcPr>
          <w:p w14:paraId="70D59F01"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Monitor my Continuous professional development.</w:t>
            </w:r>
          </w:p>
          <w:p w14:paraId="5142B614" w14:textId="77777777" w:rsidR="00D72A76" w:rsidRPr="00D72A76" w:rsidRDefault="00D72A76" w:rsidP="00D72A76">
            <w:pPr>
              <w:spacing w:line="360" w:lineRule="auto"/>
              <w:rPr>
                <w:rFonts w:ascii="Arial" w:hAnsi="Arial" w:cs="Arial"/>
                <w:sz w:val="24"/>
                <w:szCs w:val="24"/>
              </w:rPr>
            </w:pPr>
          </w:p>
          <w:p w14:paraId="5D438A3C" w14:textId="28C74A8D"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Reflect on student and parents’ relationships to see if I was able to implement this into my role.</w:t>
            </w:r>
          </w:p>
          <w:p w14:paraId="015AF40A" w14:textId="77777777" w:rsidR="00D72A76" w:rsidRPr="00D72A76" w:rsidRDefault="00D72A76" w:rsidP="00D72A76">
            <w:pPr>
              <w:spacing w:line="360" w:lineRule="auto"/>
              <w:rPr>
                <w:rFonts w:ascii="Arial" w:hAnsi="Arial" w:cs="Arial"/>
                <w:sz w:val="24"/>
                <w:szCs w:val="24"/>
              </w:rPr>
            </w:pPr>
          </w:p>
          <w:p w14:paraId="40D498C9"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From assignments check to see if my learners have an understanding of the importance of the role of a family when it comes to child’s development.</w:t>
            </w:r>
          </w:p>
          <w:p w14:paraId="2638D9C9" w14:textId="5CF08ADA" w:rsidR="00D72A76" w:rsidRPr="00D72A76" w:rsidRDefault="00D72A76" w:rsidP="00D72A76">
            <w:pPr>
              <w:spacing w:line="360" w:lineRule="auto"/>
              <w:rPr>
                <w:rFonts w:ascii="Arial" w:hAnsi="Arial" w:cs="Arial"/>
                <w:sz w:val="24"/>
                <w:szCs w:val="24"/>
              </w:rPr>
            </w:pPr>
          </w:p>
        </w:tc>
        <w:tc>
          <w:tcPr>
            <w:tcW w:w="3544" w:type="dxa"/>
          </w:tcPr>
          <w:p w14:paraId="75F420C7" w14:textId="77777777"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Complete Continuous professional development courses on the impact of families.</w:t>
            </w:r>
          </w:p>
          <w:p w14:paraId="0CF0B1CF" w14:textId="77777777" w:rsidR="002674EE" w:rsidRPr="00D72A76" w:rsidRDefault="002674EE" w:rsidP="00D72A76">
            <w:pPr>
              <w:spacing w:line="360" w:lineRule="auto"/>
              <w:rPr>
                <w:rFonts w:ascii="Arial" w:hAnsi="Arial" w:cs="Arial"/>
                <w:sz w:val="24"/>
                <w:szCs w:val="24"/>
              </w:rPr>
            </w:pPr>
          </w:p>
          <w:p w14:paraId="277E364B" w14:textId="754F63AC"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Look into research on how families impact young people’s development.</w:t>
            </w:r>
          </w:p>
          <w:p w14:paraId="7F0BABDA" w14:textId="77777777" w:rsidR="002674EE" w:rsidRPr="00D72A76" w:rsidRDefault="002674EE" w:rsidP="00D72A76">
            <w:pPr>
              <w:spacing w:line="360" w:lineRule="auto"/>
              <w:rPr>
                <w:rFonts w:ascii="Arial" w:hAnsi="Arial" w:cs="Arial"/>
                <w:sz w:val="24"/>
                <w:szCs w:val="24"/>
              </w:rPr>
            </w:pPr>
          </w:p>
          <w:p w14:paraId="09203B54" w14:textId="77777777"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Speak with students to see how they feel their family impacts their learning.</w:t>
            </w:r>
          </w:p>
          <w:p w14:paraId="37F37653" w14:textId="63374959" w:rsidR="002674EE" w:rsidRPr="00D72A76" w:rsidRDefault="002674EE" w:rsidP="00D72A76">
            <w:pPr>
              <w:spacing w:line="360" w:lineRule="auto"/>
              <w:rPr>
                <w:rFonts w:ascii="Arial" w:hAnsi="Arial" w:cs="Arial"/>
                <w:sz w:val="24"/>
                <w:szCs w:val="24"/>
              </w:rPr>
            </w:pPr>
          </w:p>
        </w:tc>
        <w:tc>
          <w:tcPr>
            <w:tcW w:w="3544" w:type="dxa"/>
          </w:tcPr>
          <w:p w14:paraId="6343337D" w14:textId="797D3465" w:rsidR="009B5F32" w:rsidRPr="00D72A76" w:rsidRDefault="002674EE" w:rsidP="00D72A76">
            <w:pPr>
              <w:spacing w:line="360" w:lineRule="auto"/>
              <w:rPr>
                <w:rFonts w:ascii="Arial" w:hAnsi="Arial" w:cs="Arial"/>
                <w:sz w:val="24"/>
                <w:szCs w:val="24"/>
              </w:rPr>
            </w:pPr>
            <w:r w:rsidRPr="00D72A76">
              <w:rPr>
                <w:rFonts w:ascii="Arial" w:hAnsi="Arial" w:cs="Arial"/>
                <w:sz w:val="24"/>
                <w:szCs w:val="24"/>
              </w:rPr>
              <w:t>Work with parents and guardians to support students through their studies.</w:t>
            </w:r>
          </w:p>
          <w:p w14:paraId="241B2F82" w14:textId="77777777" w:rsidR="009B5F32" w:rsidRPr="00D72A76" w:rsidRDefault="009B5F32" w:rsidP="00D72A76">
            <w:pPr>
              <w:spacing w:line="360" w:lineRule="auto"/>
              <w:rPr>
                <w:rFonts w:ascii="Arial" w:hAnsi="Arial" w:cs="Arial"/>
                <w:sz w:val="24"/>
                <w:szCs w:val="24"/>
              </w:rPr>
            </w:pPr>
          </w:p>
          <w:p w14:paraId="3E53A5E4" w14:textId="76B7B758"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Implement the knowledge I have learnt into my teaching.</w:t>
            </w:r>
          </w:p>
          <w:p w14:paraId="355EA7C5" w14:textId="77777777" w:rsidR="002674EE" w:rsidRPr="00D72A76" w:rsidRDefault="002674EE" w:rsidP="00D72A76">
            <w:pPr>
              <w:spacing w:line="360" w:lineRule="auto"/>
              <w:rPr>
                <w:rFonts w:ascii="Arial" w:hAnsi="Arial" w:cs="Arial"/>
                <w:sz w:val="24"/>
                <w:szCs w:val="24"/>
              </w:rPr>
            </w:pPr>
          </w:p>
          <w:p w14:paraId="24EF3831" w14:textId="4C3BE48B"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Timescale: Annually.</w:t>
            </w:r>
          </w:p>
          <w:p w14:paraId="41FA53AF" w14:textId="77777777" w:rsidR="009B5F32" w:rsidRPr="00D72A76" w:rsidRDefault="009B5F32" w:rsidP="00D72A76">
            <w:pPr>
              <w:spacing w:line="360" w:lineRule="auto"/>
              <w:rPr>
                <w:rFonts w:ascii="Arial" w:hAnsi="Arial" w:cs="Arial"/>
                <w:sz w:val="24"/>
                <w:szCs w:val="24"/>
              </w:rPr>
            </w:pPr>
          </w:p>
        </w:tc>
      </w:tr>
      <w:tr w:rsidR="00257D9B" w14:paraId="0A703ACB" w14:textId="77777777" w:rsidTr="00257D9B">
        <w:tc>
          <w:tcPr>
            <w:tcW w:w="3543" w:type="dxa"/>
          </w:tcPr>
          <w:p w14:paraId="51234CF6" w14:textId="2108A208"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Create a personalised time management plan to support home, work, and study balance.</w:t>
            </w:r>
          </w:p>
        </w:tc>
        <w:tc>
          <w:tcPr>
            <w:tcW w:w="3543" w:type="dxa"/>
          </w:tcPr>
          <w:p w14:paraId="036FE21A"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Ensure Better time management for each week.</w:t>
            </w:r>
          </w:p>
          <w:p w14:paraId="5276CE06" w14:textId="77777777" w:rsidR="00D72A76" w:rsidRPr="00D72A76" w:rsidRDefault="00D72A76" w:rsidP="00D72A76">
            <w:pPr>
              <w:spacing w:line="360" w:lineRule="auto"/>
              <w:rPr>
                <w:rFonts w:ascii="Arial" w:hAnsi="Arial" w:cs="Arial"/>
                <w:sz w:val="24"/>
                <w:szCs w:val="24"/>
              </w:rPr>
            </w:pPr>
          </w:p>
          <w:p w14:paraId="6B09486A"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Reflect and improve on different ways to be able to achieve this at the end of the week.</w:t>
            </w:r>
          </w:p>
          <w:p w14:paraId="5859543F" w14:textId="77777777" w:rsidR="00D72A76" w:rsidRPr="00D72A76" w:rsidRDefault="00D72A76" w:rsidP="00D72A76">
            <w:pPr>
              <w:spacing w:line="360" w:lineRule="auto"/>
              <w:rPr>
                <w:rFonts w:ascii="Arial" w:hAnsi="Arial" w:cs="Arial"/>
                <w:sz w:val="24"/>
                <w:szCs w:val="24"/>
              </w:rPr>
            </w:pPr>
          </w:p>
          <w:p w14:paraId="0EA78D38"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Complete a tick list to see if I was able to complete all my tasks.</w:t>
            </w:r>
          </w:p>
          <w:p w14:paraId="524C54C7" w14:textId="29D29791" w:rsidR="00D72A76" w:rsidRPr="00D72A76" w:rsidRDefault="00D72A76" w:rsidP="00D72A76">
            <w:pPr>
              <w:spacing w:line="360" w:lineRule="auto"/>
              <w:rPr>
                <w:rFonts w:ascii="Arial" w:hAnsi="Arial" w:cs="Arial"/>
                <w:sz w:val="24"/>
                <w:szCs w:val="24"/>
              </w:rPr>
            </w:pPr>
          </w:p>
        </w:tc>
        <w:tc>
          <w:tcPr>
            <w:tcW w:w="3544" w:type="dxa"/>
          </w:tcPr>
          <w:p w14:paraId="47BDE304" w14:textId="77777777"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Create a Time management table which will be situated in my diary.</w:t>
            </w:r>
            <w:r w:rsidRPr="00D72A76">
              <w:rPr>
                <w:rFonts w:ascii="Arial" w:hAnsi="Arial" w:cs="Arial"/>
                <w:sz w:val="24"/>
                <w:szCs w:val="24"/>
              </w:rPr>
              <w:br/>
            </w:r>
            <w:r w:rsidRPr="00D72A76">
              <w:rPr>
                <w:rFonts w:ascii="Arial" w:hAnsi="Arial" w:cs="Arial"/>
                <w:sz w:val="24"/>
                <w:szCs w:val="24"/>
              </w:rPr>
              <w:br/>
              <w:t>Make sure my diary is keep up to date so not issues arise last minute.</w:t>
            </w:r>
          </w:p>
          <w:p w14:paraId="50E043BA" w14:textId="77777777" w:rsidR="002674EE" w:rsidRPr="00D72A76" w:rsidRDefault="002674EE" w:rsidP="00D72A76">
            <w:pPr>
              <w:spacing w:line="360" w:lineRule="auto"/>
              <w:rPr>
                <w:rFonts w:ascii="Arial" w:hAnsi="Arial" w:cs="Arial"/>
                <w:sz w:val="24"/>
                <w:szCs w:val="24"/>
              </w:rPr>
            </w:pPr>
          </w:p>
          <w:p w14:paraId="220E2AC2" w14:textId="77777777"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Give myself plenty of time to complete tasks rather than overloading on my workload.</w:t>
            </w:r>
          </w:p>
          <w:p w14:paraId="349D4EBC" w14:textId="77777777" w:rsidR="00D72A76" w:rsidRPr="00D72A76" w:rsidRDefault="00D72A76" w:rsidP="00D72A76">
            <w:pPr>
              <w:spacing w:line="360" w:lineRule="auto"/>
              <w:rPr>
                <w:rFonts w:ascii="Arial" w:hAnsi="Arial" w:cs="Arial"/>
                <w:sz w:val="24"/>
                <w:szCs w:val="24"/>
              </w:rPr>
            </w:pPr>
          </w:p>
          <w:p w14:paraId="555D4735" w14:textId="7EC172F7" w:rsidR="00D72A76" w:rsidRPr="00D72A76" w:rsidRDefault="00D72A76" w:rsidP="00D72A76">
            <w:pPr>
              <w:spacing w:line="360" w:lineRule="auto"/>
              <w:rPr>
                <w:rFonts w:ascii="Arial" w:hAnsi="Arial" w:cs="Arial"/>
                <w:sz w:val="24"/>
                <w:szCs w:val="24"/>
              </w:rPr>
            </w:pPr>
          </w:p>
        </w:tc>
        <w:tc>
          <w:tcPr>
            <w:tcW w:w="3544" w:type="dxa"/>
          </w:tcPr>
          <w:p w14:paraId="5B1B48E1" w14:textId="334D673F"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Make sure I stick to the Time management table I created for the week.</w:t>
            </w:r>
          </w:p>
          <w:p w14:paraId="4BBAF417" w14:textId="77777777" w:rsidR="00D72A76" w:rsidRPr="00D72A76" w:rsidRDefault="00D72A76" w:rsidP="00D72A76">
            <w:pPr>
              <w:spacing w:line="360" w:lineRule="auto"/>
              <w:rPr>
                <w:rFonts w:ascii="Arial" w:hAnsi="Arial" w:cs="Arial"/>
                <w:sz w:val="24"/>
                <w:szCs w:val="24"/>
              </w:rPr>
            </w:pPr>
          </w:p>
          <w:p w14:paraId="6138B6BA" w14:textId="4D62661B"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Rearrange my Table as and when I need to even if that’s daily.</w:t>
            </w:r>
          </w:p>
          <w:p w14:paraId="04B5AD46" w14:textId="77777777" w:rsidR="00D72A76" w:rsidRPr="00D72A76" w:rsidRDefault="00D72A76" w:rsidP="00D72A76">
            <w:pPr>
              <w:spacing w:line="360" w:lineRule="auto"/>
              <w:rPr>
                <w:rFonts w:ascii="Arial" w:hAnsi="Arial" w:cs="Arial"/>
                <w:sz w:val="24"/>
                <w:szCs w:val="24"/>
              </w:rPr>
            </w:pPr>
          </w:p>
          <w:p w14:paraId="4CA09DDB" w14:textId="24FD655A"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Instead of saying yes to something straight away in work. Explain I will be able to do this but not until a certain date.</w:t>
            </w:r>
          </w:p>
          <w:p w14:paraId="4A4F471E" w14:textId="77777777" w:rsidR="00D72A76" w:rsidRPr="00D72A76" w:rsidRDefault="00D72A76" w:rsidP="00D72A76">
            <w:pPr>
              <w:spacing w:line="360" w:lineRule="auto"/>
              <w:rPr>
                <w:rFonts w:ascii="Arial" w:hAnsi="Arial" w:cs="Arial"/>
                <w:sz w:val="24"/>
                <w:szCs w:val="24"/>
              </w:rPr>
            </w:pPr>
          </w:p>
          <w:p w14:paraId="689DD7E4" w14:textId="40C7C14C" w:rsidR="009B5F32" w:rsidRPr="00D72A76" w:rsidRDefault="009B5F32" w:rsidP="00D72A76">
            <w:pPr>
              <w:spacing w:line="360" w:lineRule="auto"/>
              <w:rPr>
                <w:rFonts w:ascii="Arial" w:hAnsi="Arial" w:cs="Arial"/>
                <w:sz w:val="24"/>
                <w:szCs w:val="24"/>
              </w:rPr>
            </w:pPr>
            <w:r w:rsidRPr="00D72A76">
              <w:rPr>
                <w:rFonts w:ascii="Arial" w:hAnsi="Arial" w:cs="Arial"/>
                <w:sz w:val="24"/>
                <w:szCs w:val="24"/>
              </w:rPr>
              <w:t xml:space="preserve">Timescale: </w:t>
            </w:r>
            <w:r w:rsidR="002674EE" w:rsidRPr="00D72A76">
              <w:rPr>
                <w:rFonts w:ascii="Arial" w:hAnsi="Arial" w:cs="Arial"/>
                <w:sz w:val="24"/>
                <w:szCs w:val="24"/>
              </w:rPr>
              <w:t>Weekly</w:t>
            </w:r>
          </w:p>
        </w:tc>
      </w:tr>
      <w:tr w:rsidR="00257D9B" w14:paraId="0DBEE7FB" w14:textId="77777777" w:rsidTr="00257D9B">
        <w:tc>
          <w:tcPr>
            <w:tcW w:w="3543" w:type="dxa"/>
          </w:tcPr>
          <w:p w14:paraId="0E8C45FB" w14:textId="5FC6AC01"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Maintain good mental health and resilience.</w:t>
            </w:r>
          </w:p>
        </w:tc>
        <w:tc>
          <w:tcPr>
            <w:tcW w:w="3543" w:type="dxa"/>
          </w:tcPr>
          <w:p w14:paraId="41C3D01C"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Reflect on situations with my counsellor to find coping strategies if needed.</w:t>
            </w:r>
          </w:p>
          <w:p w14:paraId="5B60703E" w14:textId="77777777" w:rsidR="00D72A76" w:rsidRPr="00D72A76" w:rsidRDefault="00D72A76" w:rsidP="00D72A76">
            <w:pPr>
              <w:spacing w:line="360" w:lineRule="auto"/>
              <w:rPr>
                <w:rFonts w:ascii="Arial" w:hAnsi="Arial" w:cs="Arial"/>
                <w:sz w:val="24"/>
                <w:szCs w:val="24"/>
              </w:rPr>
            </w:pPr>
          </w:p>
          <w:p w14:paraId="4DAE6087"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 xml:space="preserve">Reflect in journal how I was able to achieve different </w:t>
            </w:r>
            <w:r w:rsidRPr="00D72A76">
              <w:rPr>
                <w:rFonts w:ascii="Arial" w:hAnsi="Arial" w:cs="Arial"/>
                <w:sz w:val="24"/>
                <w:szCs w:val="24"/>
              </w:rPr>
              <w:lastRenderedPageBreak/>
              <w:t>situations without effecting my mental health.</w:t>
            </w:r>
          </w:p>
          <w:p w14:paraId="3C727710" w14:textId="77777777" w:rsidR="00D72A76" w:rsidRPr="00D72A76" w:rsidRDefault="00D72A76" w:rsidP="00D72A76">
            <w:pPr>
              <w:spacing w:line="360" w:lineRule="auto"/>
              <w:rPr>
                <w:rFonts w:ascii="Arial" w:hAnsi="Arial" w:cs="Arial"/>
                <w:sz w:val="24"/>
                <w:szCs w:val="24"/>
              </w:rPr>
            </w:pPr>
          </w:p>
          <w:p w14:paraId="75CC26B3"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Take on praise I get from others to build my confidence.</w:t>
            </w:r>
          </w:p>
          <w:p w14:paraId="3665658E" w14:textId="2AED5B0D" w:rsidR="00D72A76" w:rsidRPr="00D72A76" w:rsidRDefault="00D72A76" w:rsidP="00D72A76">
            <w:pPr>
              <w:spacing w:line="360" w:lineRule="auto"/>
              <w:rPr>
                <w:rFonts w:ascii="Arial" w:hAnsi="Arial" w:cs="Arial"/>
                <w:sz w:val="24"/>
                <w:szCs w:val="24"/>
              </w:rPr>
            </w:pPr>
          </w:p>
        </w:tc>
        <w:tc>
          <w:tcPr>
            <w:tcW w:w="3544" w:type="dxa"/>
          </w:tcPr>
          <w:p w14:paraId="720B553E" w14:textId="77777777" w:rsidR="00080254"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Attend regular counselling sessions.</w:t>
            </w:r>
          </w:p>
          <w:p w14:paraId="15A7C787" w14:textId="77777777" w:rsidR="002674EE" w:rsidRPr="00D72A76" w:rsidRDefault="002674EE" w:rsidP="00D72A76">
            <w:pPr>
              <w:spacing w:line="360" w:lineRule="auto"/>
              <w:rPr>
                <w:rFonts w:ascii="Arial" w:hAnsi="Arial" w:cs="Arial"/>
                <w:sz w:val="24"/>
                <w:szCs w:val="24"/>
              </w:rPr>
            </w:pPr>
          </w:p>
          <w:p w14:paraId="0F126EFB" w14:textId="77777777" w:rsidR="002674EE" w:rsidRPr="00D72A76" w:rsidRDefault="00D72A76" w:rsidP="00D72A76">
            <w:pPr>
              <w:spacing w:line="360" w:lineRule="auto"/>
              <w:rPr>
                <w:rFonts w:ascii="Arial" w:hAnsi="Arial" w:cs="Arial"/>
                <w:sz w:val="24"/>
                <w:szCs w:val="24"/>
              </w:rPr>
            </w:pPr>
            <w:r w:rsidRPr="00D72A76">
              <w:rPr>
                <w:rFonts w:ascii="Arial" w:hAnsi="Arial" w:cs="Arial"/>
                <w:sz w:val="24"/>
                <w:szCs w:val="24"/>
              </w:rPr>
              <w:t>Reflective Journal.</w:t>
            </w:r>
          </w:p>
          <w:p w14:paraId="79D5B237" w14:textId="77777777" w:rsidR="00D72A76" w:rsidRPr="00D72A76" w:rsidRDefault="00D72A76" w:rsidP="00D72A76">
            <w:pPr>
              <w:spacing w:line="360" w:lineRule="auto"/>
              <w:rPr>
                <w:rFonts w:ascii="Arial" w:hAnsi="Arial" w:cs="Arial"/>
                <w:sz w:val="24"/>
                <w:szCs w:val="24"/>
              </w:rPr>
            </w:pPr>
          </w:p>
          <w:p w14:paraId="19DC5B5C" w14:textId="5D019A80"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lastRenderedPageBreak/>
              <w:t>Ask for support or feedback from others.</w:t>
            </w:r>
          </w:p>
        </w:tc>
        <w:tc>
          <w:tcPr>
            <w:tcW w:w="3544" w:type="dxa"/>
          </w:tcPr>
          <w:p w14:paraId="343C7316"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lastRenderedPageBreak/>
              <w:t>Work as a team to help support each other.</w:t>
            </w:r>
          </w:p>
          <w:p w14:paraId="4375E0A0" w14:textId="77777777" w:rsidR="00D72A76" w:rsidRPr="00D72A76" w:rsidRDefault="00D72A76" w:rsidP="00D72A76">
            <w:pPr>
              <w:spacing w:line="360" w:lineRule="auto"/>
              <w:rPr>
                <w:rFonts w:ascii="Arial" w:hAnsi="Arial" w:cs="Arial"/>
                <w:sz w:val="24"/>
                <w:szCs w:val="24"/>
              </w:rPr>
            </w:pPr>
          </w:p>
          <w:p w14:paraId="0C0265B8" w14:textId="23BF3479"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If I am struggle speak to someone who can help me.</w:t>
            </w:r>
          </w:p>
          <w:p w14:paraId="14A2AD40" w14:textId="77777777" w:rsidR="00D72A76" w:rsidRPr="00D72A76" w:rsidRDefault="00D72A76" w:rsidP="00D72A76">
            <w:pPr>
              <w:spacing w:line="360" w:lineRule="auto"/>
              <w:rPr>
                <w:rFonts w:ascii="Arial" w:hAnsi="Arial" w:cs="Arial"/>
                <w:sz w:val="24"/>
                <w:szCs w:val="24"/>
              </w:rPr>
            </w:pPr>
          </w:p>
          <w:p w14:paraId="23C15073" w14:textId="3D2F5213"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lastRenderedPageBreak/>
              <w:t>Use coping strategies within work that will help.</w:t>
            </w:r>
          </w:p>
          <w:p w14:paraId="6C1155A9" w14:textId="77777777" w:rsidR="00D72A76" w:rsidRPr="00D72A76" w:rsidRDefault="00D72A76" w:rsidP="00D72A76">
            <w:pPr>
              <w:spacing w:line="360" w:lineRule="auto"/>
              <w:rPr>
                <w:rFonts w:ascii="Arial" w:hAnsi="Arial" w:cs="Arial"/>
                <w:sz w:val="24"/>
                <w:szCs w:val="24"/>
              </w:rPr>
            </w:pPr>
          </w:p>
          <w:p w14:paraId="5ADA8F78" w14:textId="1C372E92" w:rsidR="00080254" w:rsidRPr="00D72A76" w:rsidRDefault="00080254" w:rsidP="00D72A76">
            <w:pPr>
              <w:spacing w:line="360" w:lineRule="auto"/>
              <w:rPr>
                <w:rFonts w:ascii="Arial" w:hAnsi="Arial" w:cs="Arial"/>
                <w:sz w:val="24"/>
                <w:szCs w:val="24"/>
              </w:rPr>
            </w:pPr>
            <w:r w:rsidRPr="00D72A76">
              <w:rPr>
                <w:rFonts w:ascii="Arial" w:hAnsi="Arial" w:cs="Arial"/>
                <w:sz w:val="24"/>
                <w:szCs w:val="24"/>
              </w:rPr>
              <w:t xml:space="preserve">Timescale: </w:t>
            </w:r>
            <w:r w:rsidR="002674EE" w:rsidRPr="00D72A76">
              <w:rPr>
                <w:rFonts w:ascii="Arial" w:hAnsi="Arial" w:cs="Arial"/>
                <w:sz w:val="24"/>
                <w:szCs w:val="24"/>
              </w:rPr>
              <w:t>Weekly</w:t>
            </w:r>
          </w:p>
        </w:tc>
      </w:tr>
    </w:tbl>
    <w:p w14:paraId="2ED85EDF" w14:textId="77777777" w:rsidR="00257D9B" w:rsidRDefault="00257D9B" w:rsidP="00257D9B">
      <w:pPr>
        <w:spacing w:line="480" w:lineRule="auto"/>
      </w:pPr>
    </w:p>
    <w:p w14:paraId="2AE58DB7" w14:textId="77777777" w:rsidR="00C2336A" w:rsidRDefault="00C2336A" w:rsidP="00257D9B">
      <w:pPr>
        <w:spacing w:line="480" w:lineRule="auto"/>
      </w:pPr>
    </w:p>
    <w:p w14:paraId="4BDDF0B2" w14:textId="77777777" w:rsidR="00C2336A" w:rsidRDefault="00C2336A" w:rsidP="00257D9B">
      <w:pPr>
        <w:spacing w:line="480" w:lineRule="auto"/>
      </w:pPr>
    </w:p>
    <w:p w14:paraId="52979B9C" w14:textId="77777777" w:rsidR="00C2336A" w:rsidRDefault="00C2336A" w:rsidP="00257D9B">
      <w:pPr>
        <w:spacing w:line="480" w:lineRule="auto"/>
      </w:pPr>
    </w:p>
    <w:p w14:paraId="46AD321C" w14:textId="77777777" w:rsidR="00C2336A" w:rsidRDefault="00C2336A" w:rsidP="00257D9B">
      <w:pPr>
        <w:spacing w:line="480" w:lineRule="auto"/>
      </w:pPr>
    </w:p>
    <w:p w14:paraId="23A4AEFA" w14:textId="77777777" w:rsidR="00C2336A" w:rsidRDefault="00C2336A" w:rsidP="00257D9B">
      <w:pPr>
        <w:spacing w:line="480" w:lineRule="auto"/>
      </w:pPr>
    </w:p>
    <w:p w14:paraId="5480708D" w14:textId="77777777" w:rsidR="00C2336A" w:rsidRDefault="00C2336A" w:rsidP="00257D9B">
      <w:pPr>
        <w:spacing w:line="480" w:lineRule="auto"/>
      </w:pPr>
    </w:p>
    <w:p w14:paraId="3FFA3669" w14:textId="77777777" w:rsidR="00C2336A" w:rsidRDefault="00C2336A" w:rsidP="00257D9B">
      <w:pPr>
        <w:spacing w:line="480" w:lineRule="auto"/>
      </w:pPr>
    </w:p>
    <w:p w14:paraId="40F2F469" w14:textId="77777777" w:rsidR="00C2336A" w:rsidRDefault="00C2336A" w:rsidP="00257D9B">
      <w:pPr>
        <w:spacing w:line="480" w:lineRule="auto"/>
      </w:pPr>
    </w:p>
    <w:p w14:paraId="72808CD7" w14:textId="77777777" w:rsidR="005217D4" w:rsidRPr="005217D4" w:rsidRDefault="005217D4" w:rsidP="005217D4">
      <w:pPr>
        <w:spacing w:line="360" w:lineRule="auto"/>
        <w:rPr>
          <w:rFonts w:ascii="Arial" w:hAnsi="Arial" w:cs="Arial"/>
          <w:b/>
          <w:bCs/>
          <w:color w:val="000000" w:themeColor="text1"/>
          <w:sz w:val="24"/>
          <w:szCs w:val="24"/>
          <w:u w:val="single"/>
        </w:rPr>
      </w:pPr>
      <w:r w:rsidRPr="005217D4">
        <w:rPr>
          <w:rFonts w:ascii="Arial" w:hAnsi="Arial" w:cs="Arial"/>
          <w:b/>
          <w:bCs/>
          <w:color w:val="000000" w:themeColor="text1"/>
          <w:sz w:val="24"/>
          <w:szCs w:val="24"/>
          <w:u w:val="single"/>
        </w:rPr>
        <w:lastRenderedPageBreak/>
        <w:t>Section 3:</w:t>
      </w:r>
    </w:p>
    <w:p w14:paraId="48A81788" w14:textId="4A9D472F" w:rsidR="005217D4" w:rsidRPr="005217D4" w:rsidRDefault="005217D4" w:rsidP="005217D4">
      <w:pPr>
        <w:spacing w:line="360" w:lineRule="auto"/>
        <w:rPr>
          <w:rFonts w:ascii="Arial" w:hAnsi="Arial" w:cs="Arial"/>
          <w:color w:val="000000" w:themeColor="text1"/>
          <w:sz w:val="24"/>
          <w:szCs w:val="24"/>
          <w:u w:val="single"/>
        </w:rPr>
      </w:pPr>
      <w:r w:rsidRPr="005217D4">
        <w:rPr>
          <w:rFonts w:ascii="Arial" w:hAnsi="Arial" w:cs="Arial"/>
          <w:color w:val="000000" w:themeColor="text1"/>
          <w:sz w:val="24"/>
          <w:szCs w:val="24"/>
          <w:u w:val="single"/>
        </w:rPr>
        <w:t>Analyse of Concept Map.</w:t>
      </w:r>
    </w:p>
    <w:p w14:paraId="739B86F5"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The conceptual map presented in the second section of this portfolio focuses on the array of community services available to assist college students undertaking vocational courses. This visual representation illustrates the collaborative efforts of various departments within the college and external community organisations, demonstrating how practitioners can harness these resources to help students thrive.</w:t>
      </w:r>
    </w:p>
    <w:p w14:paraId="30955AF1"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This is seen as a multi-agency approach. This is a crucial area within the work environment to make sure is working to be able to enhance the well-being and learning of all students. Looking at the transition to higher education can be seen as a challenging period for a lot of students, as there are emotional and social adjustments as well as academic. Research by (Ferreira et al.2020) emphasises the importance of a supportive environment in fostering positive academic and emotional development. This can be seen in organisations such as colleges through professional help through different areas of individuals' lives, for example, mental health professionals such as Student Support Services, Pastoral Coaches for different departments and counselling services if needed. Practitioners should work with professionals within the organisations as well as professionals in the community who can support students to thrive in their academic studies as well as contribute to their well-being. The importance of creating an environment where students feel supported can be seen in the work of Tinto (1993) who emphasises the significance of students feeling belonging and connected can support the retention and success of individuals. This is also supported by (Bronfenbrenner, 1979) who suggests collaborating as multi-agencies ensures a holistic approach to student support by addressing various aspects of their well-being, including academic, social, and emotional needs.</w:t>
      </w:r>
    </w:p>
    <w:p w14:paraId="6CCEA5CA" w14:textId="77777777" w:rsidR="005217D4" w:rsidRPr="005217D4" w:rsidRDefault="005217D4" w:rsidP="005217D4">
      <w:pPr>
        <w:spacing w:line="360" w:lineRule="auto"/>
        <w:rPr>
          <w:rFonts w:ascii="Arial" w:hAnsi="Arial" w:cs="Arial"/>
          <w:color w:val="000000" w:themeColor="text1"/>
          <w:sz w:val="24"/>
          <w:szCs w:val="24"/>
        </w:rPr>
      </w:pPr>
    </w:p>
    <w:p w14:paraId="4EBB3935"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lastRenderedPageBreak/>
        <w:t xml:space="preserve">This essay will focus on the sector's experiential opportunities within the concept map. Students are provided with a diverse setting within the care industry over the two or three-year course where they will be able to develop sector-specific knowledge and skills. The Placement Officer plays a pivotal role by collaborating with individual students, </w:t>
      </w:r>
      <w:proofErr w:type="gramStart"/>
      <w:r w:rsidRPr="005217D4">
        <w:rPr>
          <w:rFonts w:ascii="Arial" w:hAnsi="Arial" w:cs="Arial"/>
          <w:color w:val="000000" w:themeColor="text1"/>
          <w:sz w:val="24"/>
          <w:szCs w:val="24"/>
        </w:rPr>
        <w:t>lecturers</w:t>
      </w:r>
      <w:proofErr w:type="gramEnd"/>
      <w:r w:rsidRPr="005217D4">
        <w:rPr>
          <w:rFonts w:ascii="Arial" w:hAnsi="Arial" w:cs="Arial"/>
          <w:color w:val="000000" w:themeColor="text1"/>
          <w:sz w:val="24"/>
          <w:szCs w:val="24"/>
        </w:rPr>
        <w:t xml:space="preserve"> and student support service to facilitate the best placement for each student, fostering hands-on experience (Cameron et al.2020).</w:t>
      </w:r>
    </w:p>
    <w:p w14:paraId="19AF6091"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To ensure the safety of students and others during placements, there are a set of policies and procedures in place. The first role that will be discussed is the responsibility of implementing health, </w:t>
      </w:r>
      <w:proofErr w:type="gramStart"/>
      <w:r w:rsidRPr="005217D4">
        <w:rPr>
          <w:rFonts w:ascii="Arial" w:hAnsi="Arial" w:cs="Arial"/>
          <w:color w:val="000000" w:themeColor="text1"/>
          <w:sz w:val="24"/>
          <w:szCs w:val="24"/>
        </w:rPr>
        <w:t>safety</w:t>
      </w:r>
      <w:proofErr w:type="gramEnd"/>
      <w:r w:rsidRPr="005217D4">
        <w:rPr>
          <w:rFonts w:ascii="Arial" w:hAnsi="Arial" w:cs="Arial"/>
          <w:color w:val="000000" w:themeColor="text1"/>
          <w:sz w:val="24"/>
          <w:szCs w:val="24"/>
        </w:rPr>
        <w:t xml:space="preserve"> and environmental policies, along with safe working practices before students embark on their placements. Under the Health and Safety at Work Act 1974 it is an employer's duty to protect the health, safety and welfare of their employees and other people who might be affected by their business (HSE, 1974). Placement Officers and assessors within any work-based learning environment are tasked with conducting Health and Safety appraisals before any thought is given about a student attending the setting. The Placement Officer goes to each individual setting to complete an inspection of the environment, making sure it is safe and that all the correct policies and procedures are in place, including the correct insurance to protect students. This is agreed upon with organisations to make sure they understand their commitment to health, safety and the environment which is a crucial component of the appraisal and monitoring process, which implements any action plans for organisations when necessary (Karanikas &amp; Hasan, 2022). Close collaboration with each placement setting is imperative to ensure the completion of health and safety inspections and that staff members understand the expectations for both themselves and the students who will be attending placement. To be able to ensure students have an understanding of the Health and Safety Act 1974 before attending placements, the Placement Officer and Lecturers must work together to ensure all students have completed the health and safety unit within the qualification before placement blocks start. This is then reinforced on placement as the placement officer provides students with health and safety booklets to be completed by mentors and students while attending their placements. Additionally, the placement officer will attend the setting to complete a </w:t>
      </w:r>
      <w:r w:rsidRPr="005217D4">
        <w:rPr>
          <w:rFonts w:ascii="Arial" w:hAnsi="Arial" w:cs="Arial"/>
          <w:color w:val="000000" w:themeColor="text1"/>
          <w:sz w:val="24"/>
          <w:szCs w:val="24"/>
        </w:rPr>
        <w:lastRenderedPageBreak/>
        <w:t>monitoring form for each student attending, facilitating an assessment of role completion and satisfaction for both students and the setting (Humphreys &amp; Woods, 2014).</w:t>
      </w:r>
    </w:p>
    <w:p w14:paraId="7818478E"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When dealing with health and safety, various factors might hinder the process of collaborating with different organisations. Simply raising the need for a health and safety appraisal could immediately put a brake on discussions about working together to create a student-friendly placement environment. Organisations, already dealing with numerous responsibilities, may perceive the appraisal as an additional workload, potentially slowing down the collaboration process. This is supported by Aiston et al. (2002) that barriers that challenge collaboration are additional world and establishing objectives and common goals (Woods et al., 2010). Another potential hurdle may be if upon conducting risk assessments within the environment, it is identified that improvements are required before students can commence their placement. In such a scenario, the setting might take offence, perceiving the need for enhancements as an implication that they are not adequately fulfilling their duty in caring for children or the elderly, misunderstanding and developing a barrier (Wates, 2012). This could lead to strained relationships, jeopardising the rapport that has been built, and, in extreme cases, resulting in the withdrawal of support for the entire placement experience for students.</w:t>
      </w:r>
    </w:p>
    <w:p w14:paraId="3C814E44"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The Placement Officer collaborates with various departments within the college as another approach to working with multiple agencies. Ensuring that students have an optimal placement experience involves assessing factors such as attendance and attitude towards the course. In this regard, it becomes crucial for the Placement Officer to engage in proactive communication with the students' tutors and lecturers beforehand. Gaining insights from other perspectives can determine the likelihood of students attending placement and exhibiting enthusiasm for learning and skill development (Nwosu et al. 2022) (Chawłowska et al.2021).</w:t>
      </w:r>
    </w:p>
    <w:p w14:paraId="094098DA" w14:textId="1288C439"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This collaborative effort is integral to effective teamwork, Yale University (2024) states 'A team environment allows individuals to bring their diverse perspectives to problem-solving, which in turn increases their success at arriving at solutions more efficiently and effectively'. The Placement Officer can engage in active listening and collaboratively find solutions within the team to secure the </w:t>
      </w:r>
      <w:r w:rsidRPr="005217D4">
        <w:rPr>
          <w:rFonts w:ascii="Arial" w:hAnsi="Arial" w:cs="Arial"/>
          <w:color w:val="000000" w:themeColor="text1"/>
          <w:sz w:val="24"/>
          <w:szCs w:val="24"/>
        </w:rPr>
        <w:lastRenderedPageBreak/>
        <w:t>best possible placement for each student. Failure to undertake this proactive approach can have repercussions on the relationship with the placement setting. Instances of students not showing up or displaying a poor attitude during placements may negatively impact the setting's willingness to accommodate future students. Therefore, this pre-emptive collaboration with the team plays a pivotal role in fostering positive relationships with settings and securing successful placements for students.</w:t>
      </w:r>
    </w:p>
    <w:p w14:paraId="1214FB34"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The Placement Officer also collaborates closely with student support officers, acknowledging the diverse backgrounds and personal challenges students may encounter. A Student Support Officer works in institutions such as colleges and is seen as part of the wellbeing team for students (Seek, 2024). When students face issues beyond what tutors can address, these concerns are directed to the student support officers. The collaborative process involves practical steps: after discussing problems with tutors, it becomes crucial to seek the opinion of student support officers on whether specific placements might impact students' mental health or if attending at that time is advisable.</w:t>
      </w:r>
    </w:p>
    <w:p w14:paraId="49F5B42F"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Navigating this situation comes with its challenges, especially considering GDPR constraints that limit the sharing of specific student information between student support officers and the Placement Officer. GDPR, or the General Data Protection Regulation, is like a rulebook designed to protect people's privacy, and it became a law in the UK in 2018. When it comes to students, GDPR ensures that they have control over their personal information. If a student chooses not to share certain details, institutions, including placement officers, have to follow specific rules to keep that information private.</w:t>
      </w:r>
    </w:p>
    <w:p w14:paraId="720E550D" w14:textId="4A8C1F20"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If a student decides not to share something, GDPR makes sure that their personal data is handled with care and isn't used without their permission. It's essentially a set of rules to make sure that students' privacy is respected, and their information is kept safe (Irwin, 2022). This helps build trust between students and institutions, showing that their personal data is being handled responsibly and ethically. Therefore, </w:t>
      </w:r>
      <w:r w:rsidRPr="005217D4">
        <w:rPr>
          <w:rFonts w:ascii="Arial" w:hAnsi="Arial" w:cs="Arial"/>
          <w:color w:val="000000" w:themeColor="text1"/>
          <w:sz w:val="24"/>
          <w:szCs w:val="24"/>
        </w:rPr>
        <w:t>in</w:t>
      </w:r>
      <w:r w:rsidRPr="005217D4">
        <w:rPr>
          <w:rFonts w:ascii="Arial" w:hAnsi="Arial" w:cs="Arial"/>
          <w:color w:val="000000" w:themeColor="text1"/>
          <w:sz w:val="24"/>
          <w:szCs w:val="24"/>
        </w:rPr>
        <w:t xml:space="preserve"> these instances, the Placement Officer must rely on the judgement of student support officers, trusting </w:t>
      </w:r>
      <w:r w:rsidRPr="005217D4">
        <w:rPr>
          <w:rFonts w:ascii="Arial" w:hAnsi="Arial" w:cs="Arial"/>
          <w:color w:val="000000" w:themeColor="text1"/>
          <w:sz w:val="24"/>
          <w:szCs w:val="24"/>
        </w:rPr>
        <w:lastRenderedPageBreak/>
        <w:t>them to make decisions in the student's best interests. This cooperative effort with student support officers is vital for taking a comprehensive approach to student well-being and ensuring the success of placements.</w:t>
      </w:r>
    </w:p>
    <w:p w14:paraId="300590E4"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Ensuring students' privacy is respected is crucial, but it can bring challenges during placements. If the guidance from student support officers is inaccurate, it might affect students' well-being on placement. Our top priority is keeping students safe and content in their settings. If external issues not considered by the college impact the student experience, it can dent their confidence and mental well-being. Which then in hand will impact the student's learning and overall experience.</w:t>
      </w:r>
    </w:p>
    <w:p w14:paraId="315C4584"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To conclude the role of a placement officer encompasses the incorporation of numerous policies and procedures into daily tasks. In the context of multiagency collaboration, fostering strong relationships is key, but it's equally essential to adhere to established policies for the safety of all involved parties. Effective communication stands out as a foundation for building and maintaining positive relationships while ensuring compliance with the set protocols. Finding the right balance between building relationships and adhering to policies is pivotal for the smooth and secure execution of placement operations.</w:t>
      </w:r>
    </w:p>
    <w:p w14:paraId="3BE3A47B" w14:textId="77777777" w:rsidR="005217D4" w:rsidRPr="005217D4" w:rsidRDefault="005217D4" w:rsidP="005217D4">
      <w:pPr>
        <w:spacing w:line="360" w:lineRule="auto"/>
        <w:rPr>
          <w:rFonts w:ascii="Arial" w:hAnsi="Arial" w:cs="Arial"/>
          <w:color w:val="000000" w:themeColor="text1"/>
          <w:sz w:val="24"/>
          <w:szCs w:val="24"/>
        </w:rPr>
      </w:pPr>
    </w:p>
    <w:p w14:paraId="2729E01F" w14:textId="77777777" w:rsidR="005217D4" w:rsidRPr="005217D4" w:rsidRDefault="005217D4" w:rsidP="005217D4">
      <w:pPr>
        <w:spacing w:line="360" w:lineRule="auto"/>
        <w:rPr>
          <w:rFonts w:ascii="Arial" w:hAnsi="Arial" w:cs="Arial"/>
          <w:color w:val="000000" w:themeColor="text1"/>
          <w:sz w:val="24"/>
          <w:szCs w:val="24"/>
        </w:rPr>
      </w:pPr>
    </w:p>
    <w:p w14:paraId="7E5ECA1D" w14:textId="77777777" w:rsidR="005217D4" w:rsidRPr="005217D4" w:rsidRDefault="005217D4" w:rsidP="005217D4">
      <w:pPr>
        <w:spacing w:line="360" w:lineRule="auto"/>
        <w:rPr>
          <w:rFonts w:ascii="Arial" w:hAnsi="Arial" w:cs="Arial"/>
          <w:color w:val="000000" w:themeColor="text1"/>
          <w:sz w:val="24"/>
          <w:szCs w:val="24"/>
        </w:rPr>
      </w:pPr>
    </w:p>
    <w:p w14:paraId="6C3A403C" w14:textId="77777777" w:rsidR="005217D4" w:rsidRPr="005217D4" w:rsidRDefault="005217D4" w:rsidP="005217D4">
      <w:pPr>
        <w:spacing w:line="360" w:lineRule="auto"/>
        <w:rPr>
          <w:rFonts w:ascii="Arial" w:hAnsi="Arial" w:cs="Arial"/>
          <w:color w:val="000000" w:themeColor="text1"/>
          <w:sz w:val="24"/>
          <w:szCs w:val="24"/>
        </w:rPr>
      </w:pPr>
    </w:p>
    <w:p w14:paraId="6CE623EB" w14:textId="77777777" w:rsidR="005217D4" w:rsidRPr="005217D4" w:rsidRDefault="005217D4" w:rsidP="005217D4">
      <w:pPr>
        <w:spacing w:line="360" w:lineRule="auto"/>
        <w:rPr>
          <w:rFonts w:ascii="Arial" w:hAnsi="Arial" w:cs="Arial"/>
          <w:color w:val="000000" w:themeColor="text1"/>
          <w:sz w:val="24"/>
          <w:szCs w:val="24"/>
        </w:rPr>
      </w:pPr>
    </w:p>
    <w:p w14:paraId="293F7064" w14:textId="77777777" w:rsidR="005217D4" w:rsidRPr="005217D4" w:rsidRDefault="005217D4" w:rsidP="005217D4">
      <w:pPr>
        <w:spacing w:line="360" w:lineRule="auto"/>
        <w:rPr>
          <w:rFonts w:ascii="Arial" w:hAnsi="Arial" w:cs="Arial"/>
          <w:color w:val="000000" w:themeColor="text1"/>
          <w:sz w:val="24"/>
          <w:szCs w:val="24"/>
        </w:rPr>
      </w:pPr>
    </w:p>
    <w:p w14:paraId="587E92C0" w14:textId="0AD0C1CB" w:rsidR="005217D4" w:rsidRPr="005217D4" w:rsidRDefault="005217D4" w:rsidP="005217D4">
      <w:pPr>
        <w:spacing w:line="360" w:lineRule="auto"/>
        <w:rPr>
          <w:rFonts w:ascii="Arial" w:hAnsi="Arial" w:cs="Arial"/>
          <w:b/>
          <w:bCs/>
          <w:color w:val="000000" w:themeColor="text1"/>
          <w:sz w:val="24"/>
          <w:szCs w:val="24"/>
          <w:u w:val="single"/>
        </w:rPr>
      </w:pPr>
      <w:r w:rsidRPr="005217D4">
        <w:rPr>
          <w:rFonts w:ascii="Arial" w:hAnsi="Arial" w:cs="Arial"/>
          <w:b/>
          <w:bCs/>
          <w:color w:val="000000" w:themeColor="text1"/>
          <w:sz w:val="24"/>
          <w:szCs w:val="24"/>
          <w:u w:val="single"/>
        </w:rPr>
        <w:lastRenderedPageBreak/>
        <w:t>Section Four:</w:t>
      </w:r>
    </w:p>
    <w:p w14:paraId="212230C6" w14:textId="371158FB" w:rsidR="005217D4" w:rsidRPr="005217D4" w:rsidRDefault="005217D4" w:rsidP="005217D4">
      <w:pPr>
        <w:spacing w:line="360" w:lineRule="auto"/>
        <w:rPr>
          <w:rFonts w:ascii="Arial" w:hAnsi="Arial" w:cs="Arial"/>
          <w:color w:val="000000" w:themeColor="text1"/>
          <w:sz w:val="24"/>
          <w:szCs w:val="24"/>
          <w:u w:val="single"/>
        </w:rPr>
      </w:pPr>
      <w:r w:rsidRPr="005217D4">
        <w:rPr>
          <w:rFonts w:ascii="Arial" w:hAnsi="Arial" w:cs="Arial"/>
          <w:color w:val="000000" w:themeColor="text1"/>
          <w:sz w:val="24"/>
          <w:szCs w:val="24"/>
          <w:u w:val="single"/>
        </w:rPr>
        <w:t>Case Study.</w:t>
      </w:r>
    </w:p>
    <w:p w14:paraId="50AF7AD6"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In my role as a college lecturer, I interact with students from various backgrounds. One notable aspect is the significant influence that parents, guardians, and families have on a learner's education. Over the years, I've noticed instances where students enrol in our courses due to family encouragement or are influenced by family members already working in the sector. There are even situations where our communication extends more with the parents than with the learners themselves. I'm curious to explore the extent of the impact that a family truly has on a learner's educational journey. </w:t>
      </w:r>
    </w:p>
    <w:p w14:paraId="770843F2"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The influence of families on college students has been a topic of considerable interest and research of mine. Previous studies have highlighted the pivotal role that families play in students' academic and personal development during their college years (McCallen &amp; Johnson2020) (Harper et al.2020) However, there is still a need for a comprehensive examination of the specific ways in which families impact college students (Copeland et al.2021).</w:t>
      </w:r>
    </w:p>
    <w:p w14:paraId="595010A4"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Recognising the influence of families on college students is essential in my role as an educator. This study seeks to delve into the contributions of families to college success, examine the link between family dynamics and academic performance, and assess the impact of parental involvement and support on students' educational paths. The objective of this case study is to shed light on how families impact the college journey for students and propose recommendations for improving family support in their educational pursuits and the best way I can incorporate what I have learned into my practice.</w:t>
      </w:r>
    </w:p>
    <w:p w14:paraId="35A37499"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After conducting research, several key findings emerged regarding how families influence college students. These findings show how families impact how students go through college (Son et al.2020). By researching areas like motivation, academic choices, and family environments, this study uncovers the complex connection between family dynamics and how well students do in college. In </w:t>
      </w:r>
      <w:r w:rsidRPr="005217D4">
        <w:rPr>
          <w:rFonts w:ascii="Arial" w:hAnsi="Arial" w:cs="Arial"/>
          <w:color w:val="000000" w:themeColor="text1"/>
          <w:sz w:val="24"/>
          <w:szCs w:val="24"/>
        </w:rPr>
        <w:lastRenderedPageBreak/>
        <w:t>the next parts, we'll look at specific parts of this relationship, giving detailed insights and analysis to understand better how families influence college students.</w:t>
      </w:r>
    </w:p>
    <w:p w14:paraId="5ABCEB45"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One notable aspect of how families influence college students is their impact on students' motivation levels. The investigation revealed the significant influence of families in moulding and maintaining students' motivation during their college experience (Nieuwoudt &amp; Pedler2023) (Martin et al.2020). Positive elements within supportive family environments, such as positive reinforcement, encouragement, and a belief in the student's capabilities, have been noted to boost motivation for academic success. Conversely, </w:t>
      </w:r>
      <w:proofErr w:type="gramStart"/>
      <w:r w:rsidRPr="005217D4">
        <w:rPr>
          <w:rFonts w:ascii="Arial" w:hAnsi="Arial" w:cs="Arial"/>
          <w:color w:val="000000" w:themeColor="text1"/>
          <w:sz w:val="24"/>
          <w:szCs w:val="24"/>
        </w:rPr>
        <w:t>unfavourable</w:t>
      </w:r>
      <w:proofErr w:type="gramEnd"/>
      <w:r w:rsidRPr="005217D4">
        <w:rPr>
          <w:rFonts w:ascii="Arial" w:hAnsi="Arial" w:cs="Arial"/>
          <w:color w:val="000000" w:themeColor="text1"/>
          <w:sz w:val="24"/>
          <w:szCs w:val="24"/>
        </w:rPr>
        <w:t xml:space="preserve"> or neglectful family environments have been associated with a detrimental impact on students' motivation and overall academic engagement (Dolson &amp; Deemer, 2022). Comprehending the factors contributing to family influence on student motivation provides a basis for educators to devise effective strategies that support and empower students.</w:t>
      </w:r>
    </w:p>
    <w:p w14:paraId="72FF4CE3"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Family expectations significantly impact the academic choices made by college students, as revealed by studies (Waterhouse et al., 2022) (Dolson &amp; Deemer, 2022). Students often take into account their families' expectations when deciding on their course of study, choice of major, and academic goals. High family expectations can serve as a driving force for students, motivating them to excel and pursue fields aligned with their family's aspirations. However, </w:t>
      </w:r>
      <w:proofErr w:type="gramStart"/>
      <w:r w:rsidRPr="005217D4">
        <w:rPr>
          <w:rFonts w:ascii="Arial" w:hAnsi="Arial" w:cs="Arial"/>
          <w:color w:val="000000" w:themeColor="text1"/>
          <w:sz w:val="24"/>
          <w:szCs w:val="24"/>
        </w:rPr>
        <w:t>conflicting</w:t>
      </w:r>
      <w:proofErr w:type="gramEnd"/>
      <w:r w:rsidRPr="005217D4">
        <w:rPr>
          <w:rFonts w:ascii="Arial" w:hAnsi="Arial" w:cs="Arial"/>
          <w:color w:val="000000" w:themeColor="text1"/>
          <w:sz w:val="24"/>
          <w:szCs w:val="24"/>
        </w:rPr>
        <w:t xml:space="preserve"> or unrealistic expectations may lead to internal conflicts and decision-making dilemmas for students. Understanding the impact of family expectations is crucial for college practitioners to provide guidance and support to students in navigating the complex landscape of academic choices (Samra et al., 2021).</w:t>
      </w:r>
    </w:p>
    <w:p w14:paraId="6D874747"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Studies also examined the role of supportive and detrimental family environments on college students' overall well-being and academic performance. Findings indicate that students who grew up in supportive family environments, characterised by open communication, emotional support, and a sense of belonging, demonstrated higher levels of satisfaction, resilience, and success in their college endeavours (Dolson &amp; Deemer, 2022) (Waterhouse et al., 2022). Conversely, students from detrimental family </w:t>
      </w:r>
      <w:r w:rsidRPr="005217D4">
        <w:rPr>
          <w:rFonts w:ascii="Arial" w:hAnsi="Arial" w:cs="Arial"/>
          <w:color w:val="000000" w:themeColor="text1"/>
          <w:sz w:val="24"/>
          <w:szCs w:val="24"/>
        </w:rPr>
        <w:lastRenderedPageBreak/>
        <w:t>environments, marked by conflict, lack of support, or dysfunctional dynamics, often faced greater challenges and obstacles in their academic journeys. Understanding the differences between supportive and detrimental family environments can inform interventions and support systems that promote the well-being and success of college students (Waterhouse et al., 2022).</w:t>
      </w:r>
    </w:p>
    <w:p w14:paraId="0A94D7A5" w14:textId="23DC71CF"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 From what I've figured out in this study about how families affect college students, it's clear that family dynamics and support from parents matter for how well students do in their studies. The research shows that what families expect can shape how students decide what to study, pointing out how having a supportive family is different from dealing with challenges (Chen et al.2022). As a lecturer, I see different ways I can positively help my students.</w:t>
      </w:r>
    </w:p>
    <w:p w14:paraId="20BD5F92" w14:textId="13655878" w:rsidR="005217D4" w:rsidRPr="005217D4" w:rsidRDefault="005217D4" w:rsidP="005217D4">
      <w:pPr>
        <w:spacing w:line="360" w:lineRule="auto"/>
        <w:rPr>
          <w:rFonts w:ascii="Arial" w:hAnsi="Arial" w:cs="Arial"/>
          <w:color w:val="000000" w:themeColor="text1"/>
          <w:sz w:val="24"/>
          <w:szCs w:val="24"/>
        </w:rPr>
      </w:pPr>
      <w:proofErr w:type="gramStart"/>
      <w:r w:rsidRPr="005217D4">
        <w:rPr>
          <w:rFonts w:ascii="Arial" w:hAnsi="Arial" w:cs="Arial"/>
          <w:color w:val="000000" w:themeColor="text1"/>
          <w:sz w:val="24"/>
          <w:szCs w:val="24"/>
        </w:rPr>
        <w:t>Looking forward, there</w:t>
      </w:r>
      <w:proofErr w:type="gramEnd"/>
      <w:r w:rsidRPr="005217D4">
        <w:rPr>
          <w:rFonts w:ascii="Arial" w:hAnsi="Arial" w:cs="Arial"/>
          <w:color w:val="000000" w:themeColor="text1"/>
          <w:sz w:val="24"/>
          <w:szCs w:val="24"/>
        </w:rPr>
        <w:t xml:space="preserve"> exists a compelling need for further research to delve into the enduring effects of family influence on </w:t>
      </w:r>
      <w:r w:rsidRPr="005217D4">
        <w:rPr>
          <w:rFonts w:ascii="Arial" w:hAnsi="Arial" w:cs="Arial"/>
          <w:color w:val="000000" w:themeColor="text1"/>
          <w:sz w:val="24"/>
          <w:szCs w:val="24"/>
        </w:rPr>
        <w:t>students’</w:t>
      </w:r>
      <w:r w:rsidRPr="005217D4">
        <w:rPr>
          <w:rFonts w:ascii="Arial" w:hAnsi="Arial" w:cs="Arial"/>
          <w:color w:val="000000" w:themeColor="text1"/>
          <w:sz w:val="24"/>
          <w:szCs w:val="24"/>
        </w:rPr>
        <w:t xml:space="preserve"> post-college graduation. The exploration of how family dynamics persist in shaping students beyond their college years presents an intriguing area deserving of more profound investigation. As I contemplate integrating these findings into my work, I envision fostering a classroom environment that extends beyond the subject matter, incorporating discussions about career goals and the role of family expectations in shaping students' academic paths. This way, I'm not just teaching the material but also helping students think about their future beyond college which is supported by Rhiem (2021). It's also a good idea for future research to dig into how cultural and economic backgrounds impact the way families influence college students. In my lectures, I can bring in examples and stories that reflect different cultures, making sure my teaching is relevant and inclusive (Nelson Laird, 2010) (Sairsingh, et al., 2020).</w:t>
      </w:r>
    </w:p>
    <w:p w14:paraId="307FD6EA" w14:textId="32E7D553"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Regarding the recommendations for college practitioners and families, I can play my part in encouraging open communication. I can start discussions during my lectures that involve parents, practitioners, and students, creating a space for everyone to talk. This way, I'm contributing to a supportive environment for students.</w:t>
      </w:r>
      <w:r w:rsidR="006C0237">
        <w:rPr>
          <w:rFonts w:ascii="Arial" w:hAnsi="Arial" w:cs="Arial"/>
          <w:color w:val="000000" w:themeColor="text1"/>
          <w:sz w:val="24"/>
          <w:szCs w:val="24"/>
        </w:rPr>
        <w:t xml:space="preserve"> </w:t>
      </w:r>
      <w:r w:rsidRPr="005217D4">
        <w:rPr>
          <w:rFonts w:ascii="Arial" w:hAnsi="Arial" w:cs="Arial"/>
          <w:color w:val="000000" w:themeColor="text1"/>
          <w:sz w:val="24"/>
          <w:szCs w:val="24"/>
        </w:rPr>
        <w:t xml:space="preserve">In addition, I can work with team members to set up programs that help parents get involved and support their kids better. Whether it's orientation programs or workshops, I can actively participate </w:t>
      </w:r>
      <w:r w:rsidRPr="005217D4">
        <w:rPr>
          <w:rFonts w:ascii="Arial" w:hAnsi="Arial" w:cs="Arial"/>
          <w:color w:val="000000" w:themeColor="text1"/>
          <w:sz w:val="24"/>
          <w:szCs w:val="24"/>
        </w:rPr>
        <w:lastRenderedPageBreak/>
        <w:t>and encourage my students' families to engage with their education. During my lectures, I can share resources and tips, making sure parents understand how much their support matters.</w:t>
      </w:r>
    </w:p>
    <w:p w14:paraId="356B2890" w14:textId="3D7A3B39"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Through my review of existing research, it has become evident that families play a pivotal role in shaping students' educational experiences. This knowledge forms the basis for furthering my research endeavours and implementing practical applications based on the insights acquired.</w:t>
      </w:r>
      <w:r w:rsidR="006C0237">
        <w:rPr>
          <w:rFonts w:ascii="Arial" w:hAnsi="Arial" w:cs="Arial"/>
          <w:color w:val="000000" w:themeColor="text1"/>
          <w:sz w:val="24"/>
          <w:szCs w:val="24"/>
        </w:rPr>
        <w:t xml:space="preserve"> </w:t>
      </w:r>
      <w:r w:rsidRPr="005217D4">
        <w:rPr>
          <w:rFonts w:ascii="Arial" w:hAnsi="Arial" w:cs="Arial"/>
          <w:color w:val="000000" w:themeColor="text1"/>
          <w:sz w:val="24"/>
          <w:szCs w:val="24"/>
        </w:rPr>
        <w:t>As I extend my research, my objective is to contribute meaningfully to the existing understanding of the relationship between families and students' education. The aim is not merely to accumulate information but to offer valuable findings that can inform effective practices within the realm of education.</w:t>
      </w:r>
    </w:p>
    <w:p w14:paraId="6AFFFB48"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Furthermore, the insights gained from this exploration present an opportunity to bring about positive changes in my teaching approach. By understanding how important it is for families to be involved, I can create specific plans to better help students. This means making a welcoming learning space that appreciates and includes the role families play in students' education.</w:t>
      </w:r>
    </w:p>
    <w:p w14:paraId="7957EEF1" w14:textId="77777777" w:rsidR="005217D4" w:rsidRPr="005217D4" w:rsidRDefault="005217D4" w:rsidP="005217D4">
      <w:pPr>
        <w:spacing w:line="360" w:lineRule="auto"/>
        <w:rPr>
          <w:rFonts w:ascii="Arial" w:hAnsi="Arial" w:cs="Arial"/>
          <w:color w:val="000000" w:themeColor="text1"/>
          <w:sz w:val="24"/>
          <w:szCs w:val="24"/>
        </w:rPr>
      </w:pPr>
    </w:p>
    <w:p w14:paraId="3D768212" w14:textId="77777777" w:rsidR="005217D4" w:rsidRPr="005217D4" w:rsidRDefault="005217D4" w:rsidP="005217D4">
      <w:pPr>
        <w:spacing w:line="360" w:lineRule="auto"/>
        <w:rPr>
          <w:rFonts w:ascii="Arial" w:hAnsi="Arial" w:cs="Arial"/>
          <w:color w:val="000000" w:themeColor="text1"/>
          <w:sz w:val="24"/>
          <w:szCs w:val="24"/>
        </w:rPr>
      </w:pPr>
    </w:p>
    <w:p w14:paraId="0668C363" w14:textId="77777777" w:rsidR="005217D4" w:rsidRPr="005217D4" w:rsidRDefault="005217D4" w:rsidP="005217D4">
      <w:pPr>
        <w:spacing w:line="360" w:lineRule="auto"/>
        <w:rPr>
          <w:rFonts w:ascii="Arial" w:hAnsi="Arial" w:cs="Arial"/>
          <w:color w:val="000000" w:themeColor="text1"/>
          <w:sz w:val="24"/>
          <w:szCs w:val="24"/>
        </w:rPr>
      </w:pPr>
    </w:p>
    <w:p w14:paraId="3DFC9FC6" w14:textId="77777777" w:rsidR="005217D4" w:rsidRPr="005217D4" w:rsidRDefault="005217D4" w:rsidP="005217D4">
      <w:pPr>
        <w:spacing w:line="360" w:lineRule="auto"/>
        <w:rPr>
          <w:rFonts w:ascii="Arial" w:hAnsi="Arial" w:cs="Arial"/>
          <w:color w:val="000000" w:themeColor="text1"/>
          <w:sz w:val="24"/>
          <w:szCs w:val="24"/>
        </w:rPr>
      </w:pPr>
    </w:p>
    <w:p w14:paraId="161C6A7E" w14:textId="77777777" w:rsidR="005217D4" w:rsidRPr="005217D4" w:rsidRDefault="005217D4" w:rsidP="005217D4">
      <w:pPr>
        <w:spacing w:line="360" w:lineRule="auto"/>
        <w:rPr>
          <w:rFonts w:ascii="Arial" w:hAnsi="Arial" w:cs="Arial"/>
          <w:color w:val="000000" w:themeColor="text1"/>
          <w:sz w:val="24"/>
          <w:szCs w:val="24"/>
        </w:rPr>
      </w:pPr>
    </w:p>
    <w:p w14:paraId="142A4DCF" w14:textId="77777777" w:rsidR="005217D4" w:rsidRPr="005217D4" w:rsidRDefault="005217D4" w:rsidP="005217D4">
      <w:pPr>
        <w:spacing w:line="360" w:lineRule="auto"/>
        <w:rPr>
          <w:rFonts w:ascii="Arial" w:hAnsi="Arial" w:cs="Arial"/>
          <w:color w:val="000000" w:themeColor="text1"/>
          <w:sz w:val="24"/>
          <w:szCs w:val="24"/>
        </w:rPr>
      </w:pPr>
    </w:p>
    <w:p w14:paraId="7DF74285" w14:textId="77777777" w:rsidR="005217D4" w:rsidRPr="005217D4" w:rsidRDefault="005217D4" w:rsidP="005217D4">
      <w:pPr>
        <w:spacing w:line="360" w:lineRule="auto"/>
        <w:rPr>
          <w:rFonts w:ascii="Arial" w:hAnsi="Arial" w:cs="Arial"/>
          <w:color w:val="000000" w:themeColor="text1"/>
          <w:sz w:val="24"/>
          <w:szCs w:val="24"/>
        </w:rPr>
      </w:pPr>
    </w:p>
    <w:p w14:paraId="7C1C4E14" w14:textId="2A210823" w:rsidR="005217D4" w:rsidRPr="005217D4" w:rsidRDefault="005217D4" w:rsidP="005217D4">
      <w:pPr>
        <w:spacing w:line="360" w:lineRule="auto"/>
        <w:rPr>
          <w:rFonts w:ascii="Arial" w:hAnsi="Arial" w:cs="Arial"/>
          <w:b/>
          <w:bCs/>
          <w:color w:val="000000" w:themeColor="text1"/>
          <w:sz w:val="24"/>
          <w:szCs w:val="24"/>
          <w:u w:val="single"/>
        </w:rPr>
      </w:pPr>
      <w:r w:rsidRPr="005217D4">
        <w:rPr>
          <w:rFonts w:ascii="Arial" w:hAnsi="Arial" w:cs="Arial"/>
          <w:b/>
          <w:bCs/>
          <w:color w:val="000000" w:themeColor="text1"/>
          <w:sz w:val="24"/>
          <w:szCs w:val="24"/>
          <w:u w:val="single"/>
        </w:rPr>
        <w:lastRenderedPageBreak/>
        <w:t>Section Five:</w:t>
      </w:r>
    </w:p>
    <w:p w14:paraId="64EC6068" w14:textId="77777777" w:rsidR="005217D4" w:rsidRPr="005217D4" w:rsidRDefault="005217D4" w:rsidP="005217D4">
      <w:pPr>
        <w:spacing w:line="360" w:lineRule="auto"/>
        <w:rPr>
          <w:rFonts w:ascii="Arial" w:hAnsi="Arial" w:cs="Arial"/>
          <w:color w:val="000000" w:themeColor="text1"/>
          <w:sz w:val="24"/>
          <w:szCs w:val="24"/>
          <w:u w:val="single"/>
        </w:rPr>
      </w:pPr>
      <w:r w:rsidRPr="005217D4">
        <w:rPr>
          <w:rFonts w:ascii="Arial" w:hAnsi="Arial" w:cs="Arial"/>
          <w:color w:val="000000" w:themeColor="text1"/>
          <w:sz w:val="24"/>
          <w:szCs w:val="24"/>
          <w:u w:val="single"/>
        </w:rPr>
        <w:t>Reflection.</w:t>
      </w:r>
    </w:p>
    <w:p w14:paraId="0F308401"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In recent years, there has been a growing recognition of the importance of providing students with practical experiences in the field of healthcare (Markowski et al.2021). This section aims to provide an overview of the reflection on incorporating health boards as a valuable placement opportunity for students. The significance of this topic will be discussed, followed by an exploration of the benefits and challenges associated with this placement opportunity. Using Graham Gibbs' Reflective Cycle Theory (1988), this essay will reflect on the recent placement opportunity to improve future experiences. The discussion will cover the six stages in Gibbs' Reflective Cycle, exploring the event, feedback from all parties involved, evaluating both positives and negatives, analysing the overall situation, and concluding with key learnings. Finally, the reflection will also include plans for a more streamlined approach in future Health Board placements.</w:t>
      </w:r>
    </w:p>
    <w:p w14:paraId="11B081BF" w14:textId="375A537B"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There are numerous benefits of incorporating the Health Board as a placement opportunity for students. Being in a real healthcare setup helps students learn by </w:t>
      </w:r>
      <w:r w:rsidRPr="005217D4">
        <w:rPr>
          <w:rFonts w:ascii="Arial" w:hAnsi="Arial" w:cs="Arial"/>
          <w:color w:val="000000" w:themeColor="text1"/>
          <w:sz w:val="24"/>
          <w:szCs w:val="24"/>
        </w:rPr>
        <w:t>doing and</w:t>
      </w:r>
      <w:r w:rsidRPr="005217D4">
        <w:rPr>
          <w:rFonts w:ascii="Arial" w:hAnsi="Arial" w:cs="Arial"/>
          <w:color w:val="000000" w:themeColor="text1"/>
          <w:sz w:val="24"/>
          <w:szCs w:val="24"/>
        </w:rPr>
        <w:t xml:space="preserve"> getting hands-on experience. Hands-on experience can be seen to help students retain more information (Cridlin, 2007), and by getting to watch and learn from experienced healthcare professionals, which boosts their practical skills and knowledge (Billings et al.2021). This exposure isn't just about skills, it also gives them a better understanding of how the whole healthcare system works in real life. It's like a more practical and down-to-earth way of learning, getting them ready for what's ahead in the healthcare field. Students may also have the chance to collaborate with other healthcare professionals and gain insights into interprofessional teamwork and communication skills (Sanko et al., 2022).</w:t>
      </w:r>
    </w:p>
    <w:p w14:paraId="1D17D06E" w14:textId="76B89CBE"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Additionally, being placed in a Health Board setting allows students to</w:t>
      </w:r>
      <w:r w:rsidR="006C0237">
        <w:rPr>
          <w:rFonts w:ascii="Arial" w:hAnsi="Arial" w:cs="Arial"/>
          <w:color w:val="000000" w:themeColor="text1"/>
          <w:sz w:val="24"/>
          <w:szCs w:val="24"/>
        </w:rPr>
        <w:t xml:space="preserve"> </w:t>
      </w:r>
      <w:r w:rsidRPr="005217D4">
        <w:rPr>
          <w:rFonts w:ascii="Arial" w:hAnsi="Arial" w:cs="Arial"/>
          <w:color w:val="000000" w:themeColor="text1"/>
          <w:sz w:val="24"/>
          <w:szCs w:val="24"/>
        </w:rPr>
        <w:t xml:space="preserve">contribute to the delivery of quality patient care and make a positive impact on the lives of individuals in the community. Moreover, students can build professional networks and establish valuable connections with healthcare professionals, which can open doors for future employment and career opportunities. Building </w:t>
      </w:r>
      <w:r w:rsidRPr="005217D4">
        <w:rPr>
          <w:rFonts w:ascii="Arial" w:hAnsi="Arial" w:cs="Arial"/>
          <w:color w:val="000000" w:themeColor="text1"/>
          <w:sz w:val="24"/>
          <w:szCs w:val="24"/>
        </w:rPr>
        <w:lastRenderedPageBreak/>
        <w:t>relationships by networking has been seen to have many benefits such as uncovering job opportunities that others cannot, supporting career advancement, exploring different paths and many more (Hamlin, 2022).</w:t>
      </w:r>
      <w:r w:rsidR="006C0237">
        <w:rPr>
          <w:rFonts w:ascii="Arial" w:hAnsi="Arial" w:cs="Arial"/>
          <w:color w:val="000000" w:themeColor="text1"/>
          <w:sz w:val="24"/>
          <w:szCs w:val="24"/>
        </w:rPr>
        <w:t xml:space="preserve"> </w:t>
      </w:r>
      <w:r w:rsidRPr="005217D4">
        <w:rPr>
          <w:rFonts w:ascii="Arial" w:hAnsi="Arial" w:cs="Arial"/>
          <w:color w:val="000000" w:themeColor="text1"/>
          <w:sz w:val="24"/>
          <w:szCs w:val="24"/>
        </w:rPr>
        <w:t>To facilitate student placements within the health board, my first task as a placement officer was to conduct a comprehensive risk assessment. Lele (2012, p.1) states 'It involves identifying the hazards present in any undertaking and then evaluating the extent of the risks involved, taking into account existing precautions'.</w:t>
      </w:r>
    </w:p>
    <w:p w14:paraId="6849E275"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Considering the diverse areas and multiple campuses of the hospital, I opted to consult the college's Health and Safety Officer. Undertaking a comprehensive risk assessment of this magnitude pushed me beyond my usual comfort zone, inducing a sense of nervousness and the acknowledgement of being outside my familiar expertise. It is seen in the Learning Zone Model by Lev Vygotsky (1978) that pushing yourself to step outside of your comfort zone too much can make people panic and feel overwhelmed. To be able to build your confidence it is suggested to work with others (Mind Tools, 2023). Therefore, I briefed the Health and Safety Officer on the situation and sought guidance on effectively conducting health and safety inspections for such a large organization. He was able to offer valuable support and proposed a collaborative approach. We decided to meet with the health board's own health and safety officer. Over several meetings, we provided information about our students' activities during placements, and she, in turn, familiarized us with the various departments our students would be attending, along with the required paperwork. This collaborative effort spanned a year, ensuring both parties had all the necessary information for thorough health and safety checks before placing students. This means that we as a team were making sure all the correct procedures were in place and adjusting anything within the environment that could be detected as a risk to our students, avoiding any dangerous situations (Ynze, 2012).</w:t>
      </w:r>
    </w:p>
    <w:p w14:paraId="27C0CC3C" w14:textId="07BF2DDF"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With all the necessary paperwork finalized and both sides completing the risk assessment, the next step involved collaboration with Susan Jones. In her role within the Health Board, Susan typically facilitates the placement of student nurses to work with our organization and students. Several meetings were conducted with Susan Jones and her team, alongside our team, to outline the </w:t>
      </w:r>
      <w:r w:rsidRPr="005217D4">
        <w:rPr>
          <w:rFonts w:ascii="Arial" w:hAnsi="Arial" w:cs="Arial"/>
          <w:color w:val="000000" w:themeColor="text1"/>
          <w:sz w:val="24"/>
          <w:szCs w:val="24"/>
        </w:rPr>
        <w:lastRenderedPageBreak/>
        <w:t>objectives for our students' placements and to understand the expectations from both parties.</w:t>
      </w:r>
      <w:r w:rsidR="006C0237">
        <w:rPr>
          <w:rFonts w:ascii="Arial" w:hAnsi="Arial" w:cs="Arial"/>
          <w:color w:val="000000" w:themeColor="text1"/>
          <w:sz w:val="24"/>
          <w:szCs w:val="24"/>
        </w:rPr>
        <w:t xml:space="preserve"> </w:t>
      </w:r>
      <w:r w:rsidRPr="005217D4">
        <w:rPr>
          <w:rFonts w:ascii="Arial" w:hAnsi="Arial" w:cs="Arial"/>
          <w:color w:val="000000" w:themeColor="text1"/>
          <w:sz w:val="24"/>
          <w:szCs w:val="24"/>
        </w:rPr>
        <w:t>The conclusive meeting occurred at the conclusion of the academic year when Susan indicated her intention to liaise with various hospital departments to gauge their interest in supporting our students during their nursing shadowing experiences.</w:t>
      </w:r>
    </w:p>
    <w:p w14:paraId="2A67DA50"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Upon returning to work post-summer holidays, our Area Manager informed us that she had communicated with Susan Jones during our absence and secured approval for placing students in different hospital departments. A prompt meeting was arranged to outline the necessary preparations before students could begin their placements. Subsequently, we had one week to prepare for the students' return. From a pool of 120 students, I was able to select 20 students, ensuring they provided the required information, completed occupational health forms, underwent fire safety training, and received individual timetables. With only two weeks before the students commenced their two-week placements after the summer break, this resulted in a significant increase in my workload, putting considerable pressure on me to ensure the accurate completion of all the necessary information. It was a tight schedule, but fortunately, we managed to accomplish all the necessary tasks within the given timeframe.</w:t>
      </w:r>
    </w:p>
    <w:p w14:paraId="79237152" w14:textId="29B13843"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After students finished the first two-week placement within the health board, there was a significant reflection process, as it was a new experience for both the students and us as a team. I took the time to chat with each student to receive feedback on the placement. The feedback was very positive, with students expressing feelings of support, gaining new skills, and, interestingly, some even reconsidering their initial career choices after exploring different departments. They also showed their gratitude for the work that has gone into the opportunity to have a hands-on experience within the health board. Participating in practical, hands-on experiences goes beyond traditional classroom learning, offering students a diverse set of advantages, </w:t>
      </w:r>
      <w:r w:rsidRPr="005217D4">
        <w:rPr>
          <w:rFonts w:ascii="Arial" w:hAnsi="Arial" w:cs="Arial"/>
          <w:color w:val="000000" w:themeColor="text1"/>
          <w:sz w:val="24"/>
          <w:szCs w:val="24"/>
        </w:rPr>
        <w:t>at</w:t>
      </w:r>
      <w:r w:rsidRPr="005217D4">
        <w:rPr>
          <w:rFonts w:ascii="Arial" w:hAnsi="Arial" w:cs="Arial"/>
          <w:color w:val="000000" w:themeColor="text1"/>
          <w:sz w:val="24"/>
          <w:szCs w:val="24"/>
        </w:rPr>
        <w:t xml:space="preserve"> its core is the practical application of theoretical knowledge, allowing students to connect abstract concepts with real-world scenarios (Billings et al., 2021). Students were able to engage in practical activities such as interacting with patients, and observation of various teams of staff, from nurses, doctors, porters, educational staff, and physiotherapists, The students were even able to attend mini surgeries within the radiography department. This helped sharpen students' problem-solving skills, and critical thinking, as well as contributing to the </w:t>
      </w:r>
      <w:r w:rsidRPr="005217D4">
        <w:rPr>
          <w:rFonts w:ascii="Arial" w:hAnsi="Arial" w:cs="Arial"/>
          <w:color w:val="000000" w:themeColor="text1"/>
          <w:sz w:val="24"/>
          <w:szCs w:val="24"/>
        </w:rPr>
        <w:lastRenderedPageBreak/>
        <w:t>development of crucial skills such as teamwork, effective communication, and efficient time management (de Prada Creo et al., 2021).</w:t>
      </w:r>
    </w:p>
    <w:p w14:paraId="49904A92"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While hands-on experience offers numerous advantages for students, it is important to acknowledge potential drawbacks. Certain students found the career they explored not quite fitting for them, which is fair. Within placements students may face challenges with task complexity, encounter unexpected obstacles, or make mistakes, potentially leading to frustration or a decline in confidence (McCloughen et al.2020). Feedback showed that some students felt a bit unsupported and out of place in specific departments Engaging in hands-on experiences can also demand significant time and effort, causing stress, particularly for students managing multiple responsibilities, this is an important reason I make sure students have a mentor within each placement they attend. Research by Quinn (2012) cited from the University of Southampton (2024) has shown that there are many benefits to having a mentor within the workplace including personal development and the well-being of the student. Additionally, a few did not enjoy the experience and would not opt for a similar opportunity again. Recognising the range of opinions and experiences students had during the placement is essential even the negative. Wilson (2021) discusses how negative feedback can help you as a professional analyse the process you took and make a change based on the knowledge you have received. Receiving negative feedback is never pleasant, but it's understood that not all students will share the same perspective. What was disheartening, however, was learning that some students felt they couldn't approach me while on placement. I found this particularly upsetting because I believe I could have potentially improved their experience by addressing their concerns with the health board.</w:t>
      </w:r>
    </w:p>
    <w:p w14:paraId="1DA1D1EC"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 xml:space="preserve">After carefully considering the feedback received, I arranged a meeting with Susan Jones and her team to discuss the feedback given and a priority to me was to remove students who expressed they did not wish to participate in the second block week placement. My primary concern revolves around prioritising the quality of the placement experience each student receives. It is paramount to create an environment where students not only fulfil academic requirements but also find enjoyment in their placements, fostering an atmosphere conducive to gaining new skills and building confidence in their chosen field (Elbes &amp; </w:t>
      </w:r>
      <w:r w:rsidRPr="005217D4">
        <w:rPr>
          <w:rFonts w:ascii="Arial" w:hAnsi="Arial" w:cs="Arial"/>
          <w:color w:val="000000" w:themeColor="text1"/>
          <w:sz w:val="24"/>
          <w:szCs w:val="24"/>
        </w:rPr>
        <w:lastRenderedPageBreak/>
        <w:t xml:space="preserve">Oktaviani, 2022). By addressing and implementing adjustments based on student feedback, the aim is to enhance the overall placement experience, ensuring that it aligns more closely with the individual needs and preferences of the students involved. </w:t>
      </w:r>
    </w:p>
    <w:p w14:paraId="48EC8978"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As students embark on diverse paths, applying to universities for a range of courses, those expressing interest in professions within the health board can benefit significantly. By engaging in different activities during placements, students were able to gain first-hand experience with the day-to-day responsibilities, challenges, and rewards associated with their potential careers within the health board. This practical placement helped them assess if their chosen field aligns with their expectations and aspirations. It guides students in making more informed decisions about their academic and professional paths, refining their career goals based on actual experiences before committing to further studies at the university level (Quinlan &amp; Renninger, 2022)</w:t>
      </w:r>
    </w:p>
    <w:p w14:paraId="23AE7BC8"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t>While the feedback from the health board overall was positive, some students encountered issues like attendance, punctuality, dressing appropriately, and displaying proper behaviour during their placements. As the opportunity was significant, it was disheartening to receive notifications about these behavioural lapses, considering the expectations communicated to students before they commenced their placements. The frequency of such issues led to daily calls from Susan Jones and her team, diverting their attention from more critical matters. I felt a sense of embarrassment in this situation, particularly because these were our second-year Level 3 students. They should have been familiar with the code of conduct from their previous placements. However, my embarrassment was compounded by the realization that I could have done more to emphasize and reinforce these expectations before the placement even began. However, I was able to address each problem by engaging in conversations with the students, reinforcing the established code of conduct for the specific placement over the phone to students. Fortunately, these interventions proved effective, allowing students to acknowledge feedback and continue their placements without further disruptions. (Goldberg  et al., 2019)</w:t>
      </w:r>
    </w:p>
    <w:p w14:paraId="77CF6E63" w14:textId="77777777" w:rsidR="005217D4" w:rsidRPr="005217D4" w:rsidRDefault="005217D4" w:rsidP="005217D4">
      <w:pPr>
        <w:spacing w:line="360" w:lineRule="auto"/>
        <w:rPr>
          <w:rFonts w:ascii="Arial" w:hAnsi="Arial" w:cs="Arial"/>
          <w:color w:val="000000" w:themeColor="text1"/>
          <w:sz w:val="24"/>
          <w:szCs w:val="24"/>
        </w:rPr>
      </w:pPr>
    </w:p>
    <w:p w14:paraId="6BCAB7C9" w14:textId="77777777" w:rsidR="005217D4" w:rsidRPr="005217D4" w:rsidRDefault="005217D4" w:rsidP="005217D4">
      <w:pPr>
        <w:spacing w:line="360" w:lineRule="auto"/>
        <w:rPr>
          <w:rFonts w:ascii="Arial" w:hAnsi="Arial" w:cs="Arial"/>
          <w:color w:val="000000" w:themeColor="text1"/>
          <w:sz w:val="24"/>
          <w:szCs w:val="24"/>
        </w:rPr>
      </w:pPr>
      <w:r w:rsidRPr="005217D4">
        <w:rPr>
          <w:rFonts w:ascii="Arial" w:hAnsi="Arial" w:cs="Arial"/>
          <w:color w:val="000000" w:themeColor="text1"/>
          <w:sz w:val="24"/>
          <w:szCs w:val="24"/>
        </w:rPr>
        <w:lastRenderedPageBreak/>
        <w:t>Upon reflection, discussions with my area manager, Susan Jones, and her team led to the decision to implement a proactive approach. Starting at the end of each academic year, students eligible for this opportunity will be carefully selected. This pre-planning process before the summer break serves multiple purposes. Firstly, it encourages students to thoroughly contemplate whether they genuinely desire this opportunity, avoiding hasty decisions. Secondly, it allows ample time for completing the necessary paperwork, reinforcing the code of conduct, and providing preparatory lessons on presentation and expectations during the placement, including insights into various departments. This strategic approach aims to enhance the overall experience for both students and staff, fostering a more organised and focused placement program.</w:t>
      </w:r>
    </w:p>
    <w:p w14:paraId="638A9DD5" w14:textId="77777777" w:rsidR="005217D4" w:rsidRPr="005217D4" w:rsidRDefault="005217D4" w:rsidP="005217D4">
      <w:pPr>
        <w:spacing w:line="360" w:lineRule="auto"/>
        <w:rPr>
          <w:rFonts w:ascii="Arial" w:hAnsi="Arial" w:cs="Arial"/>
          <w:color w:val="000000" w:themeColor="text1"/>
          <w:sz w:val="24"/>
          <w:szCs w:val="24"/>
        </w:rPr>
      </w:pPr>
      <w:proofErr w:type="gramStart"/>
      <w:r w:rsidRPr="005217D4">
        <w:rPr>
          <w:rFonts w:ascii="Arial" w:hAnsi="Arial" w:cs="Arial"/>
          <w:color w:val="000000" w:themeColor="text1"/>
          <w:sz w:val="24"/>
          <w:szCs w:val="24"/>
        </w:rPr>
        <w:t>On the whole</w:t>
      </w:r>
      <w:proofErr w:type="gramEnd"/>
      <w:r w:rsidRPr="005217D4">
        <w:rPr>
          <w:rFonts w:ascii="Arial" w:hAnsi="Arial" w:cs="Arial"/>
          <w:color w:val="000000" w:themeColor="text1"/>
          <w:sz w:val="24"/>
          <w:szCs w:val="24"/>
        </w:rPr>
        <w:t>, I believe it was a positive experience for the students. However, the additional workload and the tight timeline created immense pressure on me. Not only did I have to ensure the success of the placement for students, but I also had to maintain focus on other responsibilities. Implementing action plans, such as initiating the process before the summer break and developing lessons to clarify expectations for learners, should alleviate the stress of fitting everything in and contribute to a smoother process next time. For future placements, I plan to utilise Gibbs Reflective Cycle again, as it proved beneficial in reflecting on both the positive and negative aspects and formulating conclusions for improvement in the future.</w:t>
      </w:r>
    </w:p>
    <w:p w14:paraId="7839CED1" w14:textId="77777777" w:rsidR="00F47B95" w:rsidRDefault="00F47B95" w:rsidP="00C2336A">
      <w:pPr>
        <w:spacing w:line="360" w:lineRule="auto"/>
        <w:rPr>
          <w:rFonts w:ascii="Arial" w:hAnsi="Arial" w:cs="Arial"/>
          <w:b/>
          <w:bCs/>
          <w:sz w:val="24"/>
          <w:szCs w:val="24"/>
          <w:u w:val="single"/>
        </w:rPr>
      </w:pPr>
    </w:p>
    <w:p w14:paraId="17F65B21" w14:textId="77777777" w:rsidR="005217D4" w:rsidRDefault="005217D4" w:rsidP="00C2336A">
      <w:pPr>
        <w:spacing w:line="360" w:lineRule="auto"/>
        <w:rPr>
          <w:rFonts w:ascii="Arial" w:hAnsi="Arial" w:cs="Arial"/>
          <w:b/>
          <w:bCs/>
          <w:sz w:val="24"/>
          <w:szCs w:val="24"/>
          <w:u w:val="single"/>
        </w:rPr>
      </w:pPr>
    </w:p>
    <w:p w14:paraId="2531EFF3" w14:textId="77777777" w:rsidR="005217D4" w:rsidRDefault="005217D4" w:rsidP="00C2336A">
      <w:pPr>
        <w:spacing w:line="360" w:lineRule="auto"/>
        <w:rPr>
          <w:rFonts w:ascii="Arial" w:hAnsi="Arial" w:cs="Arial"/>
          <w:b/>
          <w:bCs/>
          <w:sz w:val="24"/>
          <w:szCs w:val="24"/>
          <w:u w:val="single"/>
        </w:rPr>
      </w:pPr>
    </w:p>
    <w:p w14:paraId="29FC8205" w14:textId="77777777" w:rsidR="005217D4" w:rsidRDefault="005217D4" w:rsidP="00C2336A">
      <w:pPr>
        <w:spacing w:line="360" w:lineRule="auto"/>
        <w:rPr>
          <w:rFonts w:ascii="Arial" w:hAnsi="Arial" w:cs="Arial"/>
          <w:b/>
          <w:bCs/>
          <w:sz w:val="24"/>
          <w:szCs w:val="24"/>
          <w:u w:val="single"/>
        </w:rPr>
      </w:pPr>
    </w:p>
    <w:p w14:paraId="508239D2" w14:textId="77777777" w:rsidR="005217D4" w:rsidRDefault="005217D4" w:rsidP="00C2336A">
      <w:pPr>
        <w:spacing w:line="360" w:lineRule="auto"/>
        <w:rPr>
          <w:rFonts w:ascii="Arial" w:hAnsi="Arial" w:cs="Arial"/>
          <w:b/>
          <w:bCs/>
          <w:sz w:val="24"/>
          <w:szCs w:val="24"/>
          <w:u w:val="single"/>
        </w:rPr>
      </w:pPr>
    </w:p>
    <w:p w14:paraId="5F43BC8C" w14:textId="57E3E08E" w:rsidR="00C2336A" w:rsidRPr="00C2336A" w:rsidRDefault="00C2336A" w:rsidP="00C2336A">
      <w:pPr>
        <w:spacing w:line="360" w:lineRule="auto"/>
        <w:rPr>
          <w:rFonts w:ascii="Arial" w:hAnsi="Arial" w:cs="Arial"/>
          <w:b/>
          <w:bCs/>
          <w:sz w:val="24"/>
          <w:szCs w:val="24"/>
          <w:u w:val="single"/>
        </w:rPr>
      </w:pPr>
      <w:r w:rsidRPr="00C2336A">
        <w:rPr>
          <w:rFonts w:ascii="Arial" w:hAnsi="Arial" w:cs="Arial"/>
          <w:b/>
          <w:bCs/>
          <w:sz w:val="24"/>
          <w:szCs w:val="24"/>
          <w:u w:val="single"/>
        </w:rPr>
        <w:lastRenderedPageBreak/>
        <w:t>Reference List</w:t>
      </w:r>
    </w:p>
    <w:p w14:paraId="33A25B99" w14:textId="77777777" w:rsidR="00F47B95" w:rsidRPr="00F47B95" w:rsidRDefault="00F47B95" w:rsidP="00F47B95">
      <w:pPr>
        <w:pStyle w:val="NormalWeb"/>
        <w:spacing w:after="0"/>
        <w:rPr>
          <w:color w:val="0E101A"/>
        </w:rPr>
      </w:pPr>
      <w:r w:rsidRPr="00F47B95">
        <w:rPr>
          <w:color w:val="0E101A"/>
        </w:rPr>
        <w:t xml:space="preserve">Billings, J., Ching, B.C.F., Gkofa, V., Greene, T., &amp; Bloomfield, M. (2021). </w:t>
      </w:r>
      <w:r w:rsidRPr="00F47B95">
        <w:rPr>
          <w:i/>
          <w:iCs/>
          <w:color w:val="0E101A"/>
        </w:rPr>
        <w:t>Experiences of frontline healthcare workers and their views about support during COVID-19 and previous pandemics: a systematic review and qualitative meta-synthesis.</w:t>
      </w:r>
      <w:r w:rsidRPr="00F47B95">
        <w:rPr>
          <w:color w:val="0E101A"/>
        </w:rPr>
        <w:t xml:space="preserve"> BMC Health Services Research, 21, 1-17.</w:t>
      </w:r>
    </w:p>
    <w:p w14:paraId="76A0CD47" w14:textId="77777777" w:rsidR="00F47B95" w:rsidRPr="00F47B95" w:rsidRDefault="00F47B95" w:rsidP="00F47B95">
      <w:pPr>
        <w:pStyle w:val="NormalWeb"/>
        <w:spacing w:after="0"/>
        <w:rPr>
          <w:color w:val="0E101A"/>
        </w:rPr>
      </w:pPr>
      <w:r w:rsidRPr="00F47B95">
        <w:rPr>
          <w:color w:val="0E101A"/>
        </w:rPr>
        <w:t xml:space="preserve">Bronfenbrenner, U. (1979). </w:t>
      </w:r>
      <w:r w:rsidRPr="00F47B95">
        <w:rPr>
          <w:i/>
          <w:iCs/>
          <w:color w:val="0E101A"/>
        </w:rPr>
        <w:t>The ecology of human development</w:t>
      </w:r>
      <w:r w:rsidRPr="00F47B95">
        <w:rPr>
          <w:color w:val="0E101A"/>
        </w:rPr>
        <w:t>. Harvard University Press.</w:t>
      </w:r>
    </w:p>
    <w:p w14:paraId="11F00EB0" w14:textId="77777777" w:rsidR="00F47B95" w:rsidRPr="00F47B95" w:rsidRDefault="00F47B95" w:rsidP="00F47B95">
      <w:pPr>
        <w:pStyle w:val="NormalWeb"/>
        <w:spacing w:after="0"/>
        <w:rPr>
          <w:color w:val="0E101A"/>
        </w:rPr>
      </w:pPr>
      <w:r w:rsidRPr="00F47B95">
        <w:rPr>
          <w:color w:val="0E101A"/>
        </w:rPr>
        <w:t xml:space="preserve">Cameron, C., Ashwell, J., Connor, M., Duncan, M., Mackay, W., &amp; Naqvi, J. (2020). </w:t>
      </w:r>
      <w:r w:rsidRPr="00F47B95">
        <w:rPr>
          <w:i/>
          <w:iCs/>
          <w:color w:val="0E101A"/>
        </w:rPr>
        <w:t xml:space="preserve">Managing risks in work-integrated learning programmes: A cross-institutional collaboration. Higher Education, </w:t>
      </w:r>
      <w:proofErr w:type="gramStart"/>
      <w:r w:rsidRPr="00F47B95">
        <w:rPr>
          <w:i/>
          <w:iCs/>
          <w:color w:val="0E101A"/>
        </w:rPr>
        <w:t>Skills</w:t>
      </w:r>
      <w:proofErr w:type="gramEnd"/>
      <w:r w:rsidRPr="00F47B95">
        <w:rPr>
          <w:i/>
          <w:iCs/>
          <w:color w:val="0E101A"/>
        </w:rPr>
        <w:t xml:space="preserve"> and Work-Based Learning</w:t>
      </w:r>
      <w:r w:rsidRPr="00F47B95">
        <w:rPr>
          <w:color w:val="0E101A"/>
        </w:rPr>
        <w:t>, 10(2), 325-338.</w:t>
      </w:r>
    </w:p>
    <w:p w14:paraId="41702D03" w14:textId="77777777" w:rsidR="00F47B95" w:rsidRPr="00F47B95" w:rsidRDefault="00F47B95" w:rsidP="00F47B95">
      <w:pPr>
        <w:pStyle w:val="NormalWeb"/>
        <w:spacing w:after="0"/>
        <w:rPr>
          <w:color w:val="0E101A"/>
        </w:rPr>
      </w:pPr>
      <w:r w:rsidRPr="00F47B95">
        <w:rPr>
          <w:color w:val="0E101A"/>
        </w:rPr>
        <w:t xml:space="preserve">Chawłowska, E., Staszewski, R., Lipiak, A., Giernaś, B., Karasiewicz, M., Bazan, D., Nowosadko, M., Cofta, M., &amp; Wysocki, J. (2021). </w:t>
      </w:r>
      <w:r w:rsidRPr="00F47B95">
        <w:rPr>
          <w:i/>
          <w:iCs/>
          <w:color w:val="0E101A"/>
        </w:rPr>
        <w:t>Student volunteering as a solution for undergraduate health professions education: lessons from the COVID-19 pandemic.</w:t>
      </w:r>
      <w:r w:rsidRPr="00F47B95">
        <w:rPr>
          <w:color w:val="0E101A"/>
        </w:rPr>
        <w:t xml:space="preserve"> Frontiers in Public Health, 8, 633888.</w:t>
      </w:r>
    </w:p>
    <w:p w14:paraId="077B92FA" w14:textId="77777777" w:rsidR="00F47B95" w:rsidRPr="00F47B95" w:rsidRDefault="00F47B95" w:rsidP="00F47B95">
      <w:pPr>
        <w:pStyle w:val="NormalWeb"/>
        <w:spacing w:after="0"/>
        <w:rPr>
          <w:color w:val="0E101A"/>
        </w:rPr>
      </w:pPr>
      <w:r w:rsidRPr="00F47B95">
        <w:rPr>
          <w:color w:val="0E101A"/>
        </w:rPr>
        <w:t xml:space="preserve">Chen, G., Oubibi, M., Liang, A., &amp; Zhou, Y. (2022). </w:t>
      </w:r>
      <w:r w:rsidRPr="00F47B95">
        <w:rPr>
          <w:i/>
          <w:iCs/>
          <w:color w:val="0E101A"/>
        </w:rPr>
        <w:t>Parents’ educational anxiety under the “double reduction” policy based on the family and students’ personal factors. Psychology Research and Behavior Management</w:t>
      </w:r>
      <w:r w:rsidRPr="00F47B95">
        <w:rPr>
          <w:color w:val="0E101A"/>
        </w:rPr>
        <w:t>, 2067-2082.</w:t>
      </w:r>
    </w:p>
    <w:p w14:paraId="2AC22DDB" w14:textId="77777777" w:rsidR="00F47B95" w:rsidRPr="00F47B95" w:rsidRDefault="00F47B95" w:rsidP="00F47B95">
      <w:pPr>
        <w:pStyle w:val="NormalWeb"/>
        <w:spacing w:after="0"/>
        <w:rPr>
          <w:color w:val="0E101A"/>
        </w:rPr>
      </w:pPr>
      <w:r w:rsidRPr="00F47B95">
        <w:rPr>
          <w:color w:val="0E101A"/>
        </w:rPr>
        <w:t xml:space="preserve">Copeland, W.E., McGinnis, E., Bai, Y., Adams, Z., Nardone, H., Devadanam, V., Rettew, J., &amp; Hudziak, J.J. (2021). </w:t>
      </w:r>
      <w:r w:rsidRPr="00F47B95">
        <w:rPr>
          <w:i/>
          <w:iCs/>
          <w:color w:val="0E101A"/>
        </w:rPr>
        <w:t xml:space="preserve">Impact of COVID-19 pandemic on college student mental health and wellness. </w:t>
      </w:r>
      <w:r w:rsidRPr="00F47B95">
        <w:rPr>
          <w:color w:val="0E101A"/>
        </w:rPr>
        <w:t>Journal of the American Academy of Child &amp; Adolescent Psychiatry, 60(1), 134-141.</w:t>
      </w:r>
    </w:p>
    <w:p w14:paraId="7665E466" w14:textId="77777777" w:rsidR="00F47B95" w:rsidRPr="00F47B95" w:rsidRDefault="00F47B95" w:rsidP="00F47B95">
      <w:pPr>
        <w:pStyle w:val="NormalWeb"/>
        <w:spacing w:after="0"/>
        <w:rPr>
          <w:color w:val="0E101A"/>
        </w:rPr>
      </w:pPr>
      <w:r w:rsidRPr="00F47B95">
        <w:rPr>
          <w:color w:val="0E101A"/>
        </w:rPr>
        <w:t xml:space="preserve">Cridlin, Leah. (2007). </w:t>
      </w:r>
      <w:r w:rsidRPr="00F47B95">
        <w:rPr>
          <w:i/>
          <w:iCs/>
          <w:color w:val="0E101A"/>
        </w:rPr>
        <w:t>The importance of hands-on learning.</w:t>
      </w:r>
      <w:r w:rsidRPr="00F47B95">
        <w:rPr>
          <w:color w:val="0E101A"/>
        </w:rPr>
        <w:t xml:space="preserve"> International Laser Safety Conference, 151-156.</w:t>
      </w:r>
    </w:p>
    <w:p w14:paraId="3DF825F3" w14:textId="77777777" w:rsidR="00F47B95" w:rsidRPr="00F47B95" w:rsidRDefault="00F47B95" w:rsidP="00F47B95">
      <w:pPr>
        <w:pStyle w:val="NormalWeb"/>
        <w:spacing w:after="0"/>
        <w:rPr>
          <w:color w:val="0E101A"/>
        </w:rPr>
      </w:pPr>
      <w:r w:rsidRPr="00F47B95">
        <w:rPr>
          <w:color w:val="0E101A"/>
        </w:rPr>
        <w:t xml:space="preserve">Dolson, J. M., &amp; Deemer, E. D. (2022). </w:t>
      </w:r>
      <w:r w:rsidRPr="00F47B95">
        <w:rPr>
          <w:i/>
          <w:iCs/>
          <w:color w:val="0E101A"/>
        </w:rPr>
        <w:t>The relationship between perceived discrimination and school/work–family conflict among graduate student-parents</w:t>
      </w:r>
      <w:r w:rsidRPr="00F47B95">
        <w:rPr>
          <w:color w:val="0E101A"/>
        </w:rPr>
        <w:t>. Journal of Career Development: Sage Publishing.</w:t>
      </w:r>
    </w:p>
    <w:p w14:paraId="73D4AFB8" w14:textId="2B6235DC" w:rsidR="00F47B95" w:rsidRPr="00F47B95" w:rsidRDefault="00F47B95" w:rsidP="00F47B95">
      <w:pPr>
        <w:pStyle w:val="NormalWeb"/>
        <w:spacing w:after="0"/>
        <w:rPr>
          <w:color w:val="0E101A"/>
        </w:rPr>
      </w:pPr>
      <w:r w:rsidRPr="00F47B95">
        <w:rPr>
          <w:color w:val="0E101A"/>
        </w:rPr>
        <w:t>Elbes, E.K., &amp; Oktaviani, L. (2022). C</w:t>
      </w:r>
      <w:r w:rsidRPr="00F47B95">
        <w:rPr>
          <w:i/>
          <w:iCs/>
          <w:color w:val="0E101A"/>
          <w:sz w:val="22"/>
          <w:szCs w:val="22"/>
        </w:rPr>
        <w:t xml:space="preserve">haracter building in English for daily conversation class materials for English education freshmen students. </w:t>
      </w:r>
      <w:r w:rsidRPr="00F47B95">
        <w:rPr>
          <w:color w:val="0E101A"/>
        </w:rPr>
        <w:t>Journal of English Language Teaching and Learning, 3(1), 36-45.</w:t>
      </w:r>
    </w:p>
    <w:p w14:paraId="3DE031D9" w14:textId="41661AE2" w:rsidR="00F47B95" w:rsidRDefault="00F47B95" w:rsidP="00F47B95">
      <w:pPr>
        <w:pStyle w:val="NormalWeb"/>
        <w:spacing w:before="0" w:beforeAutospacing="0" w:after="0" w:afterAutospacing="0"/>
        <w:rPr>
          <w:color w:val="0E101A"/>
        </w:rPr>
      </w:pPr>
      <w:r w:rsidRPr="00F47B95">
        <w:rPr>
          <w:color w:val="0E101A"/>
        </w:rPr>
        <w:t xml:space="preserve">Ferreira, M., Martinsone, B., &amp; Talić, S. (2020). </w:t>
      </w:r>
      <w:r w:rsidRPr="00F47B95">
        <w:rPr>
          <w:i/>
          <w:iCs/>
          <w:color w:val="0E101A"/>
        </w:rPr>
        <w:t>Promoting sustainable social emotional learning at school through relationship-centered learning environment, teaching methods and formative assessment</w:t>
      </w:r>
      <w:r w:rsidRPr="00F47B95">
        <w:rPr>
          <w:color w:val="0E101A"/>
        </w:rPr>
        <w:t>. Journal of Teacher Education for Sustainability, 22(1), 21-36.</w:t>
      </w:r>
    </w:p>
    <w:p w14:paraId="559C6BF1" w14:textId="77777777" w:rsidR="00F47B95" w:rsidRDefault="00F47B95" w:rsidP="00F47B95">
      <w:pPr>
        <w:pStyle w:val="NormalWeb"/>
        <w:spacing w:before="0" w:beforeAutospacing="0" w:after="0" w:afterAutospacing="0"/>
        <w:rPr>
          <w:color w:val="0E101A"/>
        </w:rPr>
      </w:pPr>
    </w:p>
    <w:p w14:paraId="1F1B2B9F" w14:textId="77777777" w:rsidR="00F47B95" w:rsidRDefault="00F47B95" w:rsidP="00F47B95">
      <w:pPr>
        <w:pStyle w:val="NormalWeb"/>
        <w:spacing w:before="0" w:beforeAutospacing="0" w:after="0" w:afterAutospacing="0"/>
        <w:rPr>
          <w:color w:val="0E101A"/>
        </w:rPr>
      </w:pPr>
      <w:r>
        <w:rPr>
          <w:color w:val="0E101A"/>
        </w:rPr>
        <w:lastRenderedPageBreak/>
        <w:t xml:space="preserve">Gibbs, G. (1988). </w:t>
      </w:r>
      <w:r w:rsidRPr="00F47B95">
        <w:rPr>
          <w:i/>
          <w:iCs/>
          <w:color w:val="0E101A"/>
        </w:rPr>
        <w:t>Learning by doing: A guide to teaching and learning methods</w:t>
      </w:r>
      <w:r>
        <w:rPr>
          <w:color w:val="0E101A"/>
        </w:rPr>
        <w:t>. Further Education Unit.</w:t>
      </w:r>
    </w:p>
    <w:p w14:paraId="68F43F1F" w14:textId="77777777" w:rsidR="00F47B95" w:rsidRDefault="00F47B95" w:rsidP="00F47B95">
      <w:pPr>
        <w:pStyle w:val="NormalWeb"/>
        <w:spacing w:before="0" w:beforeAutospacing="0" w:after="0" w:afterAutospacing="0"/>
        <w:rPr>
          <w:color w:val="0E101A"/>
        </w:rPr>
      </w:pPr>
    </w:p>
    <w:p w14:paraId="70653CDD" w14:textId="77777777" w:rsidR="00F47B95" w:rsidRDefault="00F47B95" w:rsidP="00F47B95">
      <w:pPr>
        <w:pStyle w:val="NormalWeb"/>
        <w:spacing w:before="0" w:beforeAutospacing="0" w:after="0" w:afterAutospacing="0"/>
        <w:rPr>
          <w:color w:val="0E101A"/>
        </w:rPr>
      </w:pPr>
      <w:r>
        <w:rPr>
          <w:color w:val="0E101A"/>
        </w:rPr>
        <w:t xml:space="preserve">Goldberg, J.M., Sklad, M., Elfrink, T.R., et al. (2019). </w:t>
      </w:r>
      <w:r w:rsidRPr="00F47B95">
        <w:rPr>
          <w:i/>
          <w:iCs/>
          <w:color w:val="0E101A"/>
        </w:rPr>
        <w:t>Effectiveness of interventions adopting a whole school approach to enhancing social and emotional development: a meta-analysis</w:t>
      </w:r>
      <w:r>
        <w:rPr>
          <w:color w:val="0E101A"/>
        </w:rPr>
        <w:t>. European Journal of Psychology of Education, 34, 755–782. </w:t>
      </w:r>
      <w:hyperlink r:id="rId7" w:tgtFrame="_blank" w:history="1">
        <w:r>
          <w:rPr>
            <w:rStyle w:val="Hyperlink"/>
            <w:rFonts w:eastAsiaTheme="majorEastAsia"/>
            <w:color w:val="4A6EE0"/>
          </w:rPr>
          <w:t>https://doi.org/10.1007/s10212-018-0406-9</w:t>
        </w:r>
      </w:hyperlink>
    </w:p>
    <w:p w14:paraId="45E181DB" w14:textId="77777777" w:rsidR="00F47B95" w:rsidRDefault="00F47B95" w:rsidP="00F47B95">
      <w:pPr>
        <w:pStyle w:val="NormalWeb"/>
        <w:spacing w:before="0" w:beforeAutospacing="0" w:after="0" w:afterAutospacing="0"/>
        <w:rPr>
          <w:color w:val="0E101A"/>
        </w:rPr>
      </w:pPr>
    </w:p>
    <w:p w14:paraId="76DCDCC6" w14:textId="77777777" w:rsidR="00F47B95" w:rsidRDefault="00F47B95" w:rsidP="00F47B95">
      <w:pPr>
        <w:pStyle w:val="NormalWeb"/>
        <w:spacing w:before="0" w:beforeAutospacing="0" w:after="0" w:afterAutospacing="0"/>
        <w:rPr>
          <w:color w:val="0E101A"/>
        </w:rPr>
      </w:pPr>
      <w:r>
        <w:rPr>
          <w:color w:val="0E101A"/>
        </w:rPr>
        <w:t xml:space="preserve">Harper, C.E., Zhu, H., &amp; Marquez Kiyama, J. (2020). </w:t>
      </w:r>
      <w:r w:rsidRPr="00F47B95">
        <w:rPr>
          <w:i/>
          <w:iCs/>
          <w:color w:val="0E101A"/>
        </w:rPr>
        <w:t>Parents and families of first-generation college students experience their own college transition.</w:t>
      </w:r>
      <w:r>
        <w:rPr>
          <w:color w:val="0E101A"/>
        </w:rPr>
        <w:t xml:space="preserve"> The Journal of Higher Education, 91(4), 540-564.</w:t>
      </w:r>
    </w:p>
    <w:p w14:paraId="5D2C6E08" w14:textId="77777777" w:rsidR="00F47B95" w:rsidRDefault="00F47B95" w:rsidP="00F47B95">
      <w:pPr>
        <w:pStyle w:val="NormalWeb"/>
        <w:spacing w:before="0" w:beforeAutospacing="0" w:after="0" w:afterAutospacing="0"/>
        <w:rPr>
          <w:color w:val="0E101A"/>
        </w:rPr>
      </w:pPr>
    </w:p>
    <w:p w14:paraId="120E86C0" w14:textId="77777777" w:rsidR="00F47B95" w:rsidRDefault="00F47B95" w:rsidP="00F47B95">
      <w:pPr>
        <w:pStyle w:val="NormalWeb"/>
        <w:spacing w:before="0" w:beforeAutospacing="0" w:after="0" w:afterAutospacing="0"/>
        <w:rPr>
          <w:color w:val="0E101A"/>
        </w:rPr>
      </w:pPr>
      <w:r>
        <w:rPr>
          <w:color w:val="0E101A"/>
        </w:rPr>
        <w:t xml:space="preserve">Irwin, L. (2022) </w:t>
      </w:r>
      <w:r w:rsidRPr="00F47B95">
        <w:rPr>
          <w:i/>
          <w:iCs/>
          <w:color w:val="0E101A"/>
        </w:rPr>
        <w:t>'A Quick Guide to the GDPR for Schools and Colleges</w:t>
      </w:r>
      <w:r>
        <w:rPr>
          <w:color w:val="0E101A"/>
        </w:rPr>
        <w:t>.' Available at: </w:t>
      </w:r>
      <w:hyperlink r:id="rId8" w:tgtFrame="_blank" w:history="1">
        <w:r>
          <w:rPr>
            <w:rStyle w:val="Hyperlink"/>
            <w:rFonts w:eastAsiaTheme="majorEastAsia"/>
            <w:color w:val="4A6EE0"/>
          </w:rPr>
          <w:t>https://www.gdpr.co.uk/blog/a-quick-guide-to-gdpr-for-schools-and-colleges</w:t>
        </w:r>
      </w:hyperlink>
      <w:r>
        <w:rPr>
          <w:color w:val="0E101A"/>
        </w:rPr>
        <w:t> (Accessed: 13/01/2024).</w:t>
      </w:r>
    </w:p>
    <w:p w14:paraId="57DD2EDD" w14:textId="77777777" w:rsidR="00F47B95" w:rsidRDefault="00F47B95" w:rsidP="00F47B95">
      <w:pPr>
        <w:pStyle w:val="NormalWeb"/>
        <w:spacing w:before="0" w:beforeAutospacing="0" w:after="0" w:afterAutospacing="0"/>
        <w:rPr>
          <w:color w:val="0E101A"/>
        </w:rPr>
      </w:pPr>
    </w:p>
    <w:p w14:paraId="5254401A" w14:textId="77777777" w:rsidR="00F47B95" w:rsidRDefault="00F47B95" w:rsidP="00F47B95">
      <w:pPr>
        <w:pStyle w:val="NormalWeb"/>
        <w:spacing w:before="0" w:beforeAutospacing="0" w:after="0" w:afterAutospacing="0"/>
        <w:rPr>
          <w:color w:val="0E101A"/>
        </w:rPr>
      </w:pPr>
      <w:r>
        <w:rPr>
          <w:color w:val="0E101A"/>
        </w:rPr>
        <w:t xml:space="preserve">Jill Sanko, Mary Mckay, Ilya Shekhter, Ivette Motola, David J. Birnbach (2020). </w:t>
      </w:r>
      <w:r w:rsidRPr="00F47B95">
        <w:rPr>
          <w:i/>
          <w:iCs/>
          <w:color w:val="0E101A"/>
        </w:rPr>
        <w:t>What participants learn, with, from and about each other during inter-professional education encounters: A qualitative analysis</w:t>
      </w:r>
      <w:r>
        <w:rPr>
          <w:color w:val="0E101A"/>
        </w:rPr>
        <w:t>. Nurse Education Today, 88, 104386. </w:t>
      </w:r>
      <w:hyperlink r:id="rId9" w:tgtFrame="_blank" w:history="1">
        <w:r>
          <w:rPr>
            <w:rStyle w:val="Hyperlink"/>
            <w:rFonts w:eastAsiaTheme="majorEastAsia"/>
            <w:color w:val="4A6EE0"/>
          </w:rPr>
          <w:t>https://doi.org/10.1016/j.nedt.2020.104386</w:t>
        </w:r>
      </w:hyperlink>
      <w:r>
        <w:rPr>
          <w:color w:val="0E101A"/>
        </w:rPr>
        <w:t>.</w:t>
      </w:r>
    </w:p>
    <w:p w14:paraId="2B0CA739" w14:textId="77777777" w:rsidR="00F47B95" w:rsidRDefault="00F47B95" w:rsidP="00F47B95">
      <w:pPr>
        <w:pStyle w:val="NormalWeb"/>
        <w:spacing w:before="0" w:beforeAutospacing="0" w:after="0" w:afterAutospacing="0"/>
        <w:rPr>
          <w:color w:val="0E101A"/>
        </w:rPr>
      </w:pPr>
    </w:p>
    <w:p w14:paraId="052C02CF" w14:textId="77777777" w:rsidR="00F47B95" w:rsidRDefault="00F47B95" w:rsidP="00F47B95">
      <w:pPr>
        <w:pStyle w:val="NormalWeb"/>
        <w:spacing w:before="0" w:beforeAutospacing="0" w:after="0" w:afterAutospacing="0"/>
        <w:rPr>
          <w:color w:val="0E101A"/>
        </w:rPr>
      </w:pPr>
      <w:r>
        <w:rPr>
          <w:color w:val="0E101A"/>
        </w:rPr>
        <w:t>Karanikas, N. &amp; Hasan, S. M. T. (2022</w:t>
      </w:r>
      <w:r w:rsidRPr="00F47B95">
        <w:rPr>
          <w:i/>
          <w:iCs/>
          <w:color w:val="0E101A"/>
        </w:rPr>
        <w:t>). Occupational Health &amp; Safety and other worker wellbeing areas</w:t>
      </w:r>
      <w:r>
        <w:rPr>
          <w:color w:val="0E101A"/>
        </w:rPr>
        <w:t>: Results from labour inspections in the Bangladesh textile industry. Safety Science.</w:t>
      </w:r>
    </w:p>
    <w:p w14:paraId="026842D3" w14:textId="77777777" w:rsidR="00F47B95" w:rsidRDefault="00F47B95" w:rsidP="00F47B95">
      <w:pPr>
        <w:pStyle w:val="NormalWeb"/>
        <w:spacing w:before="0" w:beforeAutospacing="0" w:after="0" w:afterAutospacing="0"/>
        <w:rPr>
          <w:color w:val="0E101A"/>
        </w:rPr>
      </w:pPr>
    </w:p>
    <w:p w14:paraId="04747F1E" w14:textId="6FA84651" w:rsidR="00F47B95" w:rsidRDefault="00F47B95" w:rsidP="00F47B95">
      <w:pPr>
        <w:pStyle w:val="NormalWeb"/>
        <w:spacing w:before="0" w:beforeAutospacing="0" w:after="0" w:afterAutospacing="0"/>
        <w:rPr>
          <w:color w:val="0E101A"/>
        </w:rPr>
      </w:pPr>
      <w:r>
        <w:rPr>
          <w:color w:val="0E101A"/>
        </w:rPr>
        <w:t xml:space="preserve">Lele DV. (2012). </w:t>
      </w:r>
      <w:r w:rsidRPr="00F47B95">
        <w:rPr>
          <w:i/>
          <w:iCs/>
          <w:color w:val="0E101A"/>
        </w:rPr>
        <w:t>Risk assessment: A neglected tool for health, safety, and environment management</w:t>
      </w:r>
      <w:r>
        <w:rPr>
          <w:color w:val="0E101A"/>
        </w:rPr>
        <w:t xml:space="preserve">. Indian Journal of Occupational and Environmental Medicine, 16(2), 57-58. </w:t>
      </w:r>
      <w:hyperlink r:id="rId10" w:history="1">
        <w:r w:rsidRPr="001759AB">
          <w:rPr>
            <w:rStyle w:val="Hyperlink"/>
          </w:rPr>
          <w:t>https://doi.org/10.4103/0019-5278.107064</w:t>
        </w:r>
      </w:hyperlink>
    </w:p>
    <w:p w14:paraId="269C32AE" w14:textId="77777777" w:rsidR="00F47B95" w:rsidRDefault="00F47B95" w:rsidP="00F47B95">
      <w:pPr>
        <w:pStyle w:val="NormalWeb"/>
        <w:spacing w:before="0" w:beforeAutospacing="0" w:after="0" w:afterAutospacing="0"/>
        <w:rPr>
          <w:color w:val="0E101A"/>
        </w:rPr>
      </w:pPr>
    </w:p>
    <w:p w14:paraId="043D530E" w14:textId="77777777" w:rsidR="00F47B95" w:rsidRDefault="00F47B95" w:rsidP="00F47B95">
      <w:pPr>
        <w:pStyle w:val="NormalWeb"/>
        <w:spacing w:before="0" w:beforeAutospacing="0" w:after="0" w:afterAutospacing="0"/>
        <w:rPr>
          <w:color w:val="0E101A"/>
        </w:rPr>
      </w:pPr>
      <w:r>
        <w:rPr>
          <w:color w:val="0E101A"/>
        </w:rPr>
        <w:t>Markowski, M., Bower, H., Essex, R., &amp; Yearley, C. (2021</w:t>
      </w:r>
      <w:r w:rsidRPr="00F47B95">
        <w:rPr>
          <w:i/>
          <w:iCs/>
          <w:color w:val="0E101A"/>
        </w:rPr>
        <w:t>). Peer learning and collaborative placement models in health care: a systematic review and qualitative synthesis of the literature</w:t>
      </w:r>
      <w:r>
        <w:rPr>
          <w:color w:val="0E101A"/>
        </w:rPr>
        <w:t>. Journal of Clinical Nursing, 30(11-12), 1519-1541.</w:t>
      </w:r>
    </w:p>
    <w:p w14:paraId="344DE111" w14:textId="77777777" w:rsidR="00F47B95" w:rsidRDefault="00F47B95" w:rsidP="00F47B95">
      <w:pPr>
        <w:pStyle w:val="NormalWeb"/>
        <w:spacing w:before="0" w:beforeAutospacing="0" w:after="0" w:afterAutospacing="0"/>
        <w:rPr>
          <w:color w:val="0E101A"/>
        </w:rPr>
      </w:pPr>
    </w:p>
    <w:p w14:paraId="3FA7F98E" w14:textId="77777777" w:rsidR="00F47B95" w:rsidRDefault="00F47B95" w:rsidP="00F47B95">
      <w:pPr>
        <w:pStyle w:val="NormalWeb"/>
        <w:spacing w:before="0" w:beforeAutospacing="0" w:after="0" w:afterAutospacing="0"/>
        <w:rPr>
          <w:color w:val="0E101A"/>
        </w:rPr>
      </w:pPr>
      <w:r>
        <w:rPr>
          <w:color w:val="0E101A"/>
        </w:rPr>
        <w:t xml:space="preserve">Martin, J.P., Stefl, S.K., Cain, L.W., &amp; Pfirman, A.L. (2020). </w:t>
      </w:r>
      <w:r w:rsidRPr="00F47B95">
        <w:rPr>
          <w:i/>
          <w:iCs/>
          <w:color w:val="0E101A"/>
        </w:rPr>
        <w:t>Understanding first-generation undergraduate engineering students’ entry and persistence through social capital theory</w:t>
      </w:r>
      <w:r>
        <w:rPr>
          <w:color w:val="0E101A"/>
        </w:rPr>
        <w:t>. International Journal of STEM Education, 7(1), 1-22.</w:t>
      </w:r>
    </w:p>
    <w:p w14:paraId="376FE2A1" w14:textId="77777777" w:rsidR="00F47B95" w:rsidRDefault="00F47B95" w:rsidP="00F47B95">
      <w:pPr>
        <w:pStyle w:val="NormalWeb"/>
        <w:spacing w:before="0" w:beforeAutospacing="0" w:after="0" w:afterAutospacing="0"/>
        <w:rPr>
          <w:color w:val="0E101A"/>
        </w:rPr>
      </w:pPr>
    </w:p>
    <w:p w14:paraId="2A1DA2A4" w14:textId="13855292" w:rsidR="00F47B95" w:rsidRDefault="00F47B95" w:rsidP="00F47B95">
      <w:pPr>
        <w:pStyle w:val="NormalWeb"/>
        <w:spacing w:before="0" w:beforeAutospacing="0" w:after="0" w:afterAutospacing="0"/>
        <w:rPr>
          <w:color w:val="0E101A"/>
        </w:rPr>
      </w:pPr>
      <w:r>
        <w:rPr>
          <w:color w:val="0E101A"/>
        </w:rPr>
        <w:t xml:space="preserve">McCallen, L.S., &amp; Johnson, H.L. (2020). </w:t>
      </w:r>
      <w:r w:rsidRPr="00F47B95">
        <w:rPr>
          <w:i/>
          <w:iCs/>
          <w:color w:val="0E101A"/>
        </w:rPr>
        <w:t>The role of institutional agents in promoting higher education success among first-generation college students at a public urban university</w:t>
      </w:r>
      <w:r>
        <w:rPr>
          <w:color w:val="0E101A"/>
        </w:rPr>
        <w:t xml:space="preserve">. Journal of Diversity in Higher Education, 13(4), 320. </w:t>
      </w:r>
    </w:p>
    <w:p w14:paraId="07CBA089" w14:textId="77777777" w:rsidR="00F47B95" w:rsidRDefault="00F47B95" w:rsidP="00F47B95">
      <w:pPr>
        <w:pStyle w:val="NormalWeb"/>
        <w:spacing w:before="0" w:beforeAutospacing="0" w:after="0" w:afterAutospacing="0"/>
        <w:rPr>
          <w:color w:val="0E101A"/>
        </w:rPr>
      </w:pPr>
    </w:p>
    <w:p w14:paraId="4DF53030" w14:textId="77777777" w:rsidR="00F47B95" w:rsidRDefault="00F47B95" w:rsidP="00F47B95">
      <w:pPr>
        <w:pStyle w:val="NormalWeb"/>
        <w:spacing w:before="0" w:beforeAutospacing="0" w:after="0" w:afterAutospacing="0"/>
        <w:rPr>
          <w:color w:val="0E101A"/>
        </w:rPr>
      </w:pPr>
      <w:r>
        <w:rPr>
          <w:color w:val="0E101A"/>
        </w:rPr>
        <w:lastRenderedPageBreak/>
        <w:t xml:space="preserve">McCloughen, A., Levy, D., Johnson, A., Nguyen, H., &amp; McKenzie, H. (2020). </w:t>
      </w:r>
      <w:r w:rsidRPr="00F47B95">
        <w:rPr>
          <w:i/>
          <w:iCs/>
          <w:color w:val="0E101A"/>
        </w:rPr>
        <w:t>Nursing students’ socialisation to emotion management during early clinical placement experiences: A qualitative study</w:t>
      </w:r>
      <w:r>
        <w:rPr>
          <w:color w:val="0E101A"/>
        </w:rPr>
        <w:t>. Journal of Clinical Nursing, 29(13-14), 2508-2520.</w:t>
      </w:r>
    </w:p>
    <w:p w14:paraId="2AB8E1E9" w14:textId="77777777" w:rsidR="00F47B95" w:rsidRDefault="00F47B95" w:rsidP="00F47B95">
      <w:pPr>
        <w:pStyle w:val="NormalWeb"/>
        <w:spacing w:before="0" w:beforeAutospacing="0" w:after="0" w:afterAutospacing="0"/>
        <w:rPr>
          <w:color w:val="0E101A"/>
        </w:rPr>
      </w:pPr>
    </w:p>
    <w:p w14:paraId="0AA0B0CF" w14:textId="77777777" w:rsidR="00F47B95" w:rsidRDefault="00F47B95" w:rsidP="00F47B95">
      <w:pPr>
        <w:pStyle w:val="NormalWeb"/>
        <w:spacing w:before="0" w:beforeAutospacing="0" w:after="0" w:afterAutospacing="0"/>
        <w:rPr>
          <w:color w:val="0E101A"/>
        </w:rPr>
      </w:pPr>
      <w:r>
        <w:rPr>
          <w:color w:val="0E101A"/>
        </w:rPr>
        <w:t xml:space="preserve">Mind Tools. (2023). </w:t>
      </w:r>
      <w:r w:rsidRPr="00F47B95">
        <w:rPr>
          <w:i/>
          <w:iCs/>
          <w:color w:val="0E101A"/>
        </w:rPr>
        <w:t>The Learning Zone Model</w:t>
      </w:r>
      <w:r>
        <w:rPr>
          <w:color w:val="0E101A"/>
        </w:rPr>
        <w:t>. Available at: </w:t>
      </w:r>
      <w:hyperlink r:id="rId11" w:tgtFrame="_blank" w:history="1">
        <w:r>
          <w:rPr>
            <w:rStyle w:val="Hyperlink"/>
            <w:rFonts w:eastAsiaTheme="majorEastAsia"/>
            <w:color w:val="4A6EE0"/>
          </w:rPr>
          <w:t>https://www.mindtools.com/a0bop9z/the-learning-zone-model</w:t>
        </w:r>
      </w:hyperlink>
      <w:r>
        <w:rPr>
          <w:color w:val="0E101A"/>
        </w:rPr>
        <w:t> (Accessed: 13/01/2024).</w:t>
      </w:r>
    </w:p>
    <w:p w14:paraId="3D798FE5" w14:textId="77777777" w:rsidR="00F47B95" w:rsidRDefault="00F47B95" w:rsidP="00F47B95">
      <w:pPr>
        <w:pStyle w:val="NormalWeb"/>
        <w:spacing w:before="0" w:beforeAutospacing="0" w:after="0" w:afterAutospacing="0"/>
        <w:rPr>
          <w:color w:val="0E101A"/>
        </w:rPr>
      </w:pPr>
    </w:p>
    <w:p w14:paraId="51ABB8DC" w14:textId="77777777" w:rsidR="00F47B95" w:rsidRDefault="00F47B95" w:rsidP="00F47B95">
      <w:pPr>
        <w:pStyle w:val="NormalWeb"/>
        <w:spacing w:before="0" w:beforeAutospacing="0" w:after="0" w:afterAutospacing="0"/>
        <w:rPr>
          <w:color w:val="0E101A"/>
        </w:rPr>
      </w:pPr>
      <w:r>
        <w:rPr>
          <w:color w:val="0E101A"/>
        </w:rPr>
        <w:t xml:space="preserve">Nelson Laird, T. F. (2010). </w:t>
      </w:r>
      <w:r w:rsidRPr="00F47B95">
        <w:rPr>
          <w:i/>
          <w:iCs/>
          <w:color w:val="0E101A"/>
        </w:rPr>
        <w:t>Measuring the Diversity Inclusivity of College Courses.</w:t>
      </w:r>
      <w:r>
        <w:rPr>
          <w:color w:val="0E101A"/>
        </w:rPr>
        <w:t xml:space="preserve"> Research in Higher Education, 52(5), 572–588. DOI: 10.1007/s11162-010-9210-3</w:t>
      </w:r>
    </w:p>
    <w:p w14:paraId="2C9498B4" w14:textId="77777777" w:rsidR="00F47B95" w:rsidRDefault="00F47B95" w:rsidP="00F47B95">
      <w:pPr>
        <w:pStyle w:val="NormalWeb"/>
        <w:spacing w:before="0" w:beforeAutospacing="0" w:after="0" w:afterAutospacing="0"/>
        <w:rPr>
          <w:color w:val="0E101A"/>
        </w:rPr>
      </w:pPr>
    </w:p>
    <w:p w14:paraId="43DFAA96" w14:textId="77777777" w:rsidR="00F47B95" w:rsidRDefault="00F47B95" w:rsidP="00F47B95">
      <w:pPr>
        <w:pStyle w:val="NormalWeb"/>
        <w:spacing w:before="0" w:beforeAutospacing="0" w:after="0" w:afterAutospacing="0"/>
        <w:rPr>
          <w:color w:val="0E101A"/>
        </w:rPr>
      </w:pPr>
      <w:r>
        <w:rPr>
          <w:color w:val="0E101A"/>
        </w:rPr>
        <w:t>Nieuwoudt, J.E. and Pedler, M.L. (2023). S</w:t>
      </w:r>
      <w:r w:rsidRPr="00F47B95">
        <w:rPr>
          <w:i/>
          <w:iCs/>
          <w:color w:val="0E101A"/>
        </w:rPr>
        <w:t>tudent retention in higher education: Why students choose to remain at university.</w:t>
      </w:r>
      <w:r>
        <w:rPr>
          <w:color w:val="0E101A"/>
        </w:rPr>
        <w:t xml:space="preserve"> Journal of College Student Retention: Research, Theory &amp; Practice, 25(2), 326-349.</w:t>
      </w:r>
    </w:p>
    <w:p w14:paraId="7C4A448E" w14:textId="77777777" w:rsidR="00F47B95" w:rsidRDefault="00F47B95" w:rsidP="00F47B95">
      <w:pPr>
        <w:pStyle w:val="NormalWeb"/>
        <w:spacing w:before="0" w:beforeAutospacing="0" w:after="0" w:afterAutospacing="0"/>
        <w:rPr>
          <w:color w:val="0E101A"/>
        </w:rPr>
      </w:pPr>
    </w:p>
    <w:p w14:paraId="76A00E16" w14:textId="77777777" w:rsidR="00F47B95" w:rsidRDefault="00F47B95" w:rsidP="00F47B95">
      <w:pPr>
        <w:pStyle w:val="NormalWeb"/>
        <w:spacing w:before="0" w:beforeAutospacing="0" w:after="0" w:afterAutospacing="0"/>
        <w:rPr>
          <w:color w:val="0E101A"/>
        </w:rPr>
      </w:pPr>
      <w:r>
        <w:rPr>
          <w:color w:val="0E101A"/>
        </w:rPr>
        <w:t xml:space="preserve">Nwosu, H.E., Obidike, P.C., Ugwu, J.N., Udeze, C.C. and Okolie, U.C. (2022). </w:t>
      </w:r>
      <w:r w:rsidRPr="00F47B95">
        <w:rPr>
          <w:i/>
          <w:iCs/>
          <w:color w:val="0E101A"/>
        </w:rPr>
        <w:t>Applying social cognitive theory to placement learning in business firms and students’ entrepreneurial intentions</w:t>
      </w:r>
      <w:r>
        <w:rPr>
          <w:color w:val="0E101A"/>
        </w:rPr>
        <w:t>. The International Journal of Management Education, 20(1), 100602.</w:t>
      </w:r>
    </w:p>
    <w:p w14:paraId="0957982D" w14:textId="77777777" w:rsidR="00F47B95" w:rsidRDefault="00F47B95" w:rsidP="00F47B95">
      <w:pPr>
        <w:pStyle w:val="NormalWeb"/>
        <w:spacing w:before="0" w:beforeAutospacing="0" w:after="0" w:afterAutospacing="0"/>
        <w:rPr>
          <w:color w:val="0E101A"/>
        </w:rPr>
      </w:pPr>
    </w:p>
    <w:p w14:paraId="75495AC6" w14:textId="2949A54F" w:rsidR="00F47B95" w:rsidRDefault="00F47B95" w:rsidP="00F47B95">
      <w:pPr>
        <w:pStyle w:val="NormalWeb"/>
        <w:spacing w:before="0" w:beforeAutospacing="0" w:after="0" w:afterAutospacing="0"/>
        <w:rPr>
          <w:color w:val="0E101A"/>
        </w:rPr>
      </w:pPr>
      <w:r>
        <w:rPr>
          <w:color w:val="0E101A"/>
        </w:rPr>
        <w:t xml:space="preserve">Quinlan, K.M., &amp; Renninger, K.A. (2022). </w:t>
      </w:r>
      <w:r w:rsidRPr="00F47B95">
        <w:rPr>
          <w:i/>
          <w:iCs/>
          <w:color w:val="0E101A"/>
        </w:rPr>
        <w:t>Rethinking employability: how students build on interest in a subject to plan a career</w:t>
      </w:r>
      <w:r>
        <w:rPr>
          <w:color w:val="0E101A"/>
        </w:rPr>
        <w:t>. Higher Education, 84, 863–883. </w:t>
      </w:r>
      <w:hyperlink r:id="rId12" w:tgtFrame="_blank" w:history="1">
        <w:r>
          <w:rPr>
            <w:rStyle w:val="Hyperlink"/>
            <w:rFonts w:eastAsiaTheme="majorEastAsia"/>
            <w:color w:val="4A6EE0"/>
          </w:rPr>
          <w:t>https://doi.org/10.1007/s10734-021-00804-6</w:t>
        </w:r>
      </w:hyperlink>
    </w:p>
    <w:p w14:paraId="25AE42E9" w14:textId="77777777" w:rsidR="00F47B95" w:rsidRDefault="00F47B95" w:rsidP="00F47B95">
      <w:pPr>
        <w:pStyle w:val="NormalWeb"/>
        <w:spacing w:before="0" w:beforeAutospacing="0" w:after="0" w:afterAutospacing="0"/>
        <w:rPr>
          <w:color w:val="0E101A"/>
        </w:rPr>
      </w:pPr>
    </w:p>
    <w:p w14:paraId="1A2C56A4" w14:textId="04CF7453" w:rsidR="00F47B95" w:rsidRDefault="00F47B95" w:rsidP="00F47B95">
      <w:pPr>
        <w:pStyle w:val="NormalWeb"/>
        <w:spacing w:before="0" w:beforeAutospacing="0" w:after="0" w:afterAutospacing="0"/>
        <w:rPr>
          <w:color w:val="0E101A"/>
        </w:rPr>
      </w:pPr>
      <w:r>
        <w:rPr>
          <w:color w:val="0E101A"/>
        </w:rPr>
        <w:t xml:space="preserve">Rahiem, M. D. H. (2021). </w:t>
      </w:r>
      <w:r w:rsidRPr="00F47B95">
        <w:rPr>
          <w:i/>
          <w:iCs/>
          <w:color w:val="0E101A"/>
        </w:rPr>
        <w:t>Remaining motivated despite the limitations: University students' learning propensity during the COVID-19 pandemic</w:t>
      </w:r>
      <w:r>
        <w:rPr>
          <w:color w:val="0E101A"/>
        </w:rPr>
        <w:t>. Children and Youth Services Review.</w:t>
      </w:r>
    </w:p>
    <w:p w14:paraId="2F3E51A8" w14:textId="77777777" w:rsidR="00F47B95" w:rsidRDefault="00F47B95" w:rsidP="00F47B95">
      <w:pPr>
        <w:pStyle w:val="NormalWeb"/>
        <w:spacing w:before="0" w:beforeAutospacing="0" w:after="0" w:afterAutospacing="0"/>
        <w:rPr>
          <w:color w:val="0E101A"/>
        </w:rPr>
      </w:pPr>
    </w:p>
    <w:p w14:paraId="32049D08" w14:textId="654F535F" w:rsidR="00F47B95" w:rsidRDefault="00F47B95" w:rsidP="00F47B95">
      <w:pPr>
        <w:pStyle w:val="NormalWeb"/>
        <w:spacing w:before="0" w:beforeAutospacing="0" w:after="0" w:afterAutospacing="0"/>
        <w:rPr>
          <w:color w:val="0E101A"/>
        </w:rPr>
      </w:pPr>
      <w:r>
        <w:rPr>
          <w:color w:val="0E101A"/>
        </w:rPr>
        <w:t xml:space="preserve">Samra, R., Waterhouse, P., &amp; Lucassen, M. (2021). </w:t>
      </w:r>
      <w:r w:rsidRPr="00F47B95">
        <w:rPr>
          <w:i/>
          <w:iCs/>
          <w:color w:val="0E101A"/>
        </w:rPr>
        <w:t>Combining and managing work-family-study roles and perceptions of institutional support. Distance Education</w:t>
      </w:r>
      <w:r>
        <w:rPr>
          <w:color w:val="0E101A"/>
        </w:rPr>
        <w:t xml:space="preserve">. </w:t>
      </w:r>
    </w:p>
    <w:p w14:paraId="742556A4" w14:textId="77777777" w:rsidR="00F47B95" w:rsidRDefault="00F47B95" w:rsidP="00F47B95">
      <w:pPr>
        <w:pStyle w:val="NormalWeb"/>
        <w:spacing w:before="0" w:beforeAutospacing="0" w:after="0" w:afterAutospacing="0"/>
        <w:rPr>
          <w:color w:val="0E101A"/>
        </w:rPr>
      </w:pPr>
    </w:p>
    <w:p w14:paraId="7609125F" w14:textId="77944CC7" w:rsidR="00F47B95" w:rsidRPr="00F47B95" w:rsidRDefault="00F47B95" w:rsidP="00F47B95">
      <w:pPr>
        <w:pStyle w:val="NormalWeb"/>
        <w:spacing w:before="0" w:beforeAutospacing="0" w:after="0" w:afterAutospacing="0"/>
        <w:rPr>
          <w:i/>
          <w:iCs/>
          <w:color w:val="0E101A"/>
        </w:rPr>
      </w:pPr>
      <w:r>
        <w:rPr>
          <w:color w:val="0E101A"/>
        </w:rPr>
        <w:t xml:space="preserve">Samra, R., Waterhouse, P., &amp; Lucassen, M. (2022). </w:t>
      </w:r>
      <w:r w:rsidRPr="00F47B95">
        <w:rPr>
          <w:i/>
          <w:iCs/>
          <w:color w:val="0E101A"/>
        </w:rPr>
        <w:t xml:space="preserve">Distance education students' satisfaction: Do work and family roles matter?. Distance Education. </w:t>
      </w:r>
    </w:p>
    <w:p w14:paraId="5824423E" w14:textId="77777777" w:rsidR="00F47B95" w:rsidRDefault="00F47B95" w:rsidP="00F47B95">
      <w:pPr>
        <w:pStyle w:val="NormalWeb"/>
        <w:spacing w:before="0" w:beforeAutospacing="0" w:after="0" w:afterAutospacing="0"/>
        <w:rPr>
          <w:color w:val="0E101A"/>
        </w:rPr>
      </w:pPr>
    </w:p>
    <w:p w14:paraId="5512B7E1" w14:textId="2836C4AF" w:rsidR="00F47B95" w:rsidRDefault="00F47B95" w:rsidP="00F47B95">
      <w:pPr>
        <w:pStyle w:val="NormalWeb"/>
        <w:spacing w:before="0" w:beforeAutospacing="0" w:after="0" w:afterAutospacing="0"/>
        <w:rPr>
          <w:color w:val="0E101A"/>
        </w:rPr>
      </w:pPr>
      <w:r>
        <w:rPr>
          <w:color w:val="0E101A"/>
        </w:rPr>
        <w:t xml:space="preserve">Sairsingh, M. A., Ulentin, A., Campbell-Dean N. H., Curry, C., &amp; Ellefritz (2020). </w:t>
      </w:r>
      <w:r w:rsidRPr="00F47B95">
        <w:rPr>
          <w:i/>
          <w:iCs/>
          <w:color w:val="0E101A"/>
        </w:rPr>
        <w:t>The Importance of Diversity and Inclusiveness in Academia: Perspectives from University of The Bahamas Faculty</w:t>
      </w:r>
      <w:r>
        <w:rPr>
          <w:color w:val="0E101A"/>
        </w:rPr>
        <w:t>. International Journal of Bahamian Studies, 26. DOI: </w:t>
      </w:r>
      <w:hyperlink r:id="rId13" w:tgtFrame="_blank" w:history="1">
        <w:r>
          <w:rPr>
            <w:rStyle w:val="Hyperlink"/>
            <w:rFonts w:eastAsiaTheme="majorEastAsia"/>
            <w:color w:val="4A6EE0"/>
          </w:rPr>
          <w:t>https://doi.org/10.15362/ijbs.v26i0.367</w:t>
        </w:r>
      </w:hyperlink>
    </w:p>
    <w:p w14:paraId="373FDE0F" w14:textId="77777777" w:rsidR="00F47B95" w:rsidRDefault="00F47B95" w:rsidP="00F47B95">
      <w:pPr>
        <w:pStyle w:val="NormalWeb"/>
        <w:spacing w:before="0" w:beforeAutospacing="0" w:after="0" w:afterAutospacing="0"/>
        <w:rPr>
          <w:color w:val="0E101A"/>
        </w:rPr>
      </w:pPr>
    </w:p>
    <w:p w14:paraId="4A2505D5" w14:textId="7B02D8B0" w:rsidR="00F47B95" w:rsidRDefault="00F47B95" w:rsidP="00F47B95">
      <w:pPr>
        <w:pStyle w:val="NormalWeb"/>
        <w:spacing w:before="0" w:beforeAutospacing="0" w:after="0" w:afterAutospacing="0"/>
        <w:rPr>
          <w:color w:val="0E101A"/>
        </w:rPr>
      </w:pPr>
      <w:r>
        <w:rPr>
          <w:color w:val="0E101A"/>
        </w:rPr>
        <w:lastRenderedPageBreak/>
        <w:t xml:space="preserve">Seek. (2024). </w:t>
      </w:r>
      <w:r w:rsidRPr="00F47B95">
        <w:rPr>
          <w:i/>
          <w:iCs/>
          <w:color w:val="0E101A"/>
        </w:rPr>
        <w:t>What's it like to be a Student Support Officer?</w:t>
      </w:r>
      <w:r>
        <w:rPr>
          <w:color w:val="0E101A"/>
        </w:rPr>
        <w:t xml:space="preserve"> Available at: </w:t>
      </w:r>
      <w:hyperlink r:id="rId14" w:tgtFrame="_blank" w:history="1">
        <w:r>
          <w:rPr>
            <w:rStyle w:val="Hyperlink"/>
            <w:rFonts w:eastAsiaTheme="majorEastAsia"/>
            <w:color w:val="4A6EE0"/>
          </w:rPr>
          <w:t>https://www.seek.com.au/career-advice/role/Student-Support-Officer</w:t>
        </w:r>
      </w:hyperlink>
      <w:r>
        <w:rPr>
          <w:color w:val="0E101A"/>
        </w:rPr>
        <w:t> (Accessed: 13/01/2024).</w:t>
      </w:r>
    </w:p>
    <w:p w14:paraId="31D60822" w14:textId="77777777" w:rsidR="00F47B95" w:rsidRDefault="00F47B95" w:rsidP="00F47B95">
      <w:pPr>
        <w:pStyle w:val="NormalWeb"/>
        <w:spacing w:before="0" w:beforeAutospacing="0" w:after="0" w:afterAutospacing="0"/>
        <w:rPr>
          <w:color w:val="0E101A"/>
        </w:rPr>
      </w:pPr>
    </w:p>
    <w:p w14:paraId="095DA715" w14:textId="5779D2AE" w:rsidR="00F47B95" w:rsidRDefault="00F47B95" w:rsidP="00F47B95">
      <w:pPr>
        <w:pStyle w:val="NormalWeb"/>
        <w:spacing w:before="0" w:beforeAutospacing="0" w:after="0" w:afterAutospacing="0"/>
        <w:rPr>
          <w:color w:val="0E101A"/>
        </w:rPr>
      </w:pPr>
      <w:r>
        <w:rPr>
          <w:color w:val="0E101A"/>
        </w:rPr>
        <w:t xml:space="preserve">Son, C., Hegde, S., Smith, A., Wang, X. and Sasangohar, F. (2020). </w:t>
      </w:r>
      <w:r w:rsidRPr="00F47B95">
        <w:rPr>
          <w:i/>
          <w:iCs/>
          <w:color w:val="0E101A"/>
        </w:rPr>
        <w:t xml:space="preserve">Effects of COVID-19 on college students’ mental health in the United States: Interview survey study. </w:t>
      </w:r>
      <w:r>
        <w:rPr>
          <w:color w:val="0E101A"/>
        </w:rPr>
        <w:t xml:space="preserve">Journal of Medical Internet Research, 22(9), e21279. </w:t>
      </w:r>
    </w:p>
    <w:p w14:paraId="58C0989F" w14:textId="77777777" w:rsidR="00F47B95" w:rsidRDefault="00F47B95" w:rsidP="00F47B95">
      <w:pPr>
        <w:pStyle w:val="NormalWeb"/>
        <w:spacing w:before="0" w:beforeAutospacing="0" w:after="0" w:afterAutospacing="0"/>
        <w:rPr>
          <w:color w:val="0E101A"/>
        </w:rPr>
      </w:pPr>
    </w:p>
    <w:p w14:paraId="68DF76EA" w14:textId="19B53BB7" w:rsidR="00F47B95" w:rsidRDefault="00F47B95" w:rsidP="00F47B95">
      <w:pPr>
        <w:pStyle w:val="NormalWeb"/>
        <w:spacing w:before="0" w:beforeAutospacing="0" w:after="0" w:afterAutospacing="0"/>
        <w:rPr>
          <w:color w:val="0E101A"/>
        </w:rPr>
      </w:pPr>
      <w:r>
        <w:rPr>
          <w:color w:val="0E101A"/>
        </w:rPr>
        <w:t xml:space="preserve">Tinto, Vincent. (1993). </w:t>
      </w:r>
      <w:r w:rsidRPr="00F47B95">
        <w:rPr>
          <w:i/>
          <w:iCs/>
          <w:color w:val="0E101A"/>
        </w:rPr>
        <w:t>Leaving College: Rethinking the Causes and Cures of Student Attrition</w:t>
      </w:r>
      <w:r>
        <w:rPr>
          <w:color w:val="0E101A"/>
        </w:rPr>
        <w:t>. London: University of Chicago Press.</w:t>
      </w:r>
    </w:p>
    <w:p w14:paraId="16A02B99" w14:textId="77777777" w:rsidR="00F47B95" w:rsidRDefault="00F47B95" w:rsidP="00F47B95">
      <w:pPr>
        <w:pStyle w:val="NormalWeb"/>
        <w:spacing w:before="0" w:beforeAutospacing="0" w:after="0" w:afterAutospacing="0"/>
        <w:rPr>
          <w:color w:val="0E101A"/>
        </w:rPr>
      </w:pPr>
    </w:p>
    <w:p w14:paraId="5FE1E83D" w14:textId="608CDA50" w:rsidR="00F47B95" w:rsidRDefault="00F47B95" w:rsidP="00F47B95">
      <w:pPr>
        <w:pStyle w:val="NormalWeb"/>
        <w:spacing w:before="0" w:beforeAutospacing="0" w:after="0" w:afterAutospacing="0"/>
        <w:rPr>
          <w:color w:val="0E101A"/>
        </w:rPr>
      </w:pPr>
      <w:r>
        <w:rPr>
          <w:color w:val="0E101A"/>
        </w:rPr>
        <w:t xml:space="preserve">University of Southampton. (2024). </w:t>
      </w:r>
      <w:r w:rsidRPr="00F47B95">
        <w:rPr>
          <w:i/>
          <w:iCs/>
          <w:color w:val="0E101A"/>
        </w:rPr>
        <w:t>Personal Development</w:t>
      </w:r>
      <w:r>
        <w:rPr>
          <w:color w:val="0E101A"/>
        </w:rPr>
        <w:t>. Available at: </w:t>
      </w:r>
      <w:hyperlink r:id="rId15" w:anchor=":~:text=being%20helped%20to%20identify%20and,on%20career%20options%20and%20opportunities" w:tgtFrame="_blank" w:history="1">
        <w:r>
          <w:rPr>
            <w:rStyle w:val="Hyperlink"/>
            <w:rFonts w:eastAsiaTheme="majorEastAsia"/>
            <w:color w:val="4A6EE0"/>
          </w:rPr>
          <w:t>https://www.southampton.ac.uk/professional-development/mentoring/benefits-of-a-mentoring-relationship.page#:~:text=being%20helped%20to%20identify%20and,on%20career%20options%20and%20opportunities</w:t>
        </w:r>
      </w:hyperlink>
      <w:r>
        <w:rPr>
          <w:color w:val="0E101A"/>
        </w:rPr>
        <w:t> (Accessed: 13/01/2024).</w:t>
      </w:r>
    </w:p>
    <w:p w14:paraId="3AF83EC5" w14:textId="77777777" w:rsidR="00F47B95" w:rsidRDefault="00F47B95" w:rsidP="00F47B95">
      <w:pPr>
        <w:pStyle w:val="NormalWeb"/>
        <w:spacing w:before="0" w:beforeAutospacing="0" w:after="0" w:afterAutospacing="0"/>
        <w:rPr>
          <w:color w:val="0E101A"/>
        </w:rPr>
      </w:pPr>
    </w:p>
    <w:p w14:paraId="78976850" w14:textId="77777777" w:rsidR="00F47B95" w:rsidRDefault="00F47B95" w:rsidP="00F47B95">
      <w:pPr>
        <w:pStyle w:val="NormalWeb"/>
        <w:spacing w:before="0" w:beforeAutospacing="0" w:after="0" w:afterAutospacing="0"/>
        <w:rPr>
          <w:color w:val="0E101A"/>
        </w:rPr>
      </w:pPr>
      <w:r>
        <w:rPr>
          <w:color w:val="0E101A"/>
        </w:rPr>
        <w:t xml:space="preserve">Vygotsky, L. S. (1978). </w:t>
      </w:r>
      <w:r w:rsidRPr="00F47B95">
        <w:rPr>
          <w:i/>
          <w:iCs/>
          <w:color w:val="0E101A"/>
        </w:rPr>
        <w:t>Mind in Society: The Development of Higher Psychological Processes</w:t>
      </w:r>
      <w:r>
        <w:rPr>
          <w:color w:val="0E101A"/>
        </w:rPr>
        <w:t>. Cambridge, Mass.: Harvard University Press.</w:t>
      </w:r>
    </w:p>
    <w:p w14:paraId="63E95652" w14:textId="77777777" w:rsidR="00F47B95" w:rsidRDefault="00F47B95" w:rsidP="00F47B95">
      <w:pPr>
        <w:pStyle w:val="NormalWeb"/>
        <w:spacing w:before="0" w:beforeAutospacing="0" w:after="0" w:afterAutospacing="0"/>
        <w:rPr>
          <w:color w:val="0E101A"/>
        </w:rPr>
      </w:pPr>
    </w:p>
    <w:p w14:paraId="6389C470" w14:textId="77777777" w:rsidR="00F47B95" w:rsidRDefault="00F47B95" w:rsidP="00F47B95">
      <w:pPr>
        <w:pStyle w:val="NormalWeb"/>
        <w:spacing w:before="0" w:beforeAutospacing="0" w:after="0" w:afterAutospacing="0"/>
        <w:rPr>
          <w:color w:val="0E101A"/>
        </w:rPr>
      </w:pPr>
      <w:r>
        <w:rPr>
          <w:color w:val="0E101A"/>
        </w:rPr>
        <w:t xml:space="preserve">Wates, J. (2012). </w:t>
      </w:r>
      <w:r w:rsidRPr="00F47B95">
        <w:rPr>
          <w:i/>
          <w:iCs/>
          <w:color w:val="0E101A"/>
        </w:rPr>
        <w:t>Business and Schools: Building the World of Work Together.</w:t>
      </w:r>
      <w:r>
        <w:rPr>
          <w:color w:val="0E101A"/>
        </w:rPr>
        <w:t xml:space="preserve"> [PDF] Available at: </w:t>
      </w:r>
      <w:hyperlink r:id="rId16" w:tgtFrame="_blank" w:history="1">
        <w:r>
          <w:rPr>
            <w:rStyle w:val="Hyperlink"/>
            <w:rFonts w:eastAsiaTheme="majorEastAsia"/>
            <w:color w:val="4A6EE0"/>
          </w:rPr>
          <w:t>https://assets.publishing.service.gov.uk/media/5a7d8812ed915d497af70013/business-and-schools-building-the-world-of-work-together.pdf</w:t>
        </w:r>
      </w:hyperlink>
      <w:r>
        <w:rPr>
          <w:color w:val="0E101A"/>
        </w:rPr>
        <w:t> (Accessed: 13/01/2024).</w:t>
      </w:r>
    </w:p>
    <w:p w14:paraId="4411F48C" w14:textId="77777777" w:rsidR="00F47B95" w:rsidRDefault="00F47B95" w:rsidP="00F47B95">
      <w:pPr>
        <w:pStyle w:val="NormalWeb"/>
        <w:spacing w:before="0" w:beforeAutospacing="0" w:after="0" w:afterAutospacing="0"/>
        <w:rPr>
          <w:color w:val="0E101A"/>
        </w:rPr>
      </w:pPr>
    </w:p>
    <w:p w14:paraId="3741F4CC" w14:textId="59B85D4A" w:rsidR="00F47B95" w:rsidRDefault="00F47B95" w:rsidP="00F47B95">
      <w:pPr>
        <w:pStyle w:val="NormalWeb"/>
        <w:spacing w:before="0" w:beforeAutospacing="0" w:after="0" w:afterAutospacing="0"/>
        <w:rPr>
          <w:color w:val="0E101A"/>
        </w:rPr>
      </w:pPr>
      <w:r>
        <w:rPr>
          <w:color w:val="0E101A"/>
        </w:rPr>
        <w:t xml:space="preserve">Waterhouse, P., Samra, R., &amp; Lucassen, M. (2022). </w:t>
      </w:r>
      <w:r w:rsidRPr="00F47B95">
        <w:rPr>
          <w:i/>
          <w:iCs/>
          <w:color w:val="0E101A"/>
        </w:rPr>
        <w:t>Distance education students' satisfaction: Do work and family roles matter</w:t>
      </w:r>
      <w:r>
        <w:rPr>
          <w:color w:val="0E101A"/>
        </w:rPr>
        <w:t xml:space="preserve">?. Distance Education. </w:t>
      </w:r>
    </w:p>
    <w:p w14:paraId="7490E119" w14:textId="77777777" w:rsidR="00F47B95" w:rsidRDefault="00F47B95" w:rsidP="00F47B95">
      <w:pPr>
        <w:pStyle w:val="NormalWeb"/>
        <w:spacing w:before="0" w:beforeAutospacing="0" w:after="0" w:afterAutospacing="0"/>
        <w:rPr>
          <w:color w:val="0E101A"/>
        </w:rPr>
      </w:pPr>
    </w:p>
    <w:p w14:paraId="78591677" w14:textId="77777777" w:rsidR="00F47B95" w:rsidRDefault="00F47B95" w:rsidP="00F47B95">
      <w:pPr>
        <w:pStyle w:val="NormalWeb"/>
        <w:spacing w:before="0" w:beforeAutospacing="0" w:after="0" w:afterAutospacing="0"/>
        <w:rPr>
          <w:color w:val="0E101A"/>
        </w:rPr>
      </w:pPr>
      <w:r>
        <w:rPr>
          <w:color w:val="0E101A"/>
        </w:rPr>
        <w:t xml:space="preserve">Wilson, L. (2021). </w:t>
      </w:r>
      <w:r w:rsidRPr="00F47B95">
        <w:rPr>
          <w:i/>
          <w:iCs/>
          <w:color w:val="0E101A"/>
        </w:rPr>
        <w:t>How Harnessing Negative Feedback Can Improve Your Business</w:t>
      </w:r>
      <w:r>
        <w:rPr>
          <w:color w:val="0E101A"/>
        </w:rPr>
        <w:t>. Available at: </w:t>
      </w:r>
      <w:hyperlink r:id="rId17" w:anchor=":~:text=It%20provides%20you%20a%20spark,and%20insightful)%20than%20positive%20feedback" w:tgtFrame="_blank" w:history="1">
        <w:r>
          <w:rPr>
            <w:rStyle w:val="Hyperlink"/>
            <w:rFonts w:eastAsiaTheme="majorEastAsia"/>
            <w:color w:val="4A6EE0"/>
          </w:rPr>
          <w:t>https://paperform.co/blog/negative-feedback/#:~:text=It%20provides%20you%20a%20spark,and%20insightful)%20than%20positive%20feedback</w:t>
        </w:r>
      </w:hyperlink>
      <w:r>
        <w:rPr>
          <w:color w:val="0E101A"/>
        </w:rPr>
        <w:t>. (Accessed: 13/01/2024).</w:t>
      </w:r>
    </w:p>
    <w:p w14:paraId="46990532" w14:textId="77777777" w:rsidR="00F47B95" w:rsidRDefault="00F47B95" w:rsidP="00F47B95">
      <w:pPr>
        <w:pStyle w:val="NormalWeb"/>
        <w:spacing w:before="0" w:beforeAutospacing="0" w:after="0" w:afterAutospacing="0"/>
        <w:rPr>
          <w:color w:val="0E101A"/>
        </w:rPr>
      </w:pPr>
    </w:p>
    <w:p w14:paraId="0CBFC3B4" w14:textId="77777777" w:rsidR="00F47B95" w:rsidRDefault="00F47B95" w:rsidP="00F47B95">
      <w:pPr>
        <w:pStyle w:val="NormalWeb"/>
        <w:spacing w:before="0" w:beforeAutospacing="0" w:after="0" w:afterAutospacing="0"/>
        <w:rPr>
          <w:color w:val="0E101A"/>
        </w:rPr>
      </w:pPr>
      <w:r>
        <w:rPr>
          <w:color w:val="0E101A"/>
        </w:rPr>
        <w:t xml:space="preserve">Woods, C., Armstrong, P., Bragg, D., Collins, A., Pearson, D. (2010). </w:t>
      </w:r>
      <w:r w:rsidRPr="00F47B95">
        <w:rPr>
          <w:i/>
          <w:iCs/>
          <w:color w:val="0E101A"/>
        </w:rPr>
        <w:t>School Business Manager Demonstration Project Evaluation Study: Final Report</w:t>
      </w:r>
      <w:r>
        <w:rPr>
          <w:color w:val="0E101A"/>
        </w:rPr>
        <w:t>. Nottingham: National College for School Leadership (NCSL).</w:t>
      </w:r>
    </w:p>
    <w:p w14:paraId="1A5098F7" w14:textId="057FE4FB" w:rsidR="00C2336A" w:rsidRDefault="00F47B95" w:rsidP="00F47B95">
      <w:pPr>
        <w:pStyle w:val="citation"/>
        <w:rPr>
          <w:rFonts w:ascii="Segoe UI" w:hAnsi="Segoe UI" w:cs="Segoe UI"/>
          <w:color w:val="0F0F0F"/>
        </w:rPr>
      </w:pPr>
      <w:r>
        <w:rPr>
          <w:rFonts w:ascii="Segoe UI" w:hAnsi="Segoe UI" w:cs="Segoe UI"/>
          <w:color w:val="0F0F0F"/>
        </w:rPr>
        <w:t>Yale University (2024) We Know Teamwork Is Important, But How Important? Available at: https://your.yale.edu/we-know-teamwork-important-how-important#:~:text=A%20team%20environment%20allows%20individuals,solutions%20more%20efficiently%20and%20effectively. (Accessed: 13/01/2024).</w:t>
      </w:r>
      <w:r>
        <w:rPr>
          <w:rFonts w:ascii="Segoe UI" w:hAnsi="Segoe UI" w:cs="Segoe UI"/>
          <w:color w:val="0F0F0F"/>
        </w:rPr>
        <w:t xml:space="preserve"> </w:t>
      </w:r>
    </w:p>
    <w:p w14:paraId="4BC387CF" w14:textId="0FF315C3" w:rsidR="00F47B95" w:rsidRDefault="00F47B95" w:rsidP="00F47B95">
      <w:pPr>
        <w:pStyle w:val="citation"/>
      </w:pPr>
      <w:r>
        <w:rPr>
          <w:rFonts w:ascii="Segoe UI" w:hAnsi="Segoe UI" w:cs="Segoe UI"/>
          <w:color w:val="0F0F0F"/>
        </w:rPr>
        <w:lastRenderedPageBreak/>
        <w:t>Ynze, Van Houten (Eds). (2012). Safety at work. Saxion research centre design and technology. Enscheda, the Netherlands.</w:t>
      </w:r>
    </w:p>
    <w:sectPr w:rsidR="00F47B95" w:rsidSect="00257D9B">
      <w:headerReference w:type="default" r:id="rId1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16216" w14:textId="77777777" w:rsidR="00BF1871" w:rsidRDefault="00BF1871" w:rsidP="006C0237">
      <w:pPr>
        <w:spacing w:after="0" w:line="240" w:lineRule="auto"/>
      </w:pPr>
      <w:r>
        <w:separator/>
      </w:r>
    </w:p>
  </w:endnote>
  <w:endnote w:type="continuationSeparator" w:id="0">
    <w:p w14:paraId="0CC6497F" w14:textId="77777777" w:rsidR="00BF1871" w:rsidRDefault="00BF1871" w:rsidP="006C0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6A1D3" w14:textId="77777777" w:rsidR="00BF1871" w:rsidRDefault="00BF1871" w:rsidP="006C0237">
      <w:pPr>
        <w:spacing w:after="0" w:line="240" w:lineRule="auto"/>
      </w:pPr>
      <w:r>
        <w:separator/>
      </w:r>
    </w:p>
  </w:footnote>
  <w:footnote w:type="continuationSeparator" w:id="0">
    <w:p w14:paraId="7393ED75" w14:textId="77777777" w:rsidR="00BF1871" w:rsidRDefault="00BF1871" w:rsidP="006C02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51329" w14:textId="7FC2760B" w:rsidR="006C0237" w:rsidRDefault="006C0237">
    <w:pPr>
      <w:pStyle w:val="Header"/>
    </w:pPr>
    <w:r>
      <w:t>Siobhan Roper</w:t>
    </w:r>
    <w:r>
      <w:ptab w:relativeTo="margin" w:alignment="center" w:leader="none"/>
    </w:r>
    <w:r>
      <w:t>ECCP7001</w:t>
    </w:r>
    <w:r>
      <w:ptab w:relativeTo="margin" w:alignment="right" w:leader="none"/>
    </w:r>
    <w:r>
      <w:t>Student ID: 2015646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9361B"/>
    <w:multiLevelType w:val="hybridMultilevel"/>
    <w:tmpl w:val="E83CE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1B2BB3"/>
    <w:multiLevelType w:val="hybridMultilevel"/>
    <w:tmpl w:val="84CABAE6"/>
    <w:lvl w:ilvl="0" w:tplc="BFB298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3634315">
    <w:abstractNumId w:val="0"/>
  </w:num>
  <w:num w:numId="2" w16cid:durableId="1156264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D9B"/>
    <w:rsid w:val="00080254"/>
    <w:rsid w:val="00257D9B"/>
    <w:rsid w:val="002674EE"/>
    <w:rsid w:val="003355E5"/>
    <w:rsid w:val="005217D4"/>
    <w:rsid w:val="005B6939"/>
    <w:rsid w:val="00622995"/>
    <w:rsid w:val="006B42A0"/>
    <w:rsid w:val="006C0237"/>
    <w:rsid w:val="007B1CE6"/>
    <w:rsid w:val="009B5F32"/>
    <w:rsid w:val="00BF1871"/>
    <w:rsid w:val="00C2336A"/>
    <w:rsid w:val="00C90955"/>
    <w:rsid w:val="00D72A76"/>
    <w:rsid w:val="00F47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E9F7B"/>
  <w15:docId w15:val="{81FF8E8C-454D-D849-B02B-7D864E4C8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36A"/>
    <w:pPr>
      <w:keepNext/>
      <w:keepLines/>
      <w:spacing w:before="24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C2336A"/>
    <w:pPr>
      <w:keepNext/>
      <w:keepLines/>
      <w:spacing w:before="40" w:after="0" w:line="240"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57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74EE"/>
    <w:pPr>
      <w:ind w:left="720"/>
      <w:contextualSpacing/>
    </w:pPr>
  </w:style>
  <w:style w:type="character" w:customStyle="1" w:styleId="Heading1Char">
    <w:name w:val="Heading 1 Char"/>
    <w:basedOn w:val="DefaultParagraphFont"/>
    <w:link w:val="Heading1"/>
    <w:uiPriority w:val="9"/>
    <w:rsid w:val="00C2336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C2336A"/>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C2336A"/>
    <w:rPr>
      <w:b/>
      <w:bCs/>
    </w:rPr>
  </w:style>
  <w:style w:type="character" w:styleId="Hyperlink">
    <w:name w:val="Hyperlink"/>
    <w:basedOn w:val="DefaultParagraphFont"/>
    <w:uiPriority w:val="99"/>
    <w:unhideWhenUsed/>
    <w:rsid w:val="00C2336A"/>
    <w:rPr>
      <w:color w:val="0000FF"/>
      <w:u w:val="single"/>
    </w:rPr>
  </w:style>
  <w:style w:type="paragraph" w:customStyle="1" w:styleId="paragraph">
    <w:name w:val="paragraph"/>
    <w:basedOn w:val="Normal"/>
    <w:rsid w:val="00C233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link">
    <w:name w:val="citation-link"/>
    <w:basedOn w:val="DefaultParagraphFont"/>
    <w:rsid w:val="00C2336A"/>
  </w:style>
  <w:style w:type="character" w:styleId="Emphasis">
    <w:name w:val="Emphasis"/>
    <w:basedOn w:val="DefaultParagraphFont"/>
    <w:uiPriority w:val="20"/>
    <w:qFormat/>
    <w:rsid w:val="00C2336A"/>
    <w:rPr>
      <w:i/>
      <w:iCs/>
    </w:rPr>
  </w:style>
  <w:style w:type="paragraph" w:styleId="NormalWeb">
    <w:name w:val="Normal (Web)"/>
    <w:basedOn w:val="Normal"/>
    <w:uiPriority w:val="99"/>
    <w:semiHidden/>
    <w:unhideWhenUsed/>
    <w:rsid w:val="00C233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ation">
    <w:name w:val="citation"/>
    <w:basedOn w:val="Normal"/>
    <w:rsid w:val="00F47B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47B95"/>
    <w:rPr>
      <w:color w:val="605E5C"/>
      <w:shd w:val="clear" w:color="auto" w:fill="E1DFDD"/>
    </w:rPr>
  </w:style>
  <w:style w:type="paragraph" w:styleId="Header">
    <w:name w:val="header"/>
    <w:basedOn w:val="Normal"/>
    <w:link w:val="HeaderChar"/>
    <w:uiPriority w:val="99"/>
    <w:unhideWhenUsed/>
    <w:rsid w:val="006C02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237"/>
  </w:style>
  <w:style w:type="paragraph" w:styleId="Footer">
    <w:name w:val="footer"/>
    <w:basedOn w:val="Normal"/>
    <w:link w:val="FooterChar"/>
    <w:uiPriority w:val="99"/>
    <w:unhideWhenUsed/>
    <w:rsid w:val="006C02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2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597292">
      <w:bodyDiv w:val="1"/>
      <w:marLeft w:val="0"/>
      <w:marRight w:val="0"/>
      <w:marTop w:val="0"/>
      <w:marBottom w:val="0"/>
      <w:divBdr>
        <w:top w:val="none" w:sz="0" w:space="0" w:color="auto"/>
        <w:left w:val="none" w:sz="0" w:space="0" w:color="auto"/>
        <w:bottom w:val="none" w:sz="0" w:space="0" w:color="auto"/>
        <w:right w:val="none" w:sz="0" w:space="0" w:color="auto"/>
      </w:divBdr>
    </w:div>
    <w:div w:id="564879430">
      <w:bodyDiv w:val="1"/>
      <w:marLeft w:val="0"/>
      <w:marRight w:val="0"/>
      <w:marTop w:val="0"/>
      <w:marBottom w:val="0"/>
      <w:divBdr>
        <w:top w:val="none" w:sz="0" w:space="0" w:color="auto"/>
        <w:left w:val="none" w:sz="0" w:space="0" w:color="auto"/>
        <w:bottom w:val="none" w:sz="0" w:space="0" w:color="auto"/>
        <w:right w:val="none" w:sz="0" w:space="0" w:color="auto"/>
      </w:divBdr>
    </w:div>
    <w:div w:id="579370677">
      <w:bodyDiv w:val="1"/>
      <w:marLeft w:val="0"/>
      <w:marRight w:val="0"/>
      <w:marTop w:val="0"/>
      <w:marBottom w:val="0"/>
      <w:divBdr>
        <w:top w:val="none" w:sz="0" w:space="0" w:color="auto"/>
        <w:left w:val="none" w:sz="0" w:space="0" w:color="auto"/>
        <w:bottom w:val="none" w:sz="0" w:space="0" w:color="auto"/>
        <w:right w:val="none" w:sz="0" w:space="0" w:color="auto"/>
      </w:divBdr>
    </w:div>
    <w:div w:id="955453704">
      <w:bodyDiv w:val="1"/>
      <w:marLeft w:val="0"/>
      <w:marRight w:val="0"/>
      <w:marTop w:val="0"/>
      <w:marBottom w:val="0"/>
      <w:divBdr>
        <w:top w:val="none" w:sz="0" w:space="0" w:color="auto"/>
        <w:left w:val="none" w:sz="0" w:space="0" w:color="auto"/>
        <w:bottom w:val="none" w:sz="0" w:space="0" w:color="auto"/>
        <w:right w:val="none" w:sz="0" w:space="0" w:color="auto"/>
      </w:divBdr>
    </w:div>
    <w:div w:id="1704944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dpr.co.uk/blog/a-quick-guide-to-gdpr-for-schools-and-colleges" TargetMode="External"/><Relationship Id="rId13" Type="http://schemas.openxmlformats.org/officeDocument/2006/relationships/hyperlink" Target="https://doi.org/10.15362/ijbs.v26i0.367"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07/s10212-018-0406-9" TargetMode="External"/><Relationship Id="rId12" Type="http://schemas.openxmlformats.org/officeDocument/2006/relationships/hyperlink" Target="https://doi.org/10.1007/s10734-021-00804-6" TargetMode="External"/><Relationship Id="rId17" Type="http://schemas.openxmlformats.org/officeDocument/2006/relationships/hyperlink" Target="https://paperform.co/blog/negative-feedback/" TargetMode="External"/><Relationship Id="rId2" Type="http://schemas.openxmlformats.org/officeDocument/2006/relationships/styles" Target="styles.xml"/><Relationship Id="rId16" Type="http://schemas.openxmlformats.org/officeDocument/2006/relationships/hyperlink" Target="https://assets.publishing.service.gov.uk/media/5a7d8812ed915d497af70013/business-and-schools-building-the-world-of-work-together.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tools.com/a0bop9z/the-learning-zone-model" TargetMode="External"/><Relationship Id="rId5" Type="http://schemas.openxmlformats.org/officeDocument/2006/relationships/footnotes" Target="footnotes.xml"/><Relationship Id="rId15" Type="http://schemas.openxmlformats.org/officeDocument/2006/relationships/hyperlink" Target="https://www.southampton.ac.uk/professional-development/mentoring/benefits-of-a-mentoring-relationship.page" TargetMode="External"/><Relationship Id="rId10" Type="http://schemas.openxmlformats.org/officeDocument/2006/relationships/hyperlink" Target="https://doi.org/10.4103/0019-5278.10706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nedt.2020.104386" TargetMode="External"/><Relationship Id="rId14" Type="http://schemas.openxmlformats.org/officeDocument/2006/relationships/hyperlink" Target="https://www.seek.com.au/career-advice/role/Student-Support-Offi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71</TotalTime>
  <Pages>25</Pages>
  <Words>7354</Words>
  <Characters>39203</Characters>
  <Application>Microsoft Office Word</Application>
  <DocSecurity>0</DocSecurity>
  <Lines>2177</Lines>
  <Paragraphs>816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ROP09093478 (Siobhan Louise Roper)</cp:lastModifiedBy>
  <cp:revision>7</cp:revision>
  <dcterms:created xsi:type="dcterms:W3CDTF">2024-01-13T22:32:00Z</dcterms:created>
  <dcterms:modified xsi:type="dcterms:W3CDTF">2024-01-14T20:55:00Z</dcterms:modified>
</cp:coreProperties>
</file>