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Arial" w:cs="Arial" w:eastAsia="Arial" w:hAnsi="Arial"/>
          <w:b w:val="1"/>
          <w:bCs w:val="1"/>
          <w:color w:val="000000"/>
          <w:sz w:val="28"/>
          <w:szCs w:val="28"/>
        </w:rPr>
      </w:pPr>
      <w:r w:rsidDel="00000000" w:rsidR="00000000" w:rsidRPr="00000000">
        <w:rPr/>
        <w:drawing>
          <wp:inline distB="0" distT="0" distL="0" distR="0">
            <wp:extent cx="1792128" cy="750193"/>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92128" cy="75019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03">
      <w:pPr>
        <w:spacing w:line="24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8"/>
          <w:szCs w:val="28"/>
          <w:rtl w:val="0"/>
        </w:rPr>
        <w:t xml:space="preserve">Student name</w:t>
      </w:r>
      <w:r w:rsidDel="00000000" w:rsidR="00000000" w:rsidRPr="00000000">
        <w:rPr>
          <w:rFonts w:ascii="Arial" w:cs="Arial" w:eastAsia="Arial" w:hAnsi="Arial"/>
          <w:color w:val="000000"/>
          <w:sz w:val="28"/>
          <w:szCs w:val="28"/>
          <w:rtl w:val="0"/>
        </w:rPr>
        <w:t xml:space="preserve">: </w:t>
      </w:r>
      <w:r w:rsidDel="00000000" w:rsidR="00000000" w:rsidRPr="00000000">
        <w:rPr>
          <w:rFonts w:ascii="Arial" w:cs="Arial" w:eastAsia="Arial" w:hAnsi="Arial"/>
          <w:sz w:val="28"/>
          <w:szCs w:val="28"/>
          <w:rtl w:val="0"/>
        </w:rPr>
        <w:t xml:space="preserve">Tresy tiamuna</w:t>
      </w:r>
      <w:r w:rsidDel="00000000" w:rsidR="00000000" w:rsidRPr="00000000">
        <w:rPr>
          <w:rtl w:val="0"/>
        </w:rPr>
      </w:r>
    </w:p>
    <w:p w:rsidR="00000000" w:rsidDel="00000000" w:rsidP="00000000" w:rsidRDefault="00000000" w:rsidRPr="00000000" w14:paraId="00000005">
      <w:pPr>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8"/>
          <w:szCs w:val="28"/>
          <w:rtl w:val="0"/>
        </w:rPr>
        <w:t xml:space="preserve">Student ID</w:t>
      </w:r>
      <w:r w:rsidDel="00000000" w:rsidR="00000000" w:rsidRPr="00000000">
        <w:rPr>
          <w:rFonts w:ascii="Arial" w:cs="Arial" w:eastAsia="Arial" w:hAnsi="Arial"/>
          <w:color w:val="000000"/>
          <w:sz w:val="28"/>
          <w:szCs w:val="28"/>
          <w:rtl w:val="0"/>
        </w:rPr>
        <w:t xml:space="preserve">:2527552</w:t>
      </w:r>
      <w:r w:rsidDel="00000000" w:rsidR="00000000" w:rsidRPr="00000000">
        <w:rPr>
          <w:rtl w:val="0"/>
        </w:rPr>
      </w:r>
    </w:p>
    <w:p w:rsidR="00000000" w:rsidDel="00000000" w:rsidP="00000000" w:rsidRDefault="00000000" w:rsidRPr="00000000" w14:paraId="0000000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8"/>
          <w:szCs w:val="28"/>
          <w:rtl w:val="0"/>
        </w:rPr>
        <w:t xml:space="preserve">Module name</w:t>
      </w:r>
      <w:r w:rsidDel="00000000" w:rsidR="00000000" w:rsidRPr="00000000">
        <w:rPr>
          <w:rFonts w:ascii="Arial" w:cs="Arial" w:eastAsia="Arial" w:hAnsi="Arial"/>
          <w:color w:val="000000"/>
          <w:sz w:val="28"/>
          <w:szCs w:val="28"/>
          <w:rtl w:val="0"/>
        </w:rPr>
        <w:t xml:space="preserve">: In</w:t>
      </w:r>
      <w:r w:rsidDel="00000000" w:rsidR="00000000" w:rsidRPr="00000000">
        <w:rPr>
          <w:rFonts w:ascii="Arial" w:cs="Arial" w:eastAsia="Arial" w:hAnsi="Arial"/>
          <w:sz w:val="28"/>
          <w:szCs w:val="28"/>
          <w:rtl w:val="0"/>
        </w:rPr>
        <w:t xml:space="preserve">troduction to Health and Social Care </w:t>
      </w:r>
      <w:r w:rsidDel="00000000" w:rsidR="00000000" w:rsidRPr="00000000">
        <w:rPr>
          <w:rtl w:val="0"/>
        </w:rPr>
      </w:r>
    </w:p>
    <w:p w:rsidR="00000000" w:rsidDel="00000000" w:rsidP="00000000" w:rsidRDefault="00000000" w:rsidRPr="00000000" w14:paraId="00000008">
      <w:pPr>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8"/>
          <w:szCs w:val="28"/>
          <w:rtl w:val="0"/>
        </w:rPr>
        <w:t xml:space="preserve">Module code</w:t>
      </w:r>
      <w:r w:rsidDel="00000000" w:rsidR="00000000" w:rsidRPr="00000000">
        <w:rPr>
          <w:rFonts w:ascii="Arial" w:cs="Arial" w:eastAsia="Arial" w:hAnsi="Arial"/>
          <w:color w:val="000000"/>
          <w:sz w:val="28"/>
          <w:szCs w:val="28"/>
          <w:rtl w:val="0"/>
        </w:rPr>
        <w:t xml:space="preserve">:LHS4003</w:t>
      </w:r>
      <w:r w:rsidDel="00000000" w:rsidR="00000000" w:rsidRPr="00000000">
        <w:rPr>
          <w:rtl w:val="0"/>
        </w:rPr>
      </w:r>
    </w:p>
    <w:p w:rsidR="00000000" w:rsidDel="00000000" w:rsidP="00000000" w:rsidRDefault="00000000" w:rsidRPr="00000000" w14:paraId="00000009">
      <w:pPr>
        <w:spacing w:line="240" w:lineRule="auto"/>
        <w:rPr>
          <w:rFonts w:ascii="Arial" w:cs="Arial" w:eastAsia="Arial" w:hAnsi="Arial"/>
          <w:sz w:val="30"/>
          <w:szCs w:val="30"/>
        </w:rPr>
      </w:pPr>
      <w:r w:rsidDel="00000000" w:rsidR="00000000" w:rsidRPr="00000000">
        <w:rPr>
          <w:rFonts w:ascii="Arial" w:cs="Arial" w:eastAsia="Arial" w:hAnsi="Arial"/>
          <w:b w:val="1"/>
          <w:bCs w:val="1"/>
          <w:color w:val="000000"/>
          <w:sz w:val="28"/>
          <w:szCs w:val="28"/>
          <w:rtl w:val="0"/>
        </w:rPr>
        <w:t xml:space="preserve">Lecturer name</w:t>
      </w:r>
      <w:r w:rsidDel="00000000" w:rsidR="00000000" w:rsidRPr="00000000">
        <w:rPr>
          <w:rFonts w:ascii="Calibri" w:cs="Calibri" w:eastAsia="Calibri" w:hAnsi="Calibri"/>
          <w:color w:val="000000"/>
          <w:rtl w:val="0"/>
        </w:rPr>
        <w:t xml:space="preserve">:</w:t>
      </w:r>
      <w:r w:rsidDel="00000000" w:rsidR="00000000" w:rsidRPr="00000000">
        <w:rPr>
          <w:rFonts w:ascii="Arial" w:cs="Arial" w:eastAsia="Arial" w:hAnsi="Arial"/>
          <w:color w:val="000000"/>
          <w:sz w:val="28"/>
          <w:szCs w:val="28"/>
          <w:rtl w:val="0"/>
        </w:rPr>
        <w:t xml:space="preserve">Umma Suleiman </w:t>
      </w:r>
      <w:r w:rsidDel="00000000" w:rsidR="00000000" w:rsidRPr="00000000">
        <w:rPr>
          <w:rtl w:val="0"/>
        </w:rPr>
      </w:r>
    </w:p>
    <w:p w:rsidR="00000000" w:rsidDel="00000000" w:rsidP="00000000" w:rsidRDefault="00000000" w:rsidRPr="00000000" w14:paraId="0000000A">
      <w:pPr>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bCs w:val="1"/>
          <w:i w:val="0"/>
          <w:iCs w:val="0"/>
          <w:smallCaps w:val="0"/>
          <w:strike w:val="0"/>
          <w:color w:val="2e75b5"/>
          <w:sz w:val="32"/>
          <w:szCs w:val="32"/>
          <w:u w:val="none"/>
          <w:shd w:fill="auto" w:val="clear"/>
          <w:vertAlign w:val="baseline"/>
        </w:rPr>
      </w:pPr>
      <w:bookmarkStart w:colFirst="0" w:colLast="0" w:name="_heading=h.sl3wn2uwtkco" w:id="0"/>
      <w:bookmarkEnd w:id="0"/>
      <w:r w:rsidDel="00000000" w:rsidR="00000000" w:rsidRPr="00000000">
        <w:rPr>
          <w:rFonts w:ascii="Times New Roman" w:cs="Times New Roman" w:eastAsia="Times New Roman" w:hAnsi="Times New Roman"/>
          <w:b w:val="1"/>
          <w:bCs w:val="1"/>
          <w:i w:val="0"/>
          <w:iCs w:val="0"/>
          <w:smallCaps w:val="0"/>
          <w:strike w:val="0"/>
          <w:color w:val="2e75b5"/>
          <w:sz w:val="32"/>
          <w:szCs w:val="32"/>
          <w:u w:val="none"/>
          <w:shd w:fill="auto" w:val="clear"/>
          <w:vertAlign w:val="baseline"/>
          <w:rtl w:val="0"/>
        </w:rPr>
        <w:t xml:space="preserve">Table of Contents</w:t>
      </w:r>
    </w:p>
    <w:sdt>
      <w:sdtPr>
        <w:id w:val="-373788999"/>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smctpg3pvhy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1: Community Antenatal Midwifery Services in the UK</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ggbu62294oz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2: Residential Care Homes in England</w:t>
              <w:tab/>
              <w:t xml:space="preserve">4</w:t>
            </w:r>
          </w:hyperlink>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pPr>
      <w:bookmarkStart w:colFirst="0" w:colLast="0" w:name="_heading=h.smctpg3pvhys" w:id="1"/>
      <w:bookmarkEnd w:id="1"/>
      <w:r w:rsidDel="00000000" w:rsidR="00000000" w:rsidRPr="00000000">
        <w:rPr>
          <w:rtl w:val="0"/>
        </w:rPr>
        <w:t xml:space="preserve">Element 1: Community Antenatal Midwifery Services in the UK</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drawing>
          <wp:inline distB="0" distT="0" distL="0" distR="0">
            <wp:extent cx="5731510" cy="3223974"/>
            <wp:effectExtent b="0" l="0" r="0" t="0"/>
            <wp:docPr descr="C:\Users\Hp\Downloads\Fwd Assignment ID is GAETRE140726A5 (LCHS4003 Portfolio-2 Takes 1500 words)\Screenshot (22).png" id="2" name="image2.png"/>
            <a:graphic>
              <a:graphicData uri="http://schemas.openxmlformats.org/drawingml/2006/picture">
                <pic:pic>
                  <pic:nvPicPr>
                    <pic:cNvPr descr="C:\Users\Hp\Downloads\Fwd Assignment ID is GAETRE140726A5 (LCHS4003 Portfolio-2 Takes 1500 words)\Screenshot (22).png" id="0" name="image2.png"/>
                    <pic:cNvPicPr preferRelativeResize="0"/>
                  </pic:nvPicPr>
                  <pic:blipFill>
                    <a:blip r:embed="rId8"/>
                    <a:srcRect b="0" l="0" r="0" t="0"/>
                    <a:stretch>
                      <a:fillRect/>
                    </a:stretch>
                  </pic:blipFill>
                  <pic:spPr>
                    <a:xfrm>
                      <a:off x="0" y="0"/>
                      <a:ext cx="5731510" cy="3223974"/>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b w:val="0"/>
          <w:bCs w:val="0"/>
        </w:rPr>
      </w:pPr>
      <w:bookmarkStart w:colFirst="0" w:colLast="0" w:name="_heading=h.ggbu62294ozv" w:id="2"/>
      <w:bookmarkEnd w:id="2"/>
      <w:r w:rsidDel="00000000" w:rsidR="00000000" w:rsidRPr="00000000">
        <w:rPr>
          <w:rtl w:val="0"/>
        </w:rPr>
        <w:t xml:space="preserve">Element 2: Residential Care Homes in England</w:t>
      </w:r>
      <w:r w:rsidDel="00000000" w:rsidR="00000000" w:rsidRPr="00000000">
        <w:rPr>
          <w:rtl w:val="0"/>
        </w:rPr>
      </w:r>
    </w:p>
    <w:p w:rsidR="00000000" w:rsidDel="00000000" w:rsidP="00000000" w:rsidRDefault="00000000" w:rsidRPr="00000000" w14:paraId="00000015">
      <w:pPr>
        <w:spacing w:before="24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Introduction</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Residential care is the provision of support and supervision to adults who are not able to live independently in a safe and secure environment; they live in accommodation with access to personal care services. They should not be judged by the way and the frequency with which they are used, or by their cost-reduction capability, but rather by their ability to maintain rights, autonomy and attain an acceptable quality of life as a care.</w:t>
      </w:r>
    </w:p>
    <w:p w:rsidR="00000000" w:rsidDel="00000000" w:rsidP="00000000" w:rsidRDefault="00000000" w:rsidRPr="00000000" w14:paraId="00000017">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Origins and Historical Development</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Early efforts to deal with "uncontrollable" children were in almshouses, which were later replaced by Poor Law care, or Poors' and workhouses, for which the level of care was limited to conditions and was focused on institutional control. (There was a tendency to limit care when a child became “uncontrollable”). The 20th century saw a shift in the focus of welfare to public agencies and welfare-oriented providers. Current vision is not on containment, but dignity, choice, independence and participation. From a rights-based point of view, however, a transition remains incomplete due to its disconnections in funding. However, parliamentary research indicates that adult social care is not as “politically salient” as healthcare, and so has not been reformed or invested in as consistently (Adult Social Care Committee, 2022).</w:t>
      </w:r>
    </w:p>
    <w:p w:rsidR="00000000" w:rsidDel="00000000" w:rsidP="00000000" w:rsidRDefault="00000000" w:rsidRPr="00000000" w14:paraId="00000019">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Current Functioning and Critical Evaluation</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 is usually via a needs assessment or a hospital discharge process and/or family decision and privately arranged placement. Plans for providers are made, including plans for care and support with personal hygiene, moving around, eating and drinking, medicine, communication, protecting and promoting the individual from harm and helping them to be more part of society. Plans need to be, and can be, effective. Plans must be, and can be, effective – with residents! Despite Government reform policy pledges of care based on personalised and integrated care, this would need joint working by councils, health professionals and the NHS at a local level that could also involve working together across different aspects and funding (Department of Health and Social Care, 2023).</w:t>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Care Quality Commission ensures services are safe, effective, caring, responsive and well-led. Regulation sets out the accountability, but if the management or staffing is not stable, then inspection will not ensure that the quality is sustained day to day. In 2023/24, 45% of the delays to people in acute hospitals for 14 days or longer were delays to access to care-home or home-based care. This translates to the NHS and wards being hampered and its people with unnecessary hospital admissions because of a lack of capacity in social care (Care Quality Commission, 2024).</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Continuity &amp; safety are directly related to workforce conditions. In 2024/25, the vacancy rate for residential care was 4.4% – lower than all major adult social-care settings, although the point should not be overlooked that the amount of vacancies is a way of understating turnover, sickness, levels of skill mix and the use of overseas recruitment (Skills for Care, 2025). Research in English care homes has also determined that more staff does not equal better care, unless the roles, competence and deployment of these staff are appropriate for the care homes' residents (Charlwood et al., 2024).</w:t>
      </w:r>
    </w:p>
    <w:p w:rsidR="00000000" w:rsidDel="00000000" w:rsidP="00000000" w:rsidRDefault="00000000" w:rsidRPr="00000000" w14:paraId="0000001D">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Contribution to Quality of Life</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Residential care will make residential care of the resident safer, provide better nutritional care, better drug management and better access to professionals. Its more powerful effect is relational, reduces isolation, and saves identities through knowing familiar staff, having meaningful activities and having supported choices. Entry into the facility can also result in grieving, a feeling of helplessness, and loss of control if residents are not directly involved in any decision-making processes. Lastly, evidence from transitioning to residential care contributes to preparing and engaging families and making the transition to residential care, but it doesn't assume that when someone enters care, their vulnerability is solved. (Scott et al., 2024).</w:t>
      </w:r>
    </w:p>
    <w:p w:rsidR="00000000" w:rsidDel="00000000" w:rsidP="00000000" w:rsidRDefault="00000000" w:rsidRPr="00000000" w14:paraId="0000001F">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Conclusion</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Residential care does not provide for high-quality care of individuals, and for many with more extensive support needs, this is necessary. This is based on good staffing levels, effective management, involved leadership and real choice, which focus on promoting residents' autonomy and health and wellbeing through a focus on their health and everyday life.</w:t>
      </w:r>
      <w:r w:rsidDel="00000000" w:rsidR="00000000" w:rsidRPr="00000000">
        <w:br w:type="page"/>
      </w: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References</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Adult Social Care Committee (2022) </w:t>
      </w:r>
      <w:r w:rsidDel="00000000" w:rsidR="00000000" w:rsidRPr="00000000">
        <w:rPr>
          <w:rFonts w:ascii="Times New Roman" w:cs="Times New Roman" w:eastAsia="Times New Roman" w:hAnsi="Times New Roman"/>
          <w:i w:val="1"/>
          <w:iCs w:val="1"/>
          <w:sz w:val="24"/>
          <w:szCs w:val="24"/>
          <w:rtl w:val="0"/>
        </w:rPr>
        <w:t xml:space="preserve">Ordered to be printed 21 November 2022 and published 8 December 2022</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House of Lords Adult Social Care Committee</w:t>
      </w:r>
      <w:r w:rsidDel="00000000" w:rsidR="00000000" w:rsidRPr="00000000">
        <w:rPr>
          <w:rFonts w:ascii="Times New Roman" w:cs="Times New Roman" w:eastAsia="Times New Roman" w:hAnsi="Times New Roman"/>
          <w:sz w:val="24"/>
          <w:szCs w:val="24"/>
          <w:rtl w:val="0"/>
        </w:rPr>
        <w:t xml:space="preserve">. Available at: https://committees.parliament.uk/publications/31917/documents/193737/default/ (Accessed: 13 July 2026).</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Quality Commission (2024) </w:t>
      </w:r>
      <w:r w:rsidDel="00000000" w:rsidR="00000000" w:rsidRPr="00000000">
        <w:rPr>
          <w:rFonts w:ascii="Times New Roman" w:cs="Times New Roman" w:eastAsia="Times New Roman" w:hAnsi="Times New Roman"/>
          <w:i w:val="1"/>
          <w:iCs w:val="1"/>
          <w:sz w:val="24"/>
          <w:szCs w:val="24"/>
          <w:rtl w:val="0"/>
        </w:rPr>
        <w:t xml:space="preserve">State of Health and Adult Social Care in england: 2023 to 2024 - gov.uk</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GOV.UK</w:t>
      </w:r>
      <w:r w:rsidDel="00000000" w:rsidR="00000000" w:rsidRPr="00000000">
        <w:rPr>
          <w:rFonts w:ascii="Times New Roman" w:cs="Times New Roman" w:eastAsia="Times New Roman" w:hAnsi="Times New Roman"/>
          <w:sz w:val="24"/>
          <w:szCs w:val="24"/>
          <w:rtl w:val="0"/>
        </w:rPr>
        <w:t xml:space="preserve">. Available at: https://www.gov.uk/government/publications/state-of-health-and-adult-social-care-in-england-2023-to-2024 (Accessed: 13 July 2026).</w:t>
      </w:r>
    </w:p>
    <w:p w:rsidR="00000000" w:rsidDel="00000000" w:rsidP="00000000" w:rsidRDefault="00000000" w:rsidRPr="00000000" w14:paraId="00000024">
      <w:pPr>
        <w:spacing w:line="360" w:lineRule="auto"/>
        <w:jc w:val="both"/>
        <w:rPr/>
      </w:pPr>
      <w:r w:rsidDel="00000000" w:rsidR="00000000" w:rsidRPr="00000000">
        <w:rPr>
          <w:rFonts w:ascii="Times New Roman" w:cs="Times New Roman" w:eastAsia="Times New Roman" w:hAnsi="Times New Roman"/>
          <w:color w:val="222222"/>
          <w:sz w:val="24"/>
          <w:szCs w:val="24"/>
          <w:highlight w:val="white"/>
          <w:rtl w:val="0"/>
        </w:rPr>
        <w:t xml:space="preserve">Charlwood, A., Valizade, D., Schreuders, L.W., Thompson, C., Glover, M., Gage, H., Alldred, D., Pearson, C., Kerry, J. and Spilsbury, K., 2024. Workforce thresholds and the non-linear association between registered nurse staffing and care quality in long-term residential care: A retrospective longitudinal study of English care homes with nursing. </w:t>
      </w:r>
      <w:r w:rsidDel="00000000" w:rsidR="00000000" w:rsidRPr="00000000">
        <w:rPr>
          <w:rFonts w:ascii="Times New Roman" w:cs="Times New Roman" w:eastAsia="Times New Roman" w:hAnsi="Times New Roman"/>
          <w:i w:val="1"/>
          <w:iCs w:val="1"/>
          <w:color w:val="222222"/>
          <w:sz w:val="24"/>
          <w:szCs w:val="24"/>
          <w:highlight w:val="white"/>
          <w:rtl w:val="0"/>
        </w:rPr>
        <w:t xml:space="preserve">International journal of nursing studies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157</w:t>
      </w:r>
      <w:r w:rsidDel="00000000" w:rsidR="00000000" w:rsidRPr="00000000">
        <w:rPr>
          <w:rFonts w:ascii="Times New Roman" w:cs="Times New Roman" w:eastAsia="Times New Roman" w:hAnsi="Times New Roman"/>
          <w:color w:val="222222"/>
          <w:sz w:val="24"/>
          <w:szCs w:val="24"/>
          <w:highlight w:val="white"/>
          <w:rtl w:val="0"/>
        </w:rPr>
        <w:t xml:space="preserve">, p.104815.</w:t>
      </w:r>
      <w:r w:rsidDel="00000000" w:rsidR="00000000" w:rsidRPr="00000000">
        <w:rPr>
          <w:rFonts w:ascii="Times New Roman" w:cs="Times New Roman" w:eastAsia="Times New Roman" w:hAnsi="Times New Roman"/>
          <w:sz w:val="24"/>
          <w:szCs w:val="24"/>
          <w:rtl w:val="0"/>
        </w:rPr>
        <w:t xml:space="preserve"> 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https://www.sciencedirect.com/science/article/abs/pii/S0020748924001275</w:t>
        </w:r>
      </w:hyperlink>
      <w:r w:rsidDel="00000000" w:rsidR="00000000" w:rsidRPr="00000000">
        <w:rPr>
          <w:rFonts w:ascii="Times New Roman" w:cs="Times New Roman" w:eastAsia="Times New Roman" w:hAnsi="Times New Roman"/>
          <w:sz w:val="24"/>
          <w:szCs w:val="24"/>
          <w:rtl w:val="0"/>
        </w:rPr>
        <w:t xml:space="preserve"> (Accessed: 13 July 2026).</w:t>
      </w: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of Health and Social Care (2023) </w:t>
      </w:r>
      <w:r w:rsidDel="00000000" w:rsidR="00000000" w:rsidRPr="00000000">
        <w:rPr>
          <w:rFonts w:ascii="Times New Roman" w:cs="Times New Roman" w:eastAsia="Times New Roman" w:hAnsi="Times New Roman"/>
          <w:i w:val="1"/>
          <w:iCs w:val="1"/>
          <w:sz w:val="24"/>
          <w:szCs w:val="24"/>
          <w:rtl w:val="0"/>
        </w:rPr>
        <w:t xml:space="preserve">Next steps to put people at the heart of care - gov.uk</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GOV.UK</w:t>
      </w:r>
      <w:r w:rsidDel="00000000" w:rsidR="00000000" w:rsidRPr="00000000">
        <w:rPr>
          <w:rFonts w:ascii="Times New Roman" w:cs="Times New Roman" w:eastAsia="Times New Roman" w:hAnsi="Times New Roman"/>
          <w:sz w:val="24"/>
          <w:szCs w:val="24"/>
          <w:rtl w:val="0"/>
        </w:rPr>
        <w:t xml:space="preserve">. Available at: https://www.gov.uk/government/publications/adult-social-care-system-reform-next-steps-to-put-people-at-the-heart-of-care/next-steps-to-put-people-at-the-heart-of-care (Accessed: 13 July 2026).</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Skills for Care (2025) </w:t>
      </w:r>
      <w:r w:rsidDel="00000000" w:rsidR="00000000" w:rsidRPr="00000000">
        <w:rPr>
          <w:rFonts w:ascii="Times New Roman" w:cs="Times New Roman" w:eastAsia="Times New Roman" w:hAnsi="Times New Roman"/>
          <w:i w:val="1"/>
          <w:iCs w:val="1"/>
          <w:sz w:val="24"/>
          <w:szCs w:val="24"/>
          <w:rtl w:val="0"/>
        </w:rPr>
        <w:t xml:space="preserve">The state of the adult social care sector and workforce in England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Skills for Care</w:t>
      </w:r>
      <w:r w:rsidDel="00000000" w:rsidR="00000000" w:rsidRPr="00000000">
        <w:rPr>
          <w:rFonts w:ascii="Times New Roman" w:cs="Times New Roman" w:eastAsia="Times New Roman" w:hAnsi="Times New Roman"/>
          <w:sz w:val="24"/>
          <w:szCs w:val="24"/>
          <w:rtl w:val="0"/>
        </w:rPr>
        <w:t xml:space="preserve">. Available at: https://www.skillsforcare.org.uk/Adult-Social-Care-Workforce-Data/workforceintelligence/resources/Reports/National/The-state-of-the-adult-social-care-sector-and-workforce-in-England-2025-Executive-Summary.pdf (Accessed: 13 July 2026).</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Times New Roman" w:cs="Times New Roman" w:eastAsia="Times New Roman" w:hAnsi="Times New Roman"/>
      <w:b w:val="1"/>
      <w:bCs w:val="1"/>
      <w:sz w:val="28"/>
      <w:szCs w:val="2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iencedirect.com/science/article/abs/pii/S0020748924001275"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PgPms9+4VT8HoPILVTTpb2laow==">CgMxLjAyDmguc2wzd24ydXd0a2NvMg5oLnNtY3RwZzNwdmh5czIOaC5nZ2J1NjIyOTRvenY4AHIhMVRLSDBUMS1CTWJsZEIyYS1wRm1xT2VPM0EyYjZxcHJS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