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C9E58" w14:textId="4C124983" w:rsidR="00E104ED" w:rsidRDefault="00E62A19" w:rsidP="00821506">
      <w:pPr>
        <w:shd w:val="clear" w:color="auto" w:fill="FFFFFF"/>
        <w:rPr>
          <w:rFonts w:eastAsia="Times New Roman" w:cs="Segoe UI"/>
          <w:color w:val="1D2125"/>
          <w:lang w:eastAsia="en-GB"/>
        </w:rPr>
      </w:pPr>
      <w:r w:rsidRPr="00821506">
        <w:rPr>
          <w:rFonts w:eastAsia="Times New Roman" w:cs="Segoe UI"/>
          <w:b/>
          <w:bCs/>
          <w:color w:val="1D2125"/>
          <w:lang w:eastAsia="en-GB"/>
        </w:rPr>
        <w:t>Does John have any interest in Jesus as a historical figure?</w:t>
      </w:r>
    </w:p>
    <w:p w14:paraId="14988086" w14:textId="77777777" w:rsidR="00821506" w:rsidRDefault="00821506" w:rsidP="00821506">
      <w:pPr>
        <w:shd w:val="clear" w:color="auto" w:fill="FFFFFF"/>
        <w:rPr>
          <w:rFonts w:eastAsia="Times New Roman" w:cs="Segoe UI"/>
          <w:color w:val="1D2125"/>
          <w:lang w:eastAsia="en-GB"/>
        </w:rPr>
      </w:pPr>
    </w:p>
    <w:p w14:paraId="4C2F7616" w14:textId="1D9DA552" w:rsidR="00821506" w:rsidRDefault="00F63638" w:rsidP="00821506">
      <w:pPr>
        <w:shd w:val="clear" w:color="auto" w:fill="FFFFFF"/>
        <w:rPr>
          <w:rFonts w:eastAsia="Times New Roman" w:cs="Segoe UI"/>
          <w:color w:val="1D2125"/>
          <w:lang w:eastAsia="en-GB"/>
        </w:rPr>
      </w:pPr>
      <w:r>
        <w:rPr>
          <w:rFonts w:eastAsia="Times New Roman" w:cs="Segoe UI"/>
          <w:color w:val="1D2125"/>
          <w:lang w:eastAsia="en-GB"/>
        </w:rPr>
        <w:t>‘What is truth</w:t>
      </w:r>
      <w:r w:rsidR="00176A67">
        <w:rPr>
          <w:rFonts w:eastAsia="Times New Roman" w:cs="Segoe UI"/>
          <w:color w:val="1D2125"/>
          <w:lang w:eastAsia="en-GB"/>
        </w:rPr>
        <w:t>?</w:t>
      </w:r>
      <w:r>
        <w:rPr>
          <w:rFonts w:eastAsia="Times New Roman" w:cs="Segoe UI"/>
          <w:color w:val="1D2125"/>
          <w:lang w:eastAsia="en-GB"/>
        </w:rPr>
        <w:t xml:space="preserve">’ Pilate is said to </w:t>
      </w:r>
      <w:r w:rsidR="00176A67">
        <w:rPr>
          <w:rFonts w:eastAsia="Times New Roman" w:cs="Segoe UI"/>
          <w:color w:val="1D2125"/>
          <w:lang w:eastAsia="en-GB"/>
        </w:rPr>
        <w:t xml:space="preserve">have </w:t>
      </w:r>
      <w:r>
        <w:rPr>
          <w:rFonts w:eastAsia="Times New Roman" w:cs="Segoe UI"/>
          <w:color w:val="1D2125"/>
          <w:lang w:eastAsia="en-GB"/>
        </w:rPr>
        <w:t>ask</w:t>
      </w:r>
      <w:r w:rsidR="00176A67">
        <w:rPr>
          <w:rFonts w:eastAsia="Times New Roman" w:cs="Segoe UI"/>
          <w:color w:val="1D2125"/>
          <w:lang w:eastAsia="en-GB"/>
        </w:rPr>
        <w:t xml:space="preserve">ed </w:t>
      </w:r>
      <w:r>
        <w:rPr>
          <w:rFonts w:eastAsia="Times New Roman" w:cs="Segoe UI"/>
          <w:color w:val="1D2125"/>
          <w:lang w:eastAsia="en-GB"/>
        </w:rPr>
        <w:t>Jesus in John’s Gospel (</w:t>
      </w:r>
      <w:r w:rsidR="00176A67">
        <w:rPr>
          <w:rFonts w:eastAsia="Times New Roman" w:cs="Segoe UI"/>
          <w:color w:val="1D2125"/>
          <w:lang w:eastAsia="en-GB"/>
        </w:rPr>
        <w:t xml:space="preserve">18:38). The irony is inescapable: on the one occasion in the gospel when dialogue can certainly </w:t>
      </w:r>
      <w:r w:rsidR="00176A67" w:rsidRPr="00176A67">
        <w:rPr>
          <w:rFonts w:eastAsia="Times New Roman" w:cs="Segoe UI"/>
          <w:i/>
          <w:iCs/>
          <w:color w:val="1D2125"/>
          <w:lang w:eastAsia="en-GB"/>
        </w:rPr>
        <w:t>not</w:t>
      </w:r>
      <w:r w:rsidR="00176A67">
        <w:rPr>
          <w:rFonts w:eastAsia="Times New Roman" w:cs="Segoe UI"/>
          <w:color w:val="1D2125"/>
          <w:lang w:eastAsia="en-GB"/>
        </w:rPr>
        <w:t xml:space="preserve"> have been witnessed</w:t>
      </w:r>
      <w:r w:rsidR="00176A67">
        <w:rPr>
          <w:rStyle w:val="FootnoteReference"/>
          <w:rFonts w:eastAsia="Times New Roman" w:cs="Segoe UI"/>
          <w:color w:val="1D2125"/>
          <w:lang w:eastAsia="en-GB"/>
        </w:rPr>
        <w:footnoteReference w:id="1"/>
      </w:r>
      <w:r w:rsidR="00176A67">
        <w:rPr>
          <w:rFonts w:eastAsia="Times New Roman" w:cs="Segoe UI"/>
          <w:color w:val="1D2125"/>
          <w:lang w:eastAsia="en-GB"/>
        </w:rPr>
        <w:t>, the topic turns to veracity</w:t>
      </w:r>
      <w:r w:rsidR="00176A67">
        <w:rPr>
          <w:rStyle w:val="FootnoteReference"/>
          <w:rFonts w:eastAsia="Times New Roman" w:cs="Segoe UI"/>
          <w:color w:val="1D2125"/>
          <w:lang w:eastAsia="en-GB"/>
        </w:rPr>
        <w:footnoteReference w:id="2"/>
      </w:r>
      <w:r w:rsidR="00176A67">
        <w:rPr>
          <w:rFonts w:eastAsia="Times New Roman" w:cs="Segoe UI"/>
          <w:color w:val="1D2125"/>
          <w:lang w:eastAsia="en-GB"/>
        </w:rPr>
        <w:t xml:space="preserve">. </w:t>
      </w:r>
      <w:r w:rsidR="00135EA5">
        <w:rPr>
          <w:rFonts w:eastAsia="Times New Roman" w:cs="Segoe UI"/>
          <w:color w:val="1D2125"/>
          <w:lang w:eastAsia="en-GB"/>
        </w:rPr>
        <w:t>And i</w:t>
      </w:r>
      <w:r w:rsidR="00FC5217">
        <w:rPr>
          <w:rFonts w:eastAsia="Times New Roman" w:cs="Segoe UI"/>
          <w:color w:val="1D2125"/>
          <w:lang w:eastAsia="en-GB"/>
        </w:rPr>
        <w:t xml:space="preserve">f </w:t>
      </w:r>
      <w:r w:rsidR="00135EA5">
        <w:rPr>
          <w:rFonts w:eastAsia="Times New Roman" w:cs="Segoe UI"/>
          <w:color w:val="1D2125"/>
          <w:lang w:eastAsia="en-GB"/>
        </w:rPr>
        <w:t xml:space="preserve">it is </w:t>
      </w:r>
      <w:r w:rsidR="00FC5217">
        <w:rPr>
          <w:rFonts w:eastAsia="Times New Roman" w:cs="Segoe UI"/>
          <w:color w:val="1D2125"/>
          <w:lang w:eastAsia="en-GB"/>
        </w:rPr>
        <w:t xml:space="preserve">indeed ironic, </w:t>
      </w:r>
      <w:r w:rsidR="00135EA5">
        <w:rPr>
          <w:rFonts w:eastAsia="Times New Roman" w:cs="Segoe UI"/>
          <w:color w:val="1D2125"/>
          <w:lang w:eastAsia="en-GB"/>
        </w:rPr>
        <w:t>this</w:t>
      </w:r>
      <w:r w:rsidR="00FC5217">
        <w:rPr>
          <w:rFonts w:eastAsia="Times New Roman" w:cs="Segoe UI"/>
          <w:color w:val="1D2125"/>
          <w:lang w:eastAsia="en-GB"/>
        </w:rPr>
        <w:t xml:space="preserve"> may suggest that John has an acute sensitivity to the </w:t>
      </w:r>
      <w:r w:rsidR="00BE3243">
        <w:rPr>
          <w:rFonts w:eastAsia="Times New Roman" w:cs="Segoe UI"/>
          <w:color w:val="1D2125"/>
          <w:lang w:eastAsia="en-GB"/>
        </w:rPr>
        <w:t>historian’s craft</w:t>
      </w:r>
      <w:r w:rsidR="00B64D81">
        <w:rPr>
          <w:rFonts w:eastAsia="Times New Roman" w:cs="Segoe UI"/>
          <w:color w:val="1D2125"/>
          <w:lang w:eastAsia="en-GB"/>
        </w:rPr>
        <w:t xml:space="preserve">, giving </w:t>
      </w:r>
      <w:r w:rsidR="00FC5217">
        <w:rPr>
          <w:rFonts w:eastAsia="Times New Roman" w:cs="Segoe UI"/>
          <w:color w:val="1D2125"/>
          <w:lang w:eastAsia="en-GB"/>
        </w:rPr>
        <w:t xml:space="preserve">the lie to the conventional wisdom that John’s is purely a </w:t>
      </w:r>
      <w:r w:rsidR="000D0474">
        <w:rPr>
          <w:rFonts w:eastAsia="Times New Roman" w:cs="Segoe UI"/>
          <w:color w:val="1D2125"/>
          <w:lang w:eastAsia="en-GB"/>
        </w:rPr>
        <w:t>theological interest in Jesus</w:t>
      </w:r>
      <w:r w:rsidR="00E15EE2">
        <w:rPr>
          <w:rStyle w:val="FootnoteReference"/>
          <w:rFonts w:eastAsia="Times New Roman" w:cs="Segoe UI"/>
          <w:color w:val="1D2125"/>
          <w:lang w:eastAsia="en-GB"/>
        </w:rPr>
        <w:footnoteReference w:id="3"/>
      </w:r>
      <w:r w:rsidR="00FC5217">
        <w:rPr>
          <w:rFonts w:eastAsia="Times New Roman" w:cs="Segoe UI"/>
          <w:color w:val="1D2125"/>
          <w:lang w:eastAsia="en-GB"/>
        </w:rPr>
        <w:t xml:space="preserve">. The aim </w:t>
      </w:r>
      <w:r w:rsidR="00B64D81">
        <w:rPr>
          <w:rFonts w:eastAsia="Times New Roman" w:cs="Segoe UI"/>
          <w:color w:val="1D2125"/>
          <w:lang w:eastAsia="en-GB"/>
        </w:rPr>
        <w:t xml:space="preserve">here </w:t>
      </w:r>
      <w:r w:rsidR="00FC5217">
        <w:rPr>
          <w:rFonts w:eastAsia="Times New Roman" w:cs="Segoe UI"/>
          <w:color w:val="1D2125"/>
          <w:lang w:eastAsia="en-GB"/>
        </w:rPr>
        <w:t xml:space="preserve">is </w:t>
      </w:r>
      <w:r w:rsidR="00135EA5">
        <w:rPr>
          <w:rFonts w:eastAsia="Times New Roman" w:cs="Segoe UI"/>
          <w:color w:val="1D2125"/>
          <w:lang w:eastAsia="en-GB"/>
        </w:rPr>
        <w:t>to</w:t>
      </w:r>
      <w:r w:rsidR="00FC5217">
        <w:rPr>
          <w:rFonts w:eastAsia="Times New Roman" w:cs="Segoe UI"/>
          <w:color w:val="1D2125"/>
          <w:lang w:eastAsia="en-GB"/>
        </w:rPr>
        <w:t xml:space="preserve"> review </w:t>
      </w:r>
      <w:r w:rsidR="00B64D81">
        <w:rPr>
          <w:rFonts w:eastAsia="Times New Roman" w:cs="Segoe UI"/>
          <w:color w:val="1D2125"/>
          <w:lang w:eastAsia="en-GB"/>
        </w:rPr>
        <w:t xml:space="preserve">the question of </w:t>
      </w:r>
      <w:r w:rsidR="00FC5217">
        <w:rPr>
          <w:rFonts w:eastAsia="Times New Roman" w:cs="Segoe UI"/>
          <w:color w:val="1D2125"/>
          <w:lang w:eastAsia="en-GB"/>
        </w:rPr>
        <w:t xml:space="preserve">John’s historicity </w:t>
      </w:r>
      <w:r w:rsidR="00B64D81">
        <w:rPr>
          <w:rFonts w:eastAsia="Times New Roman" w:cs="Segoe UI"/>
          <w:color w:val="1D2125"/>
          <w:lang w:eastAsia="en-GB"/>
        </w:rPr>
        <w:t>over</w:t>
      </w:r>
      <w:r w:rsidR="00FC5217">
        <w:rPr>
          <w:rFonts w:eastAsia="Times New Roman" w:cs="Segoe UI"/>
          <w:color w:val="1D2125"/>
          <w:lang w:eastAsia="en-GB"/>
        </w:rPr>
        <w:t xml:space="preserve"> a range of </w:t>
      </w:r>
      <w:r w:rsidR="00B64D81">
        <w:rPr>
          <w:rFonts w:eastAsia="Times New Roman" w:cs="Segoe UI"/>
          <w:color w:val="1D2125"/>
          <w:lang w:eastAsia="en-GB"/>
        </w:rPr>
        <w:t xml:space="preserve">recent studies and </w:t>
      </w:r>
      <w:r w:rsidR="00FC5217">
        <w:rPr>
          <w:rFonts w:eastAsia="Times New Roman" w:cs="Segoe UI"/>
          <w:color w:val="1D2125"/>
          <w:lang w:eastAsia="en-GB"/>
        </w:rPr>
        <w:t>methodologies</w:t>
      </w:r>
      <w:r w:rsidR="00135EA5">
        <w:rPr>
          <w:rFonts w:eastAsia="Times New Roman" w:cs="Segoe UI"/>
          <w:color w:val="1D2125"/>
          <w:lang w:eastAsia="en-GB"/>
        </w:rPr>
        <w:t>;</w:t>
      </w:r>
      <w:r w:rsidR="00FC5217">
        <w:rPr>
          <w:rFonts w:eastAsia="Times New Roman" w:cs="Segoe UI"/>
          <w:color w:val="1D2125"/>
          <w:lang w:eastAsia="en-GB"/>
        </w:rPr>
        <w:t xml:space="preserve"> </w:t>
      </w:r>
      <w:r w:rsidR="00135EA5">
        <w:rPr>
          <w:rFonts w:eastAsia="Times New Roman" w:cs="Segoe UI"/>
          <w:color w:val="1D2125"/>
          <w:lang w:eastAsia="en-GB"/>
        </w:rPr>
        <w:t xml:space="preserve">and, </w:t>
      </w:r>
      <w:r w:rsidR="00B64D81">
        <w:rPr>
          <w:rFonts w:eastAsia="Times New Roman" w:cs="Segoe UI"/>
          <w:color w:val="1D2125"/>
          <w:lang w:eastAsia="en-GB"/>
        </w:rPr>
        <w:t>facing down</w:t>
      </w:r>
      <w:r w:rsidR="00135EA5">
        <w:rPr>
          <w:rFonts w:eastAsia="Times New Roman" w:cs="Segoe UI"/>
          <w:color w:val="1D2125"/>
          <w:lang w:eastAsia="en-GB"/>
        </w:rPr>
        <w:t xml:space="preserve"> a residual reluctance from many scholars to acknowledge John as more reliable than the Synoptics, to propose</w:t>
      </w:r>
      <w:r w:rsidR="00B64D81">
        <w:rPr>
          <w:rFonts w:eastAsia="Times New Roman" w:cs="Segoe UI"/>
          <w:color w:val="1D2125"/>
          <w:lang w:eastAsia="en-GB"/>
        </w:rPr>
        <w:t xml:space="preserve"> an alternative view: that, if the faith is to stand, John </w:t>
      </w:r>
      <w:r w:rsidR="00CD4FF2">
        <w:rPr>
          <w:rFonts w:eastAsia="Times New Roman" w:cs="Segoe UI"/>
          <w:color w:val="1D2125"/>
          <w:lang w:eastAsia="en-GB"/>
        </w:rPr>
        <w:t xml:space="preserve">in fact felt </w:t>
      </w:r>
      <w:r w:rsidR="00B64D81">
        <w:rPr>
          <w:rFonts w:eastAsia="Times New Roman" w:cs="Segoe UI"/>
          <w:color w:val="1D2125"/>
          <w:lang w:eastAsia="en-GB"/>
        </w:rPr>
        <w:t>compelled to write a history of Jesus (despite, as we shall see, the constraints of the subject matter)</w:t>
      </w:r>
      <w:r w:rsidR="00BE3243">
        <w:rPr>
          <w:rFonts w:eastAsia="Times New Roman" w:cs="Segoe UI"/>
          <w:color w:val="1D2125"/>
          <w:lang w:eastAsia="en-GB"/>
        </w:rPr>
        <w:t>.</w:t>
      </w:r>
      <w:r w:rsidR="00B64D81">
        <w:rPr>
          <w:rFonts w:eastAsia="Times New Roman" w:cs="Segoe UI"/>
          <w:color w:val="1D2125"/>
          <w:lang w:eastAsia="en-GB"/>
        </w:rPr>
        <w:t xml:space="preserve"> </w:t>
      </w:r>
      <w:r w:rsidR="00BE3243">
        <w:rPr>
          <w:rFonts w:eastAsia="Times New Roman" w:cs="Segoe UI"/>
          <w:color w:val="1D2125"/>
          <w:lang w:eastAsia="en-GB"/>
        </w:rPr>
        <w:t>And that that is because</w:t>
      </w:r>
      <w:r w:rsidR="00B64D81">
        <w:rPr>
          <w:rFonts w:eastAsia="Times New Roman" w:cs="Segoe UI"/>
          <w:color w:val="1D2125"/>
          <w:lang w:eastAsia="en-GB"/>
        </w:rPr>
        <w:t xml:space="preserve"> </w:t>
      </w:r>
      <w:r w:rsidR="00BE3243">
        <w:rPr>
          <w:rFonts w:eastAsia="Times New Roman" w:cs="Segoe UI"/>
          <w:color w:val="1D2125"/>
          <w:lang w:eastAsia="en-GB"/>
        </w:rPr>
        <w:t>there would otherwise be no basis whatsoever for his theology.</w:t>
      </w:r>
      <w:r w:rsidR="00B64D81">
        <w:rPr>
          <w:rFonts w:eastAsia="Times New Roman" w:cs="Segoe UI"/>
          <w:color w:val="1D2125"/>
          <w:lang w:eastAsia="en-GB"/>
        </w:rPr>
        <w:t xml:space="preserve"> </w:t>
      </w:r>
    </w:p>
    <w:p w14:paraId="73F886AB" w14:textId="77777777" w:rsidR="00491765" w:rsidRDefault="00491765" w:rsidP="00821506">
      <w:pPr>
        <w:shd w:val="clear" w:color="auto" w:fill="FFFFFF"/>
        <w:rPr>
          <w:rFonts w:eastAsia="Times New Roman" w:cs="Segoe UI"/>
          <w:color w:val="1D2125"/>
          <w:lang w:eastAsia="en-GB"/>
        </w:rPr>
      </w:pPr>
    </w:p>
    <w:p w14:paraId="174F5484" w14:textId="4ACCAB00" w:rsidR="00CB282D" w:rsidRPr="00CB282D" w:rsidRDefault="00CB282D" w:rsidP="00821506">
      <w:pPr>
        <w:shd w:val="clear" w:color="auto" w:fill="FFFFFF"/>
        <w:rPr>
          <w:rFonts w:eastAsia="Times New Roman" w:cs="Segoe UI"/>
          <w:b/>
          <w:bCs/>
          <w:color w:val="1D2125"/>
          <w:lang w:eastAsia="en-GB"/>
        </w:rPr>
      </w:pPr>
      <w:r w:rsidRPr="00CB282D">
        <w:rPr>
          <w:rFonts w:eastAsia="Times New Roman" w:cs="Segoe UI"/>
          <w:b/>
          <w:bCs/>
          <w:color w:val="1D2125"/>
          <w:lang w:eastAsia="en-GB"/>
        </w:rPr>
        <w:t>Eyewitness</w:t>
      </w:r>
      <w:r w:rsidR="00637E8E">
        <w:rPr>
          <w:rFonts w:eastAsia="Times New Roman" w:cs="Segoe UI"/>
          <w:b/>
          <w:bCs/>
          <w:color w:val="1D2125"/>
          <w:lang w:eastAsia="en-GB"/>
        </w:rPr>
        <w:t>es</w:t>
      </w:r>
    </w:p>
    <w:p w14:paraId="32FCC56C" w14:textId="05BF699E" w:rsidR="00491765" w:rsidRDefault="00491765" w:rsidP="0072734D">
      <w:pPr>
        <w:rPr>
          <w:rFonts w:eastAsia="Times New Roman" w:cs="Segoe UI"/>
          <w:color w:val="1D2125"/>
          <w:lang w:eastAsia="en-GB"/>
        </w:rPr>
      </w:pPr>
      <w:r>
        <w:rPr>
          <w:rFonts w:eastAsia="Times New Roman" w:cs="Segoe UI"/>
          <w:color w:val="1D2125"/>
          <w:lang w:eastAsia="en-GB"/>
        </w:rPr>
        <w:t xml:space="preserve">As Jens Schröter </w:t>
      </w:r>
      <w:r w:rsidR="0072734D">
        <w:rPr>
          <w:rFonts w:eastAsia="Times New Roman" w:cs="Segoe UI"/>
          <w:color w:val="1D2125"/>
          <w:lang w:eastAsia="en-GB"/>
        </w:rPr>
        <w:t>suggest</w:t>
      </w:r>
      <w:r>
        <w:rPr>
          <w:rFonts w:eastAsia="Times New Roman" w:cs="Segoe UI"/>
          <w:color w:val="1D2125"/>
          <w:lang w:eastAsia="en-GB"/>
        </w:rPr>
        <w:t>s</w:t>
      </w:r>
      <w:r>
        <w:rPr>
          <w:rStyle w:val="FootnoteReference"/>
          <w:rFonts w:eastAsia="Times New Roman" w:cs="Segoe UI"/>
          <w:color w:val="1D2125"/>
          <w:lang w:eastAsia="en-GB"/>
        </w:rPr>
        <w:footnoteReference w:id="4"/>
      </w:r>
      <w:r>
        <w:rPr>
          <w:rFonts w:eastAsia="Times New Roman" w:cs="Segoe UI"/>
          <w:color w:val="1D2125"/>
          <w:lang w:eastAsia="en-GB"/>
        </w:rPr>
        <w:t xml:space="preserve">, Bauckham’s aim in </w:t>
      </w:r>
      <w:r w:rsidRPr="00491765">
        <w:rPr>
          <w:rFonts w:eastAsia="Times New Roman" w:cs="Segoe UI"/>
          <w:i/>
          <w:iCs/>
          <w:color w:val="1D2125"/>
          <w:lang w:eastAsia="en-GB"/>
        </w:rPr>
        <w:t>Jesus and the Eyewitnesses: The Gospels as Eyewitness Testimony</w:t>
      </w:r>
      <w:r w:rsidR="0072734D" w:rsidRPr="0072734D">
        <w:rPr>
          <w:rStyle w:val="FootnoteReference"/>
          <w:rFonts w:eastAsia="Times New Roman" w:cs="Segoe UI"/>
          <w:color w:val="1D2125"/>
          <w:lang w:eastAsia="en-GB"/>
        </w:rPr>
        <w:footnoteReference w:id="5"/>
      </w:r>
      <w:r w:rsidR="0072734D">
        <w:rPr>
          <w:rFonts w:eastAsia="Times New Roman" w:cs="Segoe UI"/>
          <w:color w:val="1D2125"/>
          <w:lang w:eastAsia="en-GB"/>
        </w:rPr>
        <w:t xml:space="preserve">, is to tackle head-on the </w:t>
      </w:r>
      <w:r w:rsidR="00473627">
        <w:rPr>
          <w:rFonts w:eastAsia="Times New Roman" w:cs="Segoe UI"/>
          <w:color w:val="1D2125"/>
          <w:lang w:eastAsia="en-GB"/>
        </w:rPr>
        <w:t>divide</w:t>
      </w:r>
      <w:r w:rsidR="0072734D">
        <w:rPr>
          <w:rFonts w:eastAsia="Times New Roman" w:cs="Segoe UI"/>
          <w:color w:val="1D2125"/>
          <w:lang w:eastAsia="en-GB"/>
        </w:rPr>
        <w:t xml:space="preserve"> created by historical-critical exegesis between</w:t>
      </w:r>
      <w:r w:rsidR="00473627">
        <w:rPr>
          <w:rFonts w:eastAsia="Times New Roman" w:cs="Segoe UI"/>
          <w:color w:val="1D2125"/>
          <w:lang w:eastAsia="en-GB"/>
        </w:rPr>
        <w:t xml:space="preserve"> accounts of</w:t>
      </w:r>
      <w:r w:rsidR="0072734D">
        <w:rPr>
          <w:rFonts w:eastAsia="Times New Roman" w:cs="Segoe UI"/>
          <w:color w:val="1D2125"/>
          <w:lang w:eastAsia="en-GB"/>
        </w:rPr>
        <w:t xml:space="preserve"> </w:t>
      </w:r>
      <w:r w:rsidR="006E5904">
        <w:rPr>
          <w:rFonts w:eastAsia="Times New Roman" w:cs="Segoe UI"/>
          <w:color w:val="1D2125"/>
          <w:lang w:eastAsia="en-GB"/>
        </w:rPr>
        <w:t>Jesus’ ministry</w:t>
      </w:r>
      <w:r w:rsidR="0072734D">
        <w:rPr>
          <w:rFonts w:eastAsia="Times New Roman" w:cs="Segoe UI"/>
          <w:color w:val="1D2125"/>
          <w:lang w:eastAsia="en-GB"/>
        </w:rPr>
        <w:t xml:space="preserve"> and </w:t>
      </w:r>
      <w:r w:rsidR="006E5904">
        <w:rPr>
          <w:rFonts w:eastAsia="Times New Roman" w:cs="Segoe UI"/>
          <w:color w:val="1D2125"/>
          <w:lang w:eastAsia="en-GB"/>
        </w:rPr>
        <w:t xml:space="preserve">the object of post-resurrection faith </w:t>
      </w:r>
      <w:r w:rsidR="0072734D">
        <w:rPr>
          <w:rFonts w:eastAsia="Times New Roman" w:cs="Segoe UI"/>
          <w:color w:val="1D2125"/>
          <w:lang w:eastAsia="en-GB"/>
        </w:rPr>
        <w:t>(p196)</w:t>
      </w:r>
      <w:r w:rsidR="009F0E1E">
        <w:rPr>
          <w:rFonts w:eastAsia="Times New Roman" w:cs="Segoe UI"/>
          <w:color w:val="1D2125"/>
          <w:lang w:eastAsia="en-GB"/>
        </w:rPr>
        <w:t>.</w:t>
      </w:r>
      <w:r w:rsidR="00CB282D">
        <w:rPr>
          <w:rFonts w:eastAsia="Times New Roman" w:cs="Segoe UI"/>
          <w:color w:val="1D2125"/>
          <w:lang w:eastAsia="en-GB"/>
        </w:rPr>
        <w:t xml:space="preserve"> </w:t>
      </w:r>
      <w:r w:rsidR="006E5904">
        <w:rPr>
          <w:rFonts w:eastAsia="Times New Roman" w:cs="Segoe UI"/>
          <w:color w:val="1D2125"/>
          <w:lang w:eastAsia="en-GB"/>
        </w:rPr>
        <w:t>E</w:t>
      </w:r>
      <w:r w:rsidR="00CB282D">
        <w:rPr>
          <w:rFonts w:eastAsia="Times New Roman" w:cs="Segoe UI"/>
          <w:color w:val="1D2125"/>
          <w:lang w:eastAsia="en-GB"/>
        </w:rPr>
        <w:t xml:space="preserve">yewitness testimony might seem the authority </w:t>
      </w:r>
      <w:r w:rsidR="00CB282D">
        <w:rPr>
          <w:rFonts w:eastAsia="Times New Roman" w:cs="Segoe UI"/>
          <w:i/>
          <w:iCs/>
          <w:color w:val="1D2125"/>
          <w:lang w:eastAsia="en-GB"/>
        </w:rPr>
        <w:t xml:space="preserve">sans </w:t>
      </w:r>
      <w:proofErr w:type="spellStart"/>
      <w:r w:rsidR="00CB282D">
        <w:rPr>
          <w:rFonts w:eastAsia="Times New Roman" w:cs="Segoe UI"/>
          <w:i/>
          <w:iCs/>
          <w:color w:val="1D2125"/>
          <w:lang w:eastAsia="en-GB"/>
        </w:rPr>
        <w:t>pareil</w:t>
      </w:r>
      <w:proofErr w:type="spellEnd"/>
      <w:r w:rsidR="00CB282D">
        <w:rPr>
          <w:rFonts w:eastAsia="Times New Roman" w:cs="Segoe UI"/>
          <w:i/>
          <w:iCs/>
          <w:color w:val="1D2125"/>
          <w:lang w:eastAsia="en-GB"/>
        </w:rPr>
        <w:t xml:space="preserve"> </w:t>
      </w:r>
      <w:r w:rsidR="00CB282D">
        <w:rPr>
          <w:rFonts w:eastAsia="Times New Roman" w:cs="Segoe UI"/>
          <w:color w:val="1D2125"/>
          <w:lang w:eastAsia="en-GB"/>
        </w:rPr>
        <w:t>of historical study</w:t>
      </w:r>
      <w:r w:rsidR="00CB282D">
        <w:rPr>
          <w:rStyle w:val="FootnoteReference"/>
          <w:rFonts w:eastAsia="Times New Roman" w:cs="Segoe UI"/>
          <w:color w:val="1D2125"/>
          <w:lang w:eastAsia="en-GB"/>
        </w:rPr>
        <w:footnoteReference w:id="6"/>
      </w:r>
      <w:r w:rsidR="00CB282D">
        <w:rPr>
          <w:rFonts w:eastAsia="Times New Roman" w:cs="Segoe UI"/>
          <w:color w:val="1D2125"/>
          <w:lang w:eastAsia="en-GB"/>
        </w:rPr>
        <w:t>, but difficulties come in from all sides. Proximity in time and place to the reported events does not ensure reliability or authenticity.</w:t>
      </w:r>
      <w:r w:rsidR="009F0E1E">
        <w:rPr>
          <w:rFonts w:eastAsia="Times New Roman" w:cs="Segoe UI"/>
          <w:color w:val="1D2125"/>
          <w:lang w:eastAsia="en-GB"/>
        </w:rPr>
        <w:t xml:space="preserve"> Bauckham sets great store by the witness of the Twelve, but this certainty is subverted by </w:t>
      </w:r>
      <w:r w:rsidR="00852BA8">
        <w:rPr>
          <w:rFonts w:eastAsia="Times New Roman" w:cs="Segoe UI"/>
          <w:color w:val="1D2125"/>
          <w:lang w:eastAsia="en-GB"/>
        </w:rPr>
        <w:t>Schröter’s</w:t>
      </w:r>
      <w:r w:rsidR="009F0E1E">
        <w:rPr>
          <w:rFonts w:eastAsia="Times New Roman" w:cs="Segoe UI"/>
          <w:color w:val="1D2125"/>
          <w:lang w:eastAsia="en-GB"/>
        </w:rPr>
        <w:t xml:space="preserve"> suggestion that the Gospel writers may have invented the disciples and chosen their names for effect</w:t>
      </w:r>
      <w:r w:rsidR="00852BA8">
        <w:rPr>
          <w:rFonts w:eastAsia="Times New Roman" w:cs="Segoe UI"/>
          <w:color w:val="1D2125"/>
          <w:lang w:eastAsia="en-GB"/>
        </w:rPr>
        <w:t xml:space="preserve">: inventing </w:t>
      </w:r>
      <w:r w:rsidR="006E5904">
        <w:rPr>
          <w:rFonts w:eastAsia="Times New Roman" w:cs="Segoe UI"/>
          <w:color w:val="1D2125"/>
          <w:lang w:eastAsia="en-GB"/>
        </w:rPr>
        <w:t>names is what good novelists do</w:t>
      </w:r>
      <w:r w:rsidR="009F0E1E">
        <w:rPr>
          <w:rFonts w:eastAsia="Times New Roman" w:cs="Segoe UI"/>
          <w:color w:val="1D2125"/>
          <w:lang w:eastAsia="en-GB"/>
        </w:rPr>
        <w:t xml:space="preserve"> (p.202)</w:t>
      </w:r>
      <w:r w:rsidR="006E5904">
        <w:rPr>
          <w:rFonts w:eastAsia="Times New Roman" w:cs="Segoe UI"/>
          <w:color w:val="1D2125"/>
          <w:lang w:eastAsia="en-GB"/>
        </w:rPr>
        <w:t>, and, besides</w:t>
      </w:r>
      <w:r w:rsidR="009F0E1E">
        <w:rPr>
          <w:rFonts w:eastAsia="Times New Roman" w:cs="Segoe UI"/>
          <w:color w:val="1D2125"/>
          <w:lang w:eastAsia="en-GB"/>
        </w:rPr>
        <w:t>, those personally involved in events may not have a ‘critical distance’ from the events they describe (p.205)</w:t>
      </w:r>
      <w:r w:rsidR="009F0E1E">
        <w:rPr>
          <w:rStyle w:val="FootnoteReference"/>
          <w:rFonts w:eastAsia="Times New Roman" w:cs="Segoe UI"/>
          <w:color w:val="1D2125"/>
          <w:lang w:eastAsia="en-GB"/>
        </w:rPr>
        <w:footnoteReference w:id="7"/>
      </w:r>
      <w:r w:rsidR="009F0E1E">
        <w:rPr>
          <w:rFonts w:eastAsia="Times New Roman" w:cs="Segoe UI"/>
          <w:color w:val="1D2125"/>
          <w:lang w:eastAsia="en-GB"/>
        </w:rPr>
        <w:t xml:space="preserve">. </w:t>
      </w:r>
    </w:p>
    <w:p w14:paraId="66F88253" w14:textId="77777777" w:rsidR="009F0E1E" w:rsidRDefault="009F0E1E" w:rsidP="0072734D">
      <w:pPr>
        <w:rPr>
          <w:rFonts w:eastAsia="Times New Roman" w:cs="Segoe UI"/>
          <w:color w:val="1D2125"/>
          <w:lang w:eastAsia="en-GB"/>
        </w:rPr>
      </w:pPr>
    </w:p>
    <w:p w14:paraId="430BE215" w14:textId="06BF8C9F" w:rsidR="00A24E15" w:rsidRDefault="009F0E1E" w:rsidP="00E811E5">
      <w:pPr>
        <w:rPr>
          <w:rFonts w:eastAsia="Times New Roman" w:cs="Segoe UI"/>
          <w:color w:val="1D2125"/>
          <w:lang w:eastAsia="en-GB"/>
        </w:rPr>
      </w:pPr>
      <w:r>
        <w:rPr>
          <w:rFonts w:eastAsia="Times New Roman" w:cs="Segoe UI"/>
          <w:color w:val="1D2125"/>
          <w:lang w:eastAsia="en-GB"/>
        </w:rPr>
        <w:t xml:space="preserve">Bauckham </w:t>
      </w:r>
      <w:r w:rsidR="006E5904">
        <w:rPr>
          <w:rFonts w:eastAsia="Times New Roman" w:cs="Segoe UI"/>
          <w:color w:val="1D2125"/>
          <w:lang w:eastAsia="en-GB"/>
        </w:rPr>
        <w:t>takes</w:t>
      </w:r>
      <w:r>
        <w:rPr>
          <w:rFonts w:eastAsia="Times New Roman" w:cs="Segoe UI"/>
          <w:color w:val="1D2125"/>
          <w:lang w:eastAsia="en-GB"/>
        </w:rPr>
        <w:t xml:space="preserve"> Schröter to task</w:t>
      </w:r>
      <w:r>
        <w:rPr>
          <w:rStyle w:val="FootnoteReference"/>
          <w:rFonts w:eastAsia="Times New Roman" w:cs="Segoe UI"/>
          <w:color w:val="1D2125"/>
          <w:lang w:eastAsia="en-GB"/>
        </w:rPr>
        <w:footnoteReference w:id="8"/>
      </w:r>
      <w:r w:rsidR="006E5904">
        <w:rPr>
          <w:rFonts w:eastAsia="Times New Roman" w:cs="Segoe UI"/>
          <w:color w:val="1D2125"/>
          <w:lang w:eastAsia="en-GB"/>
        </w:rPr>
        <w:t>:</w:t>
      </w:r>
      <w:r w:rsidR="00867937">
        <w:rPr>
          <w:rFonts w:eastAsia="Times New Roman" w:cs="Segoe UI"/>
          <w:color w:val="1D2125"/>
          <w:lang w:eastAsia="en-GB"/>
        </w:rPr>
        <w:t xml:space="preserve"> law courts engage daily in assessing the reliability of witness accounts (p.225), and a similar task faces the historian. He </w:t>
      </w:r>
      <w:r w:rsidR="006E5904">
        <w:rPr>
          <w:rFonts w:eastAsia="Times New Roman" w:cs="Segoe UI"/>
          <w:color w:val="1D2125"/>
          <w:lang w:eastAsia="en-GB"/>
        </w:rPr>
        <w:t xml:space="preserve">blames </w:t>
      </w:r>
      <w:r w:rsidR="00867937">
        <w:rPr>
          <w:rFonts w:eastAsia="Times New Roman" w:cs="Segoe UI"/>
          <w:color w:val="1D2125"/>
          <w:lang w:eastAsia="en-GB"/>
        </w:rPr>
        <w:t xml:space="preserve">form criticism </w:t>
      </w:r>
      <w:r w:rsidR="006E5904">
        <w:rPr>
          <w:rFonts w:eastAsia="Times New Roman" w:cs="Segoe UI"/>
          <w:color w:val="1D2125"/>
          <w:lang w:eastAsia="en-GB"/>
        </w:rPr>
        <w:t>for</w:t>
      </w:r>
      <w:r w:rsidR="00867937">
        <w:rPr>
          <w:rFonts w:eastAsia="Times New Roman" w:cs="Segoe UI"/>
          <w:color w:val="1D2125"/>
          <w:lang w:eastAsia="en-GB"/>
        </w:rPr>
        <w:t xml:space="preserve"> ‘atomizing the Gospel traditions’ and </w:t>
      </w:r>
      <w:r w:rsidR="006E5904">
        <w:rPr>
          <w:rFonts w:eastAsia="Times New Roman" w:cs="Segoe UI"/>
          <w:color w:val="1D2125"/>
          <w:lang w:eastAsia="en-GB"/>
        </w:rPr>
        <w:t>putting historical reliability in question</w:t>
      </w:r>
      <w:r w:rsidR="00867937">
        <w:rPr>
          <w:rFonts w:eastAsia="Times New Roman" w:cs="Segoe UI"/>
          <w:color w:val="1D2125"/>
          <w:lang w:eastAsia="en-GB"/>
        </w:rPr>
        <w:t xml:space="preserve">. He </w:t>
      </w:r>
      <w:r w:rsidR="006E5904">
        <w:rPr>
          <w:rFonts w:eastAsia="Times New Roman" w:cs="Segoe UI"/>
          <w:color w:val="1D2125"/>
          <w:lang w:eastAsia="en-GB"/>
        </w:rPr>
        <w:t>rebukes</w:t>
      </w:r>
      <w:r w:rsidR="00867937">
        <w:rPr>
          <w:rFonts w:eastAsia="Times New Roman" w:cs="Segoe UI"/>
          <w:color w:val="1D2125"/>
          <w:lang w:eastAsia="en-GB"/>
        </w:rPr>
        <w:t xml:space="preserve"> what he calls the ‘will-o’-the-wisp of tradition history’ (p.226)</w:t>
      </w:r>
      <w:r w:rsidR="00852BA8">
        <w:rPr>
          <w:rFonts w:eastAsia="Times New Roman" w:cs="Segoe UI"/>
          <w:color w:val="1D2125"/>
          <w:lang w:eastAsia="en-GB"/>
        </w:rPr>
        <w:t xml:space="preserve"> and stands by his posited category of</w:t>
      </w:r>
      <w:r w:rsidR="009C3B19">
        <w:rPr>
          <w:rFonts w:eastAsia="Times New Roman" w:cs="Segoe UI"/>
          <w:color w:val="1D2125"/>
          <w:lang w:eastAsia="en-GB"/>
        </w:rPr>
        <w:t xml:space="preserve"> ‘exceptionality in history’</w:t>
      </w:r>
      <w:r w:rsidR="00852BA8">
        <w:rPr>
          <w:rStyle w:val="FootnoteReference"/>
          <w:rFonts w:eastAsia="Times New Roman" w:cs="Segoe UI"/>
          <w:color w:val="1D2125"/>
          <w:lang w:eastAsia="en-GB"/>
        </w:rPr>
        <w:footnoteReference w:id="9"/>
      </w:r>
      <w:r w:rsidR="009C3B19">
        <w:rPr>
          <w:rFonts w:eastAsia="Times New Roman" w:cs="Segoe UI"/>
          <w:color w:val="1D2125"/>
          <w:lang w:eastAsia="en-GB"/>
        </w:rPr>
        <w:t xml:space="preserve">, such that testimony </w:t>
      </w:r>
      <w:r w:rsidR="00852BA8">
        <w:rPr>
          <w:rFonts w:eastAsia="Times New Roman" w:cs="Segoe UI"/>
          <w:color w:val="1D2125"/>
          <w:lang w:eastAsia="en-GB"/>
        </w:rPr>
        <w:t xml:space="preserve">in </w:t>
      </w:r>
      <w:r w:rsidR="00852BA8">
        <w:rPr>
          <w:rFonts w:eastAsia="Times New Roman" w:cs="Segoe UI"/>
          <w:color w:val="1D2125"/>
          <w:lang w:eastAsia="en-GB"/>
        </w:rPr>
        <w:lastRenderedPageBreak/>
        <w:t>such case</w:t>
      </w:r>
      <w:r w:rsidR="00505D1C">
        <w:rPr>
          <w:rFonts w:eastAsia="Times New Roman" w:cs="Segoe UI"/>
          <w:color w:val="1D2125"/>
          <w:lang w:eastAsia="en-GB"/>
        </w:rPr>
        <w:t>s</w:t>
      </w:r>
      <w:r w:rsidR="00852BA8">
        <w:rPr>
          <w:rFonts w:eastAsia="Times New Roman" w:cs="Segoe UI"/>
          <w:color w:val="1D2125"/>
          <w:lang w:eastAsia="en-GB"/>
        </w:rPr>
        <w:t xml:space="preserve"> </w:t>
      </w:r>
      <w:r w:rsidR="009C3B19">
        <w:rPr>
          <w:rFonts w:eastAsia="Times New Roman" w:cs="Segoe UI"/>
          <w:color w:val="1D2125"/>
          <w:lang w:eastAsia="en-GB"/>
        </w:rPr>
        <w:t>does in</w:t>
      </w:r>
      <w:r w:rsidR="00505D1C">
        <w:rPr>
          <w:rFonts w:eastAsia="Times New Roman" w:cs="Segoe UI"/>
          <w:color w:val="1D2125"/>
          <w:lang w:eastAsia="en-GB"/>
        </w:rPr>
        <w:t>deed</w:t>
      </w:r>
      <w:r w:rsidR="009C3B19">
        <w:rPr>
          <w:rFonts w:eastAsia="Times New Roman" w:cs="Segoe UI"/>
          <w:color w:val="1D2125"/>
          <w:lang w:eastAsia="en-GB"/>
        </w:rPr>
        <w:t xml:space="preserve"> have a ‘privileged position among historical sources’ (contrary to Schröter’s claim.) Bauckham sees Schröter’s critique as evidence of a mistaken form-critical approach to oral tradition in the New Testament. He </w:t>
      </w:r>
      <w:r w:rsidR="003670D0">
        <w:rPr>
          <w:rFonts w:eastAsia="Times New Roman" w:cs="Segoe UI"/>
          <w:color w:val="1D2125"/>
          <w:lang w:eastAsia="en-GB"/>
        </w:rPr>
        <w:t>cannot accept that</w:t>
      </w:r>
      <w:r w:rsidR="009C3B19">
        <w:rPr>
          <w:rFonts w:eastAsia="Times New Roman" w:cs="Segoe UI"/>
          <w:color w:val="1D2125"/>
          <w:lang w:eastAsia="en-GB"/>
        </w:rPr>
        <w:t xml:space="preserve"> viewing eyewitness accounts as </w:t>
      </w:r>
      <w:r w:rsidR="00852BA8">
        <w:rPr>
          <w:rFonts w:eastAsia="Times New Roman" w:cs="Segoe UI"/>
          <w:color w:val="1D2125"/>
          <w:lang w:eastAsia="en-GB"/>
        </w:rPr>
        <w:t>viable historical sources</w:t>
      </w:r>
      <w:r w:rsidR="009C3B19">
        <w:rPr>
          <w:rFonts w:eastAsia="Times New Roman" w:cs="Segoe UI"/>
          <w:color w:val="1D2125"/>
          <w:lang w:eastAsia="en-GB"/>
        </w:rPr>
        <w:t xml:space="preserve"> is somehow ‘uncritical’. </w:t>
      </w:r>
      <w:r w:rsidR="00E811E5">
        <w:rPr>
          <w:rFonts w:eastAsia="Times New Roman" w:cs="Segoe UI"/>
          <w:color w:val="1D2125"/>
          <w:lang w:eastAsia="en-GB"/>
        </w:rPr>
        <w:t>And, with a swipe, he points out the risks of over-zealous appeals to objectivity (p.227)</w:t>
      </w:r>
      <w:r w:rsidR="00E811E5">
        <w:rPr>
          <w:rStyle w:val="FootnoteReference"/>
          <w:rFonts w:eastAsia="Times New Roman" w:cs="Segoe UI"/>
          <w:color w:val="1D2125"/>
          <w:lang w:eastAsia="en-GB"/>
        </w:rPr>
        <w:footnoteReference w:id="10"/>
      </w:r>
      <w:r w:rsidR="00E811E5">
        <w:rPr>
          <w:rFonts w:eastAsia="Times New Roman" w:cs="Segoe UI"/>
          <w:color w:val="1D2125"/>
          <w:lang w:eastAsia="en-GB"/>
        </w:rPr>
        <w:t xml:space="preserve">. </w:t>
      </w:r>
      <w:r w:rsidR="00B06816">
        <w:rPr>
          <w:rFonts w:eastAsia="Times New Roman" w:cs="Segoe UI"/>
          <w:color w:val="1D2125"/>
          <w:lang w:eastAsia="en-GB"/>
        </w:rPr>
        <w:t>Here we have</w:t>
      </w:r>
      <w:r w:rsidR="00E811E5">
        <w:rPr>
          <w:rFonts w:eastAsia="Times New Roman" w:cs="Segoe UI"/>
          <w:color w:val="1D2125"/>
          <w:lang w:eastAsia="en-GB"/>
        </w:rPr>
        <w:t xml:space="preserve"> a </w:t>
      </w:r>
      <w:r w:rsidR="00B06816">
        <w:rPr>
          <w:rFonts w:eastAsia="Times New Roman" w:cs="Segoe UI"/>
          <w:color w:val="1D2125"/>
          <w:lang w:eastAsia="en-GB"/>
        </w:rPr>
        <w:t xml:space="preserve">first taste of </w:t>
      </w:r>
      <w:r w:rsidR="00E811E5">
        <w:rPr>
          <w:rFonts w:eastAsia="Times New Roman" w:cs="Segoe UI"/>
          <w:color w:val="1D2125"/>
          <w:lang w:eastAsia="en-GB"/>
        </w:rPr>
        <w:t xml:space="preserve">the </w:t>
      </w:r>
      <w:r w:rsidR="00B06816">
        <w:rPr>
          <w:rFonts w:eastAsia="Times New Roman" w:cs="Segoe UI"/>
          <w:color w:val="1D2125"/>
          <w:lang w:eastAsia="en-GB"/>
        </w:rPr>
        <w:t>richness</w:t>
      </w:r>
      <w:r w:rsidR="00E811E5">
        <w:rPr>
          <w:rFonts w:eastAsia="Times New Roman" w:cs="Segoe UI"/>
          <w:color w:val="1D2125"/>
          <w:lang w:eastAsia="en-GB"/>
        </w:rPr>
        <w:t xml:space="preserve"> of critical thinking and methodolog</w:t>
      </w:r>
      <w:r w:rsidR="00B06816">
        <w:rPr>
          <w:rFonts w:eastAsia="Times New Roman" w:cs="Segoe UI"/>
          <w:color w:val="1D2125"/>
          <w:lang w:eastAsia="en-GB"/>
        </w:rPr>
        <w:t>y</w:t>
      </w:r>
      <w:r w:rsidR="00E811E5">
        <w:rPr>
          <w:rFonts w:eastAsia="Times New Roman" w:cs="Segoe UI"/>
          <w:color w:val="1D2125"/>
          <w:lang w:eastAsia="en-GB"/>
        </w:rPr>
        <w:t xml:space="preserve"> </w:t>
      </w:r>
      <w:r w:rsidR="003670D0">
        <w:rPr>
          <w:rFonts w:eastAsia="Times New Roman" w:cs="Segoe UI"/>
          <w:color w:val="1D2125"/>
          <w:lang w:eastAsia="en-GB"/>
        </w:rPr>
        <w:t xml:space="preserve">that abounds </w:t>
      </w:r>
      <w:r w:rsidR="00B06816">
        <w:rPr>
          <w:rFonts w:eastAsia="Times New Roman" w:cs="Segoe UI"/>
          <w:color w:val="1D2125"/>
          <w:lang w:eastAsia="en-GB"/>
        </w:rPr>
        <w:t>in the</w:t>
      </w:r>
      <w:r w:rsidR="00E811E5">
        <w:rPr>
          <w:rFonts w:eastAsia="Times New Roman" w:cs="Segoe UI"/>
          <w:color w:val="1D2125"/>
          <w:lang w:eastAsia="en-GB"/>
        </w:rPr>
        <w:t xml:space="preserve"> </w:t>
      </w:r>
      <w:r w:rsidR="003670D0">
        <w:rPr>
          <w:rFonts w:eastAsia="Times New Roman" w:cs="Segoe UI"/>
          <w:color w:val="1D2125"/>
          <w:lang w:eastAsia="en-GB"/>
        </w:rPr>
        <w:t>study</w:t>
      </w:r>
      <w:r w:rsidR="00E811E5">
        <w:rPr>
          <w:rFonts w:eastAsia="Times New Roman" w:cs="Segoe UI"/>
          <w:color w:val="1D2125"/>
          <w:lang w:eastAsia="en-GB"/>
        </w:rPr>
        <w:t xml:space="preserve"> </w:t>
      </w:r>
      <w:r w:rsidR="003670D0">
        <w:rPr>
          <w:rFonts w:eastAsia="Times New Roman" w:cs="Segoe UI"/>
          <w:color w:val="1D2125"/>
          <w:lang w:eastAsia="en-GB"/>
        </w:rPr>
        <w:t>of</w:t>
      </w:r>
      <w:r w:rsidR="00E811E5">
        <w:rPr>
          <w:rFonts w:eastAsia="Times New Roman" w:cs="Segoe UI"/>
          <w:color w:val="1D2125"/>
          <w:lang w:eastAsia="en-GB"/>
        </w:rPr>
        <w:t xml:space="preserve"> the historicity of John’s Gospel. </w:t>
      </w:r>
    </w:p>
    <w:p w14:paraId="041A7162" w14:textId="77777777" w:rsidR="004964AB" w:rsidRDefault="004964AB" w:rsidP="00E811E5">
      <w:pPr>
        <w:rPr>
          <w:rFonts w:eastAsia="Times New Roman" w:cs="Segoe UI"/>
          <w:color w:val="1D2125"/>
          <w:lang w:eastAsia="en-GB"/>
        </w:rPr>
      </w:pPr>
    </w:p>
    <w:p w14:paraId="579DD1BD" w14:textId="5F36923C" w:rsidR="00A24E15" w:rsidRDefault="004964AB" w:rsidP="00BD0829">
      <w:pPr>
        <w:rPr>
          <w:rFonts w:eastAsia="Times New Roman" w:cs="Segoe UI"/>
          <w:color w:val="1D2125"/>
          <w:lang w:eastAsia="en-GB"/>
        </w:rPr>
      </w:pPr>
      <w:r>
        <w:rPr>
          <w:rFonts w:eastAsia="Times New Roman" w:cs="Segoe UI"/>
          <w:color w:val="1D2125"/>
          <w:lang w:eastAsia="en-GB"/>
        </w:rPr>
        <w:t xml:space="preserve">A.J. Dewey pursues the discussion of eyewitnesses, </w:t>
      </w:r>
      <w:r w:rsidR="00637E8E">
        <w:rPr>
          <w:rFonts w:eastAsia="Times New Roman" w:cs="Segoe UI"/>
          <w:color w:val="1D2125"/>
          <w:lang w:eastAsia="en-GB"/>
        </w:rPr>
        <w:t>examining</w:t>
      </w:r>
      <w:r>
        <w:rPr>
          <w:rFonts w:eastAsia="Times New Roman" w:cs="Segoe UI"/>
          <w:color w:val="1D2125"/>
          <w:lang w:eastAsia="en-GB"/>
        </w:rPr>
        <w:t xml:space="preserve"> a brief scene in John </w:t>
      </w:r>
      <w:r w:rsidR="00637E8E">
        <w:rPr>
          <w:rFonts w:eastAsia="Times New Roman" w:cs="Segoe UI"/>
          <w:color w:val="1D2125"/>
          <w:lang w:eastAsia="en-GB"/>
        </w:rPr>
        <w:t>related</w:t>
      </w:r>
      <w:r>
        <w:rPr>
          <w:rFonts w:eastAsia="Times New Roman" w:cs="Segoe UI"/>
          <w:color w:val="1D2125"/>
          <w:lang w:eastAsia="en-GB"/>
        </w:rPr>
        <w:t xml:space="preserve"> to the crucifixion (19:31-37)</w:t>
      </w:r>
      <w:r>
        <w:rPr>
          <w:rStyle w:val="FootnoteReference"/>
          <w:rFonts w:eastAsia="Times New Roman" w:cs="Segoe UI"/>
          <w:color w:val="1D2125"/>
          <w:lang w:eastAsia="en-GB"/>
        </w:rPr>
        <w:footnoteReference w:id="11"/>
      </w:r>
      <w:r>
        <w:rPr>
          <w:rFonts w:eastAsia="Times New Roman" w:cs="Segoe UI"/>
          <w:color w:val="1D2125"/>
          <w:lang w:eastAsia="en-GB"/>
        </w:rPr>
        <w:t xml:space="preserve">. He </w:t>
      </w:r>
      <w:r w:rsidR="00637E8E">
        <w:rPr>
          <w:rFonts w:eastAsia="Times New Roman" w:cs="Segoe UI"/>
          <w:color w:val="1D2125"/>
          <w:lang w:eastAsia="en-GB"/>
        </w:rPr>
        <w:t>shows</w:t>
      </w:r>
      <w:r>
        <w:rPr>
          <w:rFonts w:eastAsia="Times New Roman" w:cs="Segoe UI"/>
          <w:color w:val="1D2125"/>
          <w:lang w:eastAsia="en-GB"/>
        </w:rPr>
        <w:t xml:space="preserve"> how John declares the importance of eyewitness testimony to his overall account</w:t>
      </w:r>
      <w:r>
        <w:rPr>
          <w:rStyle w:val="FootnoteReference"/>
          <w:rFonts w:eastAsia="Times New Roman" w:cs="Segoe UI"/>
          <w:color w:val="1D2125"/>
          <w:lang w:eastAsia="en-GB"/>
        </w:rPr>
        <w:footnoteReference w:id="12"/>
      </w:r>
      <w:r>
        <w:rPr>
          <w:rFonts w:eastAsia="Times New Roman" w:cs="Segoe UI"/>
          <w:color w:val="1D2125"/>
          <w:lang w:eastAsia="en-GB"/>
        </w:rPr>
        <w:t xml:space="preserve">, and suggests that this may counterbalance the </w:t>
      </w:r>
      <w:r w:rsidR="00535159">
        <w:rPr>
          <w:rFonts w:eastAsia="Times New Roman" w:cs="Segoe UI"/>
          <w:color w:val="1D2125"/>
          <w:lang w:eastAsia="en-GB"/>
        </w:rPr>
        <w:t>scepticism</w:t>
      </w:r>
      <w:r>
        <w:rPr>
          <w:rFonts w:eastAsia="Times New Roman" w:cs="Segoe UI"/>
          <w:color w:val="1D2125"/>
          <w:lang w:eastAsia="en-GB"/>
        </w:rPr>
        <w:t xml:space="preserve"> of contemporary exegetes (p.62). Th</w:t>
      </w:r>
      <w:r w:rsidR="00BD0829">
        <w:rPr>
          <w:rFonts w:eastAsia="Times New Roman" w:cs="Segoe UI"/>
          <w:color w:val="1D2125"/>
          <w:lang w:eastAsia="en-GB"/>
        </w:rPr>
        <w:t>is is th</w:t>
      </w:r>
      <w:r>
        <w:rPr>
          <w:rFonts w:eastAsia="Times New Roman" w:cs="Segoe UI"/>
          <w:color w:val="1D2125"/>
          <w:lang w:eastAsia="en-GB"/>
        </w:rPr>
        <w:t xml:space="preserve">e </w:t>
      </w:r>
      <w:r w:rsidR="00BD0829">
        <w:rPr>
          <w:rFonts w:eastAsia="Times New Roman" w:cs="Segoe UI"/>
          <w:color w:val="1D2125"/>
          <w:lang w:eastAsia="en-GB"/>
        </w:rPr>
        <w:t xml:space="preserve">episode </w:t>
      </w:r>
      <w:r>
        <w:rPr>
          <w:rFonts w:eastAsia="Times New Roman" w:cs="Segoe UI"/>
          <w:color w:val="1D2125"/>
          <w:lang w:eastAsia="en-GB"/>
        </w:rPr>
        <w:t xml:space="preserve">of </w:t>
      </w:r>
      <w:r w:rsidR="00BD0829">
        <w:rPr>
          <w:rFonts w:eastAsia="Times New Roman" w:cs="Segoe UI"/>
          <w:color w:val="1D2125"/>
          <w:lang w:eastAsia="en-GB"/>
        </w:rPr>
        <w:t xml:space="preserve">the </w:t>
      </w:r>
      <w:r w:rsidR="00CF3248">
        <w:rPr>
          <w:rFonts w:eastAsia="Times New Roman" w:cs="Segoe UI"/>
          <w:color w:val="1D2125"/>
          <w:lang w:eastAsia="en-GB"/>
        </w:rPr>
        <w:t>crurifragium</w:t>
      </w:r>
      <w:r w:rsidR="00535159">
        <w:rPr>
          <w:rStyle w:val="FootnoteReference"/>
          <w:rFonts w:eastAsia="Times New Roman" w:cs="Segoe UI"/>
          <w:color w:val="1D2125"/>
          <w:lang w:eastAsia="en-GB"/>
        </w:rPr>
        <w:footnoteReference w:id="13"/>
      </w:r>
      <w:r w:rsidR="00B06816">
        <w:rPr>
          <w:rFonts w:eastAsia="Times New Roman" w:cs="Segoe UI"/>
          <w:color w:val="1D2125"/>
          <w:lang w:eastAsia="en-GB"/>
        </w:rPr>
        <w:t>–</w:t>
      </w:r>
      <w:r w:rsidR="00BD0829">
        <w:rPr>
          <w:rFonts w:eastAsia="Times New Roman" w:cs="Segoe UI"/>
          <w:color w:val="1D2125"/>
          <w:lang w:eastAsia="en-GB"/>
        </w:rPr>
        <w:t xml:space="preserve"> not given in the Synoptics</w:t>
      </w:r>
      <w:r w:rsidR="00BD0829">
        <w:rPr>
          <w:rStyle w:val="FootnoteReference"/>
          <w:rFonts w:eastAsia="Times New Roman" w:cs="Segoe UI"/>
          <w:color w:val="1D2125"/>
          <w:lang w:eastAsia="en-GB"/>
        </w:rPr>
        <w:footnoteReference w:id="14"/>
      </w:r>
      <w:r w:rsidR="00B06816">
        <w:rPr>
          <w:rFonts w:eastAsia="Times New Roman" w:cs="Segoe UI"/>
          <w:color w:val="1D2125"/>
          <w:lang w:eastAsia="en-GB"/>
        </w:rPr>
        <w:t xml:space="preserve"> - </w:t>
      </w:r>
      <w:r w:rsidR="00637E8E">
        <w:rPr>
          <w:rFonts w:eastAsia="Times New Roman" w:cs="Segoe UI"/>
          <w:color w:val="1D2125"/>
          <w:lang w:eastAsia="en-GB"/>
        </w:rPr>
        <w:t>where</w:t>
      </w:r>
      <w:r w:rsidR="00BD0829">
        <w:rPr>
          <w:rFonts w:eastAsia="Times New Roman" w:cs="Segoe UI"/>
          <w:color w:val="1D2125"/>
          <w:lang w:eastAsia="en-GB"/>
        </w:rPr>
        <w:t xml:space="preserve"> John </w:t>
      </w:r>
      <w:r w:rsidR="003670D0">
        <w:rPr>
          <w:rFonts w:eastAsia="Times New Roman" w:cs="Segoe UI"/>
          <w:color w:val="1D2125"/>
          <w:lang w:eastAsia="en-GB"/>
        </w:rPr>
        <w:t>states</w:t>
      </w:r>
      <w:r w:rsidR="00BD0829">
        <w:rPr>
          <w:rFonts w:eastAsia="Times New Roman" w:cs="Segoe UI"/>
          <w:color w:val="1D2125"/>
          <w:lang w:eastAsia="en-GB"/>
        </w:rPr>
        <w:t xml:space="preserve"> in parenthesis (19:35), ‘</w:t>
      </w:r>
      <w:r w:rsidR="00BD0829" w:rsidRPr="00BD0829">
        <w:rPr>
          <w:rFonts w:eastAsia="Times New Roman" w:cs="Segoe UI"/>
          <w:color w:val="1D2125"/>
          <w:lang w:eastAsia="en-GB"/>
        </w:rPr>
        <w:t>He who saw this has testified so that you also may believe. His testimony is true, and he knows</w:t>
      </w:r>
      <w:r w:rsidR="00BD0829">
        <w:rPr>
          <w:rFonts w:eastAsia="Times New Roman" w:cs="Segoe UI"/>
          <w:color w:val="1D2125"/>
          <w:vertAlign w:val="superscript"/>
          <w:lang w:eastAsia="en-GB"/>
        </w:rPr>
        <w:t xml:space="preserve"> </w:t>
      </w:r>
      <w:r w:rsidR="00BD0829" w:rsidRPr="00BD0829">
        <w:rPr>
          <w:rFonts w:eastAsia="Times New Roman" w:cs="Segoe UI"/>
          <w:color w:val="1D2125"/>
          <w:lang w:eastAsia="en-GB"/>
        </w:rPr>
        <w:t>that he tells the truth.</w:t>
      </w:r>
      <w:r w:rsidR="00BD0829">
        <w:rPr>
          <w:rFonts w:eastAsia="Times New Roman" w:cs="Segoe UI"/>
          <w:color w:val="1D2125"/>
          <w:lang w:eastAsia="en-GB"/>
        </w:rPr>
        <w:t xml:space="preserve">’ </w:t>
      </w:r>
      <w:r w:rsidR="00852BA8">
        <w:rPr>
          <w:rFonts w:eastAsia="Times New Roman" w:cs="Segoe UI"/>
          <w:color w:val="1D2125"/>
          <w:lang w:eastAsia="en-GB"/>
        </w:rPr>
        <w:t>T</w:t>
      </w:r>
      <w:r w:rsidR="00BD0829">
        <w:rPr>
          <w:rFonts w:eastAsia="Times New Roman" w:cs="Segoe UI"/>
          <w:color w:val="1D2125"/>
          <w:lang w:eastAsia="en-GB"/>
        </w:rPr>
        <w:t xml:space="preserve">his may be an editorial insertion, </w:t>
      </w:r>
      <w:r w:rsidR="00852BA8">
        <w:rPr>
          <w:rFonts w:eastAsia="Times New Roman" w:cs="Segoe UI"/>
          <w:color w:val="1D2125"/>
          <w:lang w:eastAsia="en-GB"/>
        </w:rPr>
        <w:t xml:space="preserve">but </w:t>
      </w:r>
      <w:r w:rsidR="00BD0829">
        <w:rPr>
          <w:rFonts w:eastAsia="Times New Roman" w:cs="Segoe UI"/>
          <w:color w:val="1D2125"/>
          <w:lang w:eastAsia="en-GB"/>
        </w:rPr>
        <w:t xml:space="preserve">Dewey </w:t>
      </w:r>
      <w:r w:rsidR="00852BA8">
        <w:rPr>
          <w:rFonts w:eastAsia="Times New Roman" w:cs="Segoe UI"/>
          <w:color w:val="1D2125"/>
          <w:lang w:eastAsia="en-GB"/>
        </w:rPr>
        <w:t xml:space="preserve">suggests </w:t>
      </w:r>
      <w:r w:rsidR="00BD0829">
        <w:rPr>
          <w:rFonts w:eastAsia="Times New Roman" w:cs="Segoe UI"/>
          <w:color w:val="1D2125"/>
          <w:lang w:eastAsia="en-GB"/>
        </w:rPr>
        <w:t xml:space="preserve">that the one who sees the </w:t>
      </w:r>
      <w:r w:rsidR="003670D0">
        <w:rPr>
          <w:rFonts w:eastAsia="Times New Roman" w:cs="Segoe UI"/>
          <w:color w:val="1D2125"/>
          <w:lang w:eastAsia="en-GB"/>
        </w:rPr>
        <w:t>spearing of Jesus’ side</w:t>
      </w:r>
      <w:r w:rsidR="00BD0829">
        <w:rPr>
          <w:rFonts w:eastAsia="Times New Roman" w:cs="Segoe UI"/>
          <w:color w:val="1D2125"/>
          <w:lang w:eastAsia="en-GB"/>
        </w:rPr>
        <w:t xml:space="preserve"> is not the Beloved Disciple</w:t>
      </w:r>
      <w:r w:rsidR="00535159">
        <w:rPr>
          <w:rFonts w:eastAsia="Times New Roman" w:cs="Segoe UI"/>
          <w:color w:val="1D2125"/>
          <w:lang w:eastAsia="en-GB"/>
        </w:rPr>
        <w:t>, as commonly believed</w:t>
      </w:r>
      <w:r w:rsidR="00BD0829">
        <w:rPr>
          <w:rFonts w:eastAsia="Times New Roman" w:cs="Segoe UI"/>
          <w:color w:val="1D2125"/>
          <w:lang w:eastAsia="en-GB"/>
        </w:rPr>
        <w:t>, but the Paraclete</w:t>
      </w:r>
      <w:r w:rsidR="00CF3248">
        <w:rPr>
          <w:rFonts w:eastAsia="Times New Roman" w:cs="Segoe UI"/>
          <w:color w:val="1D2125"/>
          <w:lang w:eastAsia="en-GB"/>
        </w:rPr>
        <w:t xml:space="preserve">: his theory is that the Paraclete becomes the ‘agent of memory’ </w:t>
      </w:r>
      <w:proofErr w:type="gramStart"/>
      <w:r w:rsidR="00CF3248">
        <w:rPr>
          <w:rFonts w:eastAsia="Times New Roman" w:cs="Segoe UI"/>
          <w:color w:val="1D2125"/>
          <w:lang w:eastAsia="en-GB"/>
        </w:rPr>
        <w:t>so as to</w:t>
      </w:r>
      <w:proofErr w:type="gramEnd"/>
      <w:r w:rsidR="00CF3248">
        <w:rPr>
          <w:rFonts w:eastAsia="Times New Roman" w:cs="Segoe UI"/>
          <w:color w:val="1D2125"/>
          <w:lang w:eastAsia="en-GB"/>
        </w:rPr>
        <w:t xml:space="preserve"> help the community of believers recall Jesus meaningfully following the resurrection. This is a creative</w:t>
      </w:r>
      <w:r w:rsidR="00032AE0">
        <w:rPr>
          <w:rFonts w:eastAsia="Times New Roman" w:cs="Segoe UI"/>
          <w:color w:val="1D2125"/>
          <w:lang w:eastAsia="en-GB"/>
        </w:rPr>
        <w:t xml:space="preserve">, somewhat symbolic, </w:t>
      </w:r>
      <w:r w:rsidR="00CF3248">
        <w:rPr>
          <w:rFonts w:eastAsia="Times New Roman" w:cs="Segoe UI"/>
          <w:color w:val="1D2125"/>
          <w:lang w:eastAsia="en-GB"/>
        </w:rPr>
        <w:t>take on the theory of testimony</w:t>
      </w:r>
      <w:r w:rsidR="00032AE0">
        <w:rPr>
          <w:rFonts w:eastAsia="Times New Roman" w:cs="Segoe UI"/>
          <w:color w:val="1D2125"/>
          <w:lang w:eastAsia="en-GB"/>
        </w:rPr>
        <w:t xml:space="preserve"> </w:t>
      </w:r>
      <w:r w:rsidR="00B854D2">
        <w:rPr>
          <w:rFonts w:eastAsia="Times New Roman" w:cs="Segoe UI"/>
          <w:color w:val="1D2125"/>
          <w:lang w:eastAsia="en-GB"/>
        </w:rPr>
        <w:t xml:space="preserve">in John, </w:t>
      </w:r>
      <w:r w:rsidR="00032AE0">
        <w:rPr>
          <w:rFonts w:eastAsia="Times New Roman" w:cs="Segoe UI"/>
          <w:color w:val="1D2125"/>
          <w:lang w:eastAsia="en-GB"/>
        </w:rPr>
        <w:t>but</w:t>
      </w:r>
      <w:r w:rsidR="00B06816">
        <w:rPr>
          <w:rFonts w:eastAsia="Times New Roman" w:cs="Segoe UI"/>
          <w:color w:val="1D2125"/>
          <w:lang w:eastAsia="en-GB"/>
        </w:rPr>
        <w:t xml:space="preserve">, </w:t>
      </w:r>
      <w:r w:rsidR="00852BA8">
        <w:rPr>
          <w:rFonts w:eastAsia="Times New Roman" w:cs="Segoe UI"/>
          <w:color w:val="1D2125"/>
          <w:lang w:eastAsia="en-GB"/>
        </w:rPr>
        <w:t>even if valid,</w:t>
      </w:r>
      <w:r w:rsidR="00B06816">
        <w:rPr>
          <w:rFonts w:eastAsia="Times New Roman" w:cs="Segoe UI"/>
          <w:color w:val="1D2125"/>
          <w:lang w:eastAsia="en-GB"/>
        </w:rPr>
        <w:t xml:space="preserve"> </w:t>
      </w:r>
      <w:r w:rsidR="00032AE0">
        <w:rPr>
          <w:rFonts w:eastAsia="Times New Roman" w:cs="Segoe UI"/>
          <w:color w:val="1D2125"/>
          <w:lang w:eastAsia="en-GB"/>
        </w:rPr>
        <w:t>it</w:t>
      </w:r>
      <w:r w:rsidR="00CF3248">
        <w:rPr>
          <w:rFonts w:eastAsia="Times New Roman" w:cs="Segoe UI"/>
          <w:color w:val="1D2125"/>
          <w:lang w:eastAsia="en-GB"/>
        </w:rPr>
        <w:t xml:space="preserve"> does </w:t>
      </w:r>
      <w:r w:rsidR="00032AE0">
        <w:rPr>
          <w:rFonts w:eastAsia="Times New Roman" w:cs="Segoe UI"/>
          <w:color w:val="1D2125"/>
          <w:lang w:eastAsia="en-GB"/>
        </w:rPr>
        <w:t xml:space="preserve">nothing to </w:t>
      </w:r>
      <w:r w:rsidR="00B854D2">
        <w:rPr>
          <w:rFonts w:eastAsia="Times New Roman" w:cs="Segoe UI"/>
          <w:color w:val="1D2125"/>
          <w:lang w:eastAsia="en-GB"/>
        </w:rPr>
        <w:t xml:space="preserve">suggest </w:t>
      </w:r>
      <w:r w:rsidR="00505D1C">
        <w:rPr>
          <w:rFonts w:eastAsia="Times New Roman" w:cs="Segoe UI"/>
          <w:color w:val="1D2125"/>
          <w:lang w:eastAsia="en-GB"/>
        </w:rPr>
        <w:t xml:space="preserve">any degree of </w:t>
      </w:r>
      <w:r w:rsidR="00B854D2">
        <w:rPr>
          <w:rFonts w:eastAsia="Times New Roman" w:cs="Segoe UI"/>
          <w:color w:val="1D2125"/>
          <w:lang w:eastAsia="en-GB"/>
        </w:rPr>
        <w:t xml:space="preserve">historicity in the gospel. </w:t>
      </w:r>
      <w:r w:rsidR="00032AE0">
        <w:rPr>
          <w:rFonts w:eastAsia="Times New Roman" w:cs="Segoe UI"/>
          <w:color w:val="1D2125"/>
          <w:lang w:eastAsia="en-GB"/>
        </w:rPr>
        <w:t xml:space="preserve"> </w:t>
      </w:r>
    </w:p>
    <w:p w14:paraId="2C538BBD" w14:textId="77777777" w:rsidR="00032AE0" w:rsidRDefault="00032AE0" w:rsidP="00BD0829">
      <w:pPr>
        <w:rPr>
          <w:rFonts w:eastAsia="Times New Roman" w:cs="Segoe UI"/>
          <w:color w:val="1D2125"/>
          <w:lang w:eastAsia="en-GB"/>
        </w:rPr>
      </w:pPr>
    </w:p>
    <w:p w14:paraId="42946F8B" w14:textId="6EAD831E" w:rsidR="00637E8E" w:rsidRPr="00637E8E" w:rsidRDefault="00637E8E" w:rsidP="00BD0829">
      <w:pPr>
        <w:rPr>
          <w:rFonts w:eastAsia="Times New Roman" w:cs="Segoe UI"/>
          <w:b/>
          <w:bCs/>
          <w:color w:val="1D2125"/>
          <w:lang w:eastAsia="en-GB"/>
        </w:rPr>
      </w:pPr>
      <w:r>
        <w:rPr>
          <w:rFonts w:eastAsia="Times New Roman" w:cs="Segoe UI"/>
          <w:b/>
          <w:bCs/>
          <w:color w:val="1D2125"/>
          <w:lang w:eastAsia="en-GB"/>
        </w:rPr>
        <w:t>Veracity</w:t>
      </w:r>
    </w:p>
    <w:p w14:paraId="424AA7E9" w14:textId="76D1A761" w:rsidR="00032AE0" w:rsidRDefault="00032AE0" w:rsidP="00BD0829">
      <w:pPr>
        <w:rPr>
          <w:rFonts w:eastAsia="Times New Roman" w:cs="Segoe UI"/>
          <w:color w:val="1D2125"/>
          <w:lang w:eastAsia="en-GB"/>
        </w:rPr>
      </w:pPr>
      <w:r>
        <w:rPr>
          <w:rFonts w:eastAsia="Times New Roman" w:cs="Segoe UI"/>
          <w:color w:val="1D2125"/>
          <w:lang w:eastAsia="en-GB"/>
        </w:rPr>
        <w:t>David Litwa’s review of literary eyewitnesses from a similar period to John’s is more devastating</w:t>
      </w:r>
      <w:r>
        <w:rPr>
          <w:rStyle w:val="FootnoteReference"/>
          <w:rFonts w:eastAsia="Times New Roman" w:cs="Segoe UI"/>
          <w:color w:val="1D2125"/>
          <w:lang w:eastAsia="en-GB"/>
        </w:rPr>
        <w:footnoteReference w:id="15"/>
      </w:r>
      <w:r>
        <w:rPr>
          <w:rFonts w:eastAsia="Times New Roman" w:cs="Segoe UI"/>
          <w:color w:val="1D2125"/>
          <w:lang w:eastAsia="en-GB"/>
        </w:rPr>
        <w:t>. One example is of an eyewitness to the writer Philostratus in his ‘Life of Apollonius of Tyana’ (from circa 217CE)</w:t>
      </w:r>
      <w:r w:rsidR="00B06816">
        <w:rPr>
          <w:rFonts w:eastAsia="Times New Roman" w:cs="Segoe UI"/>
          <w:color w:val="1D2125"/>
          <w:lang w:eastAsia="en-GB"/>
        </w:rPr>
        <w:t>: the theory is that this character, called Damis, is deployed in support of the writer’s account</w:t>
      </w:r>
      <w:r w:rsidR="00531B50">
        <w:rPr>
          <w:rFonts w:eastAsia="Times New Roman" w:cs="Segoe UI"/>
          <w:color w:val="1D2125"/>
          <w:lang w:eastAsia="en-GB"/>
        </w:rPr>
        <w:t>. S</w:t>
      </w:r>
      <w:r w:rsidR="00A50BED">
        <w:rPr>
          <w:rFonts w:eastAsia="Times New Roman" w:cs="Segoe UI"/>
          <w:color w:val="1D2125"/>
          <w:lang w:eastAsia="en-GB"/>
        </w:rPr>
        <w:t xml:space="preserve">cholars now believe </w:t>
      </w:r>
      <w:r w:rsidR="00531B50">
        <w:rPr>
          <w:rFonts w:eastAsia="Times New Roman" w:cs="Segoe UI"/>
          <w:color w:val="1D2125"/>
          <w:lang w:eastAsia="en-GB"/>
        </w:rPr>
        <w:t xml:space="preserve">Damis </w:t>
      </w:r>
      <w:r w:rsidR="00A50BED">
        <w:rPr>
          <w:rFonts w:eastAsia="Times New Roman" w:cs="Segoe UI"/>
          <w:color w:val="1D2125"/>
          <w:lang w:eastAsia="en-GB"/>
        </w:rPr>
        <w:t xml:space="preserve">did not exist, </w:t>
      </w:r>
      <w:r w:rsidR="003670D0">
        <w:rPr>
          <w:rFonts w:eastAsia="Times New Roman" w:cs="Segoe UI"/>
          <w:color w:val="1D2125"/>
          <w:lang w:eastAsia="en-GB"/>
        </w:rPr>
        <w:t xml:space="preserve">and </w:t>
      </w:r>
      <w:r w:rsidR="00505D1C">
        <w:rPr>
          <w:rFonts w:eastAsia="Times New Roman" w:cs="Segoe UI"/>
          <w:color w:val="1D2125"/>
          <w:lang w:eastAsia="en-GB"/>
        </w:rPr>
        <w:t>so</w:t>
      </w:r>
      <w:r w:rsidR="003670D0">
        <w:rPr>
          <w:rFonts w:eastAsia="Times New Roman" w:cs="Segoe UI"/>
          <w:color w:val="1D2125"/>
          <w:lang w:eastAsia="en-GB"/>
        </w:rPr>
        <w:t xml:space="preserve"> his</w:t>
      </w:r>
      <w:r w:rsidR="00A50BED">
        <w:rPr>
          <w:rFonts w:eastAsia="Times New Roman" w:cs="Segoe UI"/>
          <w:color w:val="1D2125"/>
          <w:lang w:eastAsia="en-GB"/>
        </w:rPr>
        <w:t xml:space="preserve"> fifty years’ worth of ‘testimony’</w:t>
      </w:r>
      <w:r w:rsidR="003670D0">
        <w:rPr>
          <w:rFonts w:eastAsia="Times New Roman" w:cs="Segoe UI"/>
          <w:color w:val="1D2125"/>
          <w:lang w:eastAsia="en-GB"/>
        </w:rPr>
        <w:t xml:space="preserve"> is</w:t>
      </w:r>
      <w:r w:rsidR="00505D1C">
        <w:rPr>
          <w:rFonts w:eastAsia="Times New Roman" w:cs="Segoe UI"/>
          <w:color w:val="1D2125"/>
          <w:lang w:eastAsia="en-GB"/>
        </w:rPr>
        <w:t xml:space="preserve"> now</w:t>
      </w:r>
      <w:r w:rsidR="003670D0">
        <w:rPr>
          <w:rFonts w:eastAsia="Times New Roman" w:cs="Segoe UI"/>
          <w:color w:val="1D2125"/>
          <w:lang w:eastAsia="en-GB"/>
        </w:rPr>
        <w:t xml:space="preserve"> discredited</w:t>
      </w:r>
      <w:r w:rsidR="00531B50">
        <w:rPr>
          <w:rStyle w:val="FootnoteReference"/>
          <w:rFonts w:eastAsia="Times New Roman" w:cs="Segoe UI"/>
          <w:color w:val="1D2125"/>
          <w:lang w:eastAsia="en-GB"/>
        </w:rPr>
        <w:footnoteReference w:id="16"/>
      </w:r>
      <w:r w:rsidR="00A50BED">
        <w:rPr>
          <w:rFonts w:eastAsia="Times New Roman" w:cs="Segoe UI"/>
          <w:color w:val="1D2125"/>
          <w:lang w:eastAsia="en-GB"/>
        </w:rPr>
        <w:t xml:space="preserve">. Litwa claims that the use of </w:t>
      </w:r>
      <w:r w:rsidR="00535159">
        <w:rPr>
          <w:rFonts w:eastAsia="Times New Roman" w:cs="Segoe UI"/>
          <w:color w:val="1D2125"/>
          <w:lang w:eastAsia="en-GB"/>
        </w:rPr>
        <w:t xml:space="preserve">(fictional) </w:t>
      </w:r>
      <w:r w:rsidR="00A50BED">
        <w:rPr>
          <w:rFonts w:eastAsia="Times New Roman" w:cs="Segoe UI"/>
          <w:color w:val="1D2125"/>
          <w:lang w:eastAsia="en-GB"/>
        </w:rPr>
        <w:t xml:space="preserve">eyewitnesses is </w:t>
      </w:r>
      <w:r w:rsidR="00535159">
        <w:rPr>
          <w:rFonts w:eastAsia="Times New Roman" w:cs="Segoe UI"/>
          <w:color w:val="1D2125"/>
          <w:lang w:eastAsia="en-GB"/>
        </w:rPr>
        <w:t>conventional</w:t>
      </w:r>
      <w:r w:rsidR="00A50BED">
        <w:rPr>
          <w:rFonts w:eastAsia="Times New Roman" w:cs="Segoe UI"/>
          <w:color w:val="1D2125"/>
          <w:lang w:eastAsia="en-GB"/>
        </w:rPr>
        <w:t xml:space="preserve"> in histori</w:t>
      </w:r>
      <w:r w:rsidR="00535159">
        <w:rPr>
          <w:rFonts w:eastAsia="Times New Roman" w:cs="Segoe UI"/>
          <w:color w:val="1D2125"/>
          <w:lang w:eastAsia="en-GB"/>
        </w:rPr>
        <w:t>es of the time</w:t>
      </w:r>
      <w:r w:rsidR="00A50BED">
        <w:rPr>
          <w:rFonts w:eastAsia="Times New Roman" w:cs="Segoe UI"/>
          <w:color w:val="1D2125"/>
          <w:lang w:eastAsia="en-GB"/>
        </w:rPr>
        <w:t xml:space="preserve">, and that it is possible that John used the same device. </w:t>
      </w:r>
      <w:r w:rsidR="00531B50">
        <w:rPr>
          <w:rFonts w:eastAsia="Times New Roman" w:cs="Segoe UI"/>
          <w:color w:val="1D2125"/>
          <w:lang w:eastAsia="en-GB"/>
        </w:rPr>
        <w:t>Thus,</w:t>
      </w:r>
      <w:r w:rsidR="00A50BED">
        <w:rPr>
          <w:rFonts w:eastAsia="Times New Roman" w:cs="Segoe UI"/>
          <w:color w:val="1D2125"/>
          <w:lang w:eastAsia="en-GB"/>
        </w:rPr>
        <w:t xml:space="preserve"> the credit to the Beloved Disciple at John 21:24 may be doubted</w:t>
      </w:r>
      <w:r w:rsidR="00531B50">
        <w:rPr>
          <w:rStyle w:val="FootnoteReference"/>
          <w:rFonts w:eastAsia="Times New Roman" w:cs="Segoe UI"/>
          <w:color w:val="1D2125"/>
          <w:lang w:eastAsia="en-GB"/>
        </w:rPr>
        <w:footnoteReference w:id="17"/>
      </w:r>
      <w:r w:rsidR="003670D0">
        <w:rPr>
          <w:rFonts w:eastAsia="Times New Roman" w:cs="Segoe UI"/>
          <w:color w:val="1D2125"/>
          <w:lang w:eastAsia="en-GB"/>
        </w:rPr>
        <w:t xml:space="preserve">: one reason given is that he </w:t>
      </w:r>
      <w:r w:rsidR="00A50BED">
        <w:rPr>
          <w:rFonts w:eastAsia="Times New Roman" w:cs="Segoe UI"/>
          <w:color w:val="1D2125"/>
          <w:lang w:eastAsia="en-GB"/>
        </w:rPr>
        <w:t xml:space="preserve">does not appear at all in the Synoptics. But his anonymity, his apparent longevity, and the suggestion that he kept a written record may in fact be common authenticating signs of </w:t>
      </w:r>
      <w:r w:rsidR="00535159">
        <w:rPr>
          <w:rFonts w:eastAsia="Times New Roman" w:cs="Segoe UI"/>
          <w:color w:val="1D2125"/>
          <w:lang w:eastAsia="en-GB"/>
        </w:rPr>
        <w:t xml:space="preserve">what to us is mere </w:t>
      </w:r>
      <w:r w:rsidR="00535159">
        <w:rPr>
          <w:rFonts w:eastAsia="Times New Roman" w:cs="Segoe UI"/>
          <w:color w:val="1D2125"/>
          <w:lang w:eastAsia="en-GB"/>
        </w:rPr>
        <w:lastRenderedPageBreak/>
        <w:t>fabrication.</w:t>
      </w:r>
      <w:r w:rsidR="00A50BED">
        <w:rPr>
          <w:rFonts w:eastAsia="Times New Roman" w:cs="Segoe UI"/>
          <w:color w:val="1D2125"/>
          <w:lang w:eastAsia="en-GB"/>
        </w:rPr>
        <w:t xml:space="preserve"> </w:t>
      </w:r>
      <w:r w:rsidR="00E92CA4">
        <w:rPr>
          <w:rFonts w:eastAsia="Times New Roman" w:cs="Segoe UI"/>
          <w:color w:val="1D2125"/>
          <w:lang w:eastAsia="en-GB"/>
        </w:rPr>
        <w:t>As Litwa observes, such ‘rhetorically customary mendacity’ is not unusual in ancient history, and Bauckham himself may not be aware of it (note 71, p.361).</w:t>
      </w:r>
      <w:r w:rsidR="00A50BED">
        <w:rPr>
          <w:rFonts w:eastAsia="Times New Roman" w:cs="Segoe UI"/>
          <w:color w:val="1D2125"/>
          <w:lang w:eastAsia="en-GB"/>
        </w:rPr>
        <w:t xml:space="preserve"> </w:t>
      </w:r>
      <w:r w:rsidR="00531B50">
        <w:rPr>
          <w:rFonts w:eastAsia="Times New Roman" w:cs="Segoe UI"/>
          <w:color w:val="1D2125"/>
          <w:lang w:eastAsia="en-GB"/>
        </w:rPr>
        <w:t xml:space="preserve">To cheer readers feeling betrayed by this deceit about the Beloved Disciple, he avers that </w:t>
      </w:r>
      <w:r w:rsidR="006542A9">
        <w:rPr>
          <w:rFonts w:eastAsia="Times New Roman" w:cs="Segoe UI"/>
          <w:color w:val="1D2125"/>
          <w:lang w:eastAsia="en-GB"/>
        </w:rPr>
        <w:t xml:space="preserve">John’s Gospel may be no less ‘real’ for those of faith. </w:t>
      </w:r>
    </w:p>
    <w:p w14:paraId="1A936076" w14:textId="77777777" w:rsidR="006542A9" w:rsidRDefault="006542A9" w:rsidP="00BD0829">
      <w:pPr>
        <w:rPr>
          <w:rFonts w:eastAsia="Times New Roman" w:cs="Segoe UI"/>
          <w:color w:val="1D2125"/>
          <w:lang w:eastAsia="en-GB"/>
        </w:rPr>
      </w:pPr>
    </w:p>
    <w:p w14:paraId="2F55A5B0" w14:textId="77777777" w:rsidR="00001B21" w:rsidRDefault="007E17A2" w:rsidP="00BD0829">
      <w:pPr>
        <w:rPr>
          <w:rFonts w:eastAsia="Times New Roman" w:cs="Segoe UI"/>
          <w:color w:val="1D2125"/>
          <w:lang w:eastAsia="en-GB"/>
        </w:rPr>
      </w:pPr>
      <w:r>
        <w:rPr>
          <w:rFonts w:eastAsia="Times New Roman" w:cs="Segoe UI"/>
          <w:color w:val="1D2125"/>
          <w:lang w:eastAsia="en-GB"/>
        </w:rPr>
        <w:t xml:space="preserve">According to </w:t>
      </w:r>
      <w:r w:rsidR="006542A9">
        <w:rPr>
          <w:rFonts w:eastAsia="Times New Roman" w:cs="Segoe UI"/>
          <w:color w:val="1D2125"/>
          <w:lang w:eastAsia="en-GB"/>
        </w:rPr>
        <w:t>Ruth Edwards</w:t>
      </w:r>
      <w:r>
        <w:rPr>
          <w:rStyle w:val="FootnoteReference"/>
          <w:rFonts w:eastAsia="Times New Roman" w:cs="Segoe UI"/>
          <w:color w:val="1D2125"/>
          <w:lang w:eastAsia="en-GB"/>
        </w:rPr>
        <w:footnoteReference w:id="18"/>
      </w:r>
      <w:r>
        <w:rPr>
          <w:rFonts w:eastAsia="Times New Roman" w:cs="Segoe UI"/>
          <w:color w:val="1D2125"/>
          <w:lang w:eastAsia="en-GB"/>
        </w:rPr>
        <w:t xml:space="preserve">, </w:t>
      </w:r>
      <w:r w:rsidR="006542A9">
        <w:rPr>
          <w:rFonts w:eastAsia="Times New Roman" w:cs="Segoe UI"/>
          <w:color w:val="1D2125"/>
          <w:lang w:eastAsia="en-GB"/>
        </w:rPr>
        <w:t>Maurice Casey</w:t>
      </w:r>
      <w:r>
        <w:rPr>
          <w:rFonts w:eastAsia="Times New Roman" w:cs="Segoe UI"/>
          <w:color w:val="1D2125"/>
          <w:lang w:eastAsia="en-GB"/>
        </w:rPr>
        <w:t xml:space="preserve"> thinks John’s Gospel is ‘profoundly untrue’</w:t>
      </w:r>
      <w:r w:rsidRPr="006542A9">
        <w:rPr>
          <w:rStyle w:val="FootnoteReference"/>
          <w:rFonts w:eastAsia="Times New Roman" w:cs="Segoe UI"/>
          <w:color w:val="1D2125"/>
          <w:lang w:eastAsia="en-GB"/>
        </w:rPr>
        <w:footnoteReference w:id="19"/>
      </w:r>
      <w:r>
        <w:rPr>
          <w:rFonts w:eastAsia="Times New Roman" w:cs="Segoe UI"/>
          <w:color w:val="1D2125"/>
          <w:lang w:eastAsia="en-GB"/>
        </w:rPr>
        <w:t xml:space="preserve">, alleging the scarcity of sources, uncertainty over chronology such as the temple-cleansing and the crucifixion itself, and the absence of exorcisms, parables and teachings on the kingdom of God, which are common features of the Synoptic Gospels. </w:t>
      </w:r>
      <w:r w:rsidR="001F4F4E">
        <w:rPr>
          <w:rFonts w:eastAsia="Times New Roman" w:cs="Segoe UI"/>
          <w:color w:val="1D2125"/>
          <w:lang w:eastAsia="en-GB"/>
        </w:rPr>
        <w:t xml:space="preserve">Casey thinks that </w:t>
      </w:r>
      <w:r w:rsidR="003670D0">
        <w:rPr>
          <w:rFonts w:eastAsia="Times New Roman" w:cs="Segoe UI"/>
          <w:color w:val="1D2125"/>
          <w:lang w:eastAsia="en-GB"/>
        </w:rPr>
        <w:t xml:space="preserve">in John, </w:t>
      </w:r>
      <w:r w:rsidR="001F4F4E">
        <w:rPr>
          <w:rFonts w:eastAsia="Times New Roman" w:cs="Segoe UI"/>
          <w:color w:val="1D2125"/>
          <w:lang w:eastAsia="en-GB"/>
        </w:rPr>
        <w:t>history has taken a back seat to theology.</w:t>
      </w:r>
      <w:r w:rsidR="001F4F4E">
        <w:rPr>
          <w:rStyle w:val="FootnoteReference"/>
          <w:rFonts w:eastAsia="Times New Roman" w:cs="Segoe UI"/>
          <w:color w:val="1D2125"/>
          <w:lang w:eastAsia="en-GB"/>
        </w:rPr>
        <w:footnoteReference w:id="20"/>
      </w:r>
      <w:r w:rsidR="001F4F4E">
        <w:rPr>
          <w:rFonts w:eastAsia="Times New Roman" w:cs="Segoe UI"/>
          <w:color w:val="1D2125"/>
          <w:lang w:eastAsia="en-GB"/>
        </w:rPr>
        <w:t xml:space="preserve"> His classic ‘sceptical’ position includes leaning heavily on the idea of both late first century composition (after 90CE and the </w:t>
      </w:r>
      <w:r w:rsidR="003670D0">
        <w:rPr>
          <w:rFonts w:eastAsia="Times New Roman" w:cs="Segoe UI"/>
          <w:color w:val="1D2125"/>
          <w:lang w:eastAsia="en-GB"/>
        </w:rPr>
        <w:t>‘</w:t>
      </w:r>
      <w:proofErr w:type="spellStart"/>
      <w:r w:rsidR="003670D0">
        <w:rPr>
          <w:rFonts w:eastAsia="Times New Roman" w:cs="Segoe UI"/>
          <w:color w:val="1D2125"/>
          <w:lang w:eastAsia="en-GB"/>
        </w:rPr>
        <w:t>Birkhat</w:t>
      </w:r>
      <w:proofErr w:type="spellEnd"/>
      <w:r w:rsidR="003670D0">
        <w:rPr>
          <w:rFonts w:eastAsia="Times New Roman" w:cs="Segoe UI"/>
          <w:color w:val="1D2125"/>
          <w:lang w:eastAsia="en-GB"/>
        </w:rPr>
        <w:t xml:space="preserve"> </w:t>
      </w:r>
      <w:proofErr w:type="spellStart"/>
      <w:r w:rsidR="003670D0">
        <w:rPr>
          <w:rFonts w:eastAsia="Times New Roman" w:cs="Segoe UI"/>
          <w:color w:val="1D2125"/>
          <w:lang w:eastAsia="en-GB"/>
        </w:rPr>
        <w:t>HaMinim</w:t>
      </w:r>
      <w:proofErr w:type="spellEnd"/>
      <w:r w:rsidR="003670D0">
        <w:rPr>
          <w:rFonts w:eastAsia="Times New Roman" w:cs="Segoe UI"/>
          <w:color w:val="1D2125"/>
          <w:lang w:eastAsia="en-GB"/>
        </w:rPr>
        <w:t>’ – see below</w:t>
      </w:r>
      <w:r w:rsidR="001F4F4E">
        <w:rPr>
          <w:rFonts w:eastAsia="Times New Roman" w:cs="Segoe UI"/>
          <w:color w:val="1D2125"/>
          <w:lang w:eastAsia="en-GB"/>
        </w:rPr>
        <w:t>) and the proposed Johannine community (p</w:t>
      </w:r>
      <w:r w:rsidR="003670D0">
        <w:rPr>
          <w:rFonts w:eastAsia="Times New Roman" w:cs="Segoe UI"/>
          <w:color w:val="1D2125"/>
          <w:lang w:eastAsia="en-GB"/>
        </w:rPr>
        <w:t>resumed to be</w:t>
      </w:r>
      <w:r w:rsidR="001F4F4E">
        <w:rPr>
          <w:rFonts w:eastAsia="Times New Roman" w:cs="Segoe UI"/>
          <w:color w:val="1D2125"/>
          <w:lang w:eastAsia="en-GB"/>
        </w:rPr>
        <w:t xml:space="preserve"> at Ephesus)</w:t>
      </w:r>
      <w:r w:rsidR="003670D0">
        <w:rPr>
          <w:rFonts w:eastAsia="Times New Roman" w:cs="Segoe UI"/>
          <w:color w:val="1D2125"/>
          <w:lang w:eastAsia="en-GB"/>
        </w:rPr>
        <w:t>. Edwards’ caution about</w:t>
      </w:r>
      <w:r w:rsidR="001F4F4E">
        <w:rPr>
          <w:rFonts w:eastAsia="Times New Roman" w:cs="Segoe UI"/>
          <w:color w:val="1D2125"/>
          <w:lang w:eastAsia="en-GB"/>
        </w:rPr>
        <w:t xml:space="preserve"> over-reliance on this idea of a community </w:t>
      </w:r>
      <w:r w:rsidR="003670D0">
        <w:rPr>
          <w:rFonts w:eastAsia="Times New Roman" w:cs="Segoe UI"/>
          <w:color w:val="1D2125"/>
          <w:lang w:eastAsia="en-GB"/>
        </w:rPr>
        <w:t>is noteworthy</w:t>
      </w:r>
      <w:r w:rsidR="001F4F4E">
        <w:rPr>
          <w:rStyle w:val="FootnoteReference"/>
          <w:rFonts w:eastAsia="Times New Roman" w:cs="Segoe UI"/>
          <w:color w:val="1D2125"/>
          <w:lang w:eastAsia="en-GB"/>
        </w:rPr>
        <w:footnoteReference w:id="21"/>
      </w:r>
      <w:r w:rsidR="001F4F4E">
        <w:rPr>
          <w:rFonts w:eastAsia="Times New Roman" w:cs="Segoe UI"/>
          <w:color w:val="1D2125"/>
          <w:lang w:eastAsia="en-GB"/>
        </w:rPr>
        <w:t xml:space="preserve">. </w:t>
      </w:r>
      <w:r w:rsidR="00505D1C">
        <w:rPr>
          <w:rFonts w:eastAsia="Times New Roman" w:cs="Segoe UI"/>
          <w:color w:val="1D2125"/>
          <w:lang w:eastAsia="en-GB"/>
        </w:rPr>
        <w:t xml:space="preserve">Finally, in Casey’s view, </w:t>
      </w:r>
      <w:r w:rsidR="001F4F4E">
        <w:rPr>
          <w:rFonts w:eastAsia="Times New Roman" w:cs="Segoe UI"/>
          <w:color w:val="1D2125"/>
          <w:lang w:eastAsia="en-GB"/>
        </w:rPr>
        <w:t>John’s talk of the Beloved Disciple</w:t>
      </w:r>
      <w:r w:rsidR="00505D1C">
        <w:rPr>
          <w:rFonts w:eastAsia="Times New Roman" w:cs="Segoe UI"/>
          <w:color w:val="1D2125"/>
          <w:lang w:eastAsia="en-GB"/>
        </w:rPr>
        <w:t xml:space="preserve"> </w:t>
      </w:r>
      <w:r w:rsidR="00B854D2">
        <w:rPr>
          <w:rFonts w:eastAsia="Times New Roman" w:cs="Segoe UI"/>
          <w:color w:val="1D2125"/>
          <w:lang w:eastAsia="en-GB"/>
        </w:rPr>
        <w:t xml:space="preserve">acts </w:t>
      </w:r>
      <w:r w:rsidR="001158D4">
        <w:rPr>
          <w:rFonts w:eastAsia="Times New Roman" w:cs="Segoe UI"/>
          <w:color w:val="1D2125"/>
          <w:lang w:eastAsia="en-GB"/>
        </w:rPr>
        <w:t xml:space="preserve">merely </w:t>
      </w:r>
      <w:r w:rsidR="001F4F4E">
        <w:rPr>
          <w:rFonts w:eastAsia="Times New Roman" w:cs="Segoe UI"/>
          <w:color w:val="1D2125"/>
          <w:lang w:eastAsia="en-GB"/>
        </w:rPr>
        <w:t xml:space="preserve">as a symbol </w:t>
      </w:r>
      <w:r w:rsidR="001158D4">
        <w:rPr>
          <w:rFonts w:eastAsia="Times New Roman" w:cs="Segoe UI"/>
          <w:color w:val="1D2125"/>
          <w:lang w:eastAsia="en-GB"/>
        </w:rPr>
        <w:t>for</w:t>
      </w:r>
      <w:r w:rsidR="001F4F4E">
        <w:rPr>
          <w:rFonts w:eastAsia="Times New Roman" w:cs="Segoe UI"/>
          <w:color w:val="1D2125"/>
          <w:lang w:eastAsia="en-GB"/>
        </w:rPr>
        <w:t xml:space="preserve"> the true followers.</w:t>
      </w:r>
      <w:r w:rsidR="00001B21">
        <w:rPr>
          <w:rFonts w:eastAsia="Times New Roman" w:cs="Segoe UI"/>
          <w:color w:val="1D2125"/>
          <w:lang w:eastAsia="en-GB"/>
        </w:rPr>
        <w:t xml:space="preserve"> </w:t>
      </w:r>
    </w:p>
    <w:p w14:paraId="4894411F" w14:textId="77777777" w:rsidR="00001B21" w:rsidRDefault="00001B21" w:rsidP="00BD0829">
      <w:pPr>
        <w:rPr>
          <w:rFonts w:eastAsia="Times New Roman" w:cs="Segoe UI"/>
          <w:color w:val="1D2125"/>
          <w:lang w:eastAsia="en-GB"/>
        </w:rPr>
      </w:pPr>
    </w:p>
    <w:p w14:paraId="65C4BF9A" w14:textId="03C21B0C" w:rsidR="006D69C5" w:rsidRDefault="001F4F4E" w:rsidP="00BD0829">
      <w:pPr>
        <w:rPr>
          <w:rFonts w:eastAsia="Times New Roman" w:cs="Segoe UI"/>
          <w:color w:val="1D2125"/>
          <w:lang w:eastAsia="en-GB"/>
        </w:rPr>
      </w:pPr>
      <w:r>
        <w:rPr>
          <w:rFonts w:eastAsia="Times New Roman" w:cs="Segoe UI"/>
          <w:color w:val="1D2125"/>
          <w:lang w:eastAsia="en-GB"/>
        </w:rPr>
        <w:t>Eric Franklin</w:t>
      </w:r>
      <w:r w:rsidR="00D06325">
        <w:rPr>
          <w:rFonts w:eastAsia="Times New Roman" w:cs="Segoe UI"/>
          <w:color w:val="1D2125"/>
          <w:lang w:eastAsia="en-GB"/>
        </w:rPr>
        <w:t>’s review</w:t>
      </w:r>
      <w:r w:rsidR="00D06325">
        <w:rPr>
          <w:rStyle w:val="FootnoteReference"/>
          <w:rFonts w:eastAsia="Times New Roman" w:cs="Segoe UI"/>
          <w:color w:val="1D2125"/>
          <w:lang w:eastAsia="en-GB"/>
        </w:rPr>
        <w:footnoteReference w:id="22"/>
      </w:r>
      <w:r w:rsidR="00D06325">
        <w:rPr>
          <w:rFonts w:eastAsia="Times New Roman" w:cs="Segoe UI"/>
          <w:color w:val="1D2125"/>
          <w:lang w:eastAsia="en-GB"/>
        </w:rPr>
        <w:t xml:space="preserve"> presents </w:t>
      </w:r>
      <w:r w:rsidR="001158D4">
        <w:rPr>
          <w:rFonts w:eastAsia="Times New Roman" w:cs="Segoe UI"/>
          <w:color w:val="1D2125"/>
          <w:lang w:eastAsia="en-GB"/>
        </w:rPr>
        <w:t>the</w:t>
      </w:r>
      <w:r w:rsidR="00D06325">
        <w:rPr>
          <w:rFonts w:eastAsia="Times New Roman" w:cs="Segoe UI"/>
          <w:color w:val="1D2125"/>
          <w:lang w:eastAsia="en-GB"/>
        </w:rPr>
        <w:t xml:space="preserve"> diametrically opposed view </w:t>
      </w:r>
      <w:r w:rsidR="004C2DD1">
        <w:rPr>
          <w:rFonts w:eastAsia="Times New Roman" w:cs="Segoe UI"/>
          <w:color w:val="1D2125"/>
          <w:lang w:eastAsia="en-GB"/>
        </w:rPr>
        <w:t xml:space="preserve">to this, </w:t>
      </w:r>
      <w:r w:rsidR="00D06325">
        <w:rPr>
          <w:rFonts w:eastAsia="Times New Roman" w:cs="Segoe UI"/>
          <w:color w:val="1D2125"/>
          <w:lang w:eastAsia="en-GB"/>
        </w:rPr>
        <w:t xml:space="preserve">from Herman </w:t>
      </w:r>
      <w:proofErr w:type="spellStart"/>
      <w:r w:rsidR="00D06325">
        <w:rPr>
          <w:rFonts w:eastAsia="Times New Roman" w:cs="Segoe UI"/>
          <w:color w:val="1D2125"/>
          <w:lang w:eastAsia="en-GB"/>
        </w:rPr>
        <w:t>Ridderbos</w:t>
      </w:r>
      <w:proofErr w:type="spellEnd"/>
      <w:r w:rsidR="00D06325">
        <w:rPr>
          <w:rFonts w:eastAsia="Times New Roman" w:cs="Segoe UI"/>
          <w:color w:val="1D2125"/>
          <w:lang w:eastAsia="en-GB"/>
        </w:rPr>
        <w:t xml:space="preserve">, who believes that the motivation to write the gospel in the first place derives from how inspiring </w:t>
      </w:r>
      <w:r w:rsidR="004C2DD1">
        <w:rPr>
          <w:rFonts w:eastAsia="Times New Roman" w:cs="Segoe UI"/>
          <w:color w:val="1D2125"/>
          <w:lang w:eastAsia="en-GB"/>
        </w:rPr>
        <w:t>the writer’s</w:t>
      </w:r>
      <w:r w:rsidR="00D06325">
        <w:rPr>
          <w:rFonts w:eastAsia="Times New Roman" w:cs="Segoe UI"/>
          <w:color w:val="1D2125"/>
          <w:lang w:eastAsia="en-GB"/>
        </w:rPr>
        <w:t xml:space="preserve"> proximity was to the events of Jesus’ life. </w:t>
      </w:r>
      <w:r w:rsidR="00B854D2">
        <w:rPr>
          <w:rFonts w:eastAsia="Times New Roman" w:cs="Segoe UI"/>
          <w:color w:val="1D2125"/>
          <w:lang w:eastAsia="en-GB"/>
        </w:rPr>
        <w:t>He is thus impatient of the idea of the Johannine community</w:t>
      </w:r>
      <w:r w:rsidR="00B854D2">
        <w:rPr>
          <w:rStyle w:val="FootnoteReference"/>
          <w:rFonts w:eastAsia="Times New Roman" w:cs="Segoe UI"/>
          <w:color w:val="1D2125"/>
          <w:lang w:eastAsia="en-GB"/>
        </w:rPr>
        <w:footnoteReference w:id="23"/>
      </w:r>
      <w:r w:rsidR="00B854D2">
        <w:rPr>
          <w:rFonts w:eastAsia="Times New Roman" w:cs="Segoe UI"/>
          <w:color w:val="1D2125"/>
          <w:lang w:eastAsia="en-GB"/>
        </w:rPr>
        <w:t xml:space="preserve">. </w:t>
      </w:r>
      <w:r w:rsidR="00D06325">
        <w:rPr>
          <w:rFonts w:eastAsia="Times New Roman" w:cs="Segoe UI"/>
          <w:color w:val="1D2125"/>
          <w:lang w:eastAsia="en-GB"/>
        </w:rPr>
        <w:t xml:space="preserve">The theology and Christology in such an account </w:t>
      </w:r>
      <w:proofErr w:type="gramStart"/>
      <w:r w:rsidR="00D06325">
        <w:rPr>
          <w:rFonts w:eastAsia="Times New Roman" w:cs="Segoe UI"/>
          <w:color w:val="1D2125"/>
          <w:lang w:eastAsia="en-GB"/>
        </w:rPr>
        <w:t>is</w:t>
      </w:r>
      <w:proofErr w:type="gramEnd"/>
      <w:r w:rsidR="00D06325">
        <w:rPr>
          <w:rFonts w:eastAsia="Times New Roman" w:cs="Segoe UI"/>
          <w:color w:val="1D2125"/>
          <w:lang w:eastAsia="en-GB"/>
        </w:rPr>
        <w:t xml:space="preserve"> </w:t>
      </w:r>
      <w:r w:rsidR="00505D1C">
        <w:rPr>
          <w:rFonts w:eastAsia="Times New Roman" w:cs="Segoe UI"/>
          <w:color w:val="1D2125"/>
          <w:lang w:eastAsia="en-GB"/>
        </w:rPr>
        <w:t>to him</w:t>
      </w:r>
      <w:r w:rsidR="00D06325">
        <w:rPr>
          <w:rFonts w:eastAsia="Times New Roman" w:cs="Segoe UI"/>
          <w:color w:val="1D2125"/>
          <w:lang w:eastAsia="en-GB"/>
        </w:rPr>
        <w:t xml:space="preserve"> secondary to the history of the lived experience. </w:t>
      </w:r>
    </w:p>
    <w:p w14:paraId="2732A6C8" w14:textId="77777777" w:rsidR="00B854D2" w:rsidRPr="006D69C5" w:rsidRDefault="00B854D2" w:rsidP="00BD0829">
      <w:pPr>
        <w:rPr>
          <w:rFonts w:eastAsia="Times New Roman" w:cs="Segoe UI"/>
          <w:color w:val="1D2125"/>
          <w:lang w:eastAsia="en-GB"/>
        </w:rPr>
      </w:pPr>
    </w:p>
    <w:p w14:paraId="3D971E5B" w14:textId="11E6D17B" w:rsidR="00BD0829" w:rsidRDefault="00E223AD" w:rsidP="00821506">
      <w:pPr>
        <w:shd w:val="clear" w:color="auto" w:fill="FFFFFF"/>
        <w:rPr>
          <w:rFonts w:eastAsia="Times New Roman" w:cs="Segoe UI"/>
          <w:b/>
          <w:bCs/>
          <w:color w:val="1D2125"/>
          <w:lang w:eastAsia="en-GB"/>
        </w:rPr>
      </w:pPr>
      <w:r>
        <w:rPr>
          <w:rFonts w:eastAsia="Times New Roman" w:cs="Segoe UI"/>
          <w:b/>
          <w:bCs/>
          <w:color w:val="1D2125"/>
          <w:lang w:eastAsia="en-GB"/>
        </w:rPr>
        <w:t>A literary approach</w:t>
      </w:r>
    </w:p>
    <w:p w14:paraId="1E784BB7" w14:textId="7A933114" w:rsidR="00833361" w:rsidRDefault="001B22FB" w:rsidP="00821506">
      <w:pPr>
        <w:shd w:val="clear" w:color="auto" w:fill="FFFFFF"/>
        <w:rPr>
          <w:rFonts w:eastAsia="Times New Roman" w:cs="Segoe UI"/>
          <w:color w:val="1D2125"/>
          <w:lang w:eastAsia="en-GB"/>
        </w:rPr>
      </w:pPr>
      <w:r>
        <w:rPr>
          <w:rFonts w:eastAsia="Times New Roman" w:cs="Segoe UI"/>
          <w:color w:val="1D2125"/>
          <w:lang w:eastAsia="en-GB"/>
        </w:rPr>
        <w:t xml:space="preserve">Gilbert </w:t>
      </w:r>
      <w:r w:rsidR="00F73032">
        <w:rPr>
          <w:rFonts w:eastAsia="Times New Roman" w:cs="Segoe UI"/>
          <w:color w:val="1D2125"/>
          <w:lang w:eastAsia="en-GB"/>
        </w:rPr>
        <w:t>V</w:t>
      </w:r>
      <w:r>
        <w:rPr>
          <w:rFonts w:eastAsia="Times New Roman" w:cs="Segoe UI"/>
          <w:color w:val="1D2125"/>
          <w:lang w:eastAsia="en-GB"/>
        </w:rPr>
        <w:t>an Belle sees the historicity problem in John’s Gospel through two lenses: its relation to the Synoptics, and its own literary unity</w:t>
      </w:r>
      <w:r>
        <w:rPr>
          <w:rStyle w:val="FootnoteReference"/>
          <w:rFonts w:eastAsia="Times New Roman" w:cs="Segoe UI"/>
          <w:color w:val="1D2125"/>
          <w:lang w:eastAsia="en-GB"/>
        </w:rPr>
        <w:footnoteReference w:id="24"/>
      </w:r>
      <w:r>
        <w:rPr>
          <w:rFonts w:eastAsia="Times New Roman" w:cs="Segoe UI"/>
          <w:color w:val="1D2125"/>
          <w:lang w:eastAsia="en-GB"/>
        </w:rPr>
        <w:t xml:space="preserve">. </w:t>
      </w:r>
      <w:r w:rsidR="00F73032">
        <w:rPr>
          <w:rFonts w:eastAsia="Times New Roman" w:cs="Segoe UI"/>
          <w:color w:val="1D2125"/>
          <w:lang w:eastAsia="en-GB"/>
        </w:rPr>
        <w:t xml:space="preserve">On the latter, his work on the parentheses and asides in John leads him to believe that they are not editorial additions or redactions, but original to the author (p.225); </w:t>
      </w:r>
      <w:r w:rsidR="00D563BC">
        <w:rPr>
          <w:rFonts w:eastAsia="Times New Roman" w:cs="Segoe UI"/>
          <w:color w:val="1D2125"/>
          <w:lang w:eastAsia="en-GB"/>
        </w:rPr>
        <w:t>similarly,</w:t>
      </w:r>
      <w:r w:rsidR="00F73032">
        <w:rPr>
          <w:rFonts w:eastAsia="Times New Roman" w:cs="Segoe UI"/>
          <w:color w:val="1D2125"/>
          <w:lang w:eastAsia="en-GB"/>
        </w:rPr>
        <w:t xml:space="preserve"> </w:t>
      </w:r>
      <w:r w:rsidR="00D563BC">
        <w:rPr>
          <w:rFonts w:eastAsia="Times New Roman" w:cs="Segoe UI"/>
          <w:color w:val="1D2125"/>
          <w:lang w:eastAsia="en-GB"/>
        </w:rPr>
        <w:t>he discerns a literary unity between the narrative side of the gospel, and what are commonly described as the ‘discourses’. In his words, ‘The crafting of the Gospel admits of few cracks and crevices</w:t>
      </w:r>
      <w:r w:rsidR="00001B21">
        <w:rPr>
          <w:rFonts w:eastAsia="Times New Roman" w:cs="Segoe UI"/>
          <w:color w:val="1D2125"/>
          <w:lang w:eastAsia="en-GB"/>
        </w:rPr>
        <w:t>’</w:t>
      </w:r>
      <w:r w:rsidR="00D563BC">
        <w:rPr>
          <w:rFonts w:eastAsia="Times New Roman" w:cs="Segoe UI"/>
          <w:color w:val="1D2125"/>
          <w:lang w:eastAsia="en-GB"/>
        </w:rPr>
        <w:t xml:space="preserve"> (p.227)</w:t>
      </w:r>
      <w:r w:rsidR="00D563BC">
        <w:rPr>
          <w:rStyle w:val="FootnoteReference"/>
          <w:rFonts w:eastAsia="Times New Roman" w:cs="Segoe UI"/>
          <w:color w:val="1D2125"/>
          <w:lang w:eastAsia="en-GB"/>
        </w:rPr>
        <w:footnoteReference w:id="25"/>
      </w:r>
      <w:r w:rsidR="00D563BC">
        <w:rPr>
          <w:rFonts w:eastAsia="Times New Roman" w:cs="Segoe UI"/>
          <w:color w:val="1D2125"/>
          <w:lang w:eastAsia="en-GB"/>
        </w:rPr>
        <w:t xml:space="preserve">.This is in part supported by his doubts about the theory of a separate so-called ‘Signs Source’ for John (p.225). </w:t>
      </w:r>
      <w:r w:rsidR="00001B21">
        <w:rPr>
          <w:rFonts w:eastAsia="Times New Roman" w:cs="Segoe UI"/>
          <w:color w:val="1D2125"/>
          <w:lang w:eastAsia="en-GB"/>
        </w:rPr>
        <w:t>However</w:t>
      </w:r>
      <w:r w:rsidR="00D563BC">
        <w:rPr>
          <w:rFonts w:eastAsia="Times New Roman" w:cs="Segoe UI"/>
          <w:color w:val="1D2125"/>
          <w:lang w:eastAsia="en-GB"/>
        </w:rPr>
        <w:t xml:space="preserve">, </w:t>
      </w:r>
      <w:r w:rsidR="00001B21">
        <w:rPr>
          <w:rFonts w:eastAsia="Times New Roman" w:cs="Segoe UI"/>
          <w:color w:val="1D2125"/>
          <w:lang w:eastAsia="en-GB"/>
        </w:rPr>
        <w:t>having</w:t>
      </w:r>
      <w:r w:rsidR="00D563BC">
        <w:rPr>
          <w:rFonts w:eastAsia="Times New Roman" w:cs="Segoe UI"/>
          <w:color w:val="1D2125"/>
          <w:lang w:eastAsia="en-GB"/>
        </w:rPr>
        <w:t xml:space="preserve"> demonstrated </w:t>
      </w:r>
      <w:r w:rsidR="00E223AD">
        <w:rPr>
          <w:rFonts w:eastAsia="Times New Roman" w:cs="Segoe UI"/>
          <w:color w:val="1D2125"/>
          <w:lang w:eastAsia="en-GB"/>
        </w:rPr>
        <w:t xml:space="preserve">little more than the gospel’s obvious coherence, </w:t>
      </w:r>
      <w:r w:rsidR="00001B21">
        <w:rPr>
          <w:rFonts w:eastAsia="Times New Roman" w:cs="Segoe UI"/>
          <w:color w:val="1D2125"/>
          <w:lang w:eastAsia="en-GB"/>
        </w:rPr>
        <w:t>he</w:t>
      </w:r>
      <w:r w:rsidR="00E223AD">
        <w:rPr>
          <w:rFonts w:eastAsia="Times New Roman" w:cs="Segoe UI"/>
          <w:color w:val="1D2125"/>
          <w:lang w:eastAsia="en-GB"/>
        </w:rPr>
        <w:t xml:space="preserve"> </w:t>
      </w:r>
      <w:r w:rsidR="00001B21">
        <w:rPr>
          <w:rFonts w:eastAsia="Times New Roman" w:cs="Segoe UI"/>
          <w:color w:val="1D2125"/>
          <w:lang w:eastAsia="en-GB"/>
        </w:rPr>
        <w:t>offers</w:t>
      </w:r>
      <w:r w:rsidR="00E223AD">
        <w:rPr>
          <w:rFonts w:eastAsia="Times New Roman" w:cs="Segoe UI"/>
          <w:color w:val="1D2125"/>
          <w:lang w:eastAsia="en-GB"/>
        </w:rPr>
        <w:t xml:space="preserve"> nothing to help us establish its historical reliability.</w:t>
      </w:r>
      <w:r w:rsidR="004C2DD1">
        <w:rPr>
          <w:rFonts w:eastAsia="Times New Roman" w:cs="Segoe UI"/>
          <w:color w:val="1D2125"/>
          <w:lang w:eastAsia="en-GB"/>
        </w:rPr>
        <w:t xml:space="preserve"> If anything</w:t>
      </w:r>
      <w:r w:rsidR="00B854D2">
        <w:rPr>
          <w:rFonts w:eastAsia="Times New Roman" w:cs="Segoe UI"/>
          <w:color w:val="1D2125"/>
          <w:lang w:eastAsia="en-GB"/>
        </w:rPr>
        <w:t>,</w:t>
      </w:r>
      <w:r w:rsidR="00001B21">
        <w:rPr>
          <w:rFonts w:eastAsia="Times New Roman" w:cs="Segoe UI"/>
          <w:color w:val="1D2125"/>
          <w:lang w:eastAsia="en-GB"/>
        </w:rPr>
        <w:t xml:space="preserve"> </w:t>
      </w:r>
      <w:r w:rsidR="004C2DD1">
        <w:rPr>
          <w:rFonts w:eastAsia="Times New Roman" w:cs="Segoe UI"/>
          <w:color w:val="1D2125"/>
          <w:lang w:eastAsia="en-GB"/>
        </w:rPr>
        <w:t xml:space="preserve">such unity </w:t>
      </w:r>
      <w:r w:rsidR="00001B21">
        <w:rPr>
          <w:rFonts w:eastAsia="Times New Roman" w:cs="Segoe UI"/>
          <w:color w:val="1D2125"/>
          <w:lang w:eastAsia="en-GB"/>
        </w:rPr>
        <w:t>raises even more doubts about the gospel’s historicity.</w:t>
      </w:r>
    </w:p>
    <w:p w14:paraId="2AB1E751" w14:textId="3E8C1116" w:rsidR="0034737B" w:rsidRPr="00833361" w:rsidRDefault="0034737B" w:rsidP="00821506">
      <w:pPr>
        <w:shd w:val="clear" w:color="auto" w:fill="FFFFFF"/>
        <w:rPr>
          <w:rFonts w:eastAsia="Times New Roman" w:cs="Segoe UI"/>
          <w:color w:val="1D2125"/>
          <w:lang w:eastAsia="en-GB"/>
        </w:rPr>
      </w:pPr>
      <w:r>
        <w:rPr>
          <w:rFonts w:eastAsia="Times New Roman" w:cs="Segoe UI"/>
          <w:b/>
          <w:bCs/>
          <w:color w:val="1D2125"/>
          <w:lang w:eastAsia="en-GB"/>
        </w:rPr>
        <w:lastRenderedPageBreak/>
        <w:t xml:space="preserve">The </w:t>
      </w:r>
      <w:r w:rsidR="00C33EE0">
        <w:rPr>
          <w:rFonts w:eastAsia="Times New Roman" w:cs="Segoe UI"/>
          <w:b/>
          <w:bCs/>
          <w:color w:val="1D2125"/>
          <w:lang w:eastAsia="en-GB"/>
        </w:rPr>
        <w:t>‘</w:t>
      </w:r>
      <w:r>
        <w:rPr>
          <w:rFonts w:eastAsia="Times New Roman" w:cs="Segoe UI"/>
          <w:b/>
          <w:bCs/>
          <w:color w:val="1D2125"/>
          <w:lang w:eastAsia="en-GB"/>
        </w:rPr>
        <w:t>fine line</w:t>
      </w:r>
      <w:r w:rsidR="00C33EE0">
        <w:rPr>
          <w:rFonts w:eastAsia="Times New Roman" w:cs="Segoe UI"/>
          <w:b/>
          <w:bCs/>
          <w:color w:val="1D2125"/>
          <w:lang w:eastAsia="en-GB"/>
        </w:rPr>
        <w:t>’</w:t>
      </w:r>
    </w:p>
    <w:p w14:paraId="30CC45AF" w14:textId="353209F6" w:rsidR="00BD0829" w:rsidRDefault="0034737B" w:rsidP="004E6ED1">
      <w:pPr>
        <w:shd w:val="clear" w:color="auto" w:fill="FFFFFF"/>
        <w:rPr>
          <w:rFonts w:eastAsia="Times New Roman" w:cs="Segoe UI"/>
          <w:color w:val="1D2125"/>
          <w:lang w:eastAsia="en-GB"/>
        </w:rPr>
      </w:pPr>
      <w:r>
        <w:rPr>
          <w:rFonts w:eastAsia="Times New Roman" w:cs="Segoe UI"/>
          <w:color w:val="1D2125"/>
          <w:lang w:eastAsia="en-GB"/>
        </w:rPr>
        <w:t>Van Belle summarizes the movement of critical opinion away from the notion of Johannine dependence on the Synoptics, noting how fraught the question</w:t>
      </w:r>
      <w:r w:rsidR="00B5748A">
        <w:rPr>
          <w:rFonts w:eastAsia="Times New Roman" w:cs="Segoe UI"/>
          <w:color w:val="1D2125"/>
          <w:lang w:eastAsia="en-GB"/>
        </w:rPr>
        <w:t xml:space="preserve"> of John’s historicity</w:t>
      </w:r>
      <w:r>
        <w:rPr>
          <w:rFonts w:eastAsia="Times New Roman" w:cs="Segoe UI"/>
          <w:color w:val="1D2125"/>
          <w:lang w:eastAsia="en-GB"/>
        </w:rPr>
        <w:t xml:space="preserve"> is</w:t>
      </w:r>
      <w:r w:rsidR="00B5748A">
        <w:rPr>
          <w:rStyle w:val="FootnoteReference"/>
          <w:rFonts w:eastAsia="Times New Roman" w:cs="Segoe UI"/>
          <w:color w:val="1D2125"/>
          <w:lang w:eastAsia="en-GB"/>
        </w:rPr>
        <w:footnoteReference w:id="26"/>
      </w:r>
      <w:r w:rsidR="00B5748A">
        <w:rPr>
          <w:rFonts w:eastAsia="Times New Roman" w:cs="Segoe UI"/>
          <w:color w:val="1D2125"/>
          <w:lang w:eastAsia="en-GB"/>
        </w:rPr>
        <w:t xml:space="preserve">. Going back over thirty years </w:t>
      </w:r>
      <w:r>
        <w:rPr>
          <w:rFonts w:eastAsia="Times New Roman" w:cs="Segoe UI"/>
          <w:color w:val="1D2125"/>
          <w:lang w:eastAsia="en-GB"/>
        </w:rPr>
        <w:t>D</w:t>
      </w:r>
      <w:r w:rsidR="00AB42F3">
        <w:rPr>
          <w:rFonts w:eastAsia="Times New Roman" w:cs="Segoe UI"/>
          <w:color w:val="1D2125"/>
          <w:lang w:eastAsia="en-GB"/>
        </w:rPr>
        <w:t>.</w:t>
      </w:r>
      <w:r>
        <w:rPr>
          <w:rFonts w:eastAsia="Times New Roman" w:cs="Segoe UI"/>
          <w:color w:val="1D2125"/>
          <w:lang w:eastAsia="en-GB"/>
        </w:rPr>
        <w:t xml:space="preserve"> Moody Smith </w:t>
      </w:r>
      <w:r w:rsidR="00001B21">
        <w:rPr>
          <w:rFonts w:eastAsia="Times New Roman" w:cs="Segoe UI"/>
          <w:color w:val="1D2125"/>
          <w:lang w:eastAsia="en-GB"/>
        </w:rPr>
        <w:t xml:space="preserve">seems to </w:t>
      </w:r>
      <w:r w:rsidR="00B5748A">
        <w:rPr>
          <w:rFonts w:eastAsia="Times New Roman" w:cs="Segoe UI"/>
          <w:color w:val="1D2125"/>
          <w:lang w:eastAsia="en-GB"/>
        </w:rPr>
        <w:t>sound trenchant in his defence of John’s historicity</w:t>
      </w:r>
      <w:r w:rsidR="00B5748A">
        <w:rPr>
          <w:rStyle w:val="FootnoteReference"/>
          <w:rFonts w:eastAsia="Times New Roman" w:cs="Segoe UI"/>
          <w:color w:val="1D2125"/>
          <w:lang w:eastAsia="en-GB"/>
        </w:rPr>
        <w:footnoteReference w:id="27"/>
      </w:r>
      <w:r w:rsidR="00B5748A">
        <w:rPr>
          <w:rFonts w:eastAsia="Times New Roman" w:cs="Segoe UI"/>
          <w:color w:val="1D2125"/>
          <w:lang w:eastAsia="en-GB"/>
        </w:rPr>
        <w:t>, sketching the history of the theory of John’s independence in much the same way as Van Belle does</w:t>
      </w:r>
      <w:r w:rsidR="004E125E">
        <w:rPr>
          <w:rStyle w:val="FootnoteReference"/>
          <w:rFonts w:eastAsia="Times New Roman" w:cs="Segoe UI"/>
          <w:color w:val="1D2125"/>
          <w:lang w:eastAsia="en-GB"/>
        </w:rPr>
        <w:footnoteReference w:id="28"/>
      </w:r>
      <w:r w:rsidR="00B5748A">
        <w:rPr>
          <w:rFonts w:eastAsia="Times New Roman" w:cs="Segoe UI"/>
          <w:color w:val="1D2125"/>
          <w:lang w:eastAsia="en-GB"/>
        </w:rPr>
        <w:t xml:space="preserve">. </w:t>
      </w:r>
      <w:r w:rsidR="0044151B">
        <w:rPr>
          <w:rFonts w:eastAsia="Times New Roman" w:cs="Segoe UI"/>
          <w:color w:val="1D2125"/>
          <w:lang w:eastAsia="en-GB"/>
        </w:rPr>
        <w:t>In a later study</w:t>
      </w:r>
      <w:r w:rsidR="0070757E">
        <w:rPr>
          <w:rFonts w:eastAsia="Times New Roman" w:cs="Segoe UI"/>
          <w:color w:val="1D2125"/>
          <w:lang w:eastAsia="en-GB"/>
        </w:rPr>
        <w:t xml:space="preserve">, </w:t>
      </w:r>
      <w:r w:rsidR="0044151B">
        <w:rPr>
          <w:rFonts w:eastAsia="Times New Roman" w:cs="Segoe UI"/>
          <w:color w:val="1D2125"/>
          <w:lang w:eastAsia="en-GB"/>
        </w:rPr>
        <w:t xml:space="preserve">Smith speaks of Ernest </w:t>
      </w:r>
      <w:proofErr w:type="spellStart"/>
      <w:r w:rsidR="0044151B">
        <w:rPr>
          <w:rFonts w:eastAsia="Times New Roman" w:cs="Segoe UI"/>
          <w:color w:val="1D2125"/>
          <w:lang w:eastAsia="en-GB"/>
        </w:rPr>
        <w:t>Käsemann’s</w:t>
      </w:r>
      <w:proofErr w:type="spellEnd"/>
      <w:r w:rsidR="0044151B">
        <w:rPr>
          <w:rFonts w:eastAsia="Times New Roman" w:cs="Segoe UI"/>
          <w:color w:val="1D2125"/>
          <w:lang w:eastAsia="en-GB"/>
        </w:rPr>
        <w:t xml:space="preserve"> depiction of the Johannine Jesus as ‘God going about on earth’</w:t>
      </w:r>
      <w:r w:rsidR="0044151B">
        <w:rPr>
          <w:rStyle w:val="FootnoteReference"/>
          <w:rFonts w:eastAsia="Times New Roman" w:cs="Segoe UI"/>
          <w:color w:val="1D2125"/>
          <w:lang w:eastAsia="en-GB"/>
        </w:rPr>
        <w:footnoteReference w:id="29"/>
      </w:r>
      <w:r w:rsidR="0044151B">
        <w:rPr>
          <w:rFonts w:eastAsia="Times New Roman" w:cs="Segoe UI"/>
          <w:color w:val="1D2125"/>
          <w:lang w:eastAsia="en-GB"/>
        </w:rPr>
        <w:t xml:space="preserve"> which crystallizes well the contrast between the historical Jesus (the man) and the Christological entity. </w:t>
      </w:r>
      <w:r w:rsidR="00237B0D">
        <w:rPr>
          <w:rFonts w:eastAsia="Times New Roman" w:cs="Segoe UI"/>
          <w:color w:val="1D2125"/>
          <w:lang w:eastAsia="en-GB"/>
        </w:rPr>
        <w:t>Smith a</w:t>
      </w:r>
      <w:r w:rsidR="00AB42F3">
        <w:rPr>
          <w:rFonts w:eastAsia="Times New Roman" w:cs="Segoe UI"/>
          <w:color w:val="1D2125"/>
          <w:lang w:eastAsia="en-GB"/>
        </w:rPr>
        <w:t>dmit</w:t>
      </w:r>
      <w:r w:rsidR="00237B0D">
        <w:rPr>
          <w:rFonts w:eastAsia="Times New Roman" w:cs="Segoe UI"/>
          <w:color w:val="1D2125"/>
          <w:lang w:eastAsia="en-GB"/>
        </w:rPr>
        <w:t>s</w:t>
      </w:r>
      <w:r w:rsidR="0044151B">
        <w:rPr>
          <w:rFonts w:eastAsia="Times New Roman" w:cs="Segoe UI"/>
          <w:color w:val="1D2125"/>
          <w:lang w:eastAsia="en-GB"/>
        </w:rPr>
        <w:t xml:space="preserve"> the ‘problems’ he finds in John’s historical reliability, such as the ‘exaggerated’ miracles and the contrast between the </w:t>
      </w:r>
      <w:r w:rsidR="004C2DD1">
        <w:rPr>
          <w:rFonts w:eastAsia="Times New Roman" w:cs="Segoe UI"/>
          <w:color w:val="1D2125"/>
          <w:lang w:eastAsia="en-GB"/>
        </w:rPr>
        <w:t xml:space="preserve">Markian </w:t>
      </w:r>
      <w:r w:rsidR="0044151B">
        <w:rPr>
          <w:rFonts w:eastAsia="Times New Roman" w:cs="Segoe UI"/>
          <w:color w:val="1D2125"/>
          <w:lang w:eastAsia="en-GB"/>
        </w:rPr>
        <w:t xml:space="preserve">Jesus who says nothing of himself </w:t>
      </w:r>
      <w:r w:rsidR="004C2DD1">
        <w:rPr>
          <w:rFonts w:eastAsia="Times New Roman" w:cs="Segoe UI"/>
          <w:color w:val="1D2125"/>
          <w:lang w:eastAsia="en-GB"/>
        </w:rPr>
        <w:t>and</w:t>
      </w:r>
      <w:r w:rsidR="0044151B">
        <w:rPr>
          <w:rFonts w:eastAsia="Times New Roman" w:cs="Segoe UI"/>
          <w:color w:val="1D2125"/>
          <w:lang w:eastAsia="en-GB"/>
        </w:rPr>
        <w:t xml:space="preserve"> the Johannine</w:t>
      </w:r>
      <w:r w:rsidR="00001B21">
        <w:rPr>
          <w:rFonts w:eastAsia="Times New Roman" w:cs="Segoe UI"/>
          <w:color w:val="1D2125"/>
          <w:lang w:eastAsia="en-GB"/>
        </w:rPr>
        <w:t xml:space="preserve"> version, with his</w:t>
      </w:r>
      <w:r w:rsidR="0044151B">
        <w:rPr>
          <w:rFonts w:eastAsia="Times New Roman" w:cs="Segoe UI"/>
          <w:color w:val="1D2125"/>
          <w:lang w:eastAsia="en-GB"/>
        </w:rPr>
        <w:t xml:space="preserve"> ‘ego </w:t>
      </w:r>
      <w:proofErr w:type="spellStart"/>
      <w:r w:rsidR="0044151B">
        <w:rPr>
          <w:rFonts w:eastAsia="Times New Roman" w:cs="Segoe UI"/>
          <w:color w:val="1D2125"/>
          <w:lang w:eastAsia="en-GB"/>
        </w:rPr>
        <w:t>eimi</w:t>
      </w:r>
      <w:proofErr w:type="spellEnd"/>
      <w:r w:rsidR="0044151B">
        <w:rPr>
          <w:rFonts w:eastAsia="Times New Roman" w:cs="Segoe UI"/>
          <w:color w:val="1D2125"/>
          <w:lang w:eastAsia="en-GB"/>
        </w:rPr>
        <w:t>’ (‘I am’) expression</w:t>
      </w:r>
      <w:r w:rsidR="004C2DD1">
        <w:rPr>
          <w:rFonts w:eastAsia="Times New Roman" w:cs="Segoe UI"/>
          <w:color w:val="1D2125"/>
          <w:lang w:eastAsia="en-GB"/>
        </w:rPr>
        <w:t>s</w:t>
      </w:r>
      <w:r w:rsidR="0044151B">
        <w:rPr>
          <w:rFonts w:eastAsia="Times New Roman" w:cs="Segoe UI"/>
          <w:color w:val="1D2125"/>
          <w:lang w:eastAsia="en-GB"/>
        </w:rPr>
        <w:t xml:space="preserve"> </w:t>
      </w:r>
      <w:r w:rsidR="00001B21">
        <w:rPr>
          <w:rFonts w:eastAsia="Times New Roman" w:cs="Segoe UI"/>
          <w:color w:val="1D2125"/>
          <w:lang w:eastAsia="en-GB"/>
        </w:rPr>
        <w:t>peppering</w:t>
      </w:r>
      <w:r w:rsidR="0044151B">
        <w:rPr>
          <w:rFonts w:eastAsia="Times New Roman" w:cs="Segoe UI"/>
          <w:color w:val="1D2125"/>
          <w:lang w:eastAsia="en-GB"/>
        </w:rPr>
        <w:t xml:space="preserve"> the </w:t>
      </w:r>
      <w:r w:rsidR="00001B21">
        <w:rPr>
          <w:rFonts w:eastAsia="Times New Roman" w:cs="Segoe UI"/>
          <w:color w:val="1D2125"/>
          <w:lang w:eastAsia="en-GB"/>
        </w:rPr>
        <w:t>text</w:t>
      </w:r>
      <w:r w:rsidR="00EA5894">
        <w:rPr>
          <w:rStyle w:val="FootnoteReference"/>
          <w:rFonts w:eastAsia="Times New Roman" w:cs="Segoe UI"/>
          <w:color w:val="1D2125"/>
          <w:lang w:eastAsia="en-GB"/>
        </w:rPr>
        <w:footnoteReference w:id="30"/>
      </w:r>
      <w:r w:rsidR="00AB42F3">
        <w:rPr>
          <w:rFonts w:eastAsia="Times New Roman" w:cs="Segoe UI"/>
          <w:color w:val="1D2125"/>
          <w:lang w:eastAsia="en-GB"/>
        </w:rPr>
        <w:t xml:space="preserve">, </w:t>
      </w:r>
      <w:r w:rsidR="00001B21">
        <w:rPr>
          <w:rFonts w:eastAsia="Times New Roman" w:cs="Segoe UI"/>
          <w:color w:val="1D2125"/>
          <w:lang w:eastAsia="en-GB"/>
        </w:rPr>
        <w:t>but</w:t>
      </w:r>
      <w:r w:rsidR="00237B0D">
        <w:rPr>
          <w:rFonts w:eastAsia="Times New Roman" w:cs="Segoe UI"/>
          <w:color w:val="1D2125"/>
          <w:lang w:eastAsia="en-GB"/>
        </w:rPr>
        <w:t xml:space="preserve"> </w:t>
      </w:r>
      <w:r w:rsidR="00AB42F3">
        <w:rPr>
          <w:rFonts w:eastAsia="Times New Roman" w:cs="Segoe UI"/>
          <w:color w:val="1D2125"/>
          <w:lang w:eastAsia="en-GB"/>
        </w:rPr>
        <w:t xml:space="preserve">he proposes three quasi-methodological tests for historicity, </w:t>
      </w:r>
      <w:r w:rsidR="004C2DD1">
        <w:rPr>
          <w:rFonts w:eastAsia="Times New Roman" w:cs="Segoe UI"/>
          <w:color w:val="1D2125"/>
          <w:lang w:eastAsia="en-GB"/>
        </w:rPr>
        <w:t>going</w:t>
      </w:r>
      <w:r w:rsidR="00AB42F3">
        <w:rPr>
          <w:rFonts w:eastAsia="Times New Roman" w:cs="Segoe UI"/>
          <w:color w:val="1D2125"/>
          <w:lang w:eastAsia="en-GB"/>
        </w:rPr>
        <w:t xml:space="preserve"> on to demonstrate ways in which John can be seen to ‘pass’: alignment with the Synoptics but not replication; </w:t>
      </w:r>
      <w:r w:rsidR="00777671">
        <w:rPr>
          <w:rFonts w:eastAsia="Times New Roman" w:cs="Segoe UI"/>
          <w:color w:val="1D2125"/>
          <w:lang w:eastAsia="en-GB"/>
        </w:rPr>
        <w:t xml:space="preserve">occasions when the accent is not on Johannine Christology; </w:t>
      </w:r>
      <w:r w:rsidR="00237B0D">
        <w:rPr>
          <w:rFonts w:eastAsia="Times New Roman" w:cs="Segoe UI"/>
          <w:color w:val="1D2125"/>
          <w:lang w:eastAsia="en-GB"/>
        </w:rPr>
        <w:t xml:space="preserve">and </w:t>
      </w:r>
      <w:r w:rsidR="00777671">
        <w:rPr>
          <w:rFonts w:eastAsia="Times New Roman" w:cs="Segoe UI"/>
          <w:color w:val="1D2125"/>
          <w:lang w:eastAsia="en-GB"/>
        </w:rPr>
        <w:t xml:space="preserve">plausibility with reference to the time and place of Jesus’ ministry. </w:t>
      </w:r>
      <w:r w:rsidR="00237B0D">
        <w:rPr>
          <w:rFonts w:eastAsia="Times New Roman" w:cs="Segoe UI"/>
          <w:color w:val="1D2125"/>
          <w:lang w:eastAsia="en-GB"/>
        </w:rPr>
        <w:t xml:space="preserve">But repeatedly he walks a fine line on the question, with the presumption that ultimately the Synoptics are to be seen as the </w:t>
      </w:r>
      <w:r w:rsidR="00237B0D">
        <w:rPr>
          <w:rFonts w:eastAsia="Times New Roman" w:cs="Segoe UI"/>
          <w:i/>
          <w:iCs/>
          <w:color w:val="1D2125"/>
          <w:lang w:eastAsia="en-GB"/>
        </w:rPr>
        <w:t xml:space="preserve">fons et origo </w:t>
      </w:r>
      <w:r w:rsidR="00237B0D">
        <w:rPr>
          <w:rFonts w:eastAsia="Times New Roman" w:cs="Segoe UI"/>
          <w:color w:val="1D2125"/>
          <w:lang w:eastAsia="en-GB"/>
        </w:rPr>
        <w:t xml:space="preserve">of authenticity, and only very grudgingly acknowledging the occasions on which the evidence stacks heavily in favour of John’s reliability. </w:t>
      </w:r>
    </w:p>
    <w:p w14:paraId="049950F7" w14:textId="77777777" w:rsidR="00237B0D" w:rsidRDefault="00237B0D" w:rsidP="004E6ED1">
      <w:pPr>
        <w:shd w:val="clear" w:color="auto" w:fill="FFFFFF"/>
        <w:rPr>
          <w:rFonts w:eastAsia="Times New Roman" w:cs="Segoe UI"/>
          <w:color w:val="1D2125"/>
          <w:lang w:eastAsia="en-GB"/>
        </w:rPr>
      </w:pPr>
    </w:p>
    <w:p w14:paraId="57AA45DA" w14:textId="62829617" w:rsidR="00237B0D" w:rsidRPr="00237B0D" w:rsidRDefault="00237B0D" w:rsidP="004E6ED1">
      <w:pPr>
        <w:shd w:val="clear" w:color="auto" w:fill="FFFFFF"/>
        <w:rPr>
          <w:rFonts w:eastAsia="Times New Roman" w:cs="Segoe UI"/>
          <w:b/>
          <w:bCs/>
          <w:color w:val="1D2125"/>
          <w:lang w:eastAsia="en-GB"/>
        </w:rPr>
      </w:pPr>
      <w:r>
        <w:rPr>
          <w:rFonts w:eastAsia="Times New Roman" w:cs="Segoe UI"/>
          <w:b/>
          <w:bCs/>
          <w:color w:val="1D2125"/>
          <w:lang w:eastAsia="en-GB"/>
        </w:rPr>
        <w:t>Time and place</w:t>
      </w:r>
    </w:p>
    <w:p w14:paraId="357974B7" w14:textId="332DAFC5" w:rsidR="00BD0829" w:rsidRDefault="00237B0D" w:rsidP="00821506">
      <w:pPr>
        <w:shd w:val="clear" w:color="auto" w:fill="FFFFFF"/>
        <w:rPr>
          <w:rFonts w:eastAsia="Times New Roman" w:cs="Segoe UI"/>
          <w:color w:val="1D2125"/>
          <w:lang w:eastAsia="en-GB"/>
        </w:rPr>
      </w:pPr>
      <w:r>
        <w:rPr>
          <w:rFonts w:eastAsia="Times New Roman" w:cs="Segoe UI"/>
          <w:color w:val="1D2125"/>
          <w:lang w:eastAsia="en-GB"/>
        </w:rPr>
        <w:t>Acknowledging Hoskyns</w:t>
      </w:r>
      <w:r>
        <w:rPr>
          <w:rStyle w:val="FootnoteReference"/>
          <w:rFonts w:eastAsia="Times New Roman" w:cs="Segoe UI"/>
          <w:color w:val="1D2125"/>
          <w:lang w:eastAsia="en-GB"/>
        </w:rPr>
        <w:footnoteReference w:id="31"/>
      </w:r>
      <w:r>
        <w:rPr>
          <w:rFonts w:eastAsia="Times New Roman" w:cs="Segoe UI"/>
          <w:color w:val="1D2125"/>
          <w:lang w:eastAsia="en-GB"/>
        </w:rPr>
        <w:t>, Smith grants that John’s account implies at least three separate visits by Jesus to Jerusalem during his ministry</w:t>
      </w:r>
      <w:r>
        <w:rPr>
          <w:rStyle w:val="FootnoteReference"/>
          <w:rFonts w:eastAsia="Times New Roman" w:cs="Segoe UI"/>
          <w:color w:val="1D2125"/>
          <w:lang w:eastAsia="en-GB"/>
        </w:rPr>
        <w:footnoteReference w:id="32"/>
      </w:r>
      <w:r w:rsidR="00E74483">
        <w:rPr>
          <w:rFonts w:eastAsia="Times New Roman" w:cs="Segoe UI"/>
          <w:color w:val="1D2125"/>
          <w:lang w:eastAsia="en-GB"/>
        </w:rPr>
        <w:t xml:space="preserve">: Mark, generally taken to be the original of the Synoptic gospel writers, offers us only one such visit (in the run-up to the final days of Jesus’ life). Similarly, John differs from Mark by a day on the date of the </w:t>
      </w:r>
      <w:r w:rsidR="00E74483">
        <w:rPr>
          <w:rFonts w:eastAsia="Times New Roman" w:cs="Segoe UI"/>
          <w:color w:val="1D2125"/>
          <w:lang w:eastAsia="en-GB"/>
        </w:rPr>
        <w:lastRenderedPageBreak/>
        <w:t xml:space="preserve">Last Supper </w:t>
      </w:r>
      <w:r w:rsidR="00001B21">
        <w:rPr>
          <w:rFonts w:eastAsia="Times New Roman" w:cs="Segoe UI"/>
          <w:color w:val="1D2125"/>
          <w:lang w:eastAsia="en-GB"/>
        </w:rPr>
        <w:t>and</w:t>
      </w:r>
      <w:r w:rsidR="00E74483">
        <w:rPr>
          <w:rFonts w:eastAsia="Times New Roman" w:cs="Segoe UI"/>
          <w:color w:val="1D2125"/>
          <w:lang w:eastAsia="en-GB"/>
        </w:rPr>
        <w:t xml:space="preserve"> the ensuing crucifixion</w:t>
      </w:r>
      <w:r w:rsidR="002B2F73">
        <w:rPr>
          <w:rStyle w:val="FootnoteReference"/>
          <w:rFonts w:eastAsia="Times New Roman" w:cs="Segoe UI"/>
          <w:color w:val="1D2125"/>
          <w:lang w:eastAsia="en-GB"/>
        </w:rPr>
        <w:footnoteReference w:id="33"/>
      </w:r>
      <w:r w:rsidR="00E74483">
        <w:rPr>
          <w:rFonts w:eastAsia="Times New Roman" w:cs="Segoe UI"/>
          <w:color w:val="1D2125"/>
          <w:lang w:eastAsia="en-GB"/>
        </w:rPr>
        <w:t>: indeed, for John</w:t>
      </w:r>
      <w:r w:rsidR="00001B21">
        <w:rPr>
          <w:rFonts w:eastAsia="Times New Roman" w:cs="Segoe UI"/>
          <w:color w:val="1D2125"/>
          <w:lang w:eastAsia="en-GB"/>
        </w:rPr>
        <w:t>,</w:t>
      </w:r>
      <w:r w:rsidR="00E74483">
        <w:rPr>
          <w:rFonts w:eastAsia="Times New Roman" w:cs="Segoe UI"/>
          <w:color w:val="1D2125"/>
          <w:lang w:eastAsia="en-GB"/>
        </w:rPr>
        <w:t xml:space="preserve"> the last meal with the disciples is not a Passover meal, as Mark tells us, nor even the institution of Last Supper</w:t>
      </w:r>
      <w:r w:rsidR="00F1698D">
        <w:rPr>
          <w:rStyle w:val="FootnoteReference"/>
          <w:rFonts w:eastAsia="Times New Roman" w:cs="Segoe UI"/>
          <w:color w:val="1D2125"/>
          <w:lang w:eastAsia="en-GB"/>
        </w:rPr>
        <w:footnoteReference w:id="34"/>
      </w:r>
      <w:r w:rsidR="00E74483">
        <w:rPr>
          <w:rFonts w:eastAsia="Times New Roman" w:cs="Segoe UI"/>
          <w:color w:val="1D2125"/>
          <w:lang w:eastAsia="en-GB"/>
        </w:rPr>
        <w:t xml:space="preserve">. </w:t>
      </w:r>
      <w:r w:rsidR="00F1698D">
        <w:rPr>
          <w:rFonts w:eastAsia="Times New Roman" w:cs="Segoe UI"/>
          <w:color w:val="1D2125"/>
          <w:lang w:eastAsia="en-GB"/>
        </w:rPr>
        <w:t>Further, t</w:t>
      </w:r>
      <w:r w:rsidR="00E74483">
        <w:rPr>
          <w:rFonts w:eastAsia="Times New Roman" w:cs="Segoe UI"/>
          <w:color w:val="1D2125"/>
          <w:lang w:eastAsia="en-GB"/>
        </w:rPr>
        <w:t>here are many indications in both accounts of Jesus’ familiarity with Jerusalem</w:t>
      </w:r>
      <w:r w:rsidR="00E74483">
        <w:rPr>
          <w:rStyle w:val="FootnoteReference"/>
          <w:rFonts w:eastAsia="Times New Roman" w:cs="Segoe UI"/>
          <w:color w:val="1D2125"/>
          <w:lang w:eastAsia="en-GB"/>
        </w:rPr>
        <w:footnoteReference w:id="35"/>
      </w:r>
      <w:r w:rsidR="00E74483">
        <w:rPr>
          <w:rFonts w:eastAsia="Times New Roman" w:cs="Segoe UI"/>
          <w:color w:val="1D2125"/>
          <w:lang w:eastAsia="en-GB"/>
        </w:rPr>
        <w:t xml:space="preserve">, which is hard to square with the </w:t>
      </w:r>
      <w:r w:rsidR="00F1698D">
        <w:rPr>
          <w:rFonts w:eastAsia="Times New Roman" w:cs="Segoe UI"/>
          <w:color w:val="1D2125"/>
          <w:lang w:eastAsia="en-GB"/>
        </w:rPr>
        <w:t xml:space="preserve">Mark’s claim that </w:t>
      </w:r>
      <w:r w:rsidR="005368C1">
        <w:rPr>
          <w:rFonts w:eastAsia="Times New Roman" w:cs="Segoe UI"/>
          <w:color w:val="1D2125"/>
          <w:lang w:eastAsia="en-GB"/>
        </w:rPr>
        <w:t>this</w:t>
      </w:r>
      <w:r w:rsidR="00B854D2">
        <w:rPr>
          <w:rFonts w:eastAsia="Times New Roman" w:cs="Segoe UI"/>
          <w:color w:val="1D2125"/>
          <w:lang w:eastAsia="en-GB"/>
        </w:rPr>
        <w:t>,</w:t>
      </w:r>
      <w:r w:rsidR="005368C1">
        <w:rPr>
          <w:rFonts w:eastAsia="Times New Roman" w:cs="Segoe UI"/>
          <w:color w:val="1D2125"/>
          <w:lang w:eastAsia="en-GB"/>
        </w:rPr>
        <w:t xml:space="preserve"> </w:t>
      </w:r>
      <w:r w:rsidR="00F1698D">
        <w:rPr>
          <w:rFonts w:eastAsia="Times New Roman" w:cs="Segoe UI"/>
          <w:color w:val="1D2125"/>
          <w:lang w:eastAsia="en-GB"/>
        </w:rPr>
        <w:t>Jesus’ last visit to the city</w:t>
      </w:r>
      <w:r w:rsidR="00B854D2">
        <w:rPr>
          <w:rFonts w:eastAsia="Times New Roman" w:cs="Segoe UI"/>
          <w:color w:val="1D2125"/>
          <w:lang w:eastAsia="en-GB"/>
        </w:rPr>
        <w:t>,</w:t>
      </w:r>
      <w:r w:rsidR="00F1698D">
        <w:rPr>
          <w:rFonts w:eastAsia="Times New Roman" w:cs="Segoe UI"/>
          <w:color w:val="1D2125"/>
          <w:lang w:eastAsia="en-GB"/>
        </w:rPr>
        <w:t xml:space="preserve"> was his first.</w:t>
      </w:r>
      <w:r w:rsidR="002B2F73">
        <w:rPr>
          <w:rFonts w:eastAsia="Times New Roman" w:cs="Segoe UI"/>
          <w:color w:val="1D2125"/>
          <w:lang w:eastAsia="en-GB"/>
        </w:rPr>
        <w:t xml:space="preserve"> </w:t>
      </w:r>
      <w:r w:rsidR="00E3706F">
        <w:rPr>
          <w:rFonts w:eastAsia="Times New Roman" w:cs="Segoe UI"/>
          <w:color w:val="1D2125"/>
          <w:lang w:eastAsia="en-GB"/>
        </w:rPr>
        <w:t>There are many</w:t>
      </w:r>
      <w:r w:rsidR="002B2F73">
        <w:rPr>
          <w:rFonts w:eastAsia="Times New Roman" w:cs="Segoe UI"/>
          <w:color w:val="1D2125"/>
          <w:lang w:eastAsia="en-GB"/>
        </w:rPr>
        <w:t xml:space="preserve"> instances of John’s detailed knowledge of certain sites in Jerusalem to which there is no reference in the Synoptics, some of which have been ‘proven’ archaeologically</w:t>
      </w:r>
      <w:r w:rsidR="002B2F73">
        <w:rPr>
          <w:rStyle w:val="FootnoteReference"/>
          <w:rFonts w:eastAsia="Times New Roman" w:cs="Segoe UI"/>
          <w:color w:val="1D2125"/>
          <w:lang w:eastAsia="en-GB"/>
        </w:rPr>
        <w:footnoteReference w:id="36"/>
      </w:r>
      <w:r w:rsidR="008B221D">
        <w:rPr>
          <w:rFonts w:eastAsia="Times New Roman" w:cs="Segoe UI"/>
          <w:color w:val="1D2125"/>
          <w:lang w:eastAsia="en-GB"/>
        </w:rPr>
        <w:t xml:space="preserve">, including his </w:t>
      </w:r>
      <w:r w:rsidR="004C2DD1">
        <w:rPr>
          <w:rFonts w:eastAsia="Times New Roman" w:cs="Segoe UI"/>
          <w:color w:val="1D2125"/>
          <w:lang w:eastAsia="en-GB"/>
        </w:rPr>
        <w:t>comments</w:t>
      </w:r>
      <w:r w:rsidR="008B221D">
        <w:rPr>
          <w:rFonts w:eastAsia="Times New Roman" w:cs="Segoe UI"/>
          <w:color w:val="1D2125"/>
          <w:lang w:eastAsia="en-GB"/>
        </w:rPr>
        <w:t xml:space="preserve"> </w:t>
      </w:r>
      <w:r w:rsidR="004C2DD1">
        <w:rPr>
          <w:rFonts w:eastAsia="Times New Roman" w:cs="Segoe UI"/>
          <w:color w:val="1D2125"/>
          <w:lang w:eastAsia="en-GB"/>
        </w:rPr>
        <w:t>on</w:t>
      </w:r>
      <w:r w:rsidR="008B221D">
        <w:rPr>
          <w:rFonts w:eastAsia="Times New Roman" w:cs="Segoe UI"/>
          <w:color w:val="1D2125"/>
          <w:lang w:eastAsia="en-GB"/>
        </w:rPr>
        <w:t xml:space="preserve"> the time frame of the reconstruction of the temple</w:t>
      </w:r>
      <w:r w:rsidR="008B221D">
        <w:rPr>
          <w:rStyle w:val="FootnoteReference"/>
          <w:rFonts w:eastAsia="Times New Roman" w:cs="Segoe UI"/>
          <w:color w:val="1D2125"/>
          <w:lang w:eastAsia="en-GB"/>
        </w:rPr>
        <w:footnoteReference w:id="37"/>
      </w:r>
      <w:r w:rsidR="001A64B0">
        <w:rPr>
          <w:rFonts w:eastAsia="Times New Roman" w:cs="Segoe UI"/>
          <w:color w:val="1D2125"/>
          <w:lang w:eastAsia="en-GB"/>
        </w:rPr>
        <w:t xml:space="preserve">. </w:t>
      </w:r>
      <w:r w:rsidR="00E3706F">
        <w:rPr>
          <w:rFonts w:eastAsia="Times New Roman" w:cs="Segoe UI"/>
          <w:color w:val="1D2125"/>
          <w:lang w:eastAsia="en-GB"/>
        </w:rPr>
        <w:t>And his</w:t>
      </w:r>
      <w:r w:rsidR="001A64B0">
        <w:rPr>
          <w:rFonts w:eastAsia="Times New Roman" w:cs="Segoe UI"/>
          <w:color w:val="1D2125"/>
          <w:lang w:eastAsia="en-GB"/>
        </w:rPr>
        <w:t xml:space="preserve"> geographical </w:t>
      </w:r>
      <w:r w:rsidR="00001B21">
        <w:rPr>
          <w:rFonts w:eastAsia="Times New Roman" w:cs="Segoe UI"/>
          <w:color w:val="1D2125"/>
          <w:lang w:eastAsia="en-GB"/>
        </w:rPr>
        <w:t>knowledge</w:t>
      </w:r>
      <w:r w:rsidR="001A64B0">
        <w:rPr>
          <w:rFonts w:eastAsia="Times New Roman" w:cs="Segoe UI"/>
          <w:color w:val="1D2125"/>
          <w:lang w:eastAsia="en-GB"/>
        </w:rPr>
        <w:t xml:space="preserve"> extends beyond Jerusalem: Smith notes</w:t>
      </w:r>
      <w:r w:rsidR="001A64B0">
        <w:rPr>
          <w:rStyle w:val="FootnoteReference"/>
          <w:rFonts w:eastAsia="Times New Roman" w:cs="Segoe UI"/>
          <w:color w:val="1D2125"/>
          <w:lang w:eastAsia="en-GB"/>
        </w:rPr>
        <w:footnoteReference w:id="38"/>
      </w:r>
      <w:r w:rsidR="001A64B0">
        <w:rPr>
          <w:rFonts w:eastAsia="Times New Roman" w:cs="Segoe UI"/>
          <w:color w:val="1D2125"/>
          <w:lang w:eastAsia="en-GB"/>
        </w:rPr>
        <w:t xml:space="preserve"> how the obscure village of Nazareth is recognized in John (from Nathanael’s near-comic line in 1:46</w:t>
      </w:r>
      <w:r w:rsidR="001A64B0">
        <w:rPr>
          <w:rStyle w:val="FootnoteReference"/>
          <w:rFonts w:eastAsia="Times New Roman" w:cs="Segoe UI"/>
          <w:color w:val="1D2125"/>
          <w:lang w:eastAsia="en-GB"/>
        </w:rPr>
        <w:footnoteReference w:id="39"/>
      </w:r>
      <w:r w:rsidR="001A64B0">
        <w:rPr>
          <w:rFonts w:eastAsia="Times New Roman" w:cs="Segoe UI"/>
          <w:color w:val="1D2125"/>
          <w:lang w:eastAsia="en-GB"/>
        </w:rPr>
        <w:t>, through the party that has come to arrest ‘Jesus of Nazareth’</w:t>
      </w:r>
      <w:r w:rsidR="008B221D">
        <w:rPr>
          <w:rFonts w:eastAsia="Times New Roman" w:cs="Segoe UI"/>
          <w:color w:val="1D2125"/>
          <w:lang w:eastAsia="en-GB"/>
        </w:rPr>
        <w:t xml:space="preserve"> (18:5), to the sign affixed to the cross, pronouncing Jesus of Nazareth as King of the Jews (19:19.) At the start of Jesus’ ministry, John mentions the association with John the Baptizer, and how the first disciples were called: Smith fears that John’s suggestion</w:t>
      </w:r>
      <w:r w:rsidR="0070757E">
        <w:rPr>
          <w:rStyle w:val="FootnoteReference"/>
          <w:rFonts w:eastAsia="Times New Roman" w:cs="Segoe UI"/>
          <w:color w:val="1D2125"/>
          <w:lang w:eastAsia="en-GB"/>
        </w:rPr>
        <w:footnoteReference w:id="40"/>
      </w:r>
      <w:r w:rsidR="008B221D">
        <w:rPr>
          <w:rFonts w:eastAsia="Times New Roman" w:cs="Segoe UI"/>
          <w:color w:val="1D2125"/>
          <w:lang w:eastAsia="en-GB"/>
        </w:rPr>
        <w:t xml:space="preserve"> that Jesus was himself a baptizer dents his Christology</w:t>
      </w:r>
      <w:r w:rsidR="0070757E">
        <w:rPr>
          <w:rStyle w:val="FootnoteReference"/>
          <w:rFonts w:eastAsia="Times New Roman" w:cs="Segoe UI"/>
          <w:color w:val="1D2125"/>
          <w:lang w:eastAsia="en-GB"/>
        </w:rPr>
        <w:footnoteReference w:id="41"/>
      </w:r>
      <w:r w:rsidR="0070757E">
        <w:rPr>
          <w:rFonts w:eastAsia="Times New Roman" w:cs="Segoe UI"/>
          <w:color w:val="1D2125"/>
          <w:lang w:eastAsia="en-GB"/>
        </w:rPr>
        <w:t xml:space="preserve">. </w:t>
      </w:r>
      <w:r w:rsidR="00146202">
        <w:rPr>
          <w:rFonts w:eastAsia="Times New Roman" w:cs="Segoe UI"/>
          <w:color w:val="1D2125"/>
          <w:lang w:eastAsia="en-GB"/>
        </w:rPr>
        <w:t>Smith’s hesitancy is palpable</w:t>
      </w:r>
      <w:r w:rsidR="0070757E">
        <w:rPr>
          <w:rStyle w:val="FootnoteReference"/>
          <w:rFonts w:eastAsia="Times New Roman" w:cs="Segoe UI"/>
          <w:color w:val="1D2125"/>
          <w:lang w:eastAsia="en-GB"/>
        </w:rPr>
        <w:footnoteReference w:id="42"/>
      </w:r>
      <w:r w:rsidR="0070757E">
        <w:rPr>
          <w:rFonts w:eastAsia="Times New Roman" w:cs="Segoe UI"/>
          <w:color w:val="1D2125"/>
          <w:lang w:eastAsia="en-GB"/>
        </w:rPr>
        <w:t xml:space="preserve">, </w:t>
      </w:r>
      <w:r w:rsidR="00001B21">
        <w:rPr>
          <w:rFonts w:eastAsia="Times New Roman" w:cs="Segoe UI"/>
          <w:color w:val="1D2125"/>
          <w:lang w:eastAsia="en-GB"/>
        </w:rPr>
        <w:t>but this merely confirms</w:t>
      </w:r>
      <w:r w:rsidR="0070757E">
        <w:rPr>
          <w:rFonts w:eastAsia="Times New Roman" w:cs="Segoe UI"/>
          <w:color w:val="1D2125"/>
          <w:lang w:eastAsia="en-GB"/>
        </w:rPr>
        <w:t xml:space="preserve"> Van Belle’s </w:t>
      </w:r>
      <w:r w:rsidR="00001B21">
        <w:rPr>
          <w:rFonts w:eastAsia="Times New Roman" w:cs="Segoe UI"/>
          <w:color w:val="1D2125"/>
          <w:lang w:eastAsia="en-GB"/>
        </w:rPr>
        <w:t xml:space="preserve">telling </w:t>
      </w:r>
      <w:r w:rsidR="0070757E">
        <w:rPr>
          <w:rFonts w:eastAsia="Times New Roman" w:cs="Segoe UI"/>
          <w:color w:val="1D2125"/>
          <w:lang w:eastAsia="en-GB"/>
        </w:rPr>
        <w:t>remark about the ‘fine line’</w:t>
      </w:r>
      <w:r w:rsidR="00001B21">
        <w:rPr>
          <w:rFonts w:eastAsia="Times New Roman" w:cs="Segoe UI"/>
          <w:color w:val="1D2125"/>
          <w:lang w:eastAsia="en-GB"/>
        </w:rPr>
        <w:t xml:space="preserve"> that scholars are obliged to tread in this work.</w:t>
      </w:r>
    </w:p>
    <w:p w14:paraId="608856C4" w14:textId="77777777" w:rsidR="00146202" w:rsidRDefault="00146202" w:rsidP="00821506">
      <w:pPr>
        <w:shd w:val="clear" w:color="auto" w:fill="FFFFFF"/>
        <w:rPr>
          <w:rFonts w:eastAsia="Times New Roman" w:cs="Segoe UI"/>
          <w:color w:val="1D2125"/>
          <w:lang w:eastAsia="en-GB"/>
        </w:rPr>
      </w:pPr>
    </w:p>
    <w:p w14:paraId="5E8F22B0" w14:textId="2BCF4EB8" w:rsidR="00146202" w:rsidRPr="00146202" w:rsidRDefault="00146202" w:rsidP="00821506">
      <w:pPr>
        <w:shd w:val="clear" w:color="auto" w:fill="FFFFFF"/>
        <w:rPr>
          <w:rFonts w:eastAsia="Times New Roman" w:cs="Segoe UI"/>
          <w:b/>
          <w:bCs/>
          <w:color w:val="1D2125"/>
          <w:lang w:eastAsia="en-GB"/>
        </w:rPr>
      </w:pPr>
      <w:r>
        <w:rPr>
          <w:rFonts w:eastAsia="Times New Roman" w:cs="Segoe UI"/>
          <w:b/>
          <w:bCs/>
          <w:color w:val="1D2125"/>
          <w:lang w:eastAsia="en-GB"/>
        </w:rPr>
        <w:t>Johannine community versus Robinson</w:t>
      </w:r>
    </w:p>
    <w:p w14:paraId="21DA4E9B" w14:textId="467131C5" w:rsidR="00BD0829" w:rsidRDefault="00146202" w:rsidP="00821506">
      <w:pPr>
        <w:shd w:val="clear" w:color="auto" w:fill="FFFFFF"/>
        <w:rPr>
          <w:rFonts w:eastAsia="Times New Roman" w:cs="Segoe UI"/>
          <w:color w:val="1D2125"/>
          <w:lang w:eastAsia="en-GB"/>
        </w:rPr>
      </w:pPr>
      <w:r>
        <w:rPr>
          <w:rFonts w:eastAsia="Times New Roman" w:cs="Segoe UI"/>
          <w:color w:val="1D2125"/>
          <w:lang w:eastAsia="en-GB"/>
        </w:rPr>
        <w:t>Smith seems broadly to a</w:t>
      </w:r>
      <w:r w:rsidR="00C10665">
        <w:rPr>
          <w:rFonts w:eastAsia="Times New Roman" w:cs="Segoe UI"/>
          <w:color w:val="1D2125"/>
          <w:lang w:eastAsia="en-GB"/>
        </w:rPr>
        <w:t>ccept</w:t>
      </w:r>
      <w:r>
        <w:rPr>
          <w:rFonts w:eastAsia="Times New Roman" w:cs="Segoe UI"/>
          <w:color w:val="1D2125"/>
          <w:lang w:eastAsia="en-GB"/>
        </w:rPr>
        <w:t xml:space="preserve"> the notion of the Johannine community</w:t>
      </w:r>
      <w:r>
        <w:rPr>
          <w:rStyle w:val="FootnoteReference"/>
          <w:rFonts w:eastAsia="Times New Roman" w:cs="Segoe UI"/>
          <w:color w:val="1D2125"/>
          <w:lang w:eastAsia="en-GB"/>
        </w:rPr>
        <w:footnoteReference w:id="43"/>
      </w:r>
      <w:r>
        <w:rPr>
          <w:rFonts w:eastAsia="Times New Roman" w:cs="Segoe UI"/>
          <w:color w:val="1D2125"/>
          <w:lang w:eastAsia="en-GB"/>
        </w:rPr>
        <w:t xml:space="preserve">, a theory </w:t>
      </w:r>
      <w:r w:rsidR="00C10665">
        <w:rPr>
          <w:rFonts w:eastAsia="Times New Roman" w:cs="Segoe UI"/>
          <w:color w:val="1D2125"/>
          <w:lang w:eastAsia="en-GB"/>
        </w:rPr>
        <w:t xml:space="preserve">originally </w:t>
      </w:r>
      <w:r>
        <w:rPr>
          <w:rFonts w:eastAsia="Times New Roman" w:cs="Segoe UI"/>
          <w:color w:val="1D2125"/>
          <w:lang w:eastAsia="en-GB"/>
        </w:rPr>
        <w:t>propounded in the 1960s and 1970s</w:t>
      </w:r>
      <w:r>
        <w:rPr>
          <w:rStyle w:val="FootnoteReference"/>
          <w:rFonts w:eastAsia="Times New Roman" w:cs="Segoe UI"/>
          <w:color w:val="1D2125"/>
          <w:lang w:eastAsia="en-GB"/>
        </w:rPr>
        <w:footnoteReference w:id="44"/>
      </w:r>
      <w:r w:rsidR="00C10665">
        <w:rPr>
          <w:rFonts w:eastAsia="Times New Roman" w:cs="Segoe UI"/>
          <w:color w:val="1D2125"/>
          <w:lang w:eastAsia="en-GB"/>
        </w:rPr>
        <w:t xml:space="preserve"> that, in de Boer’s words, represented a ‘socially distinguishable group of believers in Christ’</w:t>
      </w:r>
      <w:r w:rsidR="00C10665">
        <w:rPr>
          <w:rStyle w:val="FootnoteReference"/>
          <w:rFonts w:eastAsia="Times New Roman" w:cs="Segoe UI"/>
          <w:color w:val="1D2125"/>
          <w:lang w:eastAsia="en-GB"/>
        </w:rPr>
        <w:footnoteReference w:id="45"/>
      </w:r>
      <w:r w:rsidR="00C10665">
        <w:rPr>
          <w:rFonts w:eastAsia="Times New Roman" w:cs="Segoe UI"/>
          <w:color w:val="1D2125"/>
          <w:lang w:eastAsia="en-GB"/>
        </w:rPr>
        <w:t xml:space="preserve"> who were expelled from the Jewish community (in Greek, ‘</w:t>
      </w:r>
      <w:proofErr w:type="spellStart"/>
      <w:r w:rsidR="00C10665">
        <w:rPr>
          <w:rFonts w:eastAsia="Times New Roman" w:cs="Segoe UI"/>
          <w:color w:val="1D2125"/>
          <w:lang w:eastAsia="en-GB"/>
        </w:rPr>
        <w:t>aposynagogein</w:t>
      </w:r>
      <w:proofErr w:type="spellEnd"/>
      <w:r w:rsidR="00C10665">
        <w:rPr>
          <w:rFonts w:eastAsia="Times New Roman" w:cs="Segoe UI"/>
          <w:color w:val="1D2125"/>
          <w:lang w:eastAsia="en-GB"/>
        </w:rPr>
        <w:t xml:space="preserve">’) according to the </w:t>
      </w:r>
      <w:r w:rsidR="009D3A79">
        <w:rPr>
          <w:rFonts w:eastAsia="Times New Roman" w:cs="Segoe UI"/>
          <w:color w:val="1D2125"/>
          <w:lang w:eastAsia="en-GB"/>
        </w:rPr>
        <w:t xml:space="preserve">Jewish </w:t>
      </w:r>
      <w:r w:rsidR="00C10665">
        <w:rPr>
          <w:rFonts w:eastAsia="Times New Roman" w:cs="Segoe UI"/>
          <w:color w:val="1D2125"/>
          <w:lang w:eastAsia="en-GB"/>
        </w:rPr>
        <w:t xml:space="preserve">curse </w:t>
      </w:r>
      <w:r w:rsidR="009D3A79">
        <w:rPr>
          <w:rFonts w:eastAsia="Times New Roman" w:cs="Segoe UI"/>
          <w:color w:val="1D2125"/>
          <w:lang w:eastAsia="en-GB"/>
        </w:rPr>
        <w:t xml:space="preserve">of </w:t>
      </w:r>
      <w:proofErr w:type="spellStart"/>
      <w:r w:rsidR="009D3A79">
        <w:rPr>
          <w:rFonts w:eastAsia="Times New Roman" w:cs="Segoe UI"/>
          <w:color w:val="1D2125"/>
          <w:lang w:eastAsia="en-GB"/>
        </w:rPr>
        <w:t>Birkhat</w:t>
      </w:r>
      <w:proofErr w:type="spellEnd"/>
      <w:r w:rsidR="009D3A79">
        <w:rPr>
          <w:rFonts w:eastAsia="Times New Roman" w:cs="Segoe UI"/>
          <w:color w:val="1D2125"/>
          <w:lang w:eastAsia="en-GB"/>
        </w:rPr>
        <w:t xml:space="preserve"> </w:t>
      </w:r>
      <w:proofErr w:type="spellStart"/>
      <w:r w:rsidR="009D3A79">
        <w:rPr>
          <w:rFonts w:eastAsia="Times New Roman" w:cs="Segoe UI"/>
          <w:color w:val="1D2125"/>
          <w:lang w:eastAsia="en-GB"/>
        </w:rPr>
        <w:lastRenderedPageBreak/>
        <w:t>HaMinim</w:t>
      </w:r>
      <w:proofErr w:type="spellEnd"/>
      <w:r w:rsidR="009D3A79">
        <w:rPr>
          <w:rFonts w:eastAsia="Times New Roman" w:cs="Segoe UI"/>
          <w:color w:val="1D2125"/>
          <w:lang w:eastAsia="en-GB"/>
        </w:rPr>
        <w:t xml:space="preserve">, </w:t>
      </w:r>
      <w:r w:rsidR="00001B21">
        <w:rPr>
          <w:rFonts w:eastAsia="Times New Roman" w:cs="Segoe UI"/>
          <w:color w:val="1D2125"/>
          <w:lang w:eastAsia="en-GB"/>
        </w:rPr>
        <w:t xml:space="preserve">which was </w:t>
      </w:r>
      <w:r w:rsidR="009D3A79">
        <w:rPr>
          <w:rFonts w:eastAsia="Times New Roman" w:cs="Segoe UI"/>
          <w:color w:val="1D2125"/>
          <w:lang w:eastAsia="en-GB"/>
        </w:rPr>
        <w:t>instituted towards the end of the 1</w:t>
      </w:r>
      <w:r w:rsidR="009D3A79" w:rsidRPr="009D3A79">
        <w:rPr>
          <w:rFonts w:eastAsia="Times New Roman" w:cs="Segoe UI"/>
          <w:color w:val="1D2125"/>
          <w:vertAlign w:val="superscript"/>
          <w:lang w:eastAsia="en-GB"/>
        </w:rPr>
        <w:t>st</w:t>
      </w:r>
      <w:r w:rsidR="009D3A79">
        <w:rPr>
          <w:rFonts w:eastAsia="Times New Roman" w:cs="Segoe UI"/>
          <w:color w:val="1D2125"/>
          <w:lang w:eastAsia="en-GB"/>
        </w:rPr>
        <w:t xml:space="preserve"> century</w:t>
      </w:r>
      <w:r w:rsidR="002B14EB">
        <w:rPr>
          <w:rStyle w:val="FootnoteReference"/>
          <w:rFonts w:eastAsia="Times New Roman" w:cs="Segoe UI"/>
          <w:color w:val="1D2125"/>
          <w:lang w:eastAsia="en-GB"/>
        </w:rPr>
        <w:footnoteReference w:id="46"/>
      </w:r>
      <w:r w:rsidR="009D3A79">
        <w:rPr>
          <w:rFonts w:eastAsia="Times New Roman" w:cs="Segoe UI"/>
          <w:color w:val="1D2125"/>
          <w:lang w:eastAsia="en-GB"/>
        </w:rPr>
        <w:t xml:space="preserve">. The timing here is significant, </w:t>
      </w:r>
      <w:r w:rsidR="00001B21">
        <w:rPr>
          <w:rFonts w:eastAsia="Times New Roman" w:cs="Segoe UI"/>
          <w:color w:val="1D2125"/>
          <w:lang w:eastAsia="en-GB"/>
        </w:rPr>
        <w:t>and it should also be noted that</w:t>
      </w:r>
      <w:r w:rsidR="009D3A79">
        <w:rPr>
          <w:rFonts w:eastAsia="Times New Roman" w:cs="Segoe UI"/>
          <w:color w:val="1D2125"/>
          <w:lang w:eastAsia="en-GB"/>
        </w:rPr>
        <w:t xml:space="preserve"> Martyn’s and Brown’s theory</w:t>
      </w:r>
      <w:r w:rsidR="004F4718">
        <w:rPr>
          <w:rFonts w:eastAsia="Times New Roman" w:cs="Segoe UI"/>
          <w:color w:val="1D2125"/>
          <w:lang w:eastAsia="en-GB"/>
        </w:rPr>
        <w:t xml:space="preserve"> for the community is </w:t>
      </w:r>
      <w:r w:rsidR="00E3706F">
        <w:rPr>
          <w:rFonts w:eastAsia="Times New Roman" w:cs="Segoe UI"/>
          <w:color w:val="1D2125"/>
          <w:lang w:eastAsia="en-GB"/>
        </w:rPr>
        <w:t>acknowledged to be</w:t>
      </w:r>
      <w:r w:rsidR="004F4718">
        <w:rPr>
          <w:rFonts w:eastAsia="Times New Roman" w:cs="Segoe UI"/>
          <w:color w:val="1D2125"/>
          <w:lang w:eastAsia="en-GB"/>
        </w:rPr>
        <w:t xml:space="preserve"> short of external evidence. </w:t>
      </w:r>
      <w:r w:rsidR="00E3706F">
        <w:rPr>
          <w:rFonts w:eastAsia="Times New Roman" w:cs="Segoe UI"/>
          <w:color w:val="1D2125"/>
          <w:lang w:eastAsia="en-GB"/>
        </w:rPr>
        <w:t>A case is made based on</w:t>
      </w:r>
      <w:r w:rsidR="00495B65">
        <w:rPr>
          <w:rFonts w:eastAsia="Times New Roman" w:cs="Segoe UI"/>
          <w:color w:val="1D2125"/>
          <w:lang w:eastAsia="en-GB"/>
        </w:rPr>
        <w:t xml:space="preserve"> linguistic similarities and dissimilarities between the gospel itself and the Johannine letters, but the theory relies heavily on </w:t>
      </w:r>
      <w:r w:rsidR="00E3706F">
        <w:rPr>
          <w:rFonts w:eastAsia="Times New Roman" w:cs="Segoe UI"/>
          <w:color w:val="1D2125"/>
          <w:lang w:eastAsia="en-GB"/>
        </w:rPr>
        <w:t xml:space="preserve">unverifiable </w:t>
      </w:r>
      <w:r w:rsidR="00495B65">
        <w:rPr>
          <w:rFonts w:eastAsia="Times New Roman" w:cs="Segoe UI"/>
          <w:color w:val="1D2125"/>
          <w:lang w:eastAsia="en-GB"/>
        </w:rPr>
        <w:t>assumptions. Scholars divide</w:t>
      </w:r>
      <w:r w:rsidR="00495B65">
        <w:rPr>
          <w:rStyle w:val="FootnoteReference"/>
          <w:rFonts w:eastAsia="Times New Roman" w:cs="Segoe UI"/>
          <w:color w:val="1D2125"/>
          <w:lang w:eastAsia="en-GB"/>
        </w:rPr>
        <w:footnoteReference w:id="47"/>
      </w:r>
      <w:r w:rsidR="004F4718">
        <w:rPr>
          <w:rFonts w:eastAsia="Times New Roman" w:cs="Segoe UI"/>
          <w:color w:val="1D2125"/>
          <w:lang w:eastAsia="en-GB"/>
        </w:rPr>
        <w:t xml:space="preserve"> </w:t>
      </w:r>
      <w:r w:rsidR="00791528">
        <w:rPr>
          <w:rFonts w:eastAsia="Times New Roman" w:cs="Segoe UI"/>
          <w:color w:val="1D2125"/>
          <w:lang w:eastAsia="en-GB"/>
        </w:rPr>
        <w:t xml:space="preserve">but </w:t>
      </w:r>
      <w:r w:rsidR="003676AC">
        <w:rPr>
          <w:rFonts w:eastAsia="Times New Roman" w:cs="Segoe UI"/>
          <w:color w:val="1D2125"/>
          <w:lang w:eastAsia="en-GB"/>
        </w:rPr>
        <w:t>Hugo M</w:t>
      </w:r>
      <w:r w:rsidR="00D504B7">
        <w:rPr>
          <w:rFonts w:eastAsia="Times New Roman" w:cs="Segoe UI"/>
          <w:color w:val="1D2125"/>
          <w:lang w:eastAsia="en-GB"/>
        </w:rPr>
        <w:t>é</w:t>
      </w:r>
      <w:r w:rsidR="003676AC">
        <w:rPr>
          <w:rFonts w:eastAsia="Times New Roman" w:cs="Segoe UI"/>
          <w:color w:val="1D2125"/>
          <w:lang w:eastAsia="en-GB"/>
        </w:rPr>
        <w:t>ndez</w:t>
      </w:r>
      <w:r w:rsidR="00001B21">
        <w:rPr>
          <w:rFonts w:eastAsia="Times New Roman" w:cs="Segoe UI"/>
          <w:color w:val="1D2125"/>
          <w:lang w:eastAsia="en-GB"/>
        </w:rPr>
        <w:t xml:space="preserve">’s </w:t>
      </w:r>
      <w:r w:rsidR="003676AC">
        <w:rPr>
          <w:rFonts w:eastAsia="Times New Roman" w:cs="Segoe UI"/>
          <w:color w:val="1D2125"/>
          <w:lang w:eastAsia="en-GB"/>
        </w:rPr>
        <w:t xml:space="preserve">recent study convincingly casts doubt on the </w:t>
      </w:r>
      <w:r w:rsidR="00F359DC">
        <w:rPr>
          <w:rFonts w:eastAsia="Times New Roman" w:cs="Segoe UI"/>
          <w:color w:val="1D2125"/>
          <w:lang w:eastAsia="en-GB"/>
        </w:rPr>
        <w:t xml:space="preserve">very </w:t>
      </w:r>
      <w:r w:rsidR="003676AC">
        <w:rPr>
          <w:rFonts w:eastAsia="Times New Roman" w:cs="Segoe UI"/>
          <w:color w:val="1D2125"/>
          <w:lang w:eastAsia="en-GB"/>
        </w:rPr>
        <w:t>existence of th</w:t>
      </w:r>
      <w:r w:rsidR="00001B21">
        <w:rPr>
          <w:rFonts w:eastAsia="Times New Roman" w:cs="Segoe UI"/>
          <w:color w:val="1D2125"/>
          <w:lang w:eastAsia="en-GB"/>
        </w:rPr>
        <w:t>is</w:t>
      </w:r>
      <w:r w:rsidR="003676AC">
        <w:rPr>
          <w:rFonts w:eastAsia="Times New Roman" w:cs="Segoe UI"/>
          <w:color w:val="1D2125"/>
          <w:lang w:eastAsia="en-GB"/>
        </w:rPr>
        <w:t xml:space="preserve"> community</w:t>
      </w:r>
      <w:r w:rsidR="00D504B7">
        <w:rPr>
          <w:rStyle w:val="FootnoteReference"/>
          <w:rFonts w:eastAsia="Times New Roman" w:cs="Segoe UI"/>
          <w:color w:val="1D2125"/>
          <w:lang w:eastAsia="en-GB"/>
        </w:rPr>
        <w:footnoteReference w:id="48"/>
      </w:r>
      <w:r w:rsidR="00D504B7">
        <w:rPr>
          <w:rFonts w:eastAsia="Times New Roman" w:cs="Segoe UI"/>
          <w:color w:val="1D2125"/>
          <w:lang w:eastAsia="en-GB"/>
        </w:rPr>
        <w:t xml:space="preserve">. Looking at John’s Gospel and letters together he </w:t>
      </w:r>
      <w:r w:rsidR="00001B21">
        <w:rPr>
          <w:rFonts w:eastAsia="Times New Roman" w:cs="Segoe UI"/>
          <w:color w:val="1D2125"/>
          <w:lang w:eastAsia="en-GB"/>
        </w:rPr>
        <w:t>concludes</w:t>
      </w:r>
      <w:r w:rsidR="00D504B7">
        <w:rPr>
          <w:rFonts w:eastAsia="Times New Roman" w:cs="Segoe UI"/>
          <w:color w:val="1D2125"/>
          <w:lang w:eastAsia="en-GB"/>
        </w:rPr>
        <w:t xml:space="preserve"> that all are ‘unreliable bases for historical reconstruction, whose implied audiences and situations are probably fabrications’ (p.367). A key point here is that (quoting Alan Culpepper</w:t>
      </w:r>
      <w:r w:rsidR="00D504B7">
        <w:rPr>
          <w:rStyle w:val="FootnoteReference"/>
          <w:rFonts w:eastAsia="Times New Roman" w:cs="Segoe UI"/>
          <w:color w:val="1D2125"/>
          <w:lang w:eastAsia="en-GB"/>
        </w:rPr>
        <w:footnoteReference w:id="49"/>
      </w:r>
      <w:r w:rsidR="00D504B7">
        <w:rPr>
          <w:rFonts w:eastAsia="Times New Roman" w:cs="Segoe UI"/>
          <w:color w:val="1D2125"/>
          <w:lang w:eastAsia="en-GB"/>
        </w:rPr>
        <w:t xml:space="preserve"> on page 362) ‘when Jesus, the literary character speaks, he speaks the language of the author and his narrator’ (as evidenced by the uncertainty as to speaker in e.g. 3:13-21.</w:t>
      </w:r>
      <w:r w:rsidR="00F359DC">
        <w:rPr>
          <w:rFonts w:eastAsia="Times New Roman" w:cs="Segoe UI"/>
          <w:color w:val="1D2125"/>
          <w:lang w:eastAsia="en-GB"/>
        </w:rPr>
        <w:t>)</w:t>
      </w:r>
      <w:r w:rsidR="00D504B7">
        <w:rPr>
          <w:rFonts w:eastAsia="Times New Roman" w:cs="Segoe UI"/>
          <w:color w:val="1D2125"/>
          <w:lang w:eastAsia="en-GB"/>
        </w:rPr>
        <w:t xml:space="preserve"> In short, Méndez</w:t>
      </w:r>
      <w:r w:rsidR="00001B21">
        <w:rPr>
          <w:rFonts w:eastAsia="Times New Roman" w:cs="Segoe UI"/>
          <w:color w:val="1D2125"/>
          <w:lang w:eastAsia="en-GB"/>
        </w:rPr>
        <w:t xml:space="preserve"> dismisses the theory of the Johannine community</w:t>
      </w:r>
      <w:r w:rsidR="007A6537">
        <w:rPr>
          <w:rFonts w:eastAsia="Times New Roman" w:cs="Segoe UI"/>
          <w:color w:val="1D2125"/>
          <w:lang w:eastAsia="en-GB"/>
        </w:rPr>
        <w:t>…</w:t>
      </w:r>
      <w:r w:rsidR="00001B21">
        <w:rPr>
          <w:rFonts w:eastAsia="Times New Roman" w:cs="Segoe UI"/>
          <w:color w:val="1D2125"/>
          <w:lang w:eastAsia="en-GB"/>
        </w:rPr>
        <w:t xml:space="preserve"> and</w:t>
      </w:r>
      <w:r w:rsidR="00D504B7">
        <w:rPr>
          <w:rFonts w:eastAsia="Times New Roman" w:cs="Segoe UI"/>
          <w:color w:val="1D2125"/>
          <w:lang w:eastAsia="en-GB"/>
        </w:rPr>
        <w:t xml:space="preserve"> finds John historically worthless. </w:t>
      </w:r>
    </w:p>
    <w:p w14:paraId="734ACAA7" w14:textId="77777777" w:rsidR="00D504B7" w:rsidRDefault="00D504B7" w:rsidP="00821506">
      <w:pPr>
        <w:shd w:val="clear" w:color="auto" w:fill="FFFFFF"/>
        <w:rPr>
          <w:rFonts w:eastAsia="Times New Roman" w:cs="Segoe UI"/>
          <w:color w:val="1D2125"/>
          <w:lang w:eastAsia="en-GB"/>
        </w:rPr>
      </w:pPr>
    </w:p>
    <w:p w14:paraId="10669D0E" w14:textId="2A28EFD8" w:rsidR="00D504B7" w:rsidRDefault="00D504B7" w:rsidP="00821506">
      <w:pPr>
        <w:shd w:val="clear" w:color="auto" w:fill="FFFFFF"/>
        <w:rPr>
          <w:rFonts w:eastAsia="Times New Roman" w:cs="Segoe UI"/>
          <w:color w:val="1D2125"/>
          <w:lang w:eastAsia="en-GB"/>
        </w:rPr>
      </w:pPr>
      <w:r>
        <w:rPr>
          <w:rFonts w:eastAsia="Times New Roman" w:cs="Segoe UI"/>
          <w:color w:val="1D2125"/>
          <w:lang w:eastAsia="en-GB"/>
        </w:rPr>
        <w:t>John Robinson</w:t>
      </w:r>
      <w:r w:rsidR="00001B21">
        <w:rPr>
          <w:rFonts w:eastAsia="Times New Roman" w:cs="Segoe UI"/>
          <w:color w:val="1D2125"/>
          <w:lang w:eastAsia="en-GB"/>
        </w:rPr>
        <w:t>’s</w:t>
      </w:r>
      <w:r>
        <w:rPr>
          <w:rFonts w:eastAsia="Times New Roman" w:cs="Segoe UI"/>
          <w:color w:val="1D2125"/>
          <w:lang w:eastAsia="en-GB"/>
        </w:rPr>
        <w:t xml:space="preserve"> theory of the priority of John </w:t>
      </w:r>
      <w:r w:rsidR="00001B21">
        <w:rPr>
          <w:rFonts w:eastAsia="Times New Roman" w:cs="Segoe UI"/>
          <w:color w:val="1D2125"/>
          <w:lang w:eastAsia="en-GB"/>
        </w:rPr>
        <w:t>was published posthumously</w:t>
      </w:r>
      <w:r>
        <w:rPr>
          <w:rStyle w:val="FootnoteReference"/>
          <w:rFonts w:eastAsia="Times New Roman" w:cs="Segoe UI"/>
          <w:color w:val="1D2125"/>
          <w:lang w:eastAsia="en-GB"/>
        </w:rPr>
        <w:footnoteReference w:id="50"/>
      </w:r>
      <w:r>
        <w:rPr>
          <w:rFonts w:eastAsia="Times New Roman" w:cs="Segoe UI"/>
          <w:color w:val="1D2125"/>
          <w:lang w:eastAsia="en-GB"/>
        </w:rPr>
        <w:t xml:space="preserve">,  </w:t>
      </w:r>
      <w:r w:rsidR="00EF23C1">
        <w:rPr>
          <w:rFonts w:eastAsia="Times New Roman" w:cs="Segoe UI"/>
          <w:color w:val="1D2125"/>
          <w:lang w:eastAsia="en-GB"/>
        </w:rPr>
        <w:t>and it</w:t>
      </w:r>
      <w:r w:rsidR="007A6537">
        <w:rPr>
          <w:rFonts w:eastAsia="Times New Roman" w:cs="Segoe UI"/>
          <w:color w:val="1D2125"/>
          <w:lang w:eastAsia="en-GB"/>
        </w:rPr>
        <w:t xml:space="preserve"> </w:t>
      </w:r>
      <w:r>
        <w:rPr>
          <w:rFonts w:eastAsia="Times New Roman" w:cs="Segoe UI"/>
          <w:color w:val="1D2125"/>
          <w:lang w:eastAsia="en-GB"/>
        </w:rPr>
        <w:t>has gained little traction.</w:t>
      </w:r>
      <w:r w:rsidR="008E2AD1">
        <w:rPr>
          <w:rFonts w:eastAsia="Times New Roman" w:cs="Segoe UI"/>
          <w:color w:val="1D2125"/>
          <w:lang w:eastAsia="en-GB"/>
        </w:rPr>
        <w:t xml:space="preserve"> </w:t>
      </w:r>
      <w:r w:rsidR="00EF23C1">
        <w:rPr>
          <w:rFonts w:eastAsia="Times New Roman" w:cs="Segoe UI"/>
          <w:color w:val="1D2125"/>
          <w:lang w:eastAsia="en-GB"/>
        </w:rPr>
        <w:t>His</w:t>
      </w:r>
      <w:r w:rsidR="008E2AD1">
        <w:rPr>
          <w:rFonts w:eastAsia="Times New Roman" w:cs="Segoe UI"/>
          <w:color w:val="1D2125"/>
          <w:lang w:eastAsia="en-GB"/>
        </w:rPr>
        <w:t xml:space="preserve"> is a dense and compelling study of scrupulous methodology, but it has failed to win supporters. </w:t>
      </w:r>
      <w:r w:rsidR="007A6537">
        <w:rPr>
          <w:rFonts w:eastAsia="Times New Roman" w:cs="Segoe UI"/>
          <w:color w:val="1D2125"/>
          <w:lang w:eastAsia="en-GB"/>
        </w:rPr>
        <w:t>His view is</w:t>
      </w:r>
      <w:r w:rsidR="008E2AD1">
        <w:rPr>
          <w:rFonts w:eastAsia="Times New Roman" w:cs="Segoe UI"/>
          <w:color w:val="1D2125"/>
          <w:lang w:eastAsia="en-GB"/>
        </w:rPr>
        <w:t xml:space="preserve"> that John’s ‘theology does not… take us further from the history but leads us more deeply into it.’ In a sense, he speaks the language of Bauckham</w:t>
      </w:r>
      <w:r w:rsidR="008E2AD1">
        <w:rPr>
          <w:rStyle w:val="FootnoteReference"/>
          <w:rFonts w:eastAsia="Times New Roman" w:cs="Segoe UI"/>
          <w:color w:val="1D2125"/>
          <w:lang w:eastAsia="en-GB"/>
        </w:rPr>
        <w:footnoteReference w:id="51"/>
      </w:r>
      <w:r w:rsidR="008E2AD1">
        <w:rPr>
          <w:rFonts w:eastAsia="Times New Roman" w:cs="Segoe UI"/>
          <w:color w:val="1D2125"/>
          <w:lang w:eastAsia="en-GB"/>
        </w:rPr>
        <w:t xml:space="preserve">, who </w:t>
      </w:r>
      <w:r w:rsidR="00EF23C1">
        <w:rPr>
          <w:rFonts w:eastAsia="Times New Roman" w:cs="Segoe UI"/>
          <w:color w:val="1D2125"/>
          <w:lang w:eastAsia="en-GB"/>
        </w:rPr>
        <w:t>may be</w:t>
      </w:r>
      <w:r w:rsidR="008E2AD1">
        <w:rPr>
          <w:rFonts w:eastAsia="Times New Roman" w:cs="Segoe UI"/>
          <w:color w:val="1D2125"/>
          <w:lang w:eastAsia="en-GB"/>
        </w:rPr>
        <w:t xml:space="preserve"> fighting a rearguard action against a methodology inimical to the influential ‘German’ and ‘North American’ modes of thought. </w:t>
      </w:r>
      <w:r w:rsidR="00EF23C1">
        <w:rPr>
          <w:rFonts w:eastAsia="Times New Roman" w:cs="Segoe UI"/>
          <w:color w:val="1D2125"/>
          <w:lang w:eastAsia="en-GB"/>
        </w:rPr>
        <w:t>The clincher to</w:t>
      </w:r>
      <w:r w:rsidR="008E2AD1">
        <w:rPr>
          <w:rFonts w:eastAsia="Times New Roman" w:cs="Segoe UI"/>
          <w:color w:val="1D2125"/>
          <w:lang w:eastAsia="en-GB"/>
        </w:rPr>
        <w:t xml:space="preserve"> Robinson</w:t>
      </w:r>
      <w:r w:rsidR="00EF23C1">
        <w:rPr>
          <w:rFonts w:eastAsia="Times New Roman" w:cs="Segoe UI"/>
          <w:color w:val="1D2125"/>
          <w:lang w:eastAsia="en-GB"/>
        </w:rPr>
        <w:t xml:space="preserve">’s case </w:t>
      </w:r>
      <w:r w:rsidR="008E2AD1">
        <w:rPr>
          <w:rFonts w:eastAsia="Times New Roman" w:cs="Segoe UI"/>
          <w:color w:val="1D2125"/>
          <w:lang w:eastAsia="en-GB"/>
        </w:rPr>
        <w:t>is the destruction of the temple in 70CE</w:t>
      </w:r>
      <w:r w:rsidR="00973019">
        <w:rPr>
          <w:rStyle w:val="FootnoteReference"/>
          <w:rFonts w:eastAsia="Times New Roman" w:cs="Segoe UI"/>
          <w:color w:val="1D2125"/>
          <w:lang w:eastAsia="en-GB"/>
        </w:rPr>
        <w:footnoteReference w:id="52"/>
      </w:r>
      <w:r w:rsidR="00EF23C1">
        <w:rPr>
          <w:rFonts w:eastAsia="Times New Roman" w:cs="Segoe UI"/>
          <w:color w:val="1D2125"/>
          <w:lang w:eastAsia="en-GB"/>
        </w:rPr>
        <w:t>: he believes</w:t>
      </w:r>
      <w:r w:rsidR="008E2AD1">
        <w:rPr>
          <w:rFonts w:eastAsia="Times New Roman" w:cs="Segoe UI"/>
          <w:color w:val="1D2125"/>
          <w:lang w:eastAsia="en-GB"/>
        </w:rPr>
        <w:t xml:space="preserve"> </w:t>
      </w:r>
      <w:r w:rsidR="00973019">
        <w:rPr>
          <w:rFonts w:eastAsia="Times New Roman" w:cs="Segoe UI"/>
          <w:color w:val="1D2125"/>
          <w:lang w:eastAsia="en-GB"/>
        </w:rPr>
        <w:t xml:space="preserve">that the event could </w:t>
      </w:r>
      <w:r w:rsidR="00EF23C1">
        <w:rPr>
          <w:rFonts w:eastAsia="Times New Roman" w:cs="Segoe UI"/>
          <w:color w:val="1D2125"/>
          <w:lang w:eastAsia="en-GB"/>
        </w:rPr>
        <w:t xml:space="preserve">not </w:t>
      </w:r>
      <w:r w:rsidR="00973019">
        <w:rPr>
          <w:rFonts w:eastAsia="Times New Roman" w:cs="Segoe UI"/>
          <w:color w:val="1D2125"/>
          <w:lang w:eastAsia="en-GB"/>
        </w:rPr>
        <w:t>have gone unremarked upon by a</w:t>
      </w:r>
      <w:r w:rsidR="00EF23C1">
        <w:rPr>
          <w:rFonts w:eastAsia="Times New Roman" w:cs="Segoe UI"/>
          <w:color w:val="1D2125"/>
          <w:lang w:eastAsia="en-GB"/>
        </w:rPr>
        <w:t>ll four</w:t>
      </w:r>
      <w:r w:rsidR="00973019">
        <w:rPr>
          <w:rFonts w:eastAsia="Times New Roman" w:cs="Segoe UI"/>
          <w:color w:val="1D2125"/>
          <w:lang w:eastAsia="en-GB"/>
        </w:rPr>
        <w:t xml:space="preserve"> of the Gospel writers</w:t>
      </w:r>
      <w:r w:rsidR="00973019">
        <w:rPr>
          <w:rStyle w:val="FootnoteReference"/>
          <w:rFonts w:eastAsia="Times New Roman" w:cs="Segoe UI"/>
          <w:color w:val="1D2125"/>
          <w:lang w:eastAsia="en-GB"/>
        </w:rPr>
        <w:footnoteReference w:id="53"/>
      </w:r>
      <w:r w:rsidR="00973019">
        <w:rPr>
          <w:rFonts w:eastAsia="Times New Roman" w:cs="Segoe UI"/>
          <w:color w:val="1D2125"/>
          <w:lang w:eastAsia="en-GB"/>
        </w:rPr>
        <w:t>. If he is right – and there is no evidence yet that he is not</w:t>
      </w:r>
      <w:r w:rsidR="00FF1DF4">
        <w:rPr>
          <w:rFonts w:eastAsia="Times New Roman" w:cs="Segoe UI"/>
          <w:color w:val="1D2125"/>
          <w:lang w:eastAsia="en-GB"/>
        </w:rPr>
        <w:t xml:space="preserve"> – then much more than the theory of the Johannine community will need to be reconsidered. </w:t>
      </w:r>
    </w:p>
    <w:p w14:paraId="389CD523" w14:textId="48D7F63F" w:rsidR="00FF1DF4" w:rsidRDefault="00FF1DF4" w:rsidP="00821506">
      <w:pPr>
        <w:shd w:val="clear" w:color="auto" w:fill="FFFFFF"/>
        <w:rPr>
          <w:rFonts w:eastAsia="Times New Roman" w:cs="Segoe UI"/>
          <w:b/>
          <w:bCs/>
          <w:color w:val="1D2125"/>
          <w:lang w:eastAsia="en-GB"/>
        </w:rPr>
      </w:pPr>
      <w:r>
        <w:rPr>
          <w:rFonts w:eastAsia="Times New Roman" w:cs="Segoe UI"/>
          <w:b/>
          <w:bCs/>
          <w:color w:val="1D2125"/>
          <w:lang w:eastAsia="en-GB"/>
        </w:rPr>
        <w:lastRenderedPageBreak/>
        <w:t>Some plausible history in John</w:t>
      </w:r>
    </w:p>
    <w:p w14:paraId="6FFDFBA0" w14:textId="579DBAE8" w:rsidR="00FF1DF4" w:rsidRPr="003F73FB" w:rsidRDefault="00FF1DF4" w:rsidP="00821506">
      <w:pPr>
        <w:shd w:val="clear" w:color="auto" w:fill="FFFFFF"/>
        <w:rPr>
          <w:rFonts w:eastAsia="Times New Roman" w:cs="Segoe UI"/>
          <w:color w:val="1D2125"/>
          <w:lang w:eastAsia="en-GB"/>
        </w:rPr>
      </w:pPr>
      <w:r>
        <w:rPr>
          <w:rFonts w:eastAsia="Times New Roman" w:cs="Segoe UI"/>
          <w:color w:val="1D2125"/>
          <w:lang w:eastAsia="en-GB"/>
        </w:rPr>
        <w:t>Paula Frederiksen</w:t>
      </w:r>
      <w:r w:rsidR="00C366F8">
        <w:rPr>
          <w:rFonts w:eastAsia="Times New Roman" w:cs="Segoe UI"/>
          <w:color w:val="1D2125"/>
          <w:lang w:eastAsia="en-GB"/>
        </w:rPr>
        <w:t xml:space="preserve"> makes </w:t>
      </w:r>
      <w:proofErr w:type="gramStart"/>
      <w:r w:rsidR="00C366F8">
        <w:rPr>
          <w:rFonts w:eastAsia="Times New Roman" w:cs="Segoe UI"/>
          <w:color w:val="1D2125"/>
          <w:lang w:eastAsia="en-GB"/>
        </w:rPr>
        <w:t>an</w:t>
      </w:r>
      <w:proofErr w:type="gramEnd"/>
      <w:r w:rsidR="00C366F8">
        <w:rPr>
          <w:rFonts w:eastAsia="Times New Roman" w:cs="Segoe UI"/>
          <w:color w:val="1D2125"/>
          <w:lang w:eastAsia="en-GB"/>
        </w:rPr>
        <w:t xml:space="preserve"> </w:t>
      </w:r>
      <w:r w:rsidR="00EF23C1">
        <w:rPr>
          <w:rFonts w:eastAsia="Times New Roman" w:cs="Segoe UI"/>
          <w:color w:val="1D2125"/>
          <w:lang w:eastAsia="en-GB"/>
        </w:rPr>
        <w:t>powerful</w:t>
      </w:r>
      <w:r w:rsidR="00C366F8">
        <w:rPr>
          <w:rFonts w:eastAsia="Times New Roman" w:cs="Segoe UI"/>
          <w:color w:val="1D2125"/>
          <w:lang w:eastAsia="en-GB"/>
        </w:rPr>
        <w:t xml:space="preserve"> case for John’s historicity in a detailed study of the story of the ‘temple-cleansing’, which in John occurs very early in Jesus’ ministry (2:14-21)</w:t>
      </w:r>
      <w:r w:rsidR="00BE3243">
        <w:rPr>
          <w:rStyle w:val="FootnoteReference"/>
          <w:rFonts w:eastAsia="Times New Roman" w:cs="Segoe UI"/>
          <w:color w:val="1D2125"/>
          <w:lang w:eastAsia="en-GB"/>
        </w:rPr>
        <w:footnoteReference w:id="54"/>
      </w:r>
      <w:r w:rsidR="00C366F8">
        <w:rPr>
          <w:rFonts w:eastAsia="Times New Roman" w:cs="Segoe UI"/>
          <w:color w:val="1D2125"/>
          <w:lang w:eastAsia="en-GB"/>
        </w:rPr>
        <w:t xml:space="preserve">. Her challenge is to resolve why Jesus </w:t>
      </w:r>
      <w:r w:rsidR="00EF23C1">
        <w:rPr>
          <w:rFonts w:eastAsia="Times New Roman" w:cs="Segoe UI"/>
          <w:color w:val="1D2125"/>
          <w:lang w:eastAsia="en-GB"/>
        </w:rPr>
        <w:t>was killed</w:t>
      </w:r>
      <w:r w:rsidR="00C366F8">
        <w:rPr>
          <w:rFonts w:eastAsia="Times New Roman" w:cs="Segoe UI"/>
          <w:color w:val="1D2125"/>
          <w:lang w:eastAsia="en-GB"/>
        </w:rPr>
        <w:t xml:space="preserve"> </w:t>
      </w:r>
      <w:r w:rsidR="00D57D70">
        <w:rPr>
          <w:rFonts w:eastAsia="Times New Roman" w:cs="Segoe UI"/>
          <w:color w:val="1D2125"/>
          <w:lang w:eastAsia="en-GB"/>
        </w:rPr>
        <w:t xml:space="preserve">publicly </w:t>
      </w:r>
      <w:r w:rsidR="00C366F8">
        <w:rPr>
          <w:rFonts w:eastAsia="Times New Roman" w:cs="Segoe UI"/>
          <w:color w:val="1D2125"/>
          <w:lang w:eastAsia="en-GB"/>
        </w:rPr>
        <w:t>by crucifixion</w:t>
      </w:r>
      <w:r w:rsidR="00D57D70">
        <w:rPr>
          <w:rFonts w:eastAsia="Times New Roman" w:cs="Segoe UI"/>
          <w:color w:val="1D2125"/>
          <w:lang w:eastAsia="en-GB"/>
        </w:rPr>
        <w:t xml:space="preserve">, and not discreetly, as </w:t>
      </w:r>
      <w:r w:rsidR="00F359DC">
        <w:rPr>
          <w:rFonts w:eastAsia="Times New Roman" w:cs="Segoe UI"/>
          <w:color w:val="1D2125"/>
          <w:lang w:eastAsia="en-GB"/>
        </w:rPr>
        <w:t>perhaps happened to</w:t>
      </w:r>
      <w:r w:rsidR="00D57D70">
        <w:rPr>
          <w:rFonts w:eastAsia="Times New Roman" w:cs="Segoe UI"/>
          <w:color w:val="1D2125"/>
          <w:lang w:eastAsia="en-GB"/>
        </w:rPr>
        <w:t xml:space="preserve"> John the Baptizer</w:t>
      </w:r>
      <w:r w:rsidR="003F73FB">
        <w:rPr>
          <w:rFonts w:eastAsia="Times New Roman" w:cs="Segoe UI"/>
          <w:color w:val="1D2125"/>
          <w:lang w:eastAsia="en-GB"/>
        </w:rPr>
        <w:t xml:space="preserve"> </w:t>
      </w:r>
      <w:r w:rsidR="00D57D70">
        <w:rPr>
          <w:rFonts w:eastAsia="Times New Roman" w:cs="Segoe UI"/>
          <w:color w:val="1D2125"/>
          <w:lang w:eastAsia="en-GB"/>
        </w:rPr>
        <w:t>(p.254)</w:t>
      </w:r>
      <w:r w:rsidR="00D57D70">
        <w:rPr>
          <w:rStyle w:val="FootnoteReference"/>
          <w:rFonts w:eastAsia="Times New Roman" w:cs="Segoe UI"/>
          <w:color w:val="1D2125"/>
          <w:lang w:eastAsia="en-GB"/>
        </w:rPr>
        <w:footnoteReference w:id="55"/>
      </w:r>
      <w:r w:rsidR="00D57D70">
        <w:rPr>
          <w:rFonts w:eastAsia="Times New Roman" w:cs="Segoe UI"/>
          <w:color w:val="1D2125"/>
          <w:lang w:eastAsia="en-GB"/>
        </w:rPr>
        <w:t xml:space="preserve">. She proves that the incident in the temple can have had very limited </w:t>
      </w:r>
      <w:r w:rsidR="00EF23C1">
        <w:rPr>
          <w:rFonts w:eastAsia="Times New Roman" w:cs="Segoe UI"/>
          <w:color w:val="1D2125"/>
          <w:lang w:eastAsia="en-GB"/>
        </w:rPr>
        <w:t xml:space="preserve">political </w:t>
      </w:r>
      <w:r w:rsidR="00D57D70">
        <w:rPr>
          <w:rFonts w:eastAsia="Times New Roman" w:cs="Segoe UI"/>
          <w:color w:val="1D2125"/>
          <w:lang w:eastAsia="en-GB"/>
        </w:rPr>
        <w:t>impact, but that the multiple visits by Jesus to Jerusalem, and his teaching in the temple courts can credibly have brought him to the attention of the Jewish and Roman authorities.</w:t>
      </w:r>
      <w:r w:rsidR="00EF23C1">
        <w:rPr>
          <w:rFonts w:eastAsia="Times New Roman" w:cs="Segoe UI"/>
          <w:color w:val="1D2125"/>
          <w:lang w:eastAsia="en-GB"/>
        </w:rPr>
        <w:t xml:space="preserve"> Constraint of space force us </w:t>
      </w:r>
      <w:r w:rsidR="00D57D70">
        <w:rPr>
          <w:rFonts w:eastAsia="Times New Roman" w:cs="Segoe UI"/>
          <w:color w:val="1D2125"/>
          <w:lang w:eastAsia="en-GB"/>
        </w:rPr>
        <w:t>straight to her conclusion</w:t>
      </w:r>
      <w:r w:rsidR="00EF23C1">
        <w:rPr>
          <w:rFonts w:eastAsia="Times New Roman" w:cs="Segoe UI"/>
          <w:color w:val="1D2125"/>
          <w:lang w:eastAsia="en-GB"/>
        </w:rPr>
        <w:t xml:space="preserve">: </w:t>
      </w:r>
      <w:r w:rsidR="00D57D70">
        <w:rPr>
          <w:rFonts w:eastAsia="Times New Roman" w:cs="Segoe UI"/>
          <w:color w:val="1D2125"/>
          <w:lang w:eastAsia="en-GB"/>
        </w:rPr>
        <w:t>John correctly interpreted the reason for Jesus’ execution, namely Caiaphas</w:t>
      </w:r>
      <w:r w:rsidR="00EF23C1">
        <w:rPr>
          <w:rFonts w:eastAsia="Times New Roman" w:cs="Segoe UI"/>
          <w:color w:val="1D2125"/>
          <w:lang w:eastAsia="en-GB"/>
        </w:rPr>
        <w:t>’ case</w:t>
      </w:r>
      <w:r w:rsidR="00D57D70">
        <w:rPr>
          <w:rFonts w:eastAsia="Times New Roman" w:cs="Segoe UI"/>
          <w:color w:val="1D2125"/>
          <w:lang w:eastAsia="en-GB"/>
        </w:rPr>
        <w:t xml:space="preserve"> in 11:49-50 and 18:14. In other words, quite possibly a kind of ‘show trial’</w:t>
      </w:r>
      <w:r w:rsidR="00D57D70">
        <w:rPr>
          <w:rStyle w:val="FootnoteReference"/>
          <w:rFonts w:eastAsia="Times New Roman" w:cs="Segoe UI"/>
          <w:color w:val="1D2125"/>
          <w:lang w:eastAsia="en-GB"/>
        </w:rPr>
        <w:footnoteReference w:id="56"/>
      </w:r>
      <w:r w:rsidR="00084167">
        <w:rPr>
          <w:rFonts w:eastAsia="Times New Roman" w:cs="Segoe UI"/>
          <w:color w:val="1D2125"/>
          <w:lang w:eastAsia="en-GB"/>
        </w:rPr>
        <w:t>.</w:t>
      </w:r>
      <w:r w:rsidR="003F73FB">
        <w:rPr>
          <w:rFonts w:eastAsia="Times New Roman" w:cs="Segoe UI"/>
          <w:color w:val="1D2125"/>
          <w:lang w:eastAsia="en-GB"/>
        </w:rPr>
        <w:t xml:space="preserve"> She notes that John’s Gospel is the </w:t>
      </w:r>
      <w:proofErr w:type="spellStart"/>
      <w:r w:rsidR="003F73FB" w:rsidRPr="003F73FB">
        <w:rPr>
          <w:rFonts w:eastAsia="Times New Roman" w:cs="Segoe UI"/>
          <w:i/>
          <w:iCs/>
          <w:color w:val="1D2125"/>
          <w:lang w:eastAsia="en-GB"/>
        </w:rPr>
        <w:t>rosh</w:t>
      </w:r>
      <w:proofErr w:type="spellEnd"/>
      <w:r w:rsidR="003F73FB" w:rsidRPr="003F73FB">
        <w:rPr>
          <w:rFonts w:eastAsia="Times New Roman" w:cs="Segoe UI"/>
          <w:i/>
          <w:iCs/>
          <w:color w:val="1D2125"/>
          <w:lang w:eastAsia="en-GB"/>
        </w:rPr>
        <w:t xml:space="preserve"> </w:t>
      </w:r>
      <w:proofErr w:type="spellStart"/>
      <w:r w:rsidR="003F73FB" w:rsidRPr="003F73FB">
        <w:rPr>
          <w:rFonts w:eastAsia="Times New Roman" w:cs="Segoe UI"/>
          <w:i/>
          <w:iCs/>
          <w:color w:val="1D2125"/>
          <w:lang w:eastAsia="en-GB"/>
        </w:rPr>
        <w:t>pinah</w:t>
      </w:r>
      <w:proofErr w:type="spellEnd"/>
      <w:r w:rsidR="003F73FB">
        <w:rPr>
          <w:rFonts w:eastAsia="Times New Roman" w:cs="Segoe UI"/>
          <w:i/>
          <w:iCs/>
          <w:color w:val="1D2125"/>
          <w:lang w:eastAsia="en-GB"/>
        </w:rPr>
        <w:t xml:space="preserve"> </w:t>
      </w:r>
      <w:r w:rsidR="003F73FB">
        <w:rPr>
          <w:rFonts w:eastAsia="Times New Roman" w:cs="Segoe UI"/>
          <w:color w:val="1D2125"/>
          <w:lang w:eastAsia="en-GB"/>
        </w:rPr>
        <w:t>(‘cornerstone’) for work on the history of Jesus’ ministry</w:t>
      </w:r>
      <w:r w:rsidR="003F73FB">
        <w:rPr>
          <w:rStyle w:val="FootnoteReference"/>
          <w:rFonts w:eastAsia="Times New Roman" w:cs="Segoe UI"/>
          <w:color w:val="1D2125"/>
          <w:lang w:eastAsia="en-GB"/>
        </w:rPr>
        <w:footnoteReference w:id="57"/>
      </w:r>
      <w:r w:rsidR="003F73FB">
        <w:rPr>
          <w:rFonts w:eastAsia="Times New Roman" w:cs="Segoe UI"/>
          <w:color w:val="1D2125"/>
          <w:lang w:eastAsia="en-GB"/>
        </w:rPr>
        <w:t xml:space="preserve"> (p.275). What is </w:t>
      </w:r>
      <w:r w:rsidR="00EF23C1">
        <w:rPr>
          <w:rFonts w:eastAsia="Times New Roman" w:cs="Segoe UI"/>
          <w:color w:val="1D2125"/>
          <w:lang w:eastAsia="en-GB"/>
        </w:rPr>
        <w:t xml:space="preserve">telling about her study </w:t>
      </w:r>
      <w:r w:rsidR="003F73FB">
        <w:rPr>
          <w:rFonts w:eastAsia="Times New Roman" w:cs="Segoe UI"/>
          <w:color w:val="1D2125"/>
          <w:lang w:eastAsia="en-GB"/>
        </w:rPr>
        <w:t xml:space="preserve">is the variety of sources </w:t>
      </w:r>
      <w:r w:rsidR="00EF23C1">
        <w:rPr>
          <w:rFonts w:eastAsia="Times New Roman" w:cs="Segoe UI"/>
          <w:color w:val="1D2125"/>
          <w:lang w:eastAsia="en-GB"/>
        </w:rPr>
        <w:t xml:space="preserve">she appeals to </w:t>
      </w:r>
      <w:r w:rsidR="003F73FB">
        <w:rPr>
          <w:rFonts w:eastAsia="Times New Roman" w:cs="Segoe UI"/>
          <w:color w:val="1D2125"/>
          <w:lang w:eastAsia="en-GB"/>
        </w:rPr>
        <w:t xml:space="preserve">for corroboration of what John writes: it is a multivalent methodology – text, archaeology, political expedience – which helps us to escape the Procrustean Bed that, for example, the form critics want us to lie on. </w:t>
      </w:r>
    </w:p>
    <w:p w14:paraId="24903380" w14:textId="77777777" w:rsidR="00084167" w:rsidRDefault="00084167" w:rsidP="00821506">
      <w:pPr>
        <w:shd w:val="clear" w:color="auto" w:fill="FFFFFF"/>
        <w:rPr>
          <w:rFonts w:eastAsia="Times New Roman" w:cs="Segoe UI"/>
          <w:color w:val="1D2125"/>
          <w:lang w:eastAsia="en-GB"/>
        </w:rPr>
      </w:pPr>
    </w:p>
    <w:p w14:paraId="339A4A66" w14:textId="37EBC157" w:rsidR="00226A78" w:rsidRDefault="000D0474" w:rsidP="00821506">
      <w:pPr>
        <w:shd w:val="clear" w:color="auto" w:fill="FFFFFF"/>
        <w:rPr>
          <w:rFonts w:eastAsia="Times New Roman" w:cs="Segoe UI"/>
          <w:b/>
          <w:bCs/>
          <w:color w:val="1D2125"/>
          <w:lang w:eastAsia="en-GB"/>
        </w:rPr>
      </w:pPr>
      <w:r>
        <w:rPr>
          <w:rFonts w:eastAsia="Times New Roman" w:cs="Segoe UI"/>
          <w:b/>
          <w:bCs/>
          <w:color w:val="1D2125"/>
          <w:lang w:eastAsia="en-GB"/>
        </w:rPr>
        <w:t>Another indicator</w:t>
      </w:r>
    </w:p>
    <w:p w14:paraId="01C31EE8" w14:textId="77F6A3BA" w:rsidR="00CE483C" w:rsidRDefault="000D0474" w:rsidP="00821506">
      <w:pPr>
        <w:shd w:val="clear" w:color="auto" w:fill="FFFFFF"/>
        <w:rPr>
          <w:rFonts w:eastAsia="Times New Roman" w:cs="Segoe UI"/>
          <w:color w:val="1D2125"/>
          <w:lang w:eastAsia="en-GB"/>
        </w:rPr>
      </w:pPr>
      <w:r>
        <w:rPr>
          <w:rFonts w:eastAsia="Times New Roman" w:cs="Segoe UI"/>
          <w:color w:val="1D2125"/>
          <w:lang w:eastAsia="en-GB"/>
        </w:rPr>
        <w:t xml:space="preserve">John’s serious historical intent may also be gauged from the ‘sign’ in chapter 9, which has attracted </w:t>
      </w:r>
      <w:r w:rsidR="00906AA9">
        <w:rPr>
          <w:rFonts w:eastAsia="Times New Roman" w:cs="Segoe UI"/>
          <w:color w:val="1D2125"/>
          <w:lang w:eastAsia="en-GB"/>
        </w:rPr>
        <w:t>little</w:t>
      </w:r>
      <w:r>
        <w:rPr>
          <w:rFonts w:eastAsia="Times New Roman" w:cs="Segoe UI"/>
          <w:color w:val="1D2125"/>
          <w:lang w:eastAsia="en-GB"/>
        </w:rPr>
        <w:t xml:space="preserve"> attention from scholars</w:t>
      </w:r>
      <w:r w:rsidR="00680734">
        <w:rPr>
          <w:rStyle w:val="FootnoteReference"/>
          <w:rFonts w:eastAsia="Times New Roman" w:cs="Segoe UI"/>
          <w:color w:val="1D2125"/>
          <w:lang w:eastAsia="en-GB"/>
        </w:rPr>
        <w:footnoteReference w:id="58"/>
      </w:r>
      <w:r w:rsidR="00680734">
        <w:rPr>
          <w:rFonts w:eastAsia="Times New Roman" w:cs="Segoe UI"/>
          <w:color w:val="1D2125"/>
          <w:lang w:eastAsia="en-GB"/>
        </w:rPr>
        <w:t>: ‘</w:t>
      </w:r>
      <w:r w:rsidR="004E29B5" w:rsidRPr="004E29B5">
        <w:rPr>
          <w:rFonts w:eastAsia="Times New Roman" w:cs="Segoe UI"/>
          <w:color w:val="1D2125"/>
          <w:lang w:eastAsia="en-GB"/>
        </w:rPr>
        <w:t>As he walked along, he saw a man blind from birth</w:t>
      </w:r>
      <w:r w:rsidR="004E29B5">
        <w:rPr>
          <w:rFonts w:eastAsia="Times New Roman" w:cs="Segoe UI"/>
          <w:color w:val="1D2125"/>
          <w:lang w:eastAsia="en-GB"/>
        </w:rPr>
        <w:t>…’</w:t>
      </w:r>
      <w:r w:rsidR="00597E9B">
        <w:rPr>
          <w:rStyle w:val="FootnoteReference"/>
          <w:rFonts w:eastAsia="Times New Roman" w:cs="Segoe UI"/>
          <w:color w:val="1D2125"/>
          <w:lang w:eastAsia="en-GB"/>
        </w:rPr>
        <w:footnoteReference w:id="59"/>
      </w:r>
      <w:r w:rsidR="00D82E03">
        <w:rPr>
          <w:rFonts w:eastAsia="Times New Roman" w:cs="Segoe UI"/>
          <w:color w:val="1D2125"/>
          <w:lang w:eastAsia="en-GB"/>
        </w:rPr>
        <w:t xml:space="preserve">  In John’s telling, the incident cannot but be contained in the totality of the chapter (41 verses), demonstrating </w:t>
      </w:r>
      <w:r w:rsidR="00E3706F">
        <w:rPr>
          <w:rFonts w:eastAsia="Times New Roman" w:cs="Segoe UI"/>
          <w:color w:val="1D2125"/>
          <w:lang w:eastAsia="en-GB"/>
        </w:rPr>
        <w:t>a terrier-like</w:t>
      </w:r>
      <w:r w:rsidR="00D82E03">
        <w:rPr>
          <w:rFonts w:eastAsia="Times New Roman" w:cs="Segoe UI"/>
          <w:color w:val="1D2125"/>
          <w:lang w:eastAsia="en-GB"/>
        </w:rPr>
        <w:t xml:space="preserve"> effort to unearth the truth </w:t>
      </w:r>
      <w:r w:rsidR="00F359DC">
        <w:rPr>
          <w:rFonts w:eastAsia="Times New Roman" w:cs="Segoe UI"/>
          <w:color w:val="1D2125"/>
          <w:lang w:eastAsia="en-GB"/>
        </w:rPr>
        <w:t>behind</w:t>
      </w:r>
      <w:r w:rsidR="00D82E03">
        <w:rPr>
          <w:rFonts w:eastAsia="Times New Roman" w:cs="Segoe UI"/>
          <w:color w:val="1D2125"/>
          <w:lang w:eastAsia="en-GB"/>
        </w:rPr>
        <w:t xml:space="preserve"> the ‘miracle’.</w:t>
      </w:r>
      <w:r w:rsidR="00D82E03">
        <w:rPr>
          <w:rStyle w:val="FootnoteReference"/>
          <w:rFonts w:eastAsia="Times New Roman" w:cs="Segoe UI"/>
          <w:color w:val="1D2125"/>
          <w:lang w:eastAsia="en-GB"/>
        </w:rPr>
        <w:footnoteReference w:id="60"/>
      </w:r>
      <w:r w:rsidR="00294DA6">
        <w:rPr>
          <w:rFonts w:eastAsia="Times New Roman" w:cs="Segoe UI"/>
          <w:color w:val="1D2125"/>
          <w:lang w:eastAsia="en-GB"/>
        </w:rPr>
        <w:t xml:space="preserve"> </w:t>
      </w:r>
      <w:r w:rsidR="003F73FB">
        <w:rPr>
          <w:rFonts w:eastAsia="Times New Roman" w:cs="Segoe UI"/>
          <w:color w:val="1D2125"/>
          <w:lang w:eastAsia="en-GB"/>
        </w:rPr>
        <w:t>T</w:t>
      </w:r>
      <w:r w:rsidR="00294DA6">
        <w:rPr>
          <w:rFonts w:eastAsia="Times New Roman" w:cs="Segoe UI"/>
          <w:color w:val="1D2125"/>
          <w:lang w:eastAsia="en-GB"/>
        </w:rPr>
        <w:t>here is much journalistic detail</w:t>
      </w:r>
      <w:r w:rsidR="00F359DC">
        <w:rPr>
          <w:rFonts w:eastAsia="Times New Roman" w:cs="Segoe UI"/>
          <w:color w:val="1D2125"/>
          <w:lang w:eastAsia="en-GB"/>
        </w:rPr>
        <w:t xml:space="preserve">, </w:t>
      </w:r>
      <w:r w:rsidR="00EF4980">
        <w:rPr>
          <w:rFonts w:eastAsia="Times New Roman" w:cs="Segoe UI"/>
          <w:color w:val="1D2125"/>
          <w:lang w:eastAsia="en-GB"/>
        </w:rPr>
        <w:t xml:space="preserve">such that it is hard not to imagine a cub reporter on hand with </w:t>
      </w:r>
      <w:r w:rsidR="00435894">
        <w:rPr>
          <w:rFonts w:eastAsia="Times New Roman" w:cs="Segoe UI"/>
          <w:color w:val="1D2125"/>
          <w:lang w:eastAsia="en-GB"/>
        </w:rPr>
        <w:t>t</w:t>
      </w:r>
      <w:r w:rsidR="00EF4980">
        <w:rPr>
          <w:rFonts w:eastAsia="Times New Roman" w:cs="Segoe UI"/>
          <w:color w:val="1D2125"/>
          <w:lang w:eastAsia="en-GB"/>
        </w:rPr>
        <w:t>he</w:t>
      </w:r>
      <w:r w:rsidR="00435894">
        <w:rPr>
          <w:rFonts w:eastAsia="Times New Roman" w:cs="Segoe UI"/>
          <w:color w:val="1D2125"/>
          <w:lang w:eastAsia="en-GB"/>
        </w:rPr>
        <w:t>i</w:t>
      </w:r>
      <w:r w:rsidR="00EF4980">
        <w:rPr>
          <w:rFonts w:eastAsia="Times New Roman" w:cs="Segoe UI"/>
          <w:color w:val="1D2125"/>
          <w:lang w:eastAsia="en-GB"/>
        </w:rPr>
        <w:t>r notebook</w:t>
      </w:r>
      <w:r w:rsidR="00F359DC">
        <w:rPr>
          <w:rStyle w:val="FootnoteReference"/>
          <w:rFonts w:eastAsia="Times New Roman" w:cs="Segoe UI"/>
          <w:color w:val="1D2125"/>
          <w:lang w:eastAsia="en-GB"/>
        </w:rPr>
        <w:footnoteReference w:id="61"/>
      </w:r>
      <w:r w:rsidR="002237FB">
        <w:rPr>
          <w:rFonts w:eastAsia="Times New Roman" w:cs="Segoe UI"/>
          <w:color w:val="1D2125"/>
          <w:lang w:eastAsia="en-GB"/>
        </w:rPr>
        <w:t>.</w:t>
      </w:r>
      <w:r w:rsidR="00F359DC">
        <w:rPr>
          <w:rFonts w:eastAsia="Times New Roman" w:cs="Segoe UI"/>
          <w:color w:val="1D2125"/>
          <w:lang w:eastAsia="en-GB"/>
        </w:rPr>
        <w:t xml:space="preserve"> </w:t>
      </w:r>
      <w:r>
        <w:rPr>
          <w:rFonts w:eastAsia="Times New Roman" w:cs="Segoe UI"/>
          <w:color w:val="1D2125"/>
          <w:lang w:eastAsia="en-GB"/>
        </w:rPr>
        <w:t xml:space="preserve">John </w:t>
      </w:r>
      <w:r w:rsidR="00F359DC">
        <w:rPr>
          <w:rFonts w:eastAsia="Times New Roman" w:cs="Segoe UI"/>
          <w:color w:val="1D2125"/>
          <w:lang w:eastAsia="en-GB"/>
        </w:rPr>
        <w:t xml:space="preserve">juxtaposes this with </w:t>
      </w:r>
      <w:r w:rsidR="00E15EE2">
        <w:rPr>
          <w:rFonts w:eastAsia="Times New Roman" w:cs="Segoe UI"/>
          <w:color w:val="1D2125"/>
          <w:lang w:eastAsia="en-GB"/>
        </w:rPr>
        <w:t>the difficulty</w:t>
      </w:r>
      <w:r w:rsidR="00D81F77">
        <w:rPr>
          <w:rFonts w:eastAsia="Times New Roman" w:cs="Segoe UI"/>
          <w:color w:val="1D2125"/>
          <w:lang w:eastAsia="en-GB"/>
        </w:rPr>
        <w:t xml:space="preserve"> of his </w:t>
      </w:r>
      <w:r w:rsidR="00F359DC">
        <w:rPr>
          <w:rFonts w:eastAsia="Times New Roman" w:cs="Segoe UI"/>
          <w:color w:val="1D2125"/>
          <w:lang w:eastAsia="en-GB"/>
        </w:rPr>
        <w:t xml:space="preserve">craft, namely </w:t>
      </w:r>
      <w:r w:rsidR="005368C1">
        <w:rPr>
          <w:rFonts w:eastAsia="Times New Roman" w:cs="Segoe UI"/>
          <w:color w:val="1D2125"/>
          <w:lang w:eastAsia="en-GB"/>
        </w:rPr>
        <w:t>writing</w:t>
      </w:r>
      <w:r w:rsidR="00D81F77">
        <w:rPr>
          <w:rFonts w:eastAsia="Times New Roman" w:cs="Segoe UI"/>
          <w:color w:val="1D2125"/>
          <w:lang w:eastAsia="en-GB"/>
        </w:rPr>
        <w:t xml:space="preserve"> a history of the </w:t>
      </w:r>
      <w:r w:rsidR="00EF4980">
        <w:rPr>
          <w:rFonts w:eastAsia="Times New Roman" w:cs="Segoe UI"/>
          <w:color w:val="1D2125"/>
          <w:lang w:eastAsia="en-GB"/>
        </w:rPr>
        <w:t>‘</w:t>
      </w:r>
      <w:r w:rsidR="00D81F77">
        <w:rPr>
          <w:rFonts w:eastAsia="Times New Roman" w:cs="Segoe UI"/>
          <w:color w:val="1D2125"/>
          <w:lang w:eastAsia="en-GB"/>
        </w:rPr>
        <w:t>impossible</w:t>
      </w:r>
      <w:r w:rsidR="00EF4980">
        <w:rPr>
          <w:rFonts w:eastAsia="Times New Roman" w:cs="Segoe UI"/>
          <w:color w:val="1D2125"/>
          <w:lang w:eastAsia="en-GB"/>
        </w:rPr>
        <w:t>’</w:t>
      </w:r>
      <w:r w:rsidR="00075A82">
        <w:rPr>
          <w:rFonts w:eastAsia="Times New Roman" w:cs="Segoe UI"/>
          <w:color w:val="1D2125"/>
          <w:lang w:eastAsia="en-GB"/>
        </w:rPr>
        <w:t>;</w:t>
      </w:r>
      <w:r w:rsidR="00EF23C1">
        <w:rPr>
          <w:rFonts w:eastAsia="Times New Roman" w:cs="Segoe UI"/>
          <w:color w:val="1D2125"/>
          <w:lang w:eastAsia="en-GB"/>
        </w:rPr>
        <w:t xml:space="preserve"> and,</w:t>
      </w:r>
      <w:r w:rsidR="00D81F77">
        <w:rPr>
          <w:rFonts w:eastAsia="Times New Roman" w:cs="Segoe UI"/>
          <w:color w:val="1D2125"/>
          <w:lang w:eastAsia="en-GB"/>
        </w:rPr>
        <w:t xml:space="preserve"> </w:t>
      </w:r>
      <w:r w:rsidR="00E3706F">
        <w:rPr>
          <w:rFonts w:eastAsia="Times New Roman" w:cs="Segoe UI"/>
          <w:color w:val="1D2125"/>
          <w:lang w:eastAsia="en-GB"/>
        </w:rPr>
        <w:t>noted for</w:t>
      </w:r>
      <w:r w:rsidR="00D81F77">
        <w:rPr>
          <w:rFonts w:eastAsia="Times New Roman" w:cs="Segoe UI"/>
          <w:color w:val="1D2125"/>
          <w:lang w:eastAsia="en-GB"/>
        </w:rPr>
        <w:t xml:space="preserve"> </w:t>
      </w:r>
      <w:r w:rsidR="005368C1">
        <w:rPr>
          <w:rFonts w:eastAsia="Times New Roman" w:cs="Segoe UI"/>
          <w:color w:val="1D2125"/>
          <w:lang w:eastAsia="en-GB"/>
        </w:rPr>
        <w:t>exaggerat</w:t>
      </w:r>
      <w:r w:rsidR="00E3706F">
        <w:rPr>
          <w:rFonts w:eastAsia="Times New Roman" w:cs="Segoe UI"/>
          <w:color w:val="1D2125"/>
          <w:lang w:eastAsia="en-GB"/>
        </w:rPr>
        <w:t>i</w:t>
      </w:r>
      <w:r w:rsidR="00075A82">
        <w:rPr>
          <w:rFonts w:eastAsia="Times New Roman" w:cs="Segoe UI"/>
          <w:color w:val="1D2125"/>
          <w:lang w:eastAsia="en-GB"/>
        </w:rPr>
        <w:t xml:space="preserve">on in </w:t>
      </w:r>
      <w:r w:rsidR="00D81F77">
        <w:rPr>
          <w:rFonts w:eastAsia="Times New Roman" w:cs="Segoe UI"/>
          <w:color w:val="1D2125"/>
          <w:lang w:eastAsia="en-GB"/>
        </w:rPr>
        <w:t>his description of the seven signs</w:t>
      </w:r>
      <w:r w:rsidR="00D81F77">
        <w:rPr>
          <w:rStyle w:val="FootnoteReference"/>
          <w:rFonts w:eastAsia="Times New Roman" w:cs="Segoe UI"/>
          <w:color w:val="1D2125"/>
          <w:lang w:eastAsia="en-GB"/>
        </w:rPr>
        <w:footnoteReference w:id="62"/>
      </w:r>
      <w:r w:rsidR="005368C1">
        <w:rPr>
          <w:rFonts w:eastAsia="Times New Roman" w:cs="Segoe UI"/>
          <w:color w:val="1D2125"/>
          <w:lang w:eastAsia="en-GB"/>
        </w:rPr>
        <w:t>,</w:t>
      </w:r>
      <w:r w:rsidR="00DF23CC">
        <w:rPr>
          <w:rFonts w:eastAsia="Times New Roman" w:cs="Segoe UI"/>
          <w:color w:val="1D2125"/>
          <w:lang w:eastAsia="en-GB"/>
        </w:rPr>
        <w:t xml:space="preserve"> it is </w:t>
      </w:r>
      <w:r w:rsidR="00E3706F">
        <w:rPr>
          <w:rFonts w:eastAsia="Times New Roman" w:cs="Segoe UI"/>
          <w:color w:val="1D2125"/>
          <w:lang w:eastAsia="en-GB"/>
        </w:rPr>
        <w:t>significant</w:t>
      </w:r>
      <w:r w:rsidR="00DF23CC">
        <w:rPr>
          <w:rFonts w:eastAsia="Times New Roman" w:cs="Segoe UI"/>
          <w:color w:val="1D2125"/>
          <w:lang w:eastAsia="en-GB"/>
        </w:rPr>
        <w:t xml:space="preserve"> that </w:t>
      </w:r>
      <w:r w:rsidR="00936FD0">
        <w:rPr>
          <w:rFonts w:eastAsia="Times New Roman" w:cs="Segoe UI"/>
          <w:color w:val="1D2125"/>
          <w:lang w:eastAsia="en-GB"/>
        </w:rPr>
        <w:t xml:space="preserve">he here describes </w:t>
      </w:r>
      <w:r w:rsidR="00DF23CC">
        <w:rPr>
          <w:rFonts w:eastAsia="Times New Roman" w:cs="Segoe UI"/>
          <w:color w:val="1D2125"/>
          <w:lang w:eastAsia="en-GB"/>
        </w:rPr>
        <w:t>the man</w:t>
      </w:r>
      <w:r w:rsidR="00936FD0">
        <w:rPr>
          <w:rFonts w:eastAsia="Times New Roman" w:cs="Segoe UI"/>
          <w:color w:val="1D2125"/>
          <w:lang w:eastAsia="en-GB"/>
        </w:rPr>
        <w:t xml:space="preserve"> as</w:t>
      </w:r>
      <w:r w:rsidR="00DF23CC">
        <w:rPr>
          <w:rFonts w:eastAsia="Times New Roman" w:cs="Segoe UI"/>
          <w:color w:val="1D2125"/>
          <w:lang w:eastAsia="en-GB"/>
        </w:rPr>
        <w:t xml:space="preserve"> blind </w:t>
      </w:r>
      <w:r w:rsidR="00DF23CC">
        <w:rPr>
          <w:rFonts w:eastAsia="Times New Roman" w:cs="Segoe UI"/>
          <w:color w:val="1D2125"/>
          <w:lang w:eastAsia="en-GB"/>
        </w:rPr>
        <w:lastRenderedPageBreak/>
        <w:t xml:space="preserve">from birth. </w:t>
      </w:r>
      <w:r w:rsidR="005368C1">
        <w:rPr>
          <w:rFonts w:eastAsia="Times New Roman" w:cs="Segoe UI"/>
          <w:color w:val="1D2125"/>
          <w:lang w:eastAsia="en-GB"/>
        </w:rPr>
        <w:t>Is John using this story</w:t>
      </w:r>
      <w:r w:rsidR="00DF23CC">
        <w:rPr>
          <w:rFonts w:eastAsia="Times New Roman" w:cs="Segoe UI"/>
          <w:color w:val="1D2125"/>
          <w:lang w:eastAsia="en-GB"/>
        </w:rPr>
        <w:t xml:space="preserve"> to demonstrate how intrinsically incoherent an attempt at history is, if built on the foundations of</w:t>
      </w:r>
      <w:r w:rsidR="00EF4980">
        <w:rPr>
          <w:rFonts w:eastAsia="Times New Roman" w:cs="Segoe UI"/>
          <w:color w:val="1D2125"/>
          <w:lang w:eastAsia="en-GB"/>
        </w:rPr>
        <w:t xml:space="preserve"> the </w:t>
      </w:r>
      <w:r w:rsidR="00226A78">
        <w:rPr>
          <w:rFonts w:eastAsia="Times New Roman" w:cs="Segoe UI"/>
          <w:color w:val="1D2125"/>
          <w:lang w:eastAsia="en-GB"/>
        </w:rPr>
        <w:t xml:space="preserve">‘impossible’ </w:t>
      </w:r>
      <w:r w:rsidR="00EF4980">
        <w:rPr>
          <w:rFonts w:eastAsia="Times New Roman" w:cs="Segoe UI"/>
          <w:color w:val="1D2125"/>
          <w:lang w:eastAsia="en-GB"/>
        </w:rPr>
        <w:t>things that yet must be described</w:t>
      </w:r>
      <w:r w:rsidR="005368C1">
        <w:rPr>
          <w:rFonts w:eastAsia="Times New Roman" w:cs="Segoe UI"/>
          <w:color w:val="1D2125"/>
          <w:lang w:eastAsia="en-GB"/>
        </w:rPr>
        <w:t>?</w:t>
      </w:r>
      <w:r w:rsidR="00DF23CC">
        <w:rPr>
          <w:rFonts w:eastAsia="Times New Roman" w:cs="Segoe UI"/>
          <w:color w:val="1D2125"/>
          <w:lang w:eastAsia="en-GB"/>
        </w:rPr>
        <w:t xml:space="preserve"> </w:t>
      </w:r>
    </w:p>
    <w:p w14:paraId="56200222" w14:textId="77777777" w:rsidR="00926738" w:rsidRDefault="00926738" w:rsidP="00821506">
      <w:pPr>
        <w:shd w:val="clear" w:color="auto" w:fill="FFFFFF"/>
        <w:rPr>
          <w:rFonts w:eastAsia="Times New Roman" w:cs="Segoe UI"/>
          <w:color w:val="1D2125"/>
          <w:lang w:eastAsia="en-GB"/>
        </w:rPr>
      </w:pPr>
    </w:p>
    <w:p w14:paraId="17C90884" w14:textId="2858CB23" w:rsidR="00DF5598" w:rsidRPr="002B5D03" w:rsidRDefault="005368C1" w:rsidP="00821506">
      <w:pPr>
        <w:shd w:val="clear" w:color="auto" w:fill="FFFFFF"/>
        <w:rPr>
          <w:rFonts w:eastAsia="Times New Roman" w:cs="Segoe UI"/>
          <w:color w:val="1D2125"/>
          <w:lang w:eastAsia="en-GB"/>
        </w:rPr>
      </w:pPr>
      <w:r>
        <w:rPr>
          <w:rFonts w:eastAsia="Times New Roman" w:cs="Segoe UI"/>
          <w:color w:val="1D2125"/>
          <w:lang w:eastAsia="en-GB"/>
        </w:rPr>
        <w:t>The question</w:t>
      </w:r>
      <w:r w:rsidR="00075A82">
        <w:rPr>
          <w:rFonts w:eastAsia="Times New Roman" w:cs="Segoe UI"/>
          <w:color w:val="1D2125"/>
          <w:lang w:eastAsia="en-GB"/>
        </w:rPr>
        <w:t>, however,</w:t>
      </w:r>
      <w:r>
        <w:rPr>
          <w:rFonts w:eastAsia="Times New Roman" w:cs="Segoe UI"/>
          <w:color w:val="1D2125"/>
          <w:lang w:eastAsia="en-GB"/>
        </w:rPr>
        <w:t xml:space="preserve"> remains:</w:t>
      </w:r>
      <w:r w:rsidR="00831047">
        <w:rPr>
          <w:rFonts w:eastAsia="Times New Roman" w:cs="Segoe UI"/>
          <w:color w:val="1D2125"/>
          <w:lang w:eastAsia="en-GB"/>
        </w:rPr>
        <w:t xml:space="preserve"> is John interested in </w:t>
      </w:r>
      <w:r w:rsidR="00F90284">
        <w:rPr>
          <w:rFonts w:eastAsia="Times New Roman" w:cs="Segoe UI"/>
          <w:color w:val="1D2125"/>
          <w:lang w:eastAsia="en-GB"/>
        </w:rPr>
        <w:t xml:space="preserve">the historical Jesus? </w:t>
      </w:r>
      <w:r w:rsidR="00831047">
        <w:rPr>
          <w:rFonts w:eastAsia="Times New Roman" w:cs="Segoe UI"/>
          <w:color w:val="1D2125"/>
          <w:lang w:eastAsia="en-GB"/>
        </w:rPr>
        <w:t xml:space="preserve">Three tests may be applied: the factual (time and space) cover two of these, and the third answers to the less ‘concrete’ issue of significance. </w:t>
      </w:r>
      <w:r w:rsidR="00E15EE2">
        <w:rPr>
          <w:rFonts w:eastAsia="Times New Roman" w:cs="Segoe UI"/>
          <w:color w:val="1D2125"/>
          <w:lang w:eastAsia="en-GB"/>
        </w:rPr>
        <w:t xml:space="preserve">There are clear signs that </w:t>
      </w:r>
      <w:r w:rsidR="00831047">
        <w:rPr>
          <w:rFonts w:eastAsia="Times New Roman" w:cs="Segoe UI"/>
          <w:color w:val="1D2125"/>
          <w:lang w:eastAsia="en-GB"/>
        </w:rPr>
        <w:t xml:space="preserve">John’s account of the where and when of Jesus’ life </w:t>
      </w:r>
      <w:r w:rsidR="008A734E">
        <w:rPr>
          <w:rFonts w:eastAsia="Times New Roman" w:cs="Segoe UI"/>
          <w:color w:val="1D2125"/>
          <w:lang w:eastAsia="en-GB"/>
        </w:rPr>
        <w:t xml:space="preserve">(and the why) </w:t>
      </w:r>
      <w:r w:rsidR="00E15EE2">
        <w:rPr>
          <w:rFonts w:eastAsia="Times New Roman" w:cs="Segoe UI"/>
          <w:color w:val="1D2125"/>
          <w:lang w:eastAsia="en-GB"/>
        </w:rPr>
        <w:t>is more</w:t>
      </w:r>
      <w:r w:rsidR="0086098F">
        <w:rPr>
          <w:rFonts w:eastAsia="Times New Roman" w:cs="Segoe UI"/>
          <w:color w:val="1D2125"/>
          <w:lang w:eastAsia="en-GB"/>
        </w:rPr>
        <w:t xml:space="preserve"> credible</w:t>
      </w:r>
      <w:r w:rsidR="00E15EE2">
        <w:rPr>
          <w:rFonts w:eastAsia="Times New Roman" w:cs="Segoe UI"/>
          <w:color w:val="1D2125"/>
          <w:lang w:eastAsia="en-GB"/>
        </w:rPr>
        <w:t xml:space="preserve"> </w:t>
      </w:r>
      <w:r w:rsidR="0086098F">
        <w:rPr>
          <w:rFonts w:eastAsia="Times New Roman" w:cs="Segoe UI"/>
          <w:color w:val="1D2125"/>
          <w:lang w:eastAsia="en-GB"/>
        </w:rPr>
        <w:t xml:space="preserve">than that of the Synoptic tradition, </w:t>
      </w:r>
      <w:r w:rsidR="008A734E">
        <w:rPr>
          <w:rFonts w:eastAsia="Times New Roman" w:cs="Segoe UI"/>
          <w:color w:val="1D2125"/>
          <w:lang w:eastAsia="en-GB"/>
        </w:rPr>
        <w:t>such that the reluctance of New Testament scholars to acknowledge it is surprising</w:t>
      </w:r>
      <w:r w:rsidR="008A734E">
        <w:rPr>
          <w:rStyle w:val="FootnoteReference"/>
          <w:rFonts w:eastAsia="Times New Roman" w:cs="Segoe UI"/>
          <w:color w:val="1D2125"/>
          <w:lang w:eastAsia="en-GB"/>
        </w:rPr>
        <w:footnoteReference w:id="63"/>
      </w:r>
      <w:r w:rsidR="008A734E">
        <w:rPr>
          <w:rFonts w:eastAsia="Times New Roman" w:cs="Segoe UI"/>
          <w:color w:val="1D2125"/>
          <w:lang w:eastAsia="en-GB"/>
        </w:rPr>
        <w:t xml:space="preserve">. </w:t>
      </w:r>
      <w:r w:rsidR="00075A82">
        <w:rPr>
          <w:rFonts w:eastAsia="Times New Roman" w:cs="Segoe UI"/>
          <w:color w:val="1D2125"/>
          <w:lang w:eastAsia="en-GB"/>
        </w:rPr>
        <w:t>Swimming against the current,</w:t>
      </w:r>
      <w:r w:rsidR="008A734E">
        <w:rPr>
          <w:rFonts w:eastAsia="Times New Roman" w:cs="Segoe UI"/>
          <w:color w:val="1D2125"/>
          <w:lang w:eastAsia="en-GB"/>
        </w:rPr>
        <w:t xml:space="preserve"> we should </w:t>
      </w:r>
      <w:r w:rsidR="00075A82">
        <w:rPr>
          <w:rFonts w:eastAsia="Times New Roman" w:cs="Segoe UI"/>
          <w:color w:val="1D2125"/>
          <w:lang w:eastAsia="en-GB"/>
        </w:rPr>
        <w:t xml:space="preserve">perhaps </w:t>
      </w:r>
      <w:r w:rsidR="008A734E">
        <w:rPr>
          <w:rFonts w:eastAsia="Times New Roman" w:cs="Segoe UI"/>
          <w:color w:val="1D2125"/>
          <w:lang w:eastAsia="en-GB"/>
        </w:rPr>
        <w:t xml:space="preserve">consider </w:t>
      </w:r>
      <w:r w:rsidR="002B5D03">
        <w:rPr>
          <w:rFonts w:eastAsia="Times New Roman" w:cs="Segoe UI"/>
          <w:color w:val="1D2125"/>
          <w:lang w:eastAsia="en-GB"/>
        </w:rPr>
        <w:t xml:space="preserve">John’s interest in the historical Jesus as the </w:t>
      </w:r>
      <w:r w:rsidR="002B5D03" w:rsidRPr="002B5D03">
        <w:rPr>
          <w:rFonts w:eastAsia="Times New Roman" w:cs="Segoe UI"/>
          <w:i/>
          <w:iCs/>
          <w:color w:val="1D2125"/>
          <w:lang w:eastAsia="en-GB"/>
        </w:rPr>
        <w:t xml:space="preserve">sine qua </w:t>
      </w:r>
      <w:proofErr w:type="spellStart"/>
      <w:r w:rsidR="002B5D03" w:rsidRPr="002B5D03">
        <w:rPr>
          <w:rFonts w:eastAsia="Times New Roman" w:cs="Segoe UI"/>
          <w:i/>
          <w:iCs/>
          <w:color w:val="1D2125"/>
          <w:lang w:eastAsia="en-GB"/>
        </w:rPr>
        <w:t>non</w:t>
      </w:r>
      <w:r w:rsidR="002B5D03">
        <w:rPr>
          <w:rFonts w:eastAsia="Times New Roman" w:cs="Segoe UI"/>
          <w:i/>
          <w:iCs/>
          <w:color w:val="1D2125"/>
          <w:lang w:eastAsia="en-GB"/>
        </w:rPr>
        <w:t xml:space="preserve"> </w:t>
      </w:r>
      <w:r w:rsidR="002B5D03">
        <w:rPr>
          <w:rFonts w:eastAsia="Times New Roman" w:cs="Segoe UI"/>
          <w:color w:val="1D2125"/>
          <w:lang w:eastAsia="en-GB"/>
        </w:rPr>
        <w:t>of</w:t>
      </w:r>
      <w:proofErr w:type="spellEnd"/>
      <w:r w:rsidR="002B5D03">
        <w:rPr>
          <w:rFonts w:eastAsia="Times New Roman" w:cs="Segoe UI"/>
          <w:color w:val="1D2125"/>
          <w:lang w:eastAsia="en-GB"/>
        </w:rPr>
        <w:t xml:space="preserve"> his gospel</w:t>
      </w:r>
      <w:r w:rsidR="008A734E">
        <w:rPr>
          <w:rFonts w:eastAsia="Times New Roman" w:cs="Segoe UI"/>
          <w:color w:val="1D2125"/>
          <w:lang w:eastAsia="en-GB"/>
        </w:rPr>
        <w:t xml:space="preserve">: </w:t>
      </w:r>
      <w:r w:rsidR="00075A82">
        <w:rPr>
          <w:rFonts w:eastAsia="Times New Roman" w:cs="Segoe UI"/>
          <w:color w:val="1D2125"/>
          <w:lang w:eastAsia="en-GB"/>
        </w:rPr>
        <w:t xml:space="preserve">for, </w:t>
      </w:r>
      <w:r w:rsidR="008A734E">
        <w:rPr>
          <w:rFonts w:eastAsia="Times New Roman" w:cs="Segoe UI"/>
          <w:color w:val="1D2125"/>
          <w:lang w:eastAsia="en-GB"/>
        </w:rPr>
        <w:t xml:space="preserve">unless it is, as claimed earlier, ‘profoundly untrue’, then </w:t>
      </w:r>
      <w:r w:rsidR="00075A82">
        <w:rPr>
          <w:rFonts w:eastAsia="Times New Roman" w:cs="Segoe UI"/>
          <w:color w:val="1D2125"/>
          <w:lang w:eastAsia="en-GB"/>
        </w:rPr>
        <w:t xml:space="preserve">a </w:t>
      </w:r>
      <w:r w:rsidR="002B5D03">
        <w:rPr>
          <w:rFonts w:eastAsia="Times New Roman" w:cs="Segoe UI"/>
          <w:color w:val="1D2125"/>
          <w:lang w:eastAsia="en-GB"/>
        </w:rPr>
        <w:t xml:space="preserve">theology </w:t>
      </w:r>
      <w:r w:rsidR="002B5D03" w:rsidRPr="008A734E">
        <w:rPr>
          <w:rFonts w:eastAsia="Times New Roman" w:cs="Segoe UI"/>
          <w:i/>
          <w:iCs/>
          <w:color w:val="1D2125"/>
          <w:lang w:eastAsia="en-GB"/>
        </w:rPr>
        <w:t>without</w:t>
      </w:r>
      <w:r w:rsidR="002B5D03">
        <w:rPr>
          <w:rFonts w:eastAsia="Times New Roman" w:cs="Segoe UI"/>
          <w:color w:val="1D2125"/>
          <w:lang w:eastAsia="en-GB"/>
        </w:rPr>
        <w:t xml:space="preserve"> the actuality </w:t>
      </w:r>
      <w:r w:rsidR="00226A78">
        <w:rPr>
          <w:rFonts w:eastAsia="Times New Roman" w:cs="Segoe UI"/>
          <w:color w:val="1D2125"/>
          <w:lang w:eastAsia="en-GB"/>
        </w:rPr>
        <w:t>dissolves</w:t>
      </w:r>
      <w:r w:rsidR="008A734E">
        <w:rPr>
          <w:rFonts w:eastAsia="Times New Roman" w:cs="Segoe UI"/>
          <w:color w:val="1D2125"/>
          <w:lang w:eastAsia="en-GB"/>
        </w:rPr>
        <w:t xml:space="preserve"> the gospel</w:t>
      </w:r>
      <w:r w:rsidR="00226A78">
        <w:rPr>
          <w:rFonts w:eastAsia="Times New Roman" w:cs="Segoe UI"/>
          <w:color w:val="1D2125"/>
          <w:lang w:eastAsia="en-GB"/>
        </w:rPr>
        <w:t xml:space="preserve"> in</w:t>
      </w:r>
      <w:r w:rsidR="008A734E">
        <w:rPr>
          <w:rFonts w:eastAsia="Times New Roman" w:cs="Segoe UI"/>
          <w:color w:val="1D2125"/>
          <w:lang w:eastAsia="en-GB"/>
        </w:rPr>
        <w:t>to</w:t>
      </w:r>
      <w:r w:rsidR="002B5D03">
        <w:rPr>
          <w:rFonts w:eastAsia="Times New Roman" w:cs="Segoe UI"/>
          <w:color w:val="1D2125"/>
          <w:lang w:eastAsia="en-GB"/>
        </w:rPr>
        <w:t xml:space="preserve"> mere fantasy. </w:t>
      </w:r>
    </w:p>
    <w:p w14:paraId="5B0A60AE" w14:textId="77777777" w:rsidR="00DF5598" w:rsidRDefault="00DF5598" w:rsidP="00821506">
      <w:pPr>
        <w:shd w:val="clear" w:color="auto" w:fill="FFFFFF"/>
        <w:rPr>
          <w:rFonts w:eastAsia="Times New Roman" w:cs="Segoe UI"/>
          <w:color w:val="1D2125"/>
          <w:lang w:eastAsia="en-GB"/>
        </w:rPr>
      </w:pPr>
    </w:p>
    <w:p w14:paraId="0189E990" w14:textId="198A640E" w:rsidR="000D0474" w:rsidRPr="000D0474" w:rsidRDefault="000D0474" w:rsidP="00821506">
      <w:pPr>
        <w:shd w:val="clear" w:color="auto" w:fill="FFFFFF"/>
        <w:rPr>
          <w:rFonts w:eastAsia="Times New Roman" w:cs="Segoe UI"/>
          <w:b/>
          <w:bCs/>
          <w:color w:val="1D2125"/>
          <w:lang w:eastAsia="en-GB"/>
        </w:rPr>
      </w:pPr>
      <w:r w:rsidRPr="00075A82">
        <w:rPr>
          <w:rFonts w:eastAsia="Times New Roman" w:cs="Segoe UI"/>
          <w:b/>
          <w:bCs/>
          <w:i/>
          <w:iCs/>
          <w:color w:val="1D2125"/>
          <w:lang w:eastAsia="en-GB"/>
        </w:rPr>
        <w:t>The</w:t>
      </w:r>
      <w:r w:rsidRPr="000D0474">
        <w:rPr>
          <w:rFonts w:eastAsia="Times New Roman" w:cs="Segoe UI"/>
          <w:b/>
          <w:bCs/>
          <w:color w:val="1D2125"/>
          <w:lang w:eastAsia="en-GB"/>
        </w:rPr>
        <w:t xml:space="preserve"> Eyewitness</w:t>
      </w:r>
      <w:r w:rsidR="008A734E">
        <w:rPr>
          <w:rFonts w:eastAsia="Times New Roman" w:cs="Segoe UI"/>
          <w:b/>
          <w:bCs/>
          <w:color w:val="1D2125"/>
          <w:lang w:eastAsia="en-GB"/>
        </w:rPr>
        <w:t xml:space="preserve"> </w:t>
      </w:r>
    </w:p>
    <w:p w14:paraId="68E76967" w14:textId="52B1302D" w:rsidR="00864B68" w:rsidRPr="00CE483C" w:rsidRDefault="009904EB" w:rsidP="00821506">
      <w:pPr>
        <w:shd w:val="clear" w:color="auto" w:fill="FFFFFF"/>
        <w:rPr>
          <w:rFonts w:eastAsia="Times New Roman" w:cs="Segoe UI"/>
          <w:color w:val="1D2125"/>
          <w:lang w:eastAsia="en-GB"/>
        </w:rPr>
        <w:sectPr w:rsidR="00864B68" w:rsidRPr="00CE483C">
          <w:pgSz w:w="11906" w:h="16838"/>
          <w:pgMar w:top="1440" w:right="1440" w:bottom="1440" w:left="1440" w:header="708" w:footer="708" w:gutter="0"/>
          <w:cols w:space="708"/>
          <w:docGrid w:linePitch="360"/>
        </w:sectPr>
      </w:pPr>
      <w:r>
        <w:rPr>
          <w:rFonts w:eastAsia="Times New Roman" w:cs="Segoe UI"/>
          <w:color w:val="1D2125"/>
          <w:lang w:eastAsia="en-GB"/>
        </w:rPr>
        <w:t>John’s writing evinces his great skill as a dramatist.</w:t>
      </w:r>
      <w:r w:rsidR="003E5950">
        <w:rPr>
          <w:rFonts w:eastAsia="Times New Roman" w:cs="Segoe UI"/>
          <w:color w:val="1D2125"/>
          <w:lang w:eastAsia="en-GB"/>
        </w:rPr>
        <w:t xml:space="preserve"> </w:t>
      </w:r>
      <w:r>
        <w:rPr>
          <w:rFonts w:eastAsia="Times New Roman" w:cs="Segoe UI"/>
          <w:color w:val="1D2125"/>
          <w:lang w:eastAsia="en-GB"/>
        </w:rPr>
        <w:t>It is tempting, therefore,</w:t>
      </w:r>
      <w:r w:rsidR="004A74D0">
        <w:rPr>
          <w:rFonts w:eastAsia="Times New Roman" w:cs="Segoe UI"/>
          <w:color w:val="1D2125"/>
          <w:lang w:eastAsia="en-GB"/>
        </w:rPr>
        <w:t xml:space="preserve"> to find a ‘role’ for the Beloved Disciple</w:t>
      </w:r>
      <w:r w:rsidR="002B5D03">
        <w:rPr>
          <w:rFonts w:eastAsia="Times New Roman" w:cs="Segoe UI"/>
          <w:color w:val="1D2125"/>
          <w:lang w:eastAsia="en-GB"/>
        </w:rPr>
        <w:t xml:space="preserve">, which goes </w:t>
      </w:r>
      <w:r w:rsidR="004A74D0">
        <w:rPr>
          <w:rFonts w:eastAsia="Times New Roman" w:cs="Segoe UI"/>
          <w:color w:val="1D2125"/>
          <w:lang w:eastAsia="en-GB"/>
        </w:rPr>
        <w:t xml:space="preserve">beyond merely authenticating the </w:t>
      </w:r>
      <w:r w:rsidR="003E5950">
        <w:rPr>
          <w:rFonts w:eastAsia="Times New Roman" w:cs="Segoe UI"/>
          <w:color w:val="1D2125"/>
          <w:lang w:eastAsia="en-GB"/>
        </w:rPr>
        <w:t xml:space="preserve">Johannine </w:t>
      </w:r>
      <w:r w:rsidR="004A74D0">
        <w:rPr>
          <w:rFonts w:eastAsia="Times New Roman" w:cs="Segoe UI"/>
          <w:color w:val="1D2125"/>
          <w:lang w:eastAsia="en-GB"/>
        </w:rPr>
        <w:t>account</w:t>
      </w:r>
      <w:r w:rsidR="007453BD">
        <w:rPr>
          <w:rFonts w:eastAsia="Times New Roman" w:cs="Segoe UI"/>
          <w:color w:val="1D2125"/>
          <w:lang w:eastAsia="en-GB"/>
        </w:rPr>
        <w:t>.</w:t>
      </w:r>
      <w:r w:rsidR="004E5022">
        <w:rPr>
          <w:rFonts w:eastAsia="Times New Roman" w:cs="Segoe UI"/>
          <w:color w:val="1D2125"/>
          <w:lang w:eastAsia="en-GB"/>
        </w:rPr>
        <w:t xml:space="preserve"> </w:t>
      </w:r>
      <w:r w:rsidR="007453BD">
        <w:rPr>
          <w:rFonts w:eastAsia="Times New Roman" w:cs="Segoe UI"/>
          <w:color w:val="1D2125"/>
          <w:lang w:eastAsia="en-GB"/>
        </w:rPr>
        <w:t xml:space="preserve">The almost homo-erotic </w:t>
      </w:r>
      <w:r>
        <w:rPr>
          <w:rFonts w:eastAsia="Times New Roman" w:cs="Segoe UI"/>
          <w:color w:val="1D2125"/>
          <w:lang w:eastAsia="en-GB"/>
        </w:rPr>
        <w:t>hint</w:t>
      </w:r>
      <w:r w:rsidR="007453BD">
        <w:rPr>
          <w:rStyle w:val="FootnoteReference"/>
          <w:rFonts w:eastAsia="Times New Roman" w:cs="Segoe UI"/>
          <w:color w:val="1D2125"/>
          <w:lang w:eastAsia="en-GB"/>
        </w:rPr>
        <w:footnoteReference w:id="64"/>
      </w:r>
      <w:r w:rsidR="007453BD">
        <w:rPr>
          <w:rFonts w:eastAsia="Times New Roman" w:cs="Segoe UI"/>
          <w:color w:val="1D2125"/>
          <w:lang w:eastAsia="en-GB"/>
        </w:rPr>
        <w:t xml:space="preserve"> </w:t>
      </w:r>
      <w:r>
        <w:rPr>
          <w:rFonts w:eastAsia="Times New Roman" w:cs="Segoe UI"/>
          <w:color w:val="1D2125"/>
          <w:lang w:eastAsia="en-GB"/>
        </w:rPr>
        <w:t xml:space="preserve">of intimacy at their final meal together </w:t>
      </w:r>
      <w:r w:rsidR="007453BD">
        <w:rPr>
          <w:rFonts w:eastAsia="Times New Roman" w:cs="Segoe UI"/>
          <w:color w:val="1D2125"/>
          <w:lang w:eastAsia="en-GB"/>
        </w:rPr>
        <w:t xml:space="preserve">offers a tempting possibility. </w:t>
      </w:r>
      <w:r w:rsidR="005E1816">
        <w:rPr>
          <w:rFonts w:eastAsia="Times New Roman" w:cs="Segoe UI"/>
          <w:color w:val="1D2125"/>
          <w:lang w:eastAsia="en-GB"/>
        </w:rPr>
        <w:t>If we can accept that he was a real person</w:t>
      </w:r>
      <w:r w:rsidR="005E1816">
        <w:rPr>
          <w:rStyle w:val="FootnoteReference"/>
          <w:rFonts w:eastAsia="Times New Roman" w:cs="Segoe UI"/>
          <w:color w:val="1D2125"/>
          <w:lang w:eastAsia="en-GB"/>
        </w:rPr>
        <w:footnoteReference w:id="65"/>
      </w:r>
      <w:r w:rsidR="005E1816">
        <w:rPr>
          <w:rFonts w:eastAsia="Times New Roman" w:cs="Segoe UI"/>
          <w:color w:val="1D2125"/>
          <w:lang w:eastAsia="en-GB"/>
        </w:rPr>
        <w:t>, t</w:t>
      </w:r>
      <w:r w:rsidR="003E5950">
        <w:rPr>
          <w:rFonts w:eastAsia="Times New Roman" w:cs="Segoe UI"/>
          <w:color w:val="1D2125"/>
          <w:lang w:eastAsia="en-GB"/>
        </w:rPr>
        <w:t>his</w:t>
      </w:r>
      <w:r w:rsidR="007453BD">
        <w:rPr>
          <w:rFonts w:eastAsia="Times New Roman" w:cs="Segoe UI"/>
          <w:color w:val="1D2125"/>
          <w:lang w:eastAsia="en-GB"/>
        </w:rPr>
        <w:t xml:space="preserve"> disciple </w:t>
      </w:r>
      <w:r>
        <w:rPr>
          <w:rFonts w:eastAsia="Times New Roman" w:cs="Segoe UI"/>
          <w:color w:val="1D2125"/>
          <w:lang w:eastAsia="en-GB"/>
        </w:rPr>
        <w:t>may well</w:t>
      </w:r>
      <w:r w:rsidR="003E5950">
        <w:rPr>
          <w:rFonts w:eastAsia="Times New Roman" w:cs="Segoe UI"/>
          <w:color w:val="1D2125"/>
          <w:lang w:eastAsia="en-GB"/>
        </w:rPr>
        <w:t xml:space="preserve"> have straddled</w:t>
      </w:r>
      <w:r w:rsidR="007453BD">
        <w:rPr>
          <w:rFonts w:eastAsia="Times New Roman" w:cs="Segoe UI"/>
          <w:color w:val="1D2125"/>
          <w:lang w:eastAsia="en-GB"/>
        </w:rPr>
        <w:t xml:space="preserve"> the period from early on in Jesus’ ministry (if not before</w:t>
      </w:r>
      <w:r w:rsidR="007453BD">
        <w:rPr>
          <w:rStyle w:val="FootnoteReference"/>
          <w:rFonts w:eastAsia="Times New Roman" w:cs="Segoe UI"/>
          <w:color w:val="1D2125"/>
          <w:lang w:eastAsia="en-GB"/>
        </w:rPr>
        <w:footnoteReference w:id="66"/>
      </w:r>
      <w:r w:rsidR="007453BD">
        <w:rPr>
          <w:rFonts w:eastAsia="Times New Roman" w:cs="Segoe UI"/>
          <w:color w:val="1D2125"/>
          <w:lang w:eastAsia="en-GB"/>
        </w:rPr>
        <w:t>)</w:t>
      </w:r>
      <w:r w:rsidR="003E5950">
        <w:rPr>
          <w:rFonts w:eastAsia="Times New Roman" w:cs="Segoe UI"/>
          <w:color w:val="1D2125"/>
          <w:lang w:eastAsia="en-GB"/>
        </w:rPr>
        <w:t xml:space="preserve"> to a period </w:t>
      </w:r>
      <w:r w:rsidR="008558A8">
        <w:rPr>
          <w:rFonts w:eastAsia="Times New Roman" w:cs="Segoe UI"/>
          <w:color w:val="1D2125"/>
          <w:lang w:eastAsia="en-GB"/>
        </w:rPr>
        <w:t>of his own extensive ‘ministry’</w:t>
      </w:r>
      <w:r>
        <w:rPr>
          <w:rFonts w:eastAsia="Times New Roman" w:cs="Segoe UI"/>
          <w:color w:val="1D2125"/>
          <w:lang w:eastAsia="en-GB"/>
        </w:rPr>
        <w:t xml:space="preserve"> after Jesus’ death and resurrection</w:t>
      </w:r>
      <w:r w:rsidR="008558A8">
        <w:rPr>
          <w:rFonts w:eastAsia="Times New Roman" w:cs="Segoe UI"/>
          <w:color w:val="1D2125"/>
          <w:lang w:eastAsia="en-GB"/>
        </w:rPr>
        <w:t xml:space="preserve">, </w:t>
      </w:r>
      <w:r w:rsidR="00075A82">
        <w:rPr>
          <w:rFonts w:eastAsia="Times New Roman" w:cs="Segoe UI"/>
          <w:color w:val="1D2125"/>
          <w:lang w:eastAsia="en-GB"/>
        </w:rPr>
        <w:t>ending (reputedly)</w:t>
      </w:r>
      <w:r w:rsidR="003E5950">
        <w:rPr>
          <w:rFonts w:eastAsia="Times New Roman" w:cs="Segoe UI"/>
          <w:color w:val="1D2125"/>
          <w:lang w:eastAsia="en-GB"/>
        </w:rPr>
        <w:t xml:space="preserve"> in Ephesus in the 90s CE. By which time, any theological lessons learned ‘on the bosom of Jesus’ (for example during </w:t>
      </w:r>
      <w:r w:rsidR="002A79A8">
        <w:rPr>
          <w:rFonts w:eastAsia="Times New Roman" w:cs="Segoe UI"/>
          <w:color w:val="1D2125"/>
          <w:lang w:eastAsia="en-GB"/>
        </w:rPr>
        <w:t>h</w:t>
      </w:r>
      <w:r w:rsidR="003E5950">
        <w:rPr>
          <w:rFonts w:eastAsia="Times New Roman" w:cs="Segoe UI"/>
          <w:color w:val="1D2125"/>
          <w:lang w:eastAsia="en-GB"/>
        </w:rPr>
        <w:t>is three-year</w:t>
      </w:r>
      <w:r w:rsidR="00075A82">
        <w:rPr>
          <w:rFonts w:eastAsia="Times New Roman" w:cs="Segoe UI"/>
          <w:color w:val="1D2125"/>
          <w:lang w:eastAsia="en-GB"/>
        </w:rPr>
        <w:t xml:space="preserve"> </w:t>
      </w:r>
      <w:r w:rsidR="003E5950">
        <w:rPr>
          <w:rFonts w:eastAsia="Times New Roman" w:cs="Segoe UI"/>
          <w:color w:val="1D2125"/>
          <w:lang w:eastAsia="en-GB"/>
        </w:rPr>
        <w:t>ministry</w:t>
      </w:r>
      <w:r w:rsidR="00075A82" w:rsidRPr="00075A82">
        <w:rPr>
          <w:rFonts w:eastAsia="Times New Roman" w:cs="Segoe UI"/>
          <w:color w:val="1D2125"/>
          <w:vertAlign w:val="superscript"/>
          <w:lang w:eastAsia="en-GB"/>
        </w:rPr>
        <w:footnoteReference w:id="67"/>
      </w:r>
      <w:r w:rsidR="003E5950">
        <w:rPr>
          <w:rFonts w:eastAsia="Times New Roman" w:cs="Segoe UI"/>
          <w:color w:val="1D2125"/>
          <w:lang w:eastAsia="en-GB"/>
        </w:rPr>
        <w:t xml:space="preserve">) may have informed </w:t>
      </w:r>
      <w:r w:rsidR="002A79A8">
        <w:rPr>
          <w:rFonts w:eastAsia="Times New Roman" w:cs="Segoe UI"/>
          <w:color w:val="1D2125"/>
          <w:lang w:eastAsia="en-GB"/>
        </w:rPr>
        <w:t>the Beloved Disciple’s</w:t>
      </w:r>
      <w:r w:rsidR="003E5950">
        <w:rPr>
          <w:rFonts w:eastAsia="Times New Roman" w:cs="Segoe UI"/>
          <w:color w:val="1D2125"/>
          <w:lang w:eastAsia="en-GB"/>
        </w:rPr>
        <w:t xml:space="preserve"> own post-resurrection ministry, confirming </w:t>
      </w:r>
      <w:r w:rsidR="008558A8">
        <w:rPr>
          <w:rFonts w:eastAsia="Times New Roman" w:cs="Segoe UI"/>
          <w:color w:val="1D2125"/>
          <w:lang w:eastAsia="en-GB"/>
        </w:rPr>
        <w:t xml:space="preserve">and developing </w:t>
      </w:r>
      <w:r w:rsidR="003E5950">
        <w:rPr>
          <w:rFonts w:eastAsia="Times New Roman" w:cs="Segoe UI"/>
          <w:color w:val="1D2125"/>
          <w:lang w:eastAsia="en-GB"/>
        </w:rPr>
        <w:t>his Christological understanding</w:t>
      </w:r>
      <w:r w:rsidR="008558A8">
        <w:rPr>
          <w:rFonts w:eastAsia="Times New Roman" w:cs="Segoe UI"/>
          <w:color w:val="1D2125"/>
          <w:lang w:eastAsia="en-GB"/>
        </w:rPr>
        <w:t xml:space="preserve">: did the Christ, </w:t>
      </w:r>
      <w:r w:rsidR="007E0308">
        <w:rPr>
          <w:rFonts w:eastAsia="Times New Roman" w:cs="Segoe UI"/>
          <w:color w:val="1D2125"/>
          <w:lang w:eastAsia="en-GB"/>
        </w:rPr>
        <w:t xml:space="preserve">seemingly </w:t>
      </w:r>
      <w:r w:rsidR="008558A8">
        <w:rPr>
          <w:rFonts w:eastAsia="Times New Roman" w:cs="Segoe UI"/>
          <w:color w:val="1D2125"/>
          <w:lang w:eastAsia="en-GB"/>
        </w:rPr>
        <w:t xml:space="preserve">reluctant to acknowledge </w:t>
      </w:r>
      <w:r w:rsidR="007E0308">
        <w:rPr>
          <w:rFonts w:eastAsia="Times New Roman" w:cs="Segoe UI"/>
          <w:color w:val="1D2125"/>
          <w:lang w:eastAsia="en-GB"/>
        </w:rPr>
        <w:t xml:space="preserve">publicly </w:t>
      </w:r>
      <w:r w:rsidR="008558A8">
        <w:rPr>
          <w:rFonts w:eastAsia="Times New Roman" w:cs="Segoe UI"/>
          <w:color w:val="1D2125"/>
          <w:lang w:eastAsia="en-GB"/>
        </w:rPr>
        <w:t>his Messiahship</w:t>
      </w:r>
      <w:r w:rsidR="008558A8">
        <w:rPr>
          <w:rStyle w:val="FootnoteReference"/>
          <w:rFonts w:eastAsia="Times New Roman" w:cs="Segoe UI"/>
          <w:color w:val="1D2125"/>
          <w:lang w:eastAsia="en-GB"/>
        </w:rPr>
        <w:footnoteReference w:id="68"/>
      </w:r>
      <w:r w:rsidR="008558A8">
        <w:rPr>
          <w:rFonts w:eastAsia="Times New Roman" w:cs="Segoe UI"/>
          <w:color w:val="1D2125"/>
          <w:lang w:eastAsia="en-GB"/>
        </w:rPr>
        <w:t>, tutor the Beloved Disciple</w:t>
      </w:r>
      <w:r w:rsidR="00075A82">
        <w:rPr>
          <w:rFonts w:eastAsia="Times New Roman" w:cs="Segoe UI"/>
          <w:color w:val="1D2125"/>
          <w:lang w:eastAsia="en-GB"/>
        </w:rPr>
        <w:t xml:space="preserve"> (if not other disciples)</w:t>
      </w:r>
      <w:r w:rsidR="005908D1">
        <w:rPr>
          <w:rFonts w:eastAsia="Times New Roman" w:cs="Segoe UI"/>
          <w:color w:val="1D2125"/>
          <w:lang w:eastAsia="en-GB"/>
        </w:rPr>
        <w:t xml:space="preserve"> in what the latter was later </w:t>
      </w:r>
      <w:r w:rsidR="00BD6C6E">
        <w:rPr>
          <w:rFonts w:eastAsia="Times New Roman" w:cs="Segoe UI"/>
          <w:color w:val="1D2125"/>
          <w:lang w:eastAsia="en-GB"/>
        </w:rPr>
        <w:t xml:space="preserve">(or even contemporaneously) </w:t>
      </w:r>
      <w:r w:rsidR="005908D1">
        <w:rPr>
          <w:rFonts w:eastAsia="Times New Roman" w:cs="Segoe UI"/>
          <w:color w:val="1D2125"/>
          <w:lang w:eastAsia="en-GB"/>
        </w:rPr>
        <w:t>to record?</w:t>
      </w:r>
      <w:r w:rsidR="008558A8">
        <w:rPr>
          <w:rFonts w:eastAsia="Times New Roman" w:cs="Segoe UI"/>
          <w:color w:val="1D2125"/>
          <w:lang w:eastAsia="en-GB"/>
        </w:rPr>
        <w:t xml:space="preserve"> </w:t>
      </w:r>
      <w:r w:rsidR="002B5D03">
        <w:rPr>
          <w:rFonts w:eastAsia="Times New Roman" w:cs="Segoe UI"/>
          <w:color w:val="1D2125"/>
          <w:lang w:eastAsia="en-GB"/>
        </w:rPr>
        <w:t xml:space="preserve">Jesus did not need omniscience to understand something of </w:t>
      </w:r>
      <w:r w:rsidR="002A79A8">
        <w:rPr>
          <w:rFonts w:eastAsia="Times New Roman" w:cs="Segoe UI"/>
          <w:color w:val="1D2125"/>
          <w:lang w:eastAsia="en-GB"/>
        </w:rPr>
        <w:t xml:space="preserve">his </w:t>
      </w:r>
      <w:r w:rsidR="00075A82">
        <w:rPr>
          <w:rFonts w:eastAsia="Times New Roman" w:cs="Segoe UI"/>
          <w:color w:val="1D2125"/>
          <w:lang w:eastAsia="en-GB"/>
        </w:rPr>
        <w:t xml:space="preserve">putative </w:t>
      </w:r>
      <w:r w:rsidR="002A79A8">
        <w:rPr>
          <w:rFonts w:eastAsia="Times New Roman" w:cs="Segoe UI"/>
          <w:color w:val="1D2125"/>
          <w:lang w:eastAsia="en-GB"/>
        </w:rPr>
        <w:t>role as the Messiah</w:t>
      </w:r>
      <w:r w:rsidR="002B5D03">
        <w:rPr>
          <w:rFonts w:eastAsia="Times New Roman" w:cs="Segoe UI"/>
          <w:color w:val="1D2125"/>
          <w:lang w:eastAsia="en-GB"/>
        </w:rPr>
        <w:t>: he needed</w:t>
      </w:r>
      <w:r w:rsidR="002A79A8">
        <w:rPr>
          <w:rFonts w:eastAsia="Times New Roman" w:cs="Segoe UI"/>
          <w:color w:val="1D2125"/>
          <w:lang w:eastAsia="en-GB"/>
        </w:rPr>
        <w:t xml:space="preserve"> the level of</w:t>
      </w:r>
      <w:r w:rsidR="002B5D03">
        <w:rPr>
          <w:rFonts w:eastAsia="Times New Roman" w:cs="Segoe UI"/>
          <w:color w:val="1D2125"/>
          <w:lang w:eastAsia="en-GB"/>
        </w:rPr>
        <w:t xml:space="preserve"> faith that</w:t>
      </w:r>
      <w:r>
        <w:rPr>
          <w:rFonts w:eastAsia="Times New Roman" w:cs="Segoe UI"/>
          <w:color w:val="1D2125"/>
          <w:lang w:eastAsia="en-GB"/>
        </w:rPr>
        <w:t xml:space="preserve"> his followers had in him </w:t>
      </w:r>
      <w:r w:rsidR="002A79A8">
        <w:rPr>
          <w:rFonts w:eastAsia="Times New Roman" w:cs="Segoe UI"/>
          <w:color w:val="1D2125"/>
          <w:lang w:eastAsia="en-GB"/>
        </w:rPr>
        <w:t>(</w:t>
      </w:r>
      <w:r>
        <w:rPr>
          <w:rFonts w:eastAsia="Times New Roman" w:cs="Segoe UI"/>
          <w:color w:val="1D2125"/>
          <w:lang w:eastAsia="en-GB"/>
        </w:rPr>
        <w:t>both before and after the Easter event</w:t>
      </w:r>
      <w:r w:rsidR="002A79A8">
        <w:rPr>
          <w:rFonts w:eastAsia="Times New Roman" w:cs="Segoe UI"/>
          <w:color w:val="1D2125"/>
          <w:lang w:eastAsia="en-GB"/>
        </w:rPr>
        <w:t>)</w:t>
      </w:r>
      <w:r>
        <w:rPr>
          <w:rFonts w:eastAsia="Times New Roman" w:cs="Segoe UI"/>
          <w:color w:val="1D2125"/>
          <w:lang w:eastAsia="en-GB"/>
        </w:rPr>
        <w:t>.</w:t>
      </w:r>
      <w:r w:rsidR="002B5D03">
        <w:rPr>
          <w:rFonts w:eastAsia="Times New Roman" w:cs="Segoe UI"/>
          <w:color w:val="1D2125"/>
          <w:lang w:eastAsia="en-GB"/>
        </w:rPr>
        <w:t xml:space="preserve"> </w:t>
      </w:r>
      <w:r w:rsidR="00075A82">
        <w:rPr>
          <w:rFonts w:eastAsia="Times New Roman" w:cs="Segoe UI"/>
          <w:color w:val="1D2125"/>
          <w:lang w:eastAsia="en-GB"/>
        </w:rPr>
        <w:t>On s</w:t>
      </w:r>
      <w:r>
        <w:rPr>
          <w:rFonts w:eastAsia="Times New Roman" w:cs="Segoe UI"/>
          <w:color w:val="1D2125"/>
          <w:lang w:eastAsia="en-GB"/>
        </w:rPr>
        <w:t>uch a view</w:t>
      </w:r>
      <w:r w:rsidR="003E5950">
        <w:rPr>
          <w:rFonts w:eastAsia="Times New Roman" w:cs="Segoe UI"/>
          <w:color w:val="1D2125"/>
          <w:lang w:eastAsia="en-GB"/>
        </w:rPr>
        <w:t xml:space="preserve"> </w:t>
      </w:r>
      <w:r w:rsidR="002A79A8">
        <w:rPr>
          <w:rFonts w:eastAsia="Times New Roman" w:cs="Segoe UI"/>
          <w:color w:val="1D2125"/>
          <w:lang w:eastAsia="en-GB"/>
        </w:rPr>
        <w:t>of the Beloved Disciple</w:t>
      </w:r>
      <w:r w:rsidR="00075A82">
        <w:rPr>
          <w:rFonts w:eastAsia="Times New Roman" w:cs="Segoe UI"/>
          <w:color w:val="1D2125"/>
          <w:lang w:eastAsia="en-GB"/>
        </w:rPr>
        <w:t xml:space="preserve"> we</w:t>
      </w:r>
      <w:r w:rsidR="002A79A8">
        <w:rPr>
          <w:rFonts w:eastAsia="Times New Roman" w:cs="Segoe UI"/>
          <w:color w:val="1D2125"/>
          <w:lang w:eastAsia="en-GB"/>
        </w:rPr>
        <w:t xml:space="preserve"> </w:t>
      </w:r>
      <w:r w:rsidR="003E5950">
        <w:rPr>
          <w:rFonts w:eastAsia="Times New Roman" w:cs="Segoe UI"/>
          <w:color w:val="1D2125"/>
          <w:lang w:eastAsia="en-GB"/>
        </w:rPr>
        <w:t xml:space="preserve">could </w:t>
      </w:r>
      <w:r w:rsidR="00075A82">
        <w:rPr>
          <w:rFonts w:eastAsia="Times New Roman" w:cs="Segoe UI"/>
          <w:color w:val="1D2125"/>
          <w:lang w:eastAsia="en-GB"/>
        </w:rPr>
        <w:t xml:space="preserve">credibly </w:t>
      </w:r>
      <w:r w:rsidR="003E5950">
        <w:rPr>
          <w:rFonts w:eastAsia="Times New Roman" w:cs="Segoe UI"/>
          <w:color w:val="1D2125"/>
          <w:lang w:eastAsia="en-GB"/>
        </w:rPr>
        <w:t xml:space="preserve">reconcile the </w:t>
      </w:r>
      <w:r w:rsidR="00075A82">
        <w:rPr>
          <w:rFonts w:eastAsia="Times New Roman" w:cs="Segoe UI"/>
          <w:color w:val="1D2125"/>
          <w:lang w:eastAsia="en-GB"/>
        </w:rPr>
        <w:t>historian</w:t>
      </w:r>
      <w:r w:rsidR="002170F1">
        <w:rPr>
          <w:rFonts w:eastAsia="Times New Roman" w:cs="Segoe UI"/>
          <w:color w:val="1D2125"/>
          <w:lang w:eastAsia="en-GB"/>
        </w:rPr>
        <w:t xml:space="preserve"> </w:t>
      </w:r>
      <w:r w:rsidR="00075A82">
        <w:rPr>
          <w:rFonts w:eastAsia="Times New Roman" w:cs="Segoe UI"/>
          <w:color w:val="1D2125"/>
          <w:lang w:eastAsia="en-GB"/>
        </w:rPr>
        <w:t>with the theologian in John</w:t>
      </w:r>
      <w:r w:rsidR="00637E8E">
        <w:rPr>
          <w:rFonts w:eastAsia="Times New Roman" w:cs="Segoe UI"/>
          <w:color w:val="1D2125"/>
          <w:lang w:eastAsia="en-GB"/>
        </w:rPr>
        <w:t>; and in the process</w:t>
      </w:r>
      <w:r w:rsidR="005908D1">
        <w:rPr>
          <w:rFonts w:eastAsia="Times New Roman" w:cs="Segoe UI"/>
          <w:color w:val="1D2125"/>
          <w:lang w:eastAsia="en-GB"/>
        </w:rPr>
        <w:t xml:space="preserve"> </w:t>
      </w:r>
      <w:r w:rsidR="00075A82">
        <w:rPr>
          <w:rFonts w:eastAsia="Times New Roman" w:cs="Segoe UI"/>
          <w:color w:val="1D2125"/>
          <w:lang w:eastAsia="en-GB"/>
        </w:rPr>
        <w:t>find</w:t>
      </w:r>
      <w:r w:rsidR="002170F1">
        <w:rPr>
          <w:rFonts w:eastAsia="Times New Roman" w:cs="Segoe UI"/>
          <w:color w:val="1D2125"/>
          <w:lang w:eastAsia="en-GB"/>
        </w:rPr>
        <w:t xml:space="preserve"> </w:t>
      </w:r>
      <w:r w:rsidR="00075A82">
        <w:rPr>
          <w:rFonts w:eastAsia="Times New Roman" w:cs="Segoe UI"/>
          <w:color w:val="1D2125"/>
          <w:lang w:eastAsia="en-GB"/>
        </w:rPr>
        <w:t>welcome</w:t>
      </w:r>
      <w:r w:rsidR="002170F1">
        <w:rPr>
          <w:rFonts w:eastAsia="Times New Roman" w:cs="Segoe UI"/>
          <w:color w:val="1D2125"/>
          <w:lang w:eastAsia="en-GB"/>
        </w:rPr>
        <w:t xml:space="preserve"> respite from the prevailing dogma of doubt</w:t>
      </w:r>
      <w:r w:rsidR="00E7270E">
        <w:rPr>
          <w:rFonts w:eastAsia="Times New Roman" w:cs="Segoe UI"/>
          <w:color w:val="1D2125"/>
          <w:lang w:eastAsia="en-GB"/>
        </w:rPr>
        <w:t xml:space="preserve"> and denial</w:t>
      </w:r>
      <w:r w:rsidR="00A264DE">
        <w:rPr>
          <w:rFonts w:eastAsia="Times New Roman" w:cs="Segoe UI"/>
          <w:color w:val="1D2125"/>
          <w:lang w:eastAsia="en-GB"/>
        </w:rPr>
        <w:t xml:space="preserve">. </w:t>
      </w:r>
    </w:p>
    <w:p w14:paraId="56C1FA08" w14:textId="1640CCDF" w:rsidR="00A24E15" w:rsidRPr="00A24E15" w:rsidRDefault="00A24E15" w:rsidP="00821506">
      <w:pPr>
        <w:shd w:val="clear" w:color="auto" w:fill="FFFFFF"/>
        <w:rPr>
          <w:rFonts w:eastAsia="Times New Roman" w:cs="Segoe UI"/>
          <w:b/>
          <w:bCs/>
          <w:color w:val="1D2125"/>
          <w:lang w:eastAsia="en-GB"/>
        </w:rPr>
      </w:pPr>
      <w:r w:rsidRPr="00A24E15">
        <w:rPr>
          <w:rFonts w:eastAsia="Times New Roman" w:cs="Segoe UI"/>
          <w:b/>
          <w:bCs/>
          <w:color w:val="1D2125"/>
          <w:lang w:eastAsia="en-GB"/>
        </w:rPr>
        <w:lastRenderedPageBreak/>
        <w:t>Bibliography</w:t>
      </w:r>
    </w:p>
    <w:p w14:paraId="58630CFA" w14:textId="285CF6FE" w:rsidR="00A24E15" w:rsidRDefault="00A24E15" w:rsidP="00821506">
      <w:pPr>
        <w:shd w:val="clear" w:color="auto" w:fill="FFFFFF"/>
        <w:rPr>
          <w:rFonts w:eastAsia="Times New Roman" w:cs="Segoe UI"/>
          <w:color w:val="1D2125"/>
          <w:lang w:eastAsia="en-GB"/>
        </w:rPr>
      </w:pPr>
    </w:p>
    <w:p w14:paraId="5A02EAC7" w14:textId="660EC0DC" w:rsidR="00524AAC" w:rsidRPr="00524AAC" w:rsidRDefault="00524AAC" w:rsidP="00524AAC">
      <w:pPr>
        <w:pStyle w:val="NormalWeb"/>
        <w:rPr>
          <w:rFonts w:asciiTheme="minorHAnsi" w:eastAsia="Times New Roman" w:hAnsiTheme="minorHAnsi"/>
          <w:lang w:eastAsia="en-GB"/>
        </w:rPr>
      </w:pPr>
      <w:r w:rsidRPr="00524AAC">
        <w:rPr>
          <w:rFonts w:asciiTheme="minorHAnsi" w:eastAsia="Times New Roman" w:hAnsiTheme="minorHAnsi" w:cs="Segoe UI"/>
          <w:color w:val="1D2125"/>
          <w:lang w:eastAsia="en-GB"/>
        </w:rPr>
        <w:t>Bammel, E., ‘</w:t>
      </w:r>
      <w:r w:rsidRPr="00524AAC">
        <w:rPr>
          <w:rFonts w:asciiTheme="minorHAnsi" w:eastAsia="Times New Roman" w:hAnsiTheme="minorHAnsi"/>
          <w:lang w:eastAsia="en-GB"/>
        </w:rPr>
        <w:t>The Priority of John by John A. T. Robinson</w:t>
      </w:r>
      <w:r>
        <w:rPr>
          <w:rFonts w:asciiTheme="minorHAnsi" w:eastAsia="Times New Roman" w:hAnsiTheme="minorHAnsi"/>
          <w:lang w:eastAsia="en-GB"/>
        </w:rPr>
        <w:t xml:space="preserve"> – Review’, </w:t>
      </w:r>
      <w:r w:rsidRPr="00524AAC">
        <w:rPr>
          <w:rFonts w:asciiTheme="minorHAnsi" w:eastAsia="Times New Roman" w:hAnsiTheme="minorHAnsi"/>
          <w:i/>
          <w:iCs/>
          <w:lang w:eastAsia="en-GB"/>
        </w:rPr>
        <w:t>The Journal of Theological Studies</w:t>
      </w:r>
      <w:r w:rsidRPr="00524AAC">
        <w:rPr>
          <w:rFonts w:asciiTheme="minorHAnsi" w:eastAsia="Times New Roman" w:hAnsiTheme="minorHAnsi"/>
          <w:lang w:eastAsia="en-GB"/>
        </w:rPr>
        <w:t>, Vol. 39</w:t>
      </w:r>
      <w:r>
        <w:rPr>
          <w:rFonts w:asciiTheme="minorHAnsi" w:eastAsia="Times New Roman" w:hAnsiTheme="minorHAnsi"/>
          <w:lang w:eastAsia="en-GB"/>
        </w:rPr>
        <w:t xml:space="preserve"> (</w:t>
      </w:r>
      <w:r w:rsidRPr="00524AAC">
        <w:rPr>
          <w:rFonts w:asciiTheme="minorHAnsi" w:eastAsia="Times New Roman" w:hAnsiTheme="minorHAnsi"/>
          <w:lang w:eastAsia="en-GB"/>
        </w:rPr>
        <w:t>1</w:t>
      </w:r>
      <w:r>
        <w:rPr>
          <w:rFonts w:asciiTheme="minorHAnsi" w:eastAsia="Times New Roman" w:hAnsiTheme="minorHAnsi"/>
          <w:lang w:eastAsia="en-GB"/>
        </w:rPr>
        <w:t xml:space="preserve">) </w:t>
      </w:r>
      <w:r w:rsidRPr="00524AAC">
        <w:rPr>
          <w:rFonts w:asciiTheme="minorHAnsi" w:eastAsia="Times New Roman" w:hAnsiTheme="minorHAnsi"/>
          <w:lang w:eastAsia="en-GB"/>
        </w:rPr>
        <w:t>(1988), 200-204</w:t>
      </w:r>
    </w:p>
    <w:p w14:paraId="69F5301C" w14:textId="0A0D4067" w:rsidR="00A24E15" w:rsidRDefault="00A24E15" w:rsidP="00821506">
      <w:pPr>
        <w:shd w:val="clear" w:color="auto" w:fill="FFFFFF"/>
        <w:rPr>
          <w:rFonts w:eastAsia="Times New Roman" w:cs="Segoe UI"/>
          <w:color w:val="1D2125"/>
          <w:lang w:eastAsia="en-GB"/>
        </w:rPr>
      </w:pPr>
    </w:p>
    <w:p w14:paraId="6E93BEDD" w14:textId="0AE00EFA" w:rsid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Bauckham</w:t>
      </w:r>
      <w:r>
        <w:rPr>
          <w:rFonts w:eastAsia="Times New Roman" w:cs="Segoe UI"/>
          <w:color w:val="1D2125"/>
          <w:lang w:eastAsia="en-GB"/>
        </w:rPr>
        <w:t xml:space="preserve">, R., </w:t>
      </w:r>
      <w:r w:rsidR="00524AAC">
        <w:rPr>
          <w:rFonts w:eastAsia="Times New Roman" w:cs="Segoe UI"/>
          <w:color w:val="1D2125"/>
          <w:lang w:eastAsia="en-GB"/>
        </w:rPr>
        <w:t>‘</w:t>
      </w:r>
      <w:r w:rsidRPr="00A24E15">
        <w:rPr>
          <w:rFonts w:eastAsia="Times New Roman" w:cs="Segoe UI"/>
          <w:color w:val="1D2125"/>
          <w:lang w:eastAsia="en-GB"/>
        </w:rPr>
        <w:t>Eyewitnesses and Critical History:</w:t>
      </w:r>
      <w:r>
        <w:rPr>
          <w:rFonts w:eastAsia="Times New Roman" w:cs="Segoe UI"/>
          <w:color w:val="1D2125"/>
          <w:lang w:eastAsia="en-GB"/>
        </w:rPr>
        <w:t xml:space="preserve"> </w:t>
      </w:r>
      <w:r w:rsidRPr="00A24E15">
        <w:rPr>
          <w:rFonts w:eastAsia="Times New Roman" w:cs="Segoe UI"/>
          <w:color w:val="1D2125"/>
          <w:lang w:eastAsia="en-GB"/>
        </w:rPr>
        <w:t xml:space="preserve">A Response to Jens </w:t>
      </w:r>
      <w:proofErr w:type="spellStart"/>
      <w:r w:rsidRPr="00A24E15">
        <w:rPr>
          <w:rFonts w:eastAsia="Times New Roman" w:cs="Segoe UI"/>
          <w:color w:val="1D2125"/>
          <w:lang w:eastAsia="en-GB"/>
        </w:rPr>
        <w:t>Schröter</w:t>
      </w:r>
      <w:proofErr w:type="spellEnd"/>
      <w:r w:rsidRPr="00A24E15">
        <w:rPr>
          <w:rFonts w:eastAsia="Times New Roman" w:cs="Segoe UI"/>
          <w:color w:val="1D2125"/>
          <w:lang w:eastAsia="en-GB"/>
        </w:rPr>
        <w:t xml:space="preserve"> and Craig Evans</w:t>
      </w:r>
      <w:r w:rsidR="00524AAC">
        <w:rPr>
          <w:rFonts w:eastAsia="Times New Roman" w:cs="Segoe UI"/>
          <w:color w:val="1D2125"/>
          <w:lang w:eastAsia="en-GB"/>
        </w:rPr>
        <w:t>’</w:t>
      </w:r>
      <w:r>
        <w:rPr>
          <w:rFonts w:eastAsia="Times New Roman" w:cs="Segoe UI"/>
          <w:b/>
          <w:bCs/>
          <w:color w:val="1D2125"/>
          <w:lang w:eastAsia="en-GB"/>
        </w:rPr>
        <w:t xml:space="preserve">, </w:t>
      </w:r>
      <w:r w:rsidRPr="00A24E15">
        <w:rPr>
          <w:rFonts w:eastAsia="Times New Roman" w:cs="Segoe UI"/>
          <w:i/>
          <w:iCs/>
          <w:color w:val="1D2125"/>
          <w:lang w:eastAsia="en-GB"/>
        </w:rPr>
        <w:t>J</w:t>
      </w:r>
      <w:r>
        <w:rPr>
          <w:rFonts w:eastAsia="Times New Roman" w:cs="Segoe UI"/>
          <w:i/>
          <w:iCs/>
          <w:color w:val="1D2125"/>
          <w:lang w:eastAsia="en-GB"/>
        </w:rPr>
        <w:t xml:space="preserve">ournal for the </w:t>
      </w:r>
      <w:r w:rsidRPr="00A24E15">
        <w:rPr>
          <w:rFonts w:eastAsia="Times New Roman" w:cs="Segoe UI"/>
          <w:i/>
          <w:iCs/>
          <w:color w:val="1D2125"/>
          <w:lang w:eastAsia="en-GB"/>
        </w:rPr>
        <w:t>S</w:t>
      </w:r>
      <w:r>
        <w:rPr>
          <w:rFonts w:eastAsia="Times New Roman" w:cs="Segoe UI"/>
          <w:i/>
          <w:iCs/>
          <w:color w:val="1D2125"/>
          <w:lang w:eastAsia="en-GB"/>
        </w:rPr>
        <w:t xml:space="preserve">tudy of the </w:t>
      </w:r>
      <w:r w:rsidRPr="00A24E15">
        <w:rPr>
          <w:rFonts w:eastAsia="Times New Roman" w:cs="Segoe UI"/>
          <w:i/>
          <w:iCs/>
          <w:color w:val="1D2125"/>
          <w:lang w:eastAsia="en-GB"/>
        </w:rPr>
        <w:t>N</w:t>
      </w:r>
      <w:r>
        <w:rPr>
          <w:rFonts w:eastAsia="Times New Roman" w:cs="Segoe UI"/>
          <w:i/>
          <w:iCs/>
          <w:color w:val="1D2125"/>
          <w:lang w:eastAsia="en-GB"/>
        </w:rPr>
        <w:t xml:space="preserve">ew </w:t>
      </w:r>
      <w:r w:rsidRPr="00A24E15">
        <w:rPr>
          <w:rFonts w:eastAsia="Times New Roman" w:cs="Segoe UI"/>
          <w:i/>
          <w:iCs/>
          <w:color w:val="1D2125"/>
          <w:lang w:eastAsia="en-GB"/>
        </w:rPr>
        <w:t>T</w:t>
      </w:r>
      <w:r>
        <w:rPr>
          <w:rFonts w:eastAsia="Times New Roman" w:cs="Segoe UI"/>
          <w:i/>
          <w:iCs/>
          <w:color w:val="1D2125"/>
          <w:lang w:eastAsia="en-GB"/>
        </w:rPr>
        <w:t xml:space="preserve">estament </w:t>
      </w:r>
      <w:r w:rsidRPr="00A24E15">
        <w:rPr>
          <w:rFonts w:eastAsia="Times New Roman" w:cs="Segoe UI"/>
          <w:i/>
          <w:iCs/>
          <w:color w:val="1D2125"/>
          <w:lang w:eastAsia="en-GB"/>
        </w:rPr>
        <w:t>3</w:t>
      </w:r>
      <w:r>
        <w:rPr>
          <w:rFonts w:eastAsia="Times New Roman" w:cs="Segoe UI"/>
          <w:i/>
          <w:iCs/>
          <w:color w:val="1D2125"/>
          <w:lang w:eastAsia="en-GB"/>
        </w:rPr>
        <w:t>1(</w:t>
      </w:r>
      <w:r w:rsidRPr="00A24E15">
        <w:rPr>
          <w:rFonts w:eastAsia="Times New Roman" w:cs="Segoe UI"/>
          <w:i/>
          <w:iCs/>
          <w:color w:val="1D2125"/>
          <w:lang w:eastAsia="en-GB"/>
        </w:rPr>
        <w:t>2</w:t>
      </w:r>
      <w:r>
        <w:rPr>
          <w:rFonts w:eastAsia="Times New Roman" w:cs="Segoe UI"/>
          <w:i/>
          <w:iCs/>
          <w:color w:val="1D2125"/>
          <w:lang w:eastAsia="en-GB"/>
        </w:rPr>
        <w:t>)</w:t>
      </w:r>
      <w:r w:rsidRPr="00A24E15">
        <w:rPr>
          <w:rFonts w:eastAsia="Times New Roman" w:cs="Segoe UI"/>
          <w:i/>
          <w:iCs/>
          <w:color w:val="1D2125"/>
          <w:lang w:eastAsia="en-GB"/>
        </w:rPr>
        <w:t xml:space="preserve"> </w:t>
      </w:r>
      <w:r w:rsidRPr="00A24E15">
        <w:rPr>
          <w:rFonts w:eastAsia="Times New Roman" w:cs="Segoe UI"/>
          <w:color w:val="1D2125"/>
          <w:lang w:eastAsia="en-GB"/>
        </w:rPr>
        <w:t>(2008)</w:t>
      </w:r>
      <w:r>
        <w:rPr>
          <w:rFonts w:eastAsia="Times New Roman" w:cs="Segoe UI"/>
          <w:color w:val="1D2125"/>
          <w:lang w:eastAsia="en-GB"/>
        </w:rPr>
        <w:t>, 221-235</w:t>
      </w:r>
    </w:p>
    <w:p w14:paraId="37D32283" w14:textId="77777777" w:rsidR="00597E9B" w:rsidRDefault="00597E9B" w:rsidP="00A24E15">
      <w:pPr>
        <w:shd w:val="clear" w:color="auto" w:fill="FFFFFF"/>
        <w:rPr>
          <w:rFonts w:eastAsia="Times New Roman" w:cs="Segoe UI"/>
          <w:color w:val="1D2125"/>
          <w:lang w:eastAsia="en-GB"/>
        </w:rPr>
      </w:pPr>
    </w:p>
    <w:p w14:paraId="58768C60" w14:textId="2D54DDDB" w:rsidR="00597E9B" w:rsidRPr="00A24E15" w:rsidRDefault="00597E9B" w:rsidP="00A24E15">
      <w:pPr>
        <w:shd w:val="clear" w:color="auto" w:fill="FFFFFF"/>
        <w:rPr>
          <w:rFonts w:eastAsia="Times New Roman" w:cs="Segoe UI"/>
          <w:color w:val="1D2125"/>
          <w:lang w:eastAsia="en-GB"/>
        </w:rPr>
      </w:pPr>
      <w:r>
        <w:rPr>
          <w:rFonts w:eastAsia="Times New Roman" w:cs="Segoe UI"/>
          <w:color w:val="1D2125"/>
          <w:lang w:eastAsia="en-GB"/>
        </w:rPr>
        <w:t>Bible: NRSV</w:t>
      </w:r>
    </w:p>
    <w:p w14:paraId="1CAEF710" w14:textId="4D9C45A8" w:rsidR="00A24E15" w:rsidRDefault="00A24E15" w:rsidP="00821506">
      <w:pPr>
        <w:shd w:val="clear" w:color="auto" w:fill="FFFFFF"/>
        <w:rPr>
          <w:rFonts w:eastAsia="Times New Roman" w:cs="Segoe UI"/>
          <w:color w:val="1D2125"/>
          <w:lang w:eastAsia="en-GB"/>
        </w:rPr>
      </w:pPr>
      <w:r w:rsidRPr="00A24E15">
        <w:rPr>
          <w:rFonts w:eastAsia="Times New Roman" w:cs="Segoe UI"/>
          <w:color w:val="1D2125"/>
          <w:lang w:eastAsia="en-GB"/>
        </w:rPr>
        <w:t xml:space="preserve"> </w:t>
      </w:r>
    </w:p>
    <w:p w14:paraId="493D828B" w14:textId="77777777" w:rsidR="00A24E15" w:rsidRP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 xml:space="preserve">Blomberg, C.L., ‘The Historical Reliability of John: Rushing in Where Angels Fear to Tread?’, </w:t>
      </w:r>
      <w:r w:rsidRPr="00A24E15">
        <w:rPr>
          <w:rFonts w:eastAsia="Times New Roman" w:cs="Segoe UI"/>
          <w:i/>
          <w:iCs/>
          <w:color w:val="1D2125"/>
          <w:lang w:eastAsia="en-GB"/>
        </w:rPr>
        <w:t xml:space="preserve">Jesus in Johannine Tradition, </w:t>
      </w:r>
      <w:r w:rsidRPr="00A24E15">
        <w:rPr>
          <w:rFonts w:eastAsia="Times New Roman" w:cs="Segoe UI"/>
          <w:color w:val="1D2125"/>
          <w:lang w:eastAsia="en-GB"/>
        </w:rPr>
        <w:t xml:space="preserve">eds. R.T. Fortna and T. Thatcher (Louisville: Westminster John Knox Press, 2001), 71-82. </w:t>
      </w:r>
    </w:p>
    <w:p w14:paraId="6360E653" w14:textId="77777777" w:rsidR="00A24E15" w:rsidRDefault="00A24E15" w:rsidP="00821506">
      <w:pPr>
        <w:shd w:val="clear" w:color="auto" w:fill="FFFFFF"/>
        <w:rPr>
          <w:rFonts w:eastAsia="Times New Roman" w:cs="Segoe UI"/>
          <w:color w:val="1D2125"/>
          <w:lang w:eastAsia="en-GB"/>
        </w:rPr>
      </w:pPr>
    </w:p>
    <w:p w14:paraId="41074BB7" w14:textId="77777777" w:rsidR="00A24E15" w:rsidRP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 xml:space="preserve">Charlesworth, J.H., ‘The Historical Jesus in the Fourth Gospel: A Paradigm Shift?’, </w:t>
      </w:r>
      <w:r w:rsidRPr="00A24E15">
        <w:rPr>
          <w:rFonts w:eastAsia="Times New Roman" w:cs="Segoe UI"/>
          <w:i/>
          <w:iCs/>
          <w:color w:val="1D2125"/>
          <w:lang w:eastAsia="en-GB"/>
        </w:rPr>
        <w:t xml:space="preserve">Journal for the Study of the Historical Jesus </w:t>
      </w:r>
      <w:r w:rsidRPr="00A24E15">
        <w:rPr>
          <w:rFonts w:eastAsia="Times New Roman" w:cs="Segoe UI"/>
          <w:color w:val="1D2125"/>
          <w:lang w:eastAsia="en-GB"/>
        </w:rPr>
        <w:t xml:space="preserve">8 (2010), 3-46. </w:t>
      </w:r>
    </w:p>
    <w:p w14:paraId="621557A6" w14:textId="77777777" w:rsidR="00A24E15" w:rsidRDefault="00A24E15" w:rsidP="00821506">
      <w:pPr>
        <w:shd w:val="clear" w:color="auto" w:fill="FFFFFF"/>
        <w:rPr>
          <w:rFonts w:eastAsia="Times New Roman" w:cs="Segoe UI"/>
          <w:color w:val="1D2125"/>
          <w:lang w:eastAsia="en-GB"/>
        </w:rPr>
      </w:pPr>
    </w:p>
    <w:p w14:paraId="2B3097D5" w14:textId="5AAE1782" w:rsidR="00A362D9" w:rsidRDefault="00A362D9" w:rsidP="00821506">
      <w:pPr>
        <w:shd w:val="clear" w:color="auto" w:fill="FFFFFF"/>
        <w:rPr>
          <w:rFonts w:eastAsia="Times New Roman" w:cs="Segoe UI"/>
          <w:color w:val="1D2125"/>
          <w:lang w:eastAsia="en-GB"/>
        </w:rPr>
      </w:pPr>
      <w:r w:rsidRPr="00A362D9">
        <w:rPr>
          <w:rFonts w:eastAsia="Times New Roman" w:cs="Segoe UI"/>
          <w:color w:val="1D2125"/>
          <w:lang w:eastAsia="en-GB"/>
        </w:rPr>
        <w:t>de Boer, Martinus C., 'The Story of the Johannine Community and its Literature', in Judith M. Lieu, and Martinus C. de Boer (eds), </w:t>
      </w:r>
      <w:r w:rsidRPr="00A362D9">
        <w:rPr>
          <w:rFonts w:eastAsia="Times New Roman" w:cs="Segoe UI"/>
          <w:i/>
          <w:iCs/>
          <w:color w:val="1D2125"/>
          <w:lang w:eastAsia="en-GB"/>
        </w:rPr>
        <w:t>The Oxford Handbook of Johannine Studies</w:t>
      </w:r>
      <w:r w:rsidRPr="00A362D9">
        <w:rPr>
          <w:rFonts w:eastAsia="Times New Roman" w:cs="Segoe UI"/>
          <w:color w:val="1D2125"/>
          <w:lang w:eastAsia="en-GB"/>
        </w:rPr>
        <w:t>, Oxford Handbooks (</w:t>
      </w:r>
      <w:r w:rsidR="001B5D14">
        <w:rPr>
          <w:rFonts w:eastAsia="Times New Roman" w:cs="Segoe UI"/>
          <w:color w:val="1D2125"/>
          <w:lang w:eastAsia="en-GB"/>
        </w:rPr>
        <w:t>Oxford:</w:t>
      </w:r>
      <w:r w:rsidRPr="00A362D9">
        <w:rPr>
          <w:rFonts w:eastAsia="Times New Roman" w:cs="Segoe UI"/>
          <w:color w:val="1D2125"/>
          <w:lang w:eastAsia="en-GB"/>
        </w:rPr>
        <w:t> Oxford Academic, 2018)</w:t>
      </w:r>
    </w:p>
    <w:p w14:paraId="012A480F" w14:textId="77777777" w:rsidR="003C19B7" w:rsidRDefault="003C19B7" w:rsidP="00821506">
      <w:pPr>
        <w:shd w:val="clear" w:color="auto" w:fill="FFFFFF"/>
        <w:rPr>
          <w:rFonts w:eastAsia="Times New Roman" w:cs="Segoe UI"/>
          <w:color w:val="1D2125"/>
          <w:lang w:eastAsia="en-GB"/>
        </w:rPr>
      </w:pPr>
    </w:p>
    <w:p w14:paraId="000A519B" w14:textId="04A4BC55" w:rsidR="003C19B7" w:rsidRDefault="003C19B7" w:rsidP="00821506">
      <w:pPr>
        <w:shd w:val="clear" w:color="auto" w:fill="FFFFFF"/>
        <w:rPr>
          <w:rFonts w:eastAsia="Times New Roman" w:cs="Segoe UI"/>
          <w:color w:val="1D2125"/>
          <w:lang w:eastAsia="en-GB"/>
        </w:rPr>
      </w:pPr>
      <w:r>
        <w:rPr>
          <w:rFonts w:eastAsia="Times New Roman" w:cs="Segoe UI"/>
          <w:color w:val="1D2125"/>
          <w:lang w:eastAsia="en-GB"/>
        </w:rPr>
        <w:t xml:space="preserve">Dewey, A.J., ‘The Eyewitness of History’, </w:t>
      </w:r>
      <w:r w:rsidRPr="00A24E15">
        <w:rPr>
          <w:rFonts w:eastAsia="Times New Roman" w:cs="Segoe UI"/>
          <w:i/>
          <w:iCs/>
          <w:color w:val="1D2125"/>
          <w:lang w:eastAsia="en-GB"/>
        </w:rPr>
        <w:t xml:space="preserve">Jesus in Johannine Tradition, </w:t>
      </w:r>
      <w:r w:rsidRPr="00A24E15">
        <w:rPr>
          <w:rFonts w:eastAsia="Times New Roman" w:cs="Segoe UI"/>
          <w:color w:val="1D2125"/>
          <w:lang w:eastAsia="en-GB"/>
        </w:rPr>
        <w:t>eds. R.T. Fortna and T. Thatcher (Louisville: Westminster John Knox Press, 2001),</w:t>
      </w:r>
      <w:r>
        <w:rPr>
          <w:rFonts w:eastAsia="Times New Roman" w:cs="Segoe UI"/>
          <w:color w:val="1D2125"/>
          <w:lang w:eastAsia="en-GB"/>
        </w:rPr>
        <w:t xml:space="preserve"> 59-70</w:t>
      </w:r>
    </w:p>
    <w:p w14:paraId="6BE3A1A6" w14:textId="77777777" w:rsidR="00A362D9" w:rsidRDefault="00A362D9" w:rsidP="00821506">
      <w:pPr>
        <w:shd w:val="clear" w:color="auto" w:fill="FFFFFF"/>
        <w:rPr>
          <w:rFonts w:eastAsia="Times New Roman" w:cs="Segoe UI"/>
          <w:color w:val="1D2125"/>
          <w:lang w:eastAsia="en-GB"/>
        </w:rPr>
      </w:pPr>
    </w:p>
    <w:p w14:paraId="28E7AF3F" w14:textId="0FD05BC7" w:rsidR="004B5A61" w:rsidRDefault="004538BB" w:rsidP="004B5A61">
      <w:pPr>
        <w:shd w:val="clear" w:color="auto" w:fill="FFFFFF"/>
        <w:rPr>
          <w:rFonts w:eastAsia="Times New Roman" w:cs="Segoe UI"/>
          <w:color w:val="1D2125"/>
          <w:lang w:eastAsia="en-GB"/>
        </w:rPr>
      </w:pPr>
      <w:r>
        <w:rPr>
          <w:rFonts w:eastAsia="Times New Roman" w:cs="Segoe UI"/>
          <w:color w:val="1D2125"/>
          <w:lang w:eastAsia="en-GB"/>
        </w:rPr>
        <w:t>Dunn, J.D.G.</w:t>
      </w:r>
      <w:r w:rsidR="004B5A61">
        <w:rPr>
          <w:rFonts w:eastAsia="Times New Roman" w:cs="Segoe UI"/>
          <w:color w:val="1D2125"/>
          <w:lang w:eastAsia="en-GB"/>
        </w:rPr>
        <w:t xml:space="preserve">, ‘John and the Synoptics as a Theological Question’, </w:t>
      </w:r>
      <w:r w:rsidR="004B5A61" w:rsidRPr="00A24E15">
        <w:rPr>
          <w:rFonts w:eastAsia="Times New Roman" w:cs="Segoe UI"/>
          <w:i/>
          <w:iCs/>
          <w:color w:val="1D2125"/>
          <w:lang w:eastAsia="en-GB"/>
        </w:rPr>
        <w:t xml:space="preserve">Exploring the Gospel of John, </w:t>
      </w:r>
      <w:r w:rsidR="004B5A61" w:rsidRPr="00A24E15">
        <w:rPr>
          <w:rFonts w:eastAsia="Times New Roman" w:cs="Segoe UI"/>
          <w:color w:val="1D2125"/>
          <w:lang w:eastAsia="en-GB"/>
        </w:rPr>
        <w:t xml:space="preserve">eds. R.A. Culpepper and C.C. Black (Louisville: Westminster John Knox Press, 1992), </w:t>
      </w:r>
      <w:r w:rsidR="004B5A61">
        <w:rPr>
          <w:rFonts w:eastAsia="Times New Roman" w:cs="Segoe UI"/>
          <w:color w:val="1D2125"/>
          <w:lang w:eastAsia="en-GB"/>
        </w:rPr>
        <w:t>310-313</w:t>
      </w:r>
      <w:r w:rsidR="004B5A61" w:rsidRPr="00A24E15">
        <w:rPr>
          <w:rFonts w:eastAsia="Times New Roman" w:cs="Segoe UI"/>
          <w:color w:val="1D2125"/>
          <w:lang w:eastAsia="en-GB"/>
        </w:rPr>
        <w:t xml:space="preserve">. </w:t>
      </w:r>
    </w:p>
    <w:p w14:paraId="7EA6D5BE" w14:textId="5B3AD8EE" w:rsidR="004538BB" w:rsidRDefault="004538BB" w:rsidP="00821506">
      <w:pPr>
        <w:shd w:val="clear" w:color="auto" w:fill="FFFFFF"/>
        <w:rPr>
          <w:rFonts w:eastAsia="Times New Roman" w:cs="Segoe UI"/>
          <w:color w:val="1D2125"/>
          <w:lang w:eastAsia="en-GB"/>
        </w:rPr>
      </w:pPr>
    </w:p>
    <w:p w14:paraId="6BD3C8F6" w14:textId="77777777" w:rsid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 xml:space="preserve">Edwards, R. &amp; Franklin, E., ‘Two Contrasting Approaches to John’s Gospel’, </w:t>
      </w:r>
      <w:r w:rsidRPr="00A24E15">
        <w:rPr>
          <w:rFonts w:eastAsia="Times New Roman" w:cs="Segoe UI"/>
          <w:i/>
          <w:iCs/>
          <w:color w:val="1D2125"/>
          <w:lang w:eastAsia="en-GB"/>
        </w:rPr>
        <w:t xml:space="preserve">Expository Times </w:t>
      </w:r>
      <w:r w:rsidRPr="00A24E15">
        <w:rPr>
          <w:rFonts w:eastAsia="Times New Roman" w:cs="Segoe UI"/>
          <w:color w:val="1D2125"/>
          <w:lang w:eastAsia="en-GB"/>
        </w:rPr>
        <w:t xml:space="preserve">109 (1998), 242-44. </w:t>
      </w:r>
    </w:p>
    <w:p w14:paraId="2903FEB8" w14:textId="77777777" w:rsidR="00AE6BF3" w:rsidRDefault="00AE6BF3" w:rsidP="00A24E15">
      <w:pPr>
        <w:shd w:val="clear" w:color="auto" w:fill="FFFFFF"/>
        <w:rPr>
          <w:rFonts w:eastAsia="Times New Roman" w:cs="Segoe UI"/>
          <w:color w:val="1D2125"/>
          <w:lang w:eastAsia="en-GB"/>
        </w:rPr>
      </w:pPr>
    </w:p>
    <w:p w14:paraId="1CF7A9C1" w14:textId="1B46714A" w:rsidR="00AE6BF3" w:rsidRPr="00A24E15" w:rsidRDefault="00AE6BF3" w:rsidP="00A24E15">
      <w:pPr>
        <w:shd w:val="clear" w:color="auto" w:fill="FFFFFF"/>
        <w:rPr>
          <w:rFonts w:eastAsia="Times New Roman" w:cs="Segoe UI"/>
          <w:color w:val="1D2125"/>
          <w:lang w:eastAsia="en-GB"/>
        </w:rPr>
      </w:pPr>
      <w:r>
        <w:rPr>
          <w:rFonts w:eastAsia="Times New Roman" w:cs="Segoe UI"/>
          <w:color w:val="1D2125"/>
          <w:lang w:eastAsia="en-GB"/>
        </w:rPr>
        <w:t xml:space="preserve">Frederiksen, P., ‘The Historical Jesus, the Scene in the Temple, and the Gospel of John’, </w:t>
      </w:r>
      <w:r w:rsidRPr="00A24E15">
        <w:rPr>
          <w:rFonts w:eastAsia="Times New Roman" w:cs="Segoe UI"/>
          <w:i/>
          <w:iCs/>
          <w:color w:val="1D2125"/>
          <w:lang w:eastAsia="en-GB"/>
        </w:rPr>
        <w:t xml:space="preserve">John, Jesus and History, Volume 1: Critical Appraisals of Critical Views, </w:t>
      </w:r>
      <w:r w:rsidRPr="00A24E15">
        <w:rPr>
          <w:rFonts w:eastAsia="Times New Roman" w:cs="Segoe UI"/>
          <w:color w:val="1D2125"/>
          <w:lang w:eastAsia="en-GB"/>
        </w:rPr>
        <w:t>eds. P.N. Anderson, F. Just, T. Thatcher (Atlanta: SBL, 2007)</w:t>
      </w:r>
      <w:r>
        <w:rPr>
          <w:rFonts w:eastAsia="Times New Roman" w:cs="Segoe UI"/>
          <w:color w:val="1D2125"/>
          <w:lang w:eastAsia="en-GB"/>
        </w:rPr>
        <w:t>, 249-276</w:t>
      </w:r>
    </w:p>
    <w:p w14:paraId="0672E5A4" w14:textId="77777777" w:rsidR="00A24E15" w:rsidRDefault="00A24E15" w:rsidP="00A24E15">
      <w:pPr>
        <w:shd w:val="clear" w:color="auto" w:fill="FFFFFF"/>
        <w:rPr>
          <w:rFonts w:eastAsia="Times New Roman" w:cs="Segoe UI"/>
          <w:color w:val="1D2125"/>
          <w:lang w:eastAsia="en-GB"/>
        </w:rPr>
      </w:pPr>
    </w:p>
    <w:p w14:paraId="68796E15" w14:textId="362B34DB" w:rsid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Litwa, M.</w:t>
      </w:r>
      <w:r>
        <w:rPr>
          <w:rFonts w:eastAsia="Times New Roman" w:cs="Segoe UI"/>
          <w:color w:val="1D2125"/>
          <w:lang w:eastAsia="en-GB"/>
        </w:rPr>
        <w:t>D</w:t>
      </w:r>
      <w:r w:rsidRPr="00A24E15">
        <w:rPr>
          <w:rFonts w:eastAsia="Times New Roman" w:cs="Segoe UI"/>
          <w:color w:val="1D2125"/>
          <w:lang w:eastAsia="en-GB"/>
        </w:rPr>
        <w:t>.</w:t>
      </w:r>
      <w:r>
        <w:rPr>
          <w:rFonts w:eastAsia="Times New Roman" w:cs="Segoe UI"/>
          <w:color w:val="1D2125"/>
          <w:lang w:eastAsia="en-GB"/>
        </w:rPr>
        <w:t>,</w:t>
      </w:r>
      <w:r w:rsidRPr="00A24E15">
        <w:rPr>
          <w:rFonts w:eastAsia="Times New Roman" w:cs="Segoe UI"/>
          <w:color w:val="1D2125"/>
          <w:lang w:eastAsia="en-GB"/>
        </w:rPr>
        <w:t xml:space="preserve"> ‘Literary Eyewitnesses: The Appeal to an Eyewitness in John and Contemporaneous Literature’, </w:t>
      </w:r>
      <w:r w:rsidRPr="00A24E15">
        <w:rPr>
          <w:rFonts w:eastAsia="Times New Roman" w:cs="Segoe UI"/>
          <w:i/>
          <w:iCs/>
          <w:color w:val="1D2125"/>
          <w:lang w:eastAsia="en-GB"/>
        </w:rPr>
        <w:t>N</w:t>
      </w:r>
      <w:r>
        <w:rPr>
          <w:rFonts w:eastAsia="Times New Roman" w:cs="Segoe UI"/>
          <w:i/>
          <w:iCs/>
          <w:color w:val="1D2125"/>
          <w:lang w:eastAsia="en-GB"/>
        </w:rPr>
        <w:t xml:space="preserve">ew </w:t>
      </w:r>
      <w:r w:rsidRPr="00A24E15">
        <w:rPr>
          <w:rFonts w:eastAsia="Times New Roman" w:cs="Segoe UI"/>
          <w:i/>
          <w:iCs/>
          <w:color w:val="1D2125"/>
          <w:lang w:eastAsia="en-GB"/>
        </w:rPr>
        <w:t>T</w:t>
      </w:r>
      <w:r>
        <w:rPr>
          <w:rFonts w:eastAsia="Times New Roman" w:cs="Segoe UI"/>
          <w:i/>
          <w:iCs/>
          <w:color w:val="1D2125"/>
          <w:lang w:eastAsia="en-GB"/>
        </w:rPr>
        <w:t xml:space="preserve">estament </w:t>
      </w:r>
      <w:r w:rsidRPr="00A24E15">
        <w:rPr>
          <w:rFonts w:eastAsia="Times New Roman" w:cs="Segoe UI"/>
          <w:i/>
          <w:iCs/>
          <w:color w:val="1D2125"/>
          <w:lang w:eastAsia="en-GB"/>
        </w:rPr>
        <w:t>S</w:t>
      </w:r>
      <w:r>
        <w:rPr>
          <w:rFonts w:eastAsia="Times New Roman" w:cs="Segoe UI"/>
          <w:i/>
          <w:iCs/>
          <w:color w:val="1D2125"/>
          <w:lang w:eastAsia="en-GB"/>
        </w:rPr>
        <w:t>tudies</w:t>
      </w:r>
      <w:r w:rsidRPr="00A24E15">
        <w:rPr>
          <w:rFonts w:eastAsia="Times New Roman" w:cs="Segoe UI"/>
          <w:i/>
          <w:iCs/>
          <w:color w:val="1D2125"/>
          <w:lang w:eastAsia="en-GB"/>
        </w:rPr>
        <w:t xml:space="preserve"> </w:t>
      </w:r>
      <w:r w:rsidRPr="00A24E15">
        <w:rPr>
          <w:rFonts w:eastAsia="Times New Roman" w:cs="Segoe UI"/>
          <w:color w:val="1D2125"/>
          <w:lang w:eastAsia="en-GB"/>
        </w:rPr>
        <w:t>64</w:t>
      </w:r>
      <w:r>
        <w:rPr>
          <w:rFonts w:eastAsia="Times New Roman" w:cs="Segoe UI"/>
          <w:color w:val="1D2125"/>
          <w:lang w:eastAsia="en-GB"/>
        </w:rPr>
        <w:t xml:space="preserve"> (2018)</w:t>
      </w:r>
      <w:r w:rsidRPr="00A24E15">
        <w:rPr>
          <w:rFonts w:eastAsia="Times New Roman" w:cs="Segoe UI"/>
          <w:color w:val="1D2125"/>
          <w:lang w:eastAsia="en-GB"/>
        </w:rPr>
        <w:t xml:space="preserve"> 343-61.</w:t>
      </w:r>
    </w:p>
    <w:p w14:paraId="1DD94BEC" w14:textId="77777777" w:rsidR="00A24E15" w:rsidRDefault="00A24E15" w:rsidP="00A24E15">
      <w:pPr>
        <w:shd w:val="clear" w:color="auto" w:fill="FFFFFF"/>
        <w:rPr>
          <w:rFonts w:eastAsia="Times New Roman" w:cs="Segoe UI"/>
          <w:color w:val="1D2125"/>
          <w:lang w:eastAsia="en-GB"/>
        </w:rPr>
      </w:pPr>
    </w:p>
    <w:p w14:paraId="7DCB0CFE" w14:textId="6CC61230" w:rsidR="004538BB" w:rsidRDefault="004538BB" w:rsidP="004538BB">
      <w:pPr>
        <w:shd w:val="clear" w:color="auto" w:fill="FFFFFF"/>
        <w:rPr>
          <w:rFonts w:eastAsia="Times New Roman" w:cs="Segoe UI"/>
          <w:color w:val="1D2125"/>
          <w:lang w:eastAsia="en-GB"/>
        </w:rPr>
      </w:pPr>
      <w:r>
        <w:rPr>
          <w:rFonts w:eastAsia="Times New Roman" w:cs="Segoe UI"/>
          <w:color w:val="1D2125"/>
          <w:lang w:eastAsia="en-GB"/>
        </w:rPr>
        <w:t xml:space="preserve">Martyn, J. L., ‘A Gentile Mission That replaced an Earlier Jewish Mission?’, </w:t>
      </w:r>
      <w:r w:rsidRPr="00A24E15">
        <w:rPr>
          <w:rFonts w:eastAsia="Times New Roman" w:cs="Segoe UI"/>
          <w:i/>
          <w:iCs/>
          <w:color w:val="1D2125"/>
          <w:lang w:eastAsia="en-GB"/>
        </w:rPr>
        <w:t xml:space="preserve">Exploring the Gospel of John, </w:t>
      </w:r>
      <w:r w:rsidRPr="00A24E15">
        <w:rPr>
          <w:rFonts w:eastAsia="Times New Roman" w:cs="Segoe UI"/>
          <w:color w:val="1D2125"/>
          <w:lang w:eastAsia="en-GB"/>
        </w:rPr>
        <w:t xml:space="preserve">eds. R.A. Culpepper and C.C. Black (Louisville: Westminster John Knox Press, 1992), </w:t>
      </w:r>
      <w:r>
        <w:rPr>
          <w:rFonts w:eastAsia="Times New Roman" w:cs="Segoe UI"/>
          <w:color w:val="1D2125"/>
          <w:lang w:eastAsia="en-GB"/>
        </w:rPr>
        <w:t>124-144</w:t>
      </w:r>
      <w:r w:rsidRPr="00A24E15">
        <w:rPr>
          <w:rFonts w:eastAsia="Times New Roman" w:cs="Segoe UI"/>
          <w:color w:val="1D2125"/>
          <w:lang w:eastAsia="en-GB"/>
        </w:rPr>
        <w:t xml:space="preserve">. </w:t>
      </w:r>
    </w:p>
    <w:p w14:paraId="5B19881A" w14:textId="2FE4669F" w:rsidR="004538BB" w:rsidRPr="00A24E15" w:rsidRDefault="004538BB" w:rsidP="00A24E15">
      <w:pPr>
        <w:shd w:val="clear" w:color="auto" w:fill="FFFFFF"/>
        <w:rPr>
          <w:rFonts w:eastAsia="Times New Roman" w:cs="Segoe UI"/>
          <w:color w:val="1D2125"/>
          <w:lang w:eastAsia="en-GB"/>
        </w:rPr>
      </w:pPr>
    </w:p>
    <w:p w14:paraId="72B4A3CE" w14:textId="00E06EB1" w:rsidR="00A24E15" w:rsidRPr="00A24E15" w:rsidRDefault="00A24E15" w:rsidP="00A24E15">
      <w:pPr>
        <w:shd w:val="clear" w:color="auto" w:fill="FFFFFF"/>
        <w:rPr>
          <w:rFonts w:eastAsia="Times New Roman" w:cs="Segoe UI"/>
          <w:color w:val="1D2125"/>
          <w:lang w:eastAsia="en-GB"/>
        </w:rPr>
      </w:pPr>
      <w:proofErr w:type="spellStart"/>
      <w:r w:rsidRPr="00A24E15">
        <w:rPr>
          <w:rFonts w:eastAsia="Times New Roman" w:cs="Segoe UI"/>
          <w:color w:val="1D2125"/>
          <w:lang w:eastAsia="en-GB"/>
        </w:rPr>
        <w:t>Méndez</w:t>
      </w:r>
      <w:proofErr w:type="spellEnd"/>
      <w:r w:rsidRPr="00A24E15">
        <w:rPr>
          <w:rFonts w:eastAsia="Times New Roman" w:cs="Segoe UI"/>
          <w:color w:val="1D2125"/>
          <w:lang w:eastAsia="en-GB"/>
        </w:rPr>
        <w:t xml:space="preserve"> </w:t>
      </w:r>
      <w:r>
        <w:rPr>
          <w:rFonts w:eastAsia="Times New Roman" w:cs="Segoe UI"/>
          <w:color w:val="1D2125"/>
          <w:lang w:eastAsia="en-GB"/>
        </w:rPr>
        <w:t>H., ‘</w:t>
      </w:r>
      <w:r w:rsidRPr="00A24E15">
        <w:rPr>
          <w:rFonts w:eastAsia="Times New Roman" w:cs="Segoe UI"/>
          <w:color w:val="1D2125"/>
          <w:lang w:eastAsia="en-GB"/>
        </w:rPr>
        <w:t>Did the Johannine Community Exist?</w:t>
      </w:r>
      <w:r>
        <w:rPr>
          <w:rFonts w:eastAsia="Times New Roman" w:cs="Segoe UI"/>
          <w:color w:val="1D2125"/>
          <w:lang w:eastAsia="en-GB"/>
        </w:rPr>
        <w:t xml:space="preserve">’, </w:t>
      </w:r>
      <w:r w:rsidRPr="00A24E15">
        <w:rPr>
          <w:rFonts w:eastAsia="Times New Roman" w:cs="Segoe UI"/>
          <w:i/>
          <w:iCs/>
          <w:color w:val="1D2125"/>
          <w:lang w:eastAsia="en-GB"/>
        </w:rPr>
        <w:t>Journal for the Study of the New Testament</w:t>
      </w:r>
      <w:r w:rsidRPr="00A24E15">
        <w:rPr>
          <w:rFonts w:eastAsia="Times New Roman" w:cs="Segoe UI"/>
          <w:color w:val="1D2125"/>
          <w:lang w:eastAsia="en-GB"/>
        </w:rPr>
        <w:t xml:space="preserve"> 42(3) </w:t>
      </w:r>
      <w:r>
        <w:rPr>
          <w:rFonts w:eastAsia="Times New Roman" w:cs="Segoe UI"/>
          <w:color w:val="1D2125"/>
          <w:lang w:eastAsia="en-GB"/>
        </w:rPr>
        <w:t>(</w:t>
      </w:r>
      <w:r w:rsidRPr="00A24E15">
        <w:rPr>
          <w:rFonts w:eastAsia="Times New Roman" w:cs="Segoe UI"/>
          <w:color w:val="1D2125"/>
          <w:lang w:eastAsia="en-GB"/>
        </w:rPr>
        <w:t>2020</w:t>
      </w:r>
      <w:r>
        <w:rPr>
          <w:rFonts w:eastAsia="Times New Roman" w:cs="Segoe UI"/>
          <w:color w:val="1D2125"/>
          <w:lang w:eastAsia="en-GB"/>
        </w:rPr>
        <w:t>),</w:t>
      </w:r>
      <w:r w:rsidRPr="00A24E15">
        <w:rPr>
          <w:rFonts w:eastAsia="Times New Roman" w:cs="Segoe UI"/>
          <w:color w:val="1D2125"/>
          <w:lang w:eastAsia="en-GB"/>
        </w:rPr>
        <w:t xml:space="preserve">350–374 </w:t>
      </w:r>
    </w:p>
    <w:p w14:paraId="6AD65783" w14:textId="77777777" w:rsidR="00A24E15" w:rsidRDefault="00A24E15" w:rsidP="00821506">
      <w:pPr>
        <w:shd w:val="clear" w:color="auto" w:fill="FFFFFF"/>
        <w:rPr>
          <w:rFonts w:eastAsia="Times New Roman" w:cs="Segoe UI"/>
          <w:color w:val="1D2125"/>
          <w:lang w:eastAsia="en-GB"/>
        </w:rPr>
      </w:pPr>
    </w:p>
    <w:p w14:paraId="02507723" w14:textId="77777777" w:rsidR="004538BB" w:rsidRDefault="00A24E15" w:rsidP="00821506">
      <w:pPr>
        <w:shd w:val="clear" w:color="auto" w:fill="FFFFFF"/>
        <w:rPr>
          <w:rFonts w:eastAsia="Times New Roman" w:cs="Segoe UI"/>
          <w:color w:val="1D2125"/>
          <w:lang w:eastAsia="en-GB"/>
        </w:rPr>
      </w:pPr>
      <w:r w:rsidRPr="00A24E15">
        <w:rPr>
          <w:rFonts w:eastAsia="Times New Roman" w:cs="Segoe UI"/>
          <w:color w:val="1D2125"/>
          <w:lang w:eastAsia="en-GB"/>
        </w:rPr>
        <w:t xml:space="preserve">Moloney, F.J., ‘The Fourth Gospel and the Jesus of History’, </w:t>
      </w:r>
      <w:r w:rsidRPr="00A24E15">
        <w:rPr>
          <w:rFonts w:eastAsia="Times New Roman" w:cs="Segoe UI"/>
          <w:i/>
          <w:iCs/>
          <w:color w:val="1D2125"/>
          <w:lang w:eastAsia="en-GB"/>
        </w:rPr>
        <w:t xml:space="preserve">New Testament Studies </w:t>
      </w:r>
      <w:r w:rsidRPr="00A24E15">
        <w:rPr>
          <w:rFonts w:eastAsia="Times New Roman" w:cs="Segoe UI"/>
          <w:color w:val="1D2125"/>
          <w:lang w:eastAsia="en-GB"/>
        </w:rPr>
        <w:t xml:space="preserve">46 (2000), 42-58. </w:t>
      </w:r>
    </w:p>
    <w:p w14:paraId="1B7C6EC3" w14:textId="77777777" w:rsidR="004538BB" w:rsidRDefault="004538BB" w:rsidP="00821506">
      <w:pPr>
        <w:shd w:val="clear" w:color="auto" w:fill="FFFFFF"/>
        <w:rPr>
          <w:rFonts w:eastAsia="Times New Roman" w:cs="Segoe UI"/>
          <w:color w:val="1D2125"/>
          <w:lang w:eastAsia="en-GB"/>
        </w:rPr>
      </w:pPr>
    </w:p>
    <w:p w14:paraId="57BD7181" w14:textId="551FCB3B" w:rsidR="00A24E15" w:rsidRDefault="004538BB" w:rsidP="00821506">
      <w:pPr>
        <w:shd w:val="clear" w:color="auto" w:fill="FFFFFF"/>
        <w:rPr>
          <w:rFonts w:eastAsia="Times New Roman" w:cs="Segoe UI"/>
          <w:color w:val="1D2125"/>
          <w:lang w:eastAsia="en-GB"/>
        </w:rPr>
      </w:pPr>
      <w:r>
        <w:rPr>
          <w:rFonts w:eastAsia="Times New Roman" w:cs="Segoe UI"/>
          <w:color w:val="1D2125"/>
          <w:lang w:eastAsia="en-GB"/>
        </w:rPr>
        <w:t xml:space="preserve">Painter, J., ‘Memory Holds the Key: The Transformation </w:t>
      </w:r>
      <w:r w:rsidR="007D494E">
        <w:rPr>
          <w:rFonts w:eastAsia="Times New Roman" w:cs="Segoe UI"/>
          <w:color w:val="1D2125"/>
          <w:lang w:eastAsia="en-GB"/>
        </w:rPr>
        <w:t>of</w:t>
      </w:r>
      <w:r>
        <w:rPr>
          <w:rFonts w:eastAsia="Times New Roman" w:cs="Segoe UI"/>
          <w:color w:val="1D2125"/>
          <w:lang w:eastAsia="en-GB"/>
        </w:rPr>
        <w:t xml:space="preserve"> Memory in the Interface of History and Theology in John</w:t>
      </w:r>
      <w:r w:rsidRPr="00A24E15">
        <w:rPr>
          <w:rFonts w:eastAsia="Times New Roman" w:cs="Segoe UI"/>
          <w:color w:val="1D2125"/>
          <w:lang w:eastAsia="en-GB"/>
        </w:rPr>
        <w:t xml:space="preserve">’, </w:t>
      </w:r>
      <w:r w:rsidRPr="00A24E15">
        <w:rPr>
          <w:rFonts w:eastAsia="Times New Roman" w:cs="Segoe UI"/>
          <w:i/>
          <w:iCs/>
          <w:color w:val="1D2125"/>
          <w:lang w:eastAsia="en-GB"/>
        </w:rPr>
        <w:t xml:space="preserve">John, Jesus and History, Volume 1: Critical Appraisals of Critical Views, </w:t>
      </w:r>
      <w:r w:rsidRPr="00A24E15">
        <w:rPr>
          <w:rFonts w:eastAsia="Times New Roman" w:cs="Segoe UI"/>
          <w:color w:val="1D2125"/>
          <w:lang w:eastAsia="en-GB"/>
        </w:rPr>
        <w:t xml:space="preserve">eds. P.N. Anderson, F. Just, T. Thatcher (Atlanta: SBL, 2007), </w:t>
      </w:r>
      <w:r>
        <w:rPr>
          <w:rFonts w:eastAsia="Times New Roman" w:cs="Segoe UI"/>
          <w:color w:val="1D2125"/>
          <w:lang w:eastAsia="en-GB"/>
        </w:rPr>
        <w:t>229</w:t>
      </w:r>
      <w:r w:rsidRPr="00A24E15">
        <w:rPr>
          <w:rFonts w:eastAsia="Times New Roman" w:cs="Segoe UI"/>
          <w:color w:val="1D2125"/>
          <w:lang w:eastAsia="en-GB"/>
        </w:rPr>
        <w:t>-</w:t>
      </w:r>
      <w:r>
        <w:rPr>
          <w:rFonts w:eastAsia="Times New Roman" w:cs="Segoe UI"/>
          <w:color w:val="1D2125"/>
          <w:lang w:eastAsia="en-GB"/>
        </w:rPr>
        <w:t>245</w:t>
      </w:r>
      <w:r w:rsidRPr="00A24E15">
        <w:rPr>
          <w:rFonts w:eastAsia="Times New Roman" w:cs="Segoe UI"/>
          <w:color w:val="1D2125"/>
          <w:lang w:eastAsia="en-GB"/>
        </w:rPr>
        <w:t>.</w:t>
      </w:r>
    </w:p>
    <w:p w14:paraId="71DD49F4" w14:textId="77777777" w:rsidR="004538BB" w:rsidRDefault="004538BB" w:rsidP="00821506">
      <w:pPr>
        <w:shd w:val="clear" w:color="auto" w:fill="FFFFFF"/>
        <w:rPr>
          <w:rFonts w:eastAsia="Times New Roman" w:cs="Segoe UI"/>
          <w:color w:val="1D2125"/>
          <w:lang w:eastAsia="en-GB"/>
        </w:rPr>
      </w:pPr>
    </w:p>
    <w:p w14:paraId="39A6E5DB" w14:textId="4E985EFB" w:rsidR="00AE6BF3" w:rsidRDefault="00AE6BF3" w:rsidP="00821506">
      <w:pPr>
        <w:shd w:val="clear" w:color="auto" w:fill="FFFFFF"/>
        <w:rPr>
          <w:rFonts w:eastAsia="Times New Roman" w:cs="Segoe UI"/>
          <w:color w:val="1D2125"/>
          <w:lang w:eastAsia="en-GB"/>
        </w:rPr>
      </w:pPr>
      <w:r>
        <w:rPr>
          <w:rFonts w:eastAsia="Times New Roman" w:cs="Segoe UI"/>
          <w:color w:val="1D2125"/>
          <w:lang w:eastAsia="en-GB"/>
        </w:rPr>
        <w:t xml:space="preserve">Powell, M.A., ‘On Deal-breakers and </w:t>
      </w:r>
      <w:r w:rsidR="00F66942">
        <w:rPr>
          <w:rFonts w:eastAsia="Times New Roman" w:cs="Segoe UI"/>
          <w:color w:val="1D2125"/>
          <w:lang w:eastAsia="en-GB"/>
        </w:rPr>
        <w:t>Disturbances</w:t>
      </w:r>
      <w:r>
        <w:rPr>
          <w:rFonts w:eastAsia="Times New Roman" w:cs="Segoe UI"/>
          <w:color w:val="1D2125"/>
          <w:lang w:eastAsia="en-GB"/>
        </w:rPr>
        <w:t xml:space="preserve">’, </w:t>
      </w:r>
      <w:r w:rsidRPr="00A24E15">
        <w:rPr>
          <w:rFonts w:eastAsia="Times New Roman" w:cs="Segoe UI"/>
          <w:i/>
          <w:iCs/>
          <w:color w:val="1D2125"/>
          <w:lang w:eastAsia="en-GB"/>
        </w:rPr>
        <w:t xml:space="preserve">John, Jesus and History, Volume 1: Critical Appraisals of Critical Views, </w:t>
      </w:r>
      <w:r w:rsidRPr="00A24E15">
        <w:rPr>
          <w:rFonts w:eastAsia="Times New Roman" w:cs="Segoe UI"/>
          <w:color w:val="1D2125"/>
          <w:lang w:eastAsia="en-GB"/>
        </w:rPr>
        <w:t>eds. P.N. Anderson, F. Just, T. Thatcher (Atlanta: SBL, 2007)</w:t>
      </w:r>
      <w:r>
        <w:rPr>
          <w:rFonts w:eastAsia="Times New Roman" w:cs="Segoe UI"/>
          <w:color w:val="1D2125"/>
          <w:lang w:eastAsia="en-GB"/>
        </w:rPr>
        <w:t>, 277-282</w:t>
      </w:r>
    </w:p>
    <w:p w14:paraId="7DF0E5CB" w14:textId="77777777" w:rsidR="00AE6BF3" w:rsidRDefault="00AE6BF3" w:rsidP="00821506">
      <w:pPr>
        <w:shd w:val="clear" w:color="auto" w:fill="FFFFFF"/>
        <w:rPr>
          <w:rFonts w:eastAsia="Times New Roman" w:cs="Segoe UI"/>
          <w:color w:val="1D2125"/>
          <w:lang w:eastAsia="en-GB"/>
        </w:rPr>
      </w:pPr>
    </w:p>
    <w:p w14:paraId="0465766B" w14:textId="2F6EFD47" w:rsidR="00A24E15" w:rsidRDefault="00A24E15" w:rsidP="00821506">
      <w:pPr>
        <w:shd w:val="clear" w:color="auto" w:fill="FFFFFF"/>
        <w:rPr>
          <w:rFonts w:eastAsia="Times New Roman" w:cs="Segoe UI"/>
          <w:color w:val="1D2125"/>
          <w:lang w:eastAsia="en-GB"/>
        </w:rPr>
      </w:pPr>
      <w:r>
        <w:rPr>
          <w:rFonts w:eastAsia="Times New Roman" w:cs="Segoe UI"/>
          <w:color w:val="1D2125"/>
          <w:lang w:eastAsia="en-GB"/>
        </w:rPr>
        <w:t xml:space="preserve">Robinson, J.A.T., </w:t>
      </w:r>
      <w:r w:rsidR="00524AAC">
        <w:rPr>
          <w:rFonts w:eastAsia="Times New Roman" w:cs="Segoe UI"/>
          <w:i/>
          <w:iCs/>
          <w:color w:val="1D2125"/>
          <w:lang w:eastAsia="en-GB"/>
        </w:rPr>
        <w:t>The Priority of John</w:t>
      </w:r>
      <w:r w:rsidR="00524AAC">
        <w:rPr>
          <w:rFonts w:eastAsia="Times New Roman" w:cs="Segoe UI"/>
          <w:color w:val="1D2125"/>
          <w:lang w:eastAsia="en-GB"/>
        </w:rPr>
        <w:t xml:space="preserve"> (London: SCM Press, 1985)</w:t>
      </w:r>
    </w:p>
    <w:p w14:paraId="32D6270D" w14:textId="77777777" w:rsidR="00DF1F88" w:rsidRDefault="00DF1F88" w:rsidP="00821506">
      <w:pPr>
        <w:shd w:val="clear" w:color="auto" w:fill="FFFFFF"/>
        <w:rPr>
          <w:rFonts w:eastAsia="Times New Roman" w:cs="Segoe UI"/>
          <w:color w:val="1D2125"/>
          <w:lang w:eastAsia="en-GB"/>
        </w:rPr>
      </w:pPr>
    </w:p>
    <w:p w14:paraId="0C275ECD" w14:textId="3A70DABF" w:rsidR="00DF1F88" w:rsidRPr="00DF1F88" w:rsidRDefault="00DF1F88" w:rsidP="00DF1F88">
      <w:pPr>
        <w:shd w:val="clear" w:color="auto" w:fill="FFFFFF"/>
        <w:rPr>
          <w:rFonts w:eastAsia="Times New Roman" w:cs="Segoe UI"/>
          <w:color w:val="1D2125"/>
          <w:lang w:eastAsia="en-GB"/>
        </w:rPr>
      </w:pPr>
      <w:r>
        <w:rPr>
          <w:rFonts w:eastAsia="Times New Roman" w:cs="Segoe UI"/>
          <w:color w:val="1D2125"/>
          <w:lang w:eastAsia="en-GB"/>
        </w:rPr>
        <w:t>Rodríguez, R., ‘</w:t>
      </w:r>
      <w:r w:rsidRPr="00DF1F88">
        <w:rPr>
          <w:rFonts w:eastAsia="Times New Roman" w:cs="Segoe UI"/>
          <w:color w:val="1D2125"/>
          <w:lang w:eastAsia="en-GB"/>
        </w:rPr>
        <w:t>What is History? Reading John 1 as Historical Representation</w:t>
      </w:r>
      <w:r>
        <w:rPr>
          <w:rFonts w:eastAsia="Times New Roman" w:cs="Segoe UI"/>
          <w:color w:val="1D2125"/>
          <w:lang w:eastAsia="en-GB"/>
        </w:rPr>
        <w:t>’, J</w:t>
      </w:r>
      <w:r w:rsidRPr="00DF1F88">
        <w:rPr>
          <w:rFonts w:eastAsia="Times New Roman" w:cs="Segoe UI"/>
          <w:color w:val="1D2125"/>
          <w:lang w:eastAsia="en-GB"/>
        </w:rPr>
        <w:t xml:space="preserve">ournal for the </w:t>
      </w:r>
      <w:r>
        <w:rPr>
          <w:rFonts w:eastAsia="Times New Roman" w:cs="Segoe UI"/>
          <w:color w:val="1D2125"/>
          <w:lang w:eastAsia="en-GB"/>
        </w:rPr>
        <w:t>S</w:t>
      </w:r>
      <w:r w:rsidRPr="00DF1F88">
        <w:rPr>
          <w:rFonts w:eastAsia="Times New Roman" w:cs="Segoe UI"/>
          <w:color w:val="1D2125"/>
          <w:lang w:eastAsia="en-GB"/>
        </w:rPr>
        <w:t xml:space="preserve">tudy of the </w:t>
      </w:r>
      <w:r>
        <w:rPr>
          <w:rFonts w:eastAsia="Times New Roman" w:cs="Segoe UI"/>
          <w:color w:val="1D2125"/>
          <w:lang w:eastAsia="en-GB"/>
        </w:rPr>
        <w:t>H</w:t>
      </w:r>
      <w:r w:rsidRPr="00DF1F88">
        <w:rPr>
          <w:rFonts w:eastAsia="Times New Roman" w:cs="Segoe UI"/>
          <w:color w:val="1D2125"/>
          <w:lang w:eastAsia="en-GB"/>
        </w:rPr>
        <w:t xml:space="preserve">istorical </w:t>
      </w:r>
      <w:r>
        <w:rPr>
          <w:rFonts w:eastAsia="Times New Roman" w:cs="Segoe UI"/>
          <w:color w:val="1D2125"/>
          <w:lang w:eastAsia="en-GB"/>
        </w:rPr>
        <w:t>J</w:t>
      </w:r>
      <w:r w:rsidRPr="00DF1F88">
        <w:rPr>
          <w:rFonts w:eastAsia="Times New Roman" w:cs="Segoe UI"/>
          <w:color w:val="1D2125"/>
          <w:lang w:eastAsia="en-GB"/>
        </w:rPr>
        <w:t xml:space="preserve">esus 16 (2018) 31-51 </w:t>
      </w:r>
    </w:p>
    <w:p w14:paraId="310F168B" w14:textId="168492E0" w:rsidR="00524AAC" w:rsidRDefault="00DF1F88" w:rsidP="00821506">
      <w:pPr>
        <w:shd w:val="clear" w:color="auto" w:fill="FFFFFF"/>
        <w:rPr>
          <w:rFonts w:eastAsia="Times New Roman" w:cs="Segoe UI"/>
          <w:color w:val="1D2125"/>
          <w:lang w:eastAsia="en-GB"/>
        </w:rPr>
      </w:pPr>
      <w:r w:rsidRPr="00DF1F88">
        <w:rPr>
          <w:rFonts w:eastAsia="Times New Roman" w:cs="Segoe UI"/>
          <w:color w:val="1D2125"/>
          <w:lang w:eastAsia="en-GB"/>
        </w:rPr>
        <w:t xml:space="preserve"> </w:t>
      </w:r>
    </w:p>
    <w:p w14:paraId="75E062E9" w14:textId="68F09146" w:rsidR="00A24E15" w:rsidRPr="00A24E15" w:rsidRDefault="00A24E15" w:rsidP="00A24E15">
      <w:pPr>
        <w:shd w:val="clear" w:color="auto" w:fill="FFFFFF"/>
        <w:rPr>
          <w:rFonts w:eastAsia="Times New Roman" w:cs="Segoe UI"/>
          <w:color w:val="1D2125"/>
          <w:lang w:eastAsia="en-GB"/>
        </w:rPr>
      </w:pPr>
      <w:proofErr w:type="spellStart"/>
      <w:r w:rsidRPr="00A24E15">
        <w:rPr>
          <w:rFonts w:eastAsia="Times New Roman" w:cs="Segoe UI"/>
          <w:color w:val="1D2125"/>
          <w:lang w:eastAsia="en-GB"/>
        </w:rPr>
        <w:t>Schröter</w:t>
      </w:r>
      <w:proofErr w:type="spellEnd"/>
      <w:r>
        <w:rPr>
          <w:rFonts w:eastAsia="Times New Roman" w:cs="Segoe UI"/>
          <w:color w:val="1D2125"/>
          <w:lang w:eastAsia="en-GB"/>
        </w:rPr>
        <w:t xml:space="preserve">, J., </w:t>
      </w:r>
      <w:r w:rsidRPr="00A24E15">
        <w:rPr>
          <w:rFonts w:eastAsia="Times New Roman" w:cs="Segoe UI"/>
          <w:color w:val="1D2125"/>
          <w:lang w:eastAsia="en-GB"/>
        </w:rPr>
        <w:t xml:space="preserve">The Gospels as Eyewitness Testimony? A Critical Examination of Richard Bauckham's </w:t>
      </w:r>
      <w:r w:rsidRPr="00A24E15">
        <w:rPr>
          <w:rFonts w:eastAsia="Times New Roman" w:cs="Segoe UI"/>
          <w:i/>
          <w:iCs/>
          <w:color w:val="1D2125"/>
          <w:lang w:eastAsia="en-GB"/>
        </w:rPr>
        <w:t>Jesus and the Eyewitnesse</w:t>
      </w:r>
      <w:r>
        <w:rPr>
          <w:rFonts w:eastAsia="Times New Roman" w:cs="Segoe UI"/>
          <w:color w:val="1D2125"/>
          <w:lang w:eastAsia="en-GB"/>
        </w:rPr>
        <w:t xml:space="preserve">s, </w:t>
      </w:r>
      <w:r w:rsidRPr="00A24E15">
        <w:rPr>
          <w:rFonts w:eastAsia="Times New Roman" w:cs="Segoe UI"/>
          <w:i/>
          <w:iCs/>
          <w:color w:val="1D2125"/>
          <w:lang w:eastAsia="en-GB"/>
        </w:rPr>
        <w:t>J</w:t>
      </w:r>
      <w:r>
        <w:rPr>
          <w:rFonts w:eastAsia="Times New Roman" w:cs="Segoe UI"/>
          <w:i/>
          <w:iCs/>
          <w:color w:val="1D2125"/>
          <w:lang w:eastAsia="en-GB"/>
        </w:rPr>
        <w:t xml:space="preserve">ournal for the </w:t>
      </w:r>
      <w:r w:rsidRPr="00A24E15">
        <w:rPr>
          <w:rFonts w:eastAsia="Times New Roman" w:cs="Segoe UI"/>
          <w:i/>
          <w:iCs/>
          <w:color w:val="1D2125"/>
          <w:lang w:eastAsia="en-GB"/>
        </w:rPr>
        <w:t>S</w:t>
      </w:r>
      <w:r>
        <w:rPr>
          <w:rFonts w:eastAsia="Times New Roman" w:cs="Segoe UI"/>
          <w:i/>
          <w:iCs/>
          <w:color w:val="1D2125"/>
          <w:lang w:eastAsia="en-GB"/>
        </w:rPr>
        <w:t xml:space="preserve">tudy of the </w:t>
      </w:r>
      <w:r w:rsidRPr="00A24E15">
        <w:rPr>
          <w:rFonts w:eastAsia="Times New Roman" w:cs="Segoe UI"/>
          <w:i/>
          <w:iCs/>
          <w:color w:val="1D2125"/>
          <w:lang w:eastAsia="en-GB"/>
        </w:rPr>
        <w:t>N</w:t>
      </w:r>
      <w:r>
        <w:rPr>
          <w:rFonts w:eastAsia="Times New Roman" w:cs="Segoe UI"/>
          <w:i/>
          <w:iCs/>
          <w:color w:val="1D2125"/>
          <w:lang w:eastAsia="en-GB"/>
        </w:rPr>
        <w:t xml:space="preserve">ew </w:t>
      </w:r>
      <w:r w:rsidRPr="00A24E15">
        <w:rPr>
          <w:rFonts w:eastAsia="Times New Roman" w:cs="Segoe UI"/>
          <w:i/>
          <w:iCs/>
          <w:color w:val="1D2125"/>
          <w:lang w:eastAsia="en-GB"/>
        </w:rPr>
        <w:t>T</w:t>
      </w:r>
      <w:r>
        <w:rPr>
          <w:rFonts w:eastAsia="Times New Roman" w:cs="Segoe UI"/>
          <w:i/>
          <w:iCs/>
          <w:color w:val="1D2125"/>
          <w:lang w:eastAsia="en-GB"/>
        </w:rPr>
        <w:t xml:space="preserve">estament </w:t>
      </w:r>
      <w:r w:rsidRPr="00A24E15">
        <w:rPr>
          <w:rFonts w:eastAsia="Times New Roman" w:cs="Segoe UI"/>
          <w:i/>
          <w:iCs/>
          <w:color w:val="1D2125"/>
          <w:lang w:eastAsia="en-GB"/>
        </w:rPr>
        <w:t>3</w:t>
      </w:r>
      <w:r>
        <w:rPr>
          <w:rFonts w:eastAsia="Times New Roman" w:cs="Segoe UI"/>
          <w:i/>
          <w:iCs/>
          <w:color w:val="1D2125"/>
          <w:lang w:eastAsia="en-GB"/>
        </w:rPr>
        <w:t>1(</w:t>
      </w:r>
      <w:r w:rsidRPr="00A24E15">
        <w:rPr>
          <w:rFonts w:eastAsia="Times New Roman" w:cs="Segoe UI"/>
          <w:i/>
          <w:iCs/>
          <w:color w:val="1D2125"/>
          <w:lang w:eastAsia="en-GB"/>
        </w:rPr>
        <w:t>2</w:t>
      </w:r>
      <w:r>
        <w:rPr>
          <w:rFonts w:eastAsia="Times New Roman" w:cs="Segoe UI"/>
          <w:i/>
          <w:iCs/>
          <w:color w:val="1D2125"/>
          <w:lang w:eastAsia="en-GB"/>
        </w:rPr>
        <w:t>)</w:t>
      </w:r>
      <w:r w:rsidRPr="00A24E15">
        <w:rPr>
          <w:rFonts w:eastAsia="Times New Roman" w:cs="Segoe UI"/>
          <w:i/>
          <w:iCs/>
          <w:color w:val="1D2125"/>
          <w:lang w:eastAsia="en-GB"/>
        </w:rPr>
        <w:t xml:space="preserve"> </w:t>
      </w:r>
      <w:r w:rsidRPr="00A24E15">
        <w:rPr>
          <w:rFonts w:eastAsia="Times New Roman" w:cs="Segoe UI"/>
          <w:color w:val="1D2125"/>
          <w:lang w:eastAsia="en-GB"/>
        </w:rPr>
        <w:t>(2008)</w:t>
      </w:r>
      <w:r>
        <w:rPr>
          <w:rFonts w:eastAsia="Times New Roman" w:cs="Segoe UI"/>
          <w:color w:val="1D2125"/>
          <w:lang w:eastAsia="en-GB"/>
        </w:rPr>
        <w:t>,1</w:t>
      </w:r>
      <w:r w:rsidRPr="00A24E15">
        <w:rPr>
          <w:rFonts w:eastAsia="Times New Roman" w:cs="Segoe UI"/>
          <w:color w:val="1D2125"/>
          <w:lang w:eastAsia="en-GB"/>
        </w:rPr>
        <w:t>95-209</w:t>
      </w:r>
      <w:r w:rsidRPr="00A24E15">
        <w:rPr>
          <w:rFonts w:eastAsia="Times New Roman" w:cs="Segoe UI"/>
          <w:b/>
          <w:bCs/>
          <w:color w:val="1D2125"/>
          <w:lang w:eastAsia="en-GB"/>
        </w:rPr>
        <w:t xml:space="preserve"> </w:t>
      </w:r>
    </w:p>
    <w:p w14:paraId="78FB0987" w14:textId="77777777" w:rsidR="00A24E15" w:rsidRDefault="00A24E15" w:rsidP="00821506">
      <w:pPr>
        <w:shd w:val="clear" w:color="auto" w:fill="FFFFFF"/>
        <w:rPr>
          <w:rFonts w:eastAsia="Times New Roman" w:cs="Segoe UI"/>
          <w:color w:val="1D2125"/>
          <w:lang w:eastAsia="en-GB"/>
        </w:rPr>
      </w:pPr>
    </w:p>
    <w:p w14:paraId="2C2A6E88" w14:textId="77777777" w:rsidR="00A24E15" w:rsidRP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 xml:space="preserve">Smith, D.M., ‘Historical Issues and the Problem of John and the Synoptics’, </w:t>
      </w:r>
      <w:r w:rsidRPr="00A24E15">
        <w:rPr>
          <w:rFonts w:eastAsia="Times New Roman" w:cs="Segoe UI"/>
          <w:i/>
          <w:iCs/>
          <w:color w:val="1D2125"/>
          <w:lang w:eastAsia="en-GB"/>
        </w:rPr>
        <w:t xml:space="preserve">From Jesus to John, </w:t>
      </w:r>
      <w:r w:rsidRPr="00A24E15">
        <w:rPr>
          <w:rFonts w:eastAsia="Times New Roman" w:cs="Segoe UI"/>
          <w:color w:val="1D2125"/>
          <w:lang w:eastAsia="en-GB"/>
        </w:rPr>
        <w:t xml:space="preserve">ed. M.C. de Boer (Sheffield: JSOT Press, 1993), 252-67. </w:t>
      </w:r>
    </w:p>
    <w:p w14:paraId="02DCEA73" w14:textId="77777777" w:rsidR="00A24E15" w:rsidRDefault="00A24E15" w:rsidP="00821506">
      <w:pPr>
        <w:shd w:val="clear" w:color="auto" w:fill="FFFFFF"/>
        <w:rPr>
          <w:rFonts w:eastAsia="Times New Roman" w:cs="Segoe UI"/>
          <w:color w:val="1D2125"/>
          <w:lang w:eastAsia="en-GB"/>
        </w:rPr>
      </w:pPr>
    </w:p>
    <w:p w14:paraId="3C5A5879" w14:textId="77777777" w:rsidR="00A24E15" w:rsidRP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 xml:space="preserve">Smith, D.M., ‘John: A Source for Jesus Research?’, </w:t>
      </w:r>
      <w:r w:rsidRPr="00A24E15">
        <w:rPr>
          <w:rFonts w:eastAsia="Times New Roman" w:cs="Segoe UI"/>
          <w:i/>
          <w:iCs/>
          <w:color w:val="1D2125"/>
          <w:lang w:eastAsia="en-GB"/>
        </w:rPr>
        <w:t xml:space="preserve">John, Jesus and History, Volume 1: Critical Appraisals of Critical Views, </w:t>
      </w:r>
      <w:r w:rsidRPr="00A24E15">
        <w:rPr>
          <w:rFonts w:eastAsia="Times New Roman" w:cs="Segoe UI"/>
          <w:color w:val="1D2125"/>
          <w:lang w:eastAsia="en-GB"/>
        </w:rPr>
        <w:t xml:space="preserve">eds. P.N. Anderson, F. Just, T. Thatcher (Atlanta: SBL, 2007), 165-78. </w:t>
      </w:r>
    </w:p>
    <w:p w14:paraId="66435E38" w14:textId="77777777" w:rsidR="00A24E15" w:rsidRDefault="00A24E15" w:rsidP="00821506">
      <w:pPr>
        <w:shd w:val="clear" w:color="auto" w:fill="FFFFFF"/>
        <w:rPr>
          <w:rFonts w:eastAsia="Times New Roman" w:cs="Segoe UI"/>
          <w:color w:val="1D2125"/>
          <w:lang w:eastAsia="en-GB"/>
        </w:rPr>
      </w:pPr>
    </w:p>
    <w:p w14:paraId="6581F928" w14:textId="279AB05F" w:rsidR="005E1816" w:rsidRDefault="005E1816" w:rsidP="00821506">
      <w:pPr>
        <w:shd w:val="clear" w:color="auto" w:fill="FFFFFF"/>
        <w:rPr>
          <w:rFonts w:ascii="Source Sans Pro" w:hAnsi="Source Sans Pro"/>
          <w:color w:val="2A2A2A"/>
          <w:sz w:val="23"/>
          <w:szCs w:val="23"/>
          <w:shd w:val="clear" w:color="auto" w:fill="FFFFFF"/>
        </w:rPr>
      </w:pPr>
      <w:r>
        <w:rPr>
          <w:rStyle w:val="contributors"/>
          <w:rFonts w:ascii="Source Sans Pro" w:hAnsi="Source Sans Pro"/>
          <w:color w:val="2A2A2A"/>
          <w:sz w:val="23"/>
          <w:szCs w:val="23"/>
          <w:bdr w:val="none" w:sz="0" w:space="0" w:color="auto" w:frame="1"/>
          <w:shd w:val="clear" w:color="auto" w:fill="FFFFFF"/>
        </w:rPr>
        <w:t>Thatcher, T., </w:t>
      </w:r>
      <w:r>
        <w:rPr>
          <w:rStyle w:val="maintitle"/>
          <w:rFonts w:ascii="Source Sans Pro" w:hAnsi="Source Sans Pro"/>
          <w:color w:val="2A2A2A"/>
          <w:sz w:val="23"/>
          <w:szCs w:val="23"/>
          <w:bdr w:val="none" w:sz="0" w:space="0" w:color="auto" w:frame="1"/>
          <w:shd w:val="clear" w:color="auto" w:fill="FFFFFF"/>
        </w:rPr>
        <w:t>'The Beloved Disciple, the Fourth Evangelist, and the Authorship of the Fourth Gospel'</w:t>
      </w:r>
      <w:r>
        <w:rPr>
          <w:rFonts w:ascii="Source Sans Pro" w:hAnsi="Source Sans Pro"/>
          <w:color w:val="2A2A2A"/>
          <w:sz w:val="23"/>
          <w:szCs w:val="23"/>
          <w:shd w:val="clear" w:color="auto" w:fill="FFFFFF"/>
        </w:rPr>
        <w:t>,</w:t>
      </w:r>
      <w:r>
        <w:rPr>
          <w:rStyle w:val="editors"/>
          <w:rFonts w:ascii="Source Sans Pro" w:hAnsi="Source Sans Pro"/>
          <w:color w:val="2A2A2A"/>
          <w:sz w:val="23"/>
          <w:szCs w:val="23"/>
          <w:bdr w:val="none" w:sz="0" w:space="0" w:color="auto" w:frame="1"/>
          <w:shd w:val="clear" w:color="auto" w:fill="FFFFFF"/>
        </w:rPr>
        <w:t> in Judith M. Lieu, and Martinus C. de Boer (eds)</w:t>
      </w:r>
      <w:r>
        <w:rPr>
          <w:rFonts w:ascii="Source Sans Pro" w:hAnsi="Source Sans Pro"/>
          <w:color w:val="2A2A2A"/>
          <w:sz w:val="23"/>
          <w:szCs w:val="23"/>
          <w:shd w:val="clear" w:color="auto" w:fill="FFFFFF"/>
        </w:rPr>
        <w:t>, </w:t>
      </w:r>
      <w:r>
        <w:rPr>
          <w:rStyle w:val="Emphasis"/>
          <w:rFonts w:ascii="inherit" w:hAnsi="inherit"/>
          <w:color w:val="2A2A2A"/>
          <w:sz w:val="23"/>
          <w:szCs w:val="23"/>
          <w:bdr w:val="none" w:sz="0" w:space="0" w:color="auto" w:frame="1"/>
          <w:shd w:val="clear" w:color="auto" w:fill="FFFFFF"/>
        </w:rPr>
        <w:t>The Oxford Handbook of Johannine Studies</w:t>
      </w:r>
      <w:r>
        <w:rPr>
          <w:rStyle w:val="series-title"/>
          <w:rFonts w:ascii="Source Sans Pro" w:hAnsi="Source Sans Pro"/>
          <w:color w:val="2A2A2A"/>
          <w:sz w:val="23"/>
          <w:szCs w:val="23"/>
          <w:bdr w:val="none" w:sz="0" w:space="0" w:color="auto" w:frame="1"/>
          <w:shd w:val="clear" w:color="auto" w:fill="FFFFFF"/>
        </w:rPr>
        <w:t>, Oxford Handbooks</w:t>
      </w:r>
      <w:r>
        <w:rPr>
          <w:rFonts w:ascii="Source Sans Pro" w:hAnsi="Source Sans Pro"/>
          <w:color w:val="2A2A2A"/>
          <w:sz w:val="23"/>
          <w:szCs w:val="23"/>
          <w:shd w:val="clear" w:color="auto" w:fill="FFFFFF"/>
        </w:rPr>
        <w:t> (</w:t>
      </w:r>
      <w:r>
        <w:rPr>
          <w:rStyle w:val="print-publication-date"/>
          <w:rFonts w:ascii="Source Sans Pro" w:hAnsi="Source Sans Pro"/>
          <w:color w:val="2A2A2A"/>
          <w:sz w:val="23"/>
          <w:szCs w:val="23"/>
          <w:bdr w:val="none" w:sz="0" w:space="0" w:color="auto" w:frame="1"/>
          <w:shd w:val="clear" w:color="auto" w:fill="FFFFFF"/>
        </w:rPr>
        <w:t>Oxford:</w:t>
      </w:r>
      <w:r>
        <w:rPr>
          <w:rStyle w:val="online-edition"/>
          <w:rFonts w:ascii="Source Sans Pro" w:hAnsi="Source Sans Pro"/>
          <w:color w:val="2A2A2A"/>
          <w:sz w:val="23"/>
          <w:szCs w:val="23"/>
          <w:bdr w:val="none" w:sz="0" w:space="0" w:color="auto" w:frame="1"/>
          <w:shd w:val="clear" w:color="auto" w:fill="FFFFFF"/>
        </w:rPr>
        <w:t> </w:t>
      </w:r>
      <w:r>
        <w:rPr>
          <w:rStyle w:val="containing-site"/>
          <w:rFonts w:ascii="Source Sans Pro" w:hAnsi="Source Sans Pro"/>
          <w:color w:val="2A2A2A"/>
          <w:sz w:val="23"/>
          <w:szCs w:val="23"/>
          <w:bdr w:val="none" w:sz="0" w:space="0" w:color="auto" w:frame="1"/>
          <w:shd w:val="clear" w:color="auto" w:fill="FFFFFF"/>
        </w:rPr>
        <w:t>Oxford Academic</w:t>
      </w:r>
      <w:r>
        <w:rPr>
          <w:rStyle w:val="online-publication-date"/>
          <w:rFonts w:ascii="Source Sans Pro" w:hAnsi="Source Sans Pro"/>
          <w:color w:val="2A2A2A"/>
          <w:sz w:val="23"/>
          <w:szCs w:val="23"/>
          <w:bdr w:val="none" w:sz="0" w:space="0" w:color="auto" w:frame="1"/>
          <w:shd w:val="clear" w:color="auto" w:fill="FFFFFF"/>
        </w:rPr>
        <w:t>, 2018</w:t>
      </w:r>
      <w:r>
        <w:rPr>
          <w:rFonts w:ascii="Source Sans Pro" w:hAnsi="Source Sans Pro"/>
          <w:color w:val="2A2A2A"/>
          <w:sz w:val="23"/>
          <w:szCs w:val="23"/>
          <w:shd w:val="clear" w:color="auto" w:fill="FFFFFF"/>
        </w:rPr>
        <w:t>)</w:t>
      </w:r>
    </w:p>
    <w:p w14:paraId="3482D2B8" w14:textId="77777777" w:rsidR="005E1816" w:rsidRDefault="005E1816" w:rsidP="00821506">
      <w:pPr>
        <w:shd w:val="clear" w:color="auto" w:fill="FFFFFF"/>
        <w:rPr>
          <w:rFonts w:eastAsia="Times New Roman" w:cs="Segoe UI"/>
          <w:color w:val="1D2125"/>
          <w:lang w:eastAsia="en-GB"/>
        </w:rPr>
      </w:pPr>
    </w:p>
    <w:p w14:paraId="6DB564E1" w14:textId="77777777" w:rsidR="00A24E15" w:rsidRDefault="00A24E15" w:rsidP="00A24E15">
      <w:pPr>
        <w:shd w:val="clear" w:color="auto" w:fill="FFFFFF"/>
        <w:rPr>
          <w:rFonts w:eastAsia="Times New Roman" w:cs="Segoe UI"/>
          <w:color w:val="1D2125"/>
          <w:lang w:eastAsia="en-GB"/>
        </w:rPr>
      </w:pPr>
      <w:r w:rsidRPr="00A24E15">
        <w:rPr>
          <w:rFonts w:eastAsia="Times New Roman" w:cs="Segoe UI"/>
          <w:color w:val="1D2125"/>
          <w:lang w:eastAsia="en-GB"/>
        </w:rPr>
        <w:t xml:space="preserve">Thompson, M.M., ‘The Historical Jesus and the Johannine Christ’, </w:t>
      </w:r>
      <w:r w:rsidRPr="00A24E15">
        <w:rPr>
          <w:rFonts w:eastAsia="Times New Roman" w:cs="Segoe UI"/>
          <w:i/>
          <w:iCs/>
          <w:color w:val="1D2125"/>
          <w:lang w:eastAsia="en-GB"/>
        </w:rPr>
        <w:t xml:space="preserve">Exploring the Gospel of John, </w:t>
      </w:r>
      <w:r w:rsidRPr="00A24E15">
        <w:rPr>
          <w:rFonts w:eastAsia="Times New Roman" w:cs="Segoe UI"/>
          <w:color w:val="1D2125"/>
          <w:lang w:eastAsia="en-GB"/>
        </w:rPr>
        <w:t xml:space="preserve">eds. R.A. Culpepper and C.C. Black (Louisville: Westminster John Knox Press, 1992), 21-42. </w:t>
      </w:r>
    </w:p>
    <w:p w14:paraId="17999955" w14:textId="77777777" w:rsidR="004538BB" w:rsidRDefault="004538BB" w:rsidP="00A24E15">
      <w:pPr>
        <w:shd w:val="clear" w:color="auto" w:fill="FFFFFF"/>
        <w:rPr>
          <w:rFonts w:eastAsia="Times New Roman" w:cs="Segoe UI"/>
          <w:color w:val="1D2125"/>
          <w:lang w:eastAsia="en-GB"/>
        </w:rPr>
      </w:pPr>
    </w:p>
    <w:p w14:paraId="4E30099C" w14:textId="6CBAF4CD" w:rsidR="004538BB" w:rsidRPr="00A24E15" w:rsidRDefault="004538BB" w:rsidP="00A24E15">
      <w:pPr>
        <w:shd w:val="clear" w:color="auto" w:fill="FFFFFF"/>
        <w:rPr>
          <w:rFonts w:eastAsia="Times New Roman" w:cs="Segoe UI"/>
          <w:color w:val="1D2125"/>
          <w:lang w:eastAsia="en-GB"/>
        </w:rPr>
      </w:pPr>
      <w:r>
        <w:rPr>
          <w:rFonts w:eastAsia="Times New Roman" w:cs="Segoe UI"/>
          <w:color w:val="1D2125"/>
          <w:lang w:eastAsia="en-GB"/>
        </w:rPr>
        <w:t>Van Belle G</w:t>
      </w:r>
      <w:r w:rsidRPr="00A24E15">
        <w:rPr>
          <w:rFonts w:eastAsia="Times New Roman" w:cs="Segoe UI"/>
          <w:color w:val="1D2125"/>
          <w:lang w:eastAsia="en-GB"/>
        </w:rPr>
        <w:t xml:space="preserve">., </w:t>
      </w:r>
      <w:r w:rsidR="000055DC">
        <w:rPr>
          <w:rFonts w:eastAsia="Times New Roman" w:cs="Segoe UI"/>
          <w:i/>
          <w:iCs/>
          <w:color w:val="1D2125"/>
          <w:lang w:eastAsia="en-GB"/>
        </w:rPr>
        <w:t xml:space="preserve">with </w:t>
      </w:r>
      <w:r w:rsidR="000055DC">
        <w:rPr>
          <w:rFonts w:eastAsia="Times New Roman" w:cs="Segoe UI"/>
          <w:color w:val="1D2125"/>
          <w:lang w:eastAsia="en-GB"/>
        </w:rPr>
        <w:t xml:space="preserve">Sydney Palmer, </w:t>
      </w:r>
      <w:r w:rsidRPr="00A24E15">
        <w:rPr>
          <w:rFonts w:eastAsia="Times New Roman" w:cs="Segoe UI"/>
          <w:color w:val="1D2125"/>
          <w:lang w:eastAsia="en-GB"/>
        </w:rPr>
        <w:t>‘John</w:t>
      </w:r>
      <w:r>
        <w:rPr>
          <w:rFonts w:eastAsia="Times New Roman" w:cs="Segoe UI"/>
          <w:color w:val="1D2125"/>
          <w:lang w:eastAsia="en-GB"/>
        </w:rPr>
        <w:t>’s Literary Unity and the problem of Historicity’</w:t>
      </w:r>
      <w:r w:rsidRPr="00A24E15">
        <w:rPr>
          <w:rFonts w:eastAsia="Times New Roman" w:cs="Segoe UI"/>
          <w:color w:val="1D2125"/>
          <w:lang w:eastAsia="en-GB"/>
        </w:rPr>
        <w:t xml:space="preserve">, </w:t>
      </w:r>
      <w:r w:rsidRPr="00A24E15">
        <w:rPr>
          <w:rFonts w:eastAsia="Times New Roman" w:cs="Segoe UI"/>
          <w:i/>
          <w:iCs/>
          <w:color w:val="1D2125"/>
          <w:lang w:eastAsia="en-GB"/>
        </w:rPr>
        <w:t xml:space="preserve">John, Jesus and History, Volume 1: Critical Appraisals of Critical Views, </w:t>
      </w:r>
      <w:r w:rsidRPr="00A24E15">
        <w:rPr>
          <w:rFonts w:eastAsia="Times New Roman" w:cs="Segoe UI"/>
          <w:color w:val="1D2125"/>
          <w:lang w:eastAsia="en-GB"/>
        </w:rPr>
        <w:t xml:space="preserve">eds. P.N. Anderson, F. Just, T. Thatcher (Atlanta: SBL, 2007), </w:t>
      </w:r>
      <w:r>
        <w:rPr>
          <w:rFonts w:eastAsia="Times New Roman" w:cs="Segoe UI"/>
          <w:color w:val="1D2125"/>
          <w:lang w:eastAsia="en-GB"/>
        </w:rPr>
        <w:t>217</w:t>
      </w:r>
      <w:r w:rsidRPr="00A24E15">
        <w:rPr>
          <w:rFonts w:eastAsia="Times New Roman" w:cs="Segoe UI"/>
          <w:color w:val="1D2125"/>
          <w:lang w:eastAsia="en-GB"/>
        </w:rPr>
        <w:t>-</w:t>
      </w:r>
      <w:r>
        <w:rPr>
          <w:rFonts w:eastAsia="Times New Roman" w:cs="Segoe UI"/>
          <w:color w:val="1D2125"/>
          <w:lang w:eastAsia="en-GB"/>
        </w:rPr>
        <w:t>22</w:t>
      </w:r>
      <w:r w:rsidRPr="00A24E15">
        <w:rPr>
          <w:rFonts w:eastAsia="Times New Roman" w:cs="Segoe UI"/>
          <w:color w:val="1D2125"/>
          <w:lang w:eastAsia="en-GB"/>
        </w:rPr>
        <w:t>8.</w:t>
      </w:r>
    </w:p>
    <w:p w14:paraId="081DCEDB" w14:textId="77777777" w:rsidR="00A24E15" w:rsidRPr="00A24E15" w:rsidRDefault="00A24E15" w:rsidP="00821506">
      <w:pPr>
        <w:shd w:val="clear" w:color="auto" w:fill="FFFFFF"/>
        <w:rPr>
          <w:rFonts w:eastAsia="Times New Roman" w:cs="Segoe UI"/>
          <w:color w:val="1D2125"/>
          <w:lang w:eastAsia="en-GB"/>
        </w:rPr>
      </w:pPr>
    </w:p>
    <w:p w14:paraId="5E10A0E3" w14:textId="77777777" w:rsidR="00A24E15" w:rsidRDefault="00A24E15" w:rsidP="00821506">
      <w:pPr>
        <w:shd w:val="clear" w:color="auto" w:fill="FFFFFF"/>
        <w:rPr>
          <w:rFonts w:eastAsia="Times New Roman" w:cs="Segoe UI"/>
          <w:color w:val="1D2125"/>
          <w:lang w:eastAsia="en-GB"/>
        </w:rPr>
      </w:pPr>
    </w:p>
    <w:p w14:paraId="7220FDEB" w14:textId="77777777" w:rsidR="00A24E15" w:rsidRDefault="00A24E15" w:rsidP="00821506">
      <w:pPr>
        <w:shd w:val="clear" w:color="auto" w:fill="FFFFFF"/>
        <w:rPr>
          <w:rFonts w:eastAsia="Times New Roman" w:cs="Segoe UI"/>
          <w:color w:val="1D2125"/>
          <w:lang w:eastAsia="en-GB"/>
        </w:rPr>
      </w:pPr>
    </w:p>
    <w:p w14:paraId="78EBCF39" w14:textId="77777777" w:rsidR="00DD356F" w:rsidRDefault="00DD356F" w:rsidP="00821506">
      <w:pPr>
        <w:shd w:val="clear" w:color="auto" w:fill="FFFFFF"/>
        <w:rPr>
          <w:rFonts w:eastAsia="Times New Roman" w:cs="Segoe UI"/>
          <w:color w:val="1D2125"/>
          <w:lang w:eastAsia="en-GB"/>
        </w:rPr>
      </w:pPr>
    </w:p>
    <w:p w14:paraId="1BDC8366" w14:textId="77777777" w:rsidR="00DD356F" w:rsidRDefault="00DD356F" w:rsidP="00821506">
      <w:pPr>
        <w:shd w:val="clear" w:color="auto" w:fill="FFFFFF"/>
        <w:rPr>
          <w:rFonts w:eastAsia="Times New Roman" w:cs="Segoe UI"/>
          <w:color w:val="1D2125"/>
          <w:lang w:eastAsia="en-GB"/>
        </w:rPr>
      </w:pPr>
    </w:p>
    <w:p w14:paraId="0614B401" w14:textId="77777777" w:rsidR="00DD356F" w:rsidRDefault="00DD356F" w:rsidP="00821506">
      <w:pPr>
        <w:shd w:val="clear" w:color="auto" w:fill="FFFFFF"/>
        <w:rPr>
          <w:rFonts w:eastAsia="Times New Roman" w:cs="Segoe UI"/>
          <w:color w:val="1D2125"/>
          <w:lang w:eastAsia="en-GB"/>
        </w:rPr>
      </w:pPr>
    </w:p>
    <w:p w14:paraId="31DCF6A9" w14:textId="77777777" w:rsidR="00DD356F" w:rsidRDefault="00DD356F" w:rsidP="00821506">
      <w:pPr>
        <w:shd w:val="clear" w:color="auto" w:fill="FFFFFF"/>
        <w:rPr>
          <w:rFonts w:eastAsia="Times New Roman" w:cs="Segoe UI"/>
          <w:color w:val="1D2125"/>
          <w:lang w:eastAsia="en-GB"/>
        </w:rPr>
      </w:pPr>
    </w:p>
    <w:p w14:paraId="70066FC6" w14:textId="77777777" w:rsidR="00DD356F" w:rsidRPr="00821506" w:rsidRDefault="00DD356F" w:rsidP="00821506">
      <w:pPr>
        <w:shd w:val="clear" w:color="auto" w:fill="FFFFFF"/>
        <w:rPr>
          <w:rFonts w:eastAsia="Times New Roman" w:cs="Segoe UI"/>
          <w:color w:val="1D2125"/>
          <w:lang w:eastAsia="en-GB"/>
        </w:rPr>
      </w:pPr>
    </w:p>
    <w:sectPr w:rsidR="00DD356F" w:rsidRPr="008215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846EC" w14:textId="77777777" w:rsidR="000C2936" w:rsidRDefault="000C2936" w:rsidP="00821506">
      <w:r>
        <w:separator/>
      </w:r>
    </w:p>
  </w:endnote>
  <w:endnote w:type="continuationSeparator" w:id="0">
    <w:p w14:paraId="5F17580A" w14:textId="77777777" w:rsidR="000C2936" w:rsidRDefault="000C2936" w:rsidP="00821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inheri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E8B9F" w14:textId="77777777" w:rsidR="000C2936" w:rsidRDefault="000C2936" w:rsidP="00821506">
      <w:r>
        <w:separator/>
      </w:r>
    </w:p>
  </w:footnote>
  <w:footnote w:type="continuationSeparator" w:id="0">
    <w:p w14:paraId="14C4F862" w14:textId="77777777" w:rsidR="000C2936" w:rsidRDefault="000C2936" w:rsidP="00821506">
      <w:r>
        <w:continuationSeparator/>
      </w:r>
    </w:p>
  </w:footnote>
  <w:footnote w:id="1">
    <w:p w14:paraId="458E63F2" w14:textId="46800AA3" w:rsidR="00176A67" w:rsidRDefault="00176A67">
      <w:pPr>
        <w:pStyle w:val="FootnoteText"/>
      </w:pPr>
      <w:r>
        <w:rPr>
          <w:rStyle w:val="FootnoteReference"/>
        </w:rPr>
        <w:footnoteRef/>
      </w:r>
      <w:r>
        <w:t xml:space="preserve"> Some have pointed to the interview with the Samaritan woman (4:7-42), but, unlike in this </w:t>
      </w:r>
      <w:r w:rsidR="00FC5217">
        <w:t>instance,</w:t>
      </w:r>
      <w:r>
        <w:t xml:space="preserve"> it is </w:t>
      </w:r>
      <w:r w:rsidR="00FC5217">
        <w:t>certainly possible</w:t>
      </w:r>
      <w:r>
        <w:t xml:space="preserve"> that </w:t>
      </w:r>
      <w:r w:rsidR="00FC5217">
        <w:t>th</w:t>
      </w:r>
      <w:r w:rsidR="00A77449">
        <w:t>at</w:t>
      </w:r>
      <w:r w:rsidR="00FC5217">
        <w:t xml:space="preserve"> conversation would have been reported, if only by the woman herself. </w:t>
      </w:r>
    </w:p>
  </w:footnote>
  <w:footnote w:id="2">
    <w:p w14:paraId="62393E81" w14:textId="2F2429DF" w:rsidR="00176A67" w:rsidRDefault="00176A67">
      <w:pPr>
        <w:pStyle w:val="FootnoteText"/>
      </w:pPr>
      <w:r>
        <w:rPr>
          <w:rStyle w:val="FootnoteReference"/>
        </w:rPr>
        <w:footnoteRef/>
      </w:r>
      <w:r>
        <w:t xml:space="preserve"> Pilate’s understanding of ‘truth’ is clearly far removed from the conception that Jesus is trying to share with him. </w:t>
      </w:r>
    </w:p>
  </w:footnote>
  <w:footnote w:id="3">
    <w:p w14:paraId="55FD6442" w14:textId="5B55FBBF" w:rsidR="00E15EE2" w:rsidRDefault="00E15EE2">
      <w:pPr>
        <w:pStyle w:val="FootnoteText"/>
      </w:pPr>
      <w:r>
        <w:rPr>
          <w:rStyle w:val="FootnoteReference"/>
        </w:rPr>
        <w:footnoteRef/>
      </w:r>
      <w:r>
        <w:t xml:space="preserve"> As per Clement of Alexandria, quoted in Eusebius’ Ecclesiastical History: 6.14.7, speaking of John’s as the ‘Spiritual Gospel’.</w:t>
      </w:r>
    </w:p>
  </w:footnote>
  <w:footnote w:id="4">
    <w:p w14:paraId="13232B14" w14:textId="7A03E46E" w:rsidR="00491765" w:rsidRPr="00491765" w:rsidRDefault="00491765">
      <w:pPr>
        <w:pStyle w:val="FootnoteText"/>
      </w:pPr>
      <w:r>
        <w:rPr>
          <w:rStyle w:val="FootnoteReference"/>
        </w:rPr>
        <w:footnoteRef/>
      </w:r>
      <w:r>
        <w:t xml:space="preserve"> </w:t>
      </w:r>
      <w:r w:rsidR="0094578A">
        <w:t xml:space="preserve">Jens </w:t>
      </w:r>
      <w:proofErr w:type="spellStart"/>
      <w:r w:rsidRPr="00491765">
        <w:t>Schröter</w:t>
      </w:r>
      <w:proofErr w:type="spellEnd"/>
      <w:r w:rsidRPr="00491765">
        <w:t xml:space="preserve">, The Gospels as Eyewitness Testimony? A Critical Examination of Richard Bauckham's </w:t>
      </w:r>
      <w:r w:rsidRPr="00491765">
        <w:rPr>
          <w:i/>
          <w:iCs/>
        </w:rPr>
        <w:t>Jesus and the Eyewitnesse</w:t>
      </w:r>
      <w:r w:rsidRPr="00491765">
        <w:t xml:space="preserve">s, </w:t>
      </w:r>
      <w:r w:rsidRPr="00491765">
        <w:rPr>
          <w:i/>
          <w:iCs/>
        </w:rPr>
        <w:t xml:space="preserve">Journal for the Study of the New Testament 31(2) </w:t>
      </w:r>
      <w:r w:rsidRPr="00491765">
        <w:t>(2008),195-209</w:t>
      </w:r>
      <w:r w:rsidRPr="00491765">
        <w:rPr>
          <w:b/>
          <w:bCs/>
        </w:rPr>
        <w:t xml:space="preserve"> </w:t>
      </w:r>
      <w:r w:rsidRPr="00491765">
        <w:t>– a review</w:t>
      </w:r>
      <w:r w:rsidR="007878FE">
        <w:t>.</w:t>
      </w:r>
      <w:r w:rsidRPr="00491765">
        <w:t xml:space="preserve"> </w:t>
      </w:r>
    </w:p>
  </w:footnote>
  <w:footnote w:id="5">
    <w:p w14:paraId="07FC448A" w14:textId="098294D9" w:rsidR="0072734D" w:rsidRDefault="0072734D">
      <w:pPr>
        <w:pStyle w:val="FootnoteText"/>
      </w:pPr>
      <w:r>
        <w:rPr>
          <w:rStyle w:val="FootnoteReference"/>
        </w:rPr>
        <w:footnoteRef/>
      </w:r>
      <w:r>
        <w:t xml:space="preserve"> Richard Bauckham’s book </w:t>
      </w:r>
      <w:r w:rsidRPr="00491765">
        <w:rPr>
          <w:i/>
          <w:iCs/>
        </w:rPr>
        <w:t>Jesus and the Eyewitnesses: The Gospels as Eyewitness Testimony</w:t>
      </w:r>
      <w:r>
        <w:t xml:space="preserve"> (Grand Rapids: Eerdmans Publishing, 2008)</w:t>
      </w:r>
      <w:r w:rsidR="007878FE">
        <w:t>.</w:t>
      </w:r>
    </w:p>
  </w:footnote>
  <w:footnote w:id="6">
    <w:p w14:paraId="429EF0E5" w14:textId="527E5936" w:rsidR="00CB282D" w:rsidRDefault="00CB282D">
      <w:pPr>
        <w:pStyle w:val="FootnoteText"/>
      </w:pPr>
      <w:r>
        <w:rPr>
          <w:rStyle w:val="FootnoteReference"/>
        </w:rPr>
        <w:footnoteRef/>
      </w:r>
      <w:r>
        <w:t xml:space="preserve"> As Schröter notes, Bauckham wishes to show that ‘those persons who were themselves involved in the events, and therefore are reliable witnesses, transmitted the Jesus traditions from the beginning.’ (p197)</w:t>
      </w:r>
    </w:p>
  </w:footnote>
  <w:footnote w:id="7">
    <w:p w14:paraId="5F88AE46" w14:textId="345FF81D" w:rsidR="009F0E1E" w:rsidRDefault="009F0E1E">
      <w:pPr>
        <w:pStyle w:val="FootnoteText"/>
      </w:pPr>
      <w:r>
        <w:rPr>
          <w:rStyle w:val="FootnoteReference"/>
        </w:rPr>
        <w:footnoteRef/>
      </w:r>
      <w:r>
        <w:t xml:space="preserve"> The idea of ‘critical distance’, however, is generally not required in eyewitness accounts. The critical distance comes from the objective assessment of the subjective experience as described.</w:t>
      </w:r>
    </w:p>
  </w:footnote>
  <w:footnote w:id="8">
    <w:p w14:paraId="3A3A6987" w14:textId="7194F017" w:rsidR="009F0E1E" w:rsidRDefault="009F0E1E">
      <w:pPr>
        <w:pStyle w:val="FootnoteText"/>
      </w:pPr>
      <w:r>
        <w:rPr>
          <w:rStyle w:val="FootnoteReference"/>
        </w:rPr>
        <w:footnoteRef/>
      </w:r>
      <w:r>
        <w:t xml:space="preserve"> </w:t>
      </w:r>
      <w:r w:rsidR="0094578A">
        <w:t xml:space="preserve">Richard </w:t>
      </w:r>
      <w:r w:rsidRPr="009F0E1E">
        <w:t xml:space="preserve">Bauckham, ‘Eyewitnesses and Critical History: A Response to Jens </w:t>
      </w:r>
      <w:proofErr w:type="spellStart"/>
      <w:r w:rsidRPr="009F0E1E">
        <w:t>Schröter</w:t>
      </w:r>
      <w:proofErr w:type="spellEnd"/>
      <w:r w:rsidRPr="009F0E1E">
        <w:t xml:space="preserve"> and Craig Evans’</w:t>
      </w:r>
      <w:r w:rsidRPr="009F0E1E">
        <w:rPr>
          <w:b/>
          <w:bCs/>
        </w:rPr>
        <w:t xml:space="preserve">, </w:t>
      </w:r>
      <w:r w:rsidRPr="009F0E1E">
        <w:rPr>
          <w:i/>
          <w:iCs/>
        </w:rPr>
        <w:t xml:space="preserve">Journal for the Study of the New Testament 31(2) </w:t>
      </w:r>
      <w:r w:rsidRPr="009F0E1E">
        <w:t>(2008), 221-235</w:t>
      </w:r>
      <w:r w:rsidR="007878FE">
        <w:t>.</w:t>
      </w:r>
    </w:p>
  </w:footnote>
  <w:footnote w:id="9">
    <w:p w14:paraId="64F6F2AA" w14:textId="596F5CE5" w:rsidR="00852BA8" w:rsidRDefault="00852BA8">
      <w:pPr>
        <w:pStyle w:val="FootnoteText"/>
      </w:pPr>
      <w:r>
        <w:rPr>
          <w:rStyle w:val="FootnoteReference"/>
        </w:rPr>
        <w:footnoteRef/>
      </w:r>
      <w:r>
        <w:t xml:space="preserve"> Here he compares the Gospel accounts to the accounts of Holocaust witnesses.</w:t>
      </w:r>
    </w:p>
  </w:footnote>
  <w:footnote w:id="10">
    <w:p w14:paraId="255C2D15" w14:textId="1D1063DA" w:rsidR="00E811E5" w:rsidRDefault="00E811E5">
      <w:pPr>
        <w:pStyle w:val="FootnoteText"/>
      </w:pPr>
      <w:r>
        <w:rPr>
          <w:rStyle w:val="FootnoteReference"/>
        </w:rPr>
        <w:footnoteRef/>
      </w:r>
      <w:r>
        <w:t xml:space="preserve"> ‘</w:t>
      </w:r>
      <w:r w:rsidRPr="007C0A98">
        <w:t>The striving for objectivity that is characteristic of modernist history and that has much to be said for it does run the risk of reducing history to the usually rather limited dimensions of a modern historian's experience of life.</w:t>
      </w:r>
      <w:r>
        <w:t xml:space="preserve">’ </w:t>
      </w:r>
    </w:p>
  </w:footnote>
  <w:footnote w:id="11">
    <w:p w14:paraId="112A82F5" w14:textId="79CBA973" w:rsidR="004964AB" w:rsidRDefault="004964AB">
      <w:pPr>
        <w:pStyle w:val="FootnoteText"/>
      </w:pPr>
      <w:r>
        <w:rPr>
          <w:rStyle w:val="FootnoteReference"/>
        </w:rPr>
        <w:footnoteRef/>
      </w:r>
      <w:r>
        <w:t xml:space="preserve"> </w:t>
      </w:r>
      <w:r w:rsidR="00830AC6">
        <w:t xml:space="preserve">Arthur J. </w:t>
      </w:r>
      <w:r w:rsidRPr="004964AB">
        <w:t xml:space="preserve">Dewey, ‘The Eyewitness of History’, </w:t>
      </w:r>
      <w:r w:rsidRPr="004964AB">
        <w:rPr>
          <w:i/>
          <w:iCs/>
        </w:rPr>
        <w:t xml:space="preserve">Jesus in Johannine Tradition, </w:t>
      </w:r>
      <w:r w:rsidRPr="004964AB">
        <w:t>eds. R.T. Fortna and T. Thatcher (Louisville: Westminster John Knox Press, 2001), 59-70</w:t>
      </w:r>
      <w:r w:rsidR="007878FE">
        <w:t>.</w:t>
      </w:r>
    </w:p>
  </w:footnote>
  <w:footnote w:id="12">
    <w:p w14:paraId="60AD1DC7" w14:textId="15308DCD" w:rsidR="004964AB" w:rsidRDefault="004964AB">
      <w:pPr>
        <w:pStyle w:val="FootnoteText"/>
      </w:pPr>
      <w:r>
        <w:rPr>
          <w:rStyle w:val="FootnoteReference"/>
        </w:rPr>
        <w:footnoteRef/>
      </w:r>
      <w:r>
        <w:t xml:space="preserve"> As for example in John 21:24 of the Beloved Disciple: ‘</w:t>
      </w:r>
      <w:r w:rsidRPr="004964AB">
        <w:t>This is the disciple who is testifying to these things and has written them, and we know that his testimony is true.</w:t>
      </w:r>
      <w:r>
        <w:t>’</w:t>
      </w:r>
    </w:p>
  </w:footnote>
  <w:footnote w:id="13">
    <w:p w14:paraId="625E4879" w14:textId="4827CC7A" w:rsidR="00535159" w:rsidRDefault="00535159">
      <w:pPr>
        <w:pStyle w:val="FootnoteText"/>
      </w:pPr>
      <w:r>
        <w:rPr>
          <w:rStyle w:val="FootnoteReference"/>
        </w:rPr>
        <w:footnoteRef/>
      </w:r>
      <w:r>
        <w:t xml:space="preserve"> The term for </w:t>
      </w:r>
      <w:r w:rsidRPr="00535159">
        <w:t xml:space="preserve">the breaking of the legs of those </w:t>
      </w:r>
      <w:r>
        <w:t xml:space="preserve">who have been </w:t>
      </w:r>
      <w:r w:rsidRPr="00535159">
        <w:t>crucified</w:t>
      </w:r>
      <w:r>
        <w:t>, a common procedure for those victims who were slow to die.</w:t>
      </w:r>
    </w:p>
  </w:footnote>
  <w:footnote w:id="14">
    <w:p w14:paraId="12BBF86A" w14:textId="73093BA0" w:rsidR="00BD0829" w:rsidRDefault="00BD0829">
      <w:pPr>
        <w:pStyle w:val="FootnoteText"/>
      </w:pPr>
      <w:r>
        <w:rPr>
          <w:rStyle w:val="FootnoteReference"/>
        </w:rPr>
        <w:footnoteRef/>
      </w:r>
      <w:r>
        <w:t xml:space="preserve"> It may be derived from the Gospel of Peter, in which case </w:t>
      </w:r>
      <w:r w:rsidR="000B68EE">
        <w:t xml:space="preserve">it cannot be taken as </w:t>
      </w:r>
      <w:r>
        <w:t>eyewitness testimony</w:t>
      </w:r>
      <w:r w:rsidR="000B68EE">
        <w:t>.</w:t>
      </w:r>
      <w:r>
        <w:t xml:space="preserve"> </w:t>
      </w:r>
    </w:p>
  </w:footnote>
  <w:footnote w:id="15">
    <w:p w14:paraId="4785973A" w14:textId="2906D929" w:rsidR="00032AE0" w:rsidRDefault="00032AE0">
      <w:pPr>
        <w:pStyle w:val="FootnoteText"/>
      </w:pPr>
      <w:r>
        <w:rPr>
          <w:rStyle w:val="FootnoteReference"/>
        </w:rPr>
        <w:footnoteRef/>
      </w:r>
      <w:r>
        <w:t xml:space="preserve"> </w:t>
      </w:r>
      <w:r w:rsidR="00830AC6">
        <w:t xml:space="preserve">M. David </w:t>
      </w:r>
      <w:r w:rsidRPr="00A24E15">
        <w:rPr>
          <w:rFonts w:eastAsia="Times New Roman" w:cs="Segoe UI"/>
          <w:color w:val="1D2125"/>
          <w:lang w:eastAsia="en-GB"/>
        </w:rPr>
        <w:t xml:space="preserve">Litwa, ‘Literary Eyewitnesses: The Appeal to an Eyewitness in John and Contemporaneous Literature’, </w:t>
      </w:r>
      <w:r w:rsidRPr="00A24E15">
        <w:rPr>
          <w:rFonts w:eastAsia="Times New Roman" w:cs="Segoe UI"/>
          <w:i/>
          <w:iCs/>
          <w:color w:val="1D2125"/>
          <w:lang w:eastAsia="en-GB"/>
        </w:rPr>
        <w:t>N</w:t>
      </w:r>
      <w:r>
        <w:rPr>
          <w:rFonts w:eastAsia="Times New Roman" w:cs="Segoe UI"/>
          <w:i/>
          <w:iCs/>
          <w:color w:val="1D2125"/>
          <w:lang w:eastAsia="en-GB"/>
        </w:rPr>
        <w:t xml:space="preserve">ew </w:t>
      </w:r>
      <w:r w:rsidRPr="00A24E15">
        <w:rPr>
          <w:rFonts w:eastAsia="Times New Roman" w:cs="Segoe UI"/>
          <w:i/>
          <w:iCs/>
          <w:color w:val="1D2125"/>
          <w:lang w:eastAsia="en-GB"/>
        </w:rPr>
        <w:t>T</w:t>
      </w:r>
      <w:r>
        <w:rPr>
          <w:rFonts w:eastAsia="Times New Roman" w:cs="Segoe UI"/>
          <w:i/>
          <w:iCs/>
          <w:color w:val="1D2125"/>
          <w:lang w:eastAsia="en-GB"/>
        </w:rPr>
        <w:t xml:space="preserve">estament </w:t>
      </w:r>
      <w:r w:rsidRPr="00A24E15">
        <w:rPr>
          <w:rFonts w:eastAsia="Times New Roman" w:cs="Segoe UI"/>
          <w:i/>
          <w:iCs/>
          <w:color w:val="1D2125"/>
          <w:lang w:eastAsia="en-GB"/>
        </w:rPr>
        <w:t>S</w:t>
      </w:r>
      <w:r>
        <w:rPr>
          <w:rFonts w:eastAsia="Times New Roman" w:cs="Segoe UI"/>
          <w:i/>
          <w:iCs/>
          <w:color w:val="1D2125"/>
          <w:lang w:eastAsia="en-GB"/>
        </w:rPr>
        <w:t>tudies</w:t>
      </w:r>
      <w:r w:rsidRPr="00A24E15">
        <w:rPr>
          <w:rFonts w:eastAsia="Times New Roman" w:cs="Segoe UI"/>
          <w:i/>
          <w:iCs/>
          <w:color w:val="1D2125"/>
          <w:lang w:eastAsia="en-GB"/>
        </w:rPr>
        <w:t xml:space="preserve"> </w:t>
      </w:r>
      <w:r w:rsidRPr="00A24E15">
        <w:rPr>
          <w:rFonts w:eastAsia="Times New Roman" w:cs="Segoe UI"/>
          <w:color w:val="1D2125"/>
          <w:lang w:eastAsia="en-GB"/>
        </w:rPr>
        <w:t>64</w:t>
      </w:r>
      <w:r>
        <w:rPr>
          <w:rFonts w:eastAsia="Times New Roman" w:cs="Segoe UI"/>
          <w:color w:val="1D2125"/>
          <w:lang w:eastAsia="en-GB"/>
        </w:rPr>
        <w:t xml:space="preserve"> (2018)</w:t>
      </w:r>
      <w:r w:rsidRPr="00A24E15">
        <w:rPr>
          <w:rFonts w:eastAsia="Times New Roman" w:cs="Segoe UI"/>
          <w:color w:val="1D2125"/>
          <w:lang w:eastAsia="en-GB"/>
        </w:rPr>
        <w:t xml:space="preserve"> 343-61</w:t>
      </w:r>
      <w:r w:rsidR="007878FE">
        <w:rPr>
          <w:rFonts w:eastAsia="Times New Roman" w:cs="Segoe UI"/>
          <w:color w:val="1D2125"/>
          <w:lang w:eastAsia="en-GB"/>
        </w:rPr>
        <w:t>.</w:t>
      </w:r>
    </w:p>
  </w:footnote>
  <w:footnote w:id="16">
    <w:p w14:paraId="7AEF38F7" w14:textId="55A3CA32" w:rsidR="00531B50" w:rsidRDefault="00531B50">
      <w:pPr>
        <w:pStyle w:val="FootnoteText"/>
      </w:pPr>
      <w:r>
        <w:rPr>
          <w:rStyle w:val="FootnoteReference"/>
        </w:rPr>
        <w:footnoteRef/>
      </w:r>
      <w:r>
        <w:t xml:space="preserve"> </w:t>
      </w:r>
      <w:r w:rsidR="00535159">
        <w:t>The alignment of</w:t>
      </w:r>
      <w:r w:rsidRPr="00531B50">
        <w:t xml:space="preserve"> this witness’ interests </w:t>
      </w:r>
      <w:r w:rsidR="00535159">
        <w:t>with</w:t>
      </w:r>
      <w:r w:rsidRPr="00531B50">
        <w:t xml:space="preserve"> those of Philostratus himself</w:t>
      </w:r>
      <w:r w:rsidR="00535159">
        <w:t xml:space="preserve"> gave the lie to the plausibility of his existence</w:t>
      </w:r>
      <w:r>
        <w:t>!</w:t>
      </w:r>
    </w:p>
  </w:footnote>
  <w:footnote w:id="17">
    <w:p w14:paraId="5910C7B8" w14:textId="5DA2C9E0" w:rsidR="00531B50" w:rsidRDefault="00531B50">
      <w:pPr>
        <w:pStyle w:val="FootnoteText"/>
      </w:pPr>
      <w:r>
        <w:rPr>
          <w:rStyle w:val="FootnoteReference"/>
        </w:rPr>
        <w:footnoteRef/>
      </w:r>
      <w:r>
        <w:t xml:space="preserve"> John 21:24 ‘</w:t>
      </w:r>
      <w:r w:rsidRPr="00531B50">
        <w:t>This is the disciple who is testifying to these things and has written them, and we know that his testimony is true.</w:t>
      </w:r>
      <w:r>
        <w:t>’</w:t>
      </w:r>
    </w:p>
  </w:footnote>
  <w:footnote w:id="18">
    <w:p w14:paraId="1DF96ACF" w14:textId="5FE141EF" w:rsidR="007E17A2" w:rsidRDefault="007E17A2" w:rsidP="007E17A2">
      <w:pPr>
        <w:pStyle w:val="FootnoteText"/>
      </w:pPr>
      <w:r>
        <w:rPr>
          <w:rStyle w:val="FootnoteReference"/>
        </w:rPr>
        <w:footnoteRef/>
      </w:r>
      <w:r>
        <w:t xml:space="preserve"> </w:t>
      </w:r>
      <w:r w:rsidR="00830AC6">
        <w:t xml:space="preserve">Ruth </w:t>
      </w:r>
      <w:r w:rsidRPr="007E17A2">
        <w:t xml:space="preserve">Edwards &amp; </w:t>
      </w:r>
      <w:r w:rsidR="00830AC6">
        <w:t xml:space="preserve">Eric </w:t>
      </w:r>
      <w:r w:rsidRPr="007E17A2">
        <w:t>Franklin,</w:t>
      </w:r>
      <w:r w:rsidR="00830AC6">
        <w:t xml:space="preserve"> </w:t>
      </w:r>
      <w:r w:rsidRPr="007E17A2">
        <w:t xml:space="preserve">‘Two Contrasting Approaches to John’s Gospel’, </w:t>
      </w:r>
      <w:r w:rsidRPr="007E17A2">
        <w:rPr>
          <w:i/>
          <w:iCs/>
        </w:rPr>
        <w:t xml:space="preserve">Expository Times </w:t>
      </w:r>
      <w:r w:rsidRPr="007E17A2">
        <w:t xml:space="preserve">109 (1998), 242-44. </w:t>
      </w:r>
    </w:p>
  </w:footnote>
  <w:footnote w:id="19">
    <w:p w14:paraId="03D8579F" w14:textId="06C5D11D" w:rsidR="007E17A2" w:rsidRPr="006542A9" w:rsidRDefault="007E17A2" w:rsidP="007E17A2">
      <w:pPr>
        <w:pStyle w:val="FootnoteText"/>
      </w:pPr>
      <w:r>
        <w:rPr>
          <w:rStyle w:val="FootnoteReference"/>
        </w:rPr>
        <w:footnoteRef/>
      </w:r>
      <w:r>
        <w:t xml:space="preserve"> </w:t>
      </w:r>
      <w:r w:rsidR="00830AC6">
        <w:t xml:space="preserve">Maurice </w:t>
      </w:r>
      <w:r>
        <w:t xml:space="preserve">Casey, </w:t>
      </w:r>
      <w:r w:rsidRPr="006542A9">
        <w:rPr>
          <w:i/>
          <w:iCs/>
        </w:rPr>
        <w:t>Is John’s Gospel True?</w:t>
      </w:r>
      <w:r>
        <w:rPr>
          <w:i/>
          <w:iCs/>
        </w:rPr>
        <w:t xml:space="preserve"> </w:t>
      </w:r>
      <w:r>
        <w:t>(London: Routledge, 1996), p229</w:t>
      </w:r>
      <w:r w:rsidR="007878FE">
        <w:t>.</w:t>
      </w:r>
    </w:p>
  </w:footnote>
  <w:footnote w:id="20">
    <w:p w14:paraId="3D49FB46" w14:textId="0269811B" w:rsidR="001F4F4E" w:rsidRDefault="001F4F4E">
      <w:pPr>
        <w:pStyle w:val="FootnoteText"/>
      </w:pPr>
      <w:r>
        <w:rPr>
          <w:rStyle w:val="FootnoteReference"/>
        </w:rPr>
        <w:footnoteRef/>
      </w:r>
      <w:r>
        <w:t xml:space="preserve"> In Edwards’ words: </w:t>
      </w:r>
      <w:r w:rsidRPr="001F4F4E">
        <w:t>‘Critical scholars already acknowledge that John’s Gospel offers a creative presentation of Jesus’ ministry in which chronology and strict historical details have been subordinated to theological teaching.’</w:t>
      </w:r>
    </w:p>
  </w:footnote>
  <w:footnote w:id="21">
    <w:p w14:paraId="743D88E0" w14:textId="30549DF7" w:rsidR="001F4F4E" w:rsidRDefault="001F4F4E">
      <w:pPr>
        <w:pStyle w:val="FootnoteText"/>
      </w:pPr>
      <w:r>
        <w:rPr>
          <w:rStyle w:val="FootnoteReference"/>
        </w:rPr>
        <w:footnoteRef/>
      </w:r>
      <w:r>
        <w:t xml:space="preserve"> </w:t>
      </w:r>
      <w:r w:rsidRPr="001F4F4E">
        <w:t>‘</w:t>
      </w:r>
      <w:r w:rsidR="000B68EE">
        <w:t>Even</w:t>
      </w:r>
      <w:r w:rsidRPr="001F4F4E">
        <w:t xml:space="preserve"> the existence of a Johannine ‘community’ is a scholarly hypothesis, not a fact.’</w:t>
      </w:r>
    </w:p>
  </w:footnote>
  <w:footnote w:id="22">
    <w:p w14:paraId="4F1F9B4B" w14:textId="1A6A70F8" w:rsidR="00D06325" w:rsidRDefault="00D06325">
      <w:pPr>
        <w:pStyle w:val="FootnoteText"/>
      </w:pPr>
      <w:r>
        <w:rPr>
          <w:rStyle w:val="FootnoteReference"/>
        </w:rPr>
        <w:footnoteRef/>
      </w:r>
      <w:r>
        <w:t xml:space="preserve"> Op. cit.</w:t>
      </w:r>
    </w:p>
  </w:footnote>
  <w:footnote w:id="23">
    <w:p w14:paraId="2C2ECAD3" w14:textId="77777777" w:rsidR="00B854D2" w:rsidRDefault="00B854D2" w:rsidP="00B854D2">
      <w:pPr>
        <w:pStyle w:val="FootnoteText"/>
      </w:pPr>
      <w:r>
        <w:rPr>
          <w:rStyle w:val="FootnoteReference"/>
        </w:rPr>
        <w:footnoteRef/>
      </w:r>
      <w:r>
        <w:t xml:space="preserve"> ‘He has little time for that position which sees the Fourth Gospel as reflecting a stage in the life of the community which possessed it.’</w:t>
      </w:r>
    </w:p>
  </w:footnote>
  <w:footnote w:id="24">
    <w:p w14:paraId="67EFC7AE" w14:textId="1078B397" w:rsidR="001B22FB" w:rsidRDefault="001B22FB">
      <w:pPr>
        <w:pStyle w:val="FootnoteText"/>
      </w:pPr>
      <w:r>
        <w:rPr>
          <w:rStyle w:val="FootnoteReference"/>
        </w:rPr>
        <w:footnoteRef/>
      </w:r>
      <w:r>
        <w:t xml:space="preserve"> </w:t>
      </w:r>
      <w:r w:rsidR="00830AC6">
        <w:t xml:space="preserve">Gilbert </w:t>
      </w:r>
      <w:r w:rsidRPr="001B22FB">
        <w:t xml:space="preserve">Van Belle, </w:t>
      </w:r>
      <w:r w:rsidRPr="001B22FB">
        <w:rPr>
          <w:i/>
          <w:iCs/>
        </w:rPr>
        <w:t xml:space="preserve">with </w:t>
      </w:r>
      <w:r w:rsidRPr="001B22FB">
        <w:t>S</w:t>
      </w:r>
      <w:r>
        <w:t>ydney</w:t>
      </w:r>
      <w:r w:rsidRPr="001B22FB">
        <w:t xml:space="preserve"> Palmer, ‘John’s Literary Unity and the problem of Historicity’, </w:t>
      </w:r>
      <w:r w:rsidRPr="001B22FB">
        <w:rPr>
          <w:i/>
          <w:iCs/>
        </w:rPr>
        <w:t xml:space="preserve">John, Jesus and History, Volume 1: Critical Appraisals of Critical Views, </w:t>
      </w:r>
      <w:r w:rsidRPr="001B22FB">
        <w:t>eds. P.N. Anderson, F. Just, T. Thatcher (Atlanta: SBL, 2007), 217-228.</w:t>
      </w:r>
    </w:p>
  </w:footnote>
  <w:footnote w:id="25">
    <w:p w14:paraId="7EE813D2" w14:textId="050EB4CC" w:rsidR="00D563BC" w:rsidRDefault="00D563BC">
      <w:pPr>
        <w:pStyle w:val="FootnoteText"/>
      </w:pPr>
      <w:r>
        <w:rPr>
          <w:rStyle w:val="FootnoteReference"/>
        </w:rPr>
        <w:footnoteRef/>
      </w:r>
      <w:r>
        <w:t xml:space="preserve"> This </w:t>
      </w:r>
      <w:r w:rsidR="00E223AD">
        <w:t xml:space="preserve">is </w:t>
      </w:r>
      <w:r>
        <w:t>consonant with David F. Strauss’ description of the Gospel as a ‘seamless robe’.</w:t>
      </w:r>
    </w:p>
  </w:footnote>
  <w:footnote w:id="26">
    <w:p w14:paraId="3DA469B3" w14:textId="6B4138EF" w:rsidR="00B5748A" w:rsidRDefault="00B5748A" w:rsidP="00B5748A">
      <w:pPr>
        <w:pStyle w:val="FootnoteText"/>
      </w:pPr>
      <w:r>
        <w:rPr>
          <w:rStyle w:val="FootnoteReference"/>
        </w:rPr>
        <w:footnoteRef/>
      </w:r>
      <w:r>
        <w:t xml:space="preserve"> Op. cit., p.219: </w:t>
      </w:r>
      <w:r w:rsidRPr="00E223AD">
        <w:t>‘The fine line theses scholars walk reflects the nuanced tension that has developed around the issue of the Gospel of John as a source for the reconstruction of the life of Jesus.’</w:t>
      </w:r>
    </w:p>
  </w:footnote>
  <w:footnote w:id="27">
    <w:p w14:paraId="15F84268" w14:textId="0ACEF3DF" w:rsidR="00B5748A" w:rsidRDefault="00B5748A">
      <w:pPr>
        <w:pStyle w:val="FootnoteText"/>
      </w:pPr>
      <w:r>
        <w:rPr>
          <w:rStyle w:val="FootnoteReference"/>
        </w:rPr>
        <w:footnoteRef/>
      </w:r>
      <w:r>
        <w:t xml:space="preserve"> </w:t>
      </w:r>
      <w:r w:rsidR="00830AC6">
        <w:t xml:space="preserve">D. Moody </w:t>
      </w:r>
      <w:r w:rsidRPr="00B5748A">
        <w:t xml:space="preserve">Smith, ‘Historical Issues and the Problem of John and the Synoptics’, </w:t>
      </w:r>
      <w:r w:rsidRPr="00B5748A">
        <w:rPr>
          <w:i/>
          <w:iCs/>
        </w:rPr>
        <w:t xml:space="preserve">From Jesus to John, </w:t>
      </w:r>
      <w:r w:rsidRPr="00B5748A">
        <w:t xml:space="preserve">ed. M.C. de Boer (Sheffield: JSOT Press, 1993), 252-67. </w:t>
      </w:r>
      <w:r>
        <w:t>On page 253: ‘there is not convincing reason for preferring them (the other Gospels) for historical purposes or on historical grounds.’</w:t>
      </w:r>
    </w:p>
  </w:footnote>
  <w:footnote w:id="28">
    <w:p w14:paraId="6CE4A214" w14:textId="5BB73B3E" w:rsidR="004E125E" w:rsidRDefault="004E125E">
      <w:pPr>
        <w:pStyle w:val="FootnoteText"/>
      </w:pPr>
      <w:r>
        <w:rPr>
          <w:rStyle w:val="FootnoteReference"/>
        </w:rPr>
        <w:footnoteRef/>
      </w:r>
      <w:r>
        <w:t xml:space="preserve"> Van Belle draws on John Robinson (</w:t>
      </w:r>
      <w:r w:rsidR="00830AC6">
        <w:t xml:space="preserve">John A.T. </w:t>
      </w:r>
      <w:r>
        <w:rPr>
          <w:rFonts w:eastAsia="Times New Roman" w:cs="Segoe UI"/>
          <w:color w:val="1D2125"/>
          <w:lang w:eastAsia="en-GB"/>
        </w:rPr>
        <w:t xml:space="preserve">Robinson, </w:t>
      </w:r>
      <w:r>
        <w:rPr>
          <w:rFonts w:eastAsia="Times New Roman" w:cs="Segoe UI"/>
          <w:i/>
          <w:iCs/>
          <w:color w:val="1D2125"/>
          <w:lang w:eastAsia="en-GB"/>
        </w:rPr>
        <w:t xml:space="preserve">Twelve New Testament Studies </w:t>
      </w:r>
      <w:r>
        <w:rPr>
          <w:rFonts w:eastAsia="Times New Roman" w:cs="Segoe UI"/>
          <w:color w:val="1D2125"/>
          <w:lang w:eastAsia="en-GB"/>
        </w:rPr>
        <w:t>(London: SCM 1962) 95.) to outline the conventional wisdom associated with John’s dependence on the Synoptics: John’s reliance on at least one of the Synoptics; his remove (geographically and temporally) from the events and teaching of Jesus; his unhistorical faith perspective; his place at the culmination of Christian theological development at the end of the 1</w:t>
      </w:r>
      <w:r w:rsidRPr="0079637C">
        <w:rPr>
          <w:rFonts w:eastAsia="Times New Roman" w:cs="Segoe UI"/>
          <w:color w:val="1D2125"/>
          <w:vertAlign w:val="superscript"/>
          <w:lang w:eastAsia="en-GB"/>
        </w:rPr>
        <w:t>st</w:t>
      </w:r>
      <w:r>
        <w:rPr>
          <w:rFonts w:eastAsia="Times New Roman" w:cs="Segoe UI"/>
          <w:color w:val="1D2125"/>
          <w:lang w:eastAsia="en-GB"/>
        </w:rPr>
        <w:t xml:space="preserve"> century; and the view he was neither an eyewitness nor the described apostle.</w:t>
      </w:r>
    </w:p>
  </w:footnote>
  <w:footnote w:id="29">
    <w:p w14:paraId="3AE7BFE1" w14:textId="4366585C" w:rsidR="0044151B" w:rsidRDefault="0044151B">
      <w:pPr>
        <w:pStyle w:val="FootnoteText"/>
      </w:pPr>
      <w:r>
        <w:rPr>
          <w:rStyle w:val="FootnoteReference"/>
        </w:rPr>
        <w:footnoteRef/>
      </w:r>
      <w:r>
        <w:t xml:space="preserve"> </w:t>
      </w:r>
      <w:r w:rsidR="00830AC6">
        <w:t xml:space="preserve">D. Moody </w:t>
      </w:r>
      <w:r w:rsidR="00830AC6" w:rsidRPr="00B5748A">
        <w:t xml:space="preserve">Smith, </w:t>
      </w:r>
      <w:r w:rsidRPr="0044151B">
        <w:t xml:space="preserve">‘John: A Source for Jesus Research?’, </w:t>
      </w:r>
      <w:r w:rsidRPr="0044151B">
        <w:rPr>
          <w:i/>
          <w:iCs/>
        </w:rPr>
        <w:t xml:space="preserve">John, Jesus and History, Volume 1: Critical Appraisals of Critical Views, </w:t>
      </w:r>
      <w:r w:rsidRPr="0044151B">
        <w:t xml:space="preserve">eds. P.N. Anderson, F. Just, T. Thatcher (Atlanta: SBL, 2007), 165-78. </w:t>
      </w:r>
      <w:proofErr w:type="spellStart"/>
      <w:r>
        <w:t>Käsemann</w:t>
      </w:r>
      <w:proofErr w:type="spellEnd"/>
      <w:r>
        <w:t xml:space="preserve"> is quoted (</w:t>
      </w:r>
      <w:r w:rsidR="00830AC6">
        <w:t xml:space="preserve">Ernst </w:t>
      </w:r>
      <w:proofErr w:type="spellStart"/>
      <w:r>
        <w:t>Käsemann</w:t>
      </w:r>
      <w:proofErr w:type="spellEnd"/>
      <w:r>
        <w:t xml:space="preserve">, </w:t>
      </w:r>
      <w:r w:rsidRPr="009C3105">
        <w:rPr>
          <w:i/>
          <w:iCs/>
        </w:rPr>
        <w:t>The Testament of Jesus according to John 17</w:t>
      </w:r>
      <w:r>
        <w:t>, trans Gerhard Krodel – Philadelphia:</w:t>
      </w:r>
      <w:r w:rsidRPr="0044151B">
        <w:t xml:space="preserve"> Fortress</w:t>
      </w:r>
      <w:r>
        <w:t xml:space="preserve">, 1968) on page 165. </w:t>
      </w:r>
    </w:p>
  </w:footnote>
  <w:footnote w:id="30">
    <w:p w14:paraId="69D629EE" w14:textId="0B27B042" w:rsidR="00EA5894" w:rsidRPr="00624FDF" w:rsidRDefault="00EA5894">
      <w:pPr>
        <w:pStyle w:val="FootnoteText"/>
      </w:pPr>
      <w:r>
        <w:rPr>
          <w:rStyle w:val="FootnoteReference"/>
        </w:rPr>
        <w:footnoteRef/>
      </w:r>
      <w:r>
        <w:t xml:space="preserve"> For </w:t>
      </w:r>
      <w:r w:rsidR="00624FDF">
        <w:t xml:space="preserve">some key </w:t>
      </w:r>
      <w:r>
        <w:t xml:space="preserve">examples, </w:t>
      </w:r>
      <w:r>
        <w:rPr>
          <w:rFonts w:eastAsia="Times New Roman" w:cs="Segoe UI"/>
          <w:color w:val="1D2125"/>
          <w:lang w:eastAsia="en-GB"/>
        </w:rPr>
        <w:t>see</w:t>
      </w:r>
      <w:r w:rsidR="00624FDF">
        <w:rPr>
          <w:rFonts w:eastAsia="Times New Roman" w:cs="Segoe UI"/>
          <w:color w:val="1D2125"/>
          <w:lang w:eastAsia="en-GB"/>
        </w:rPr>
        <w:t>:</w:t>
      </w:r>
      <w:r>
        <w:rPr>
          <w:rFonts w:eastAsia="Times New Roman" w:cs="Segoe UI"/>
          <w:color w:val="1D2125"/>
          <w:lang w:eastAsia="en-GB"/>
        </w:rPr>
        <w:t xml:space="preserve"> 4:26, with the Samaritan woman; 6:35 (‘I am the bread of life’); 8:12 (‘I am the light of the world’); 8:23 (‘I am from above’);</w:t>
      </w:r>
      <w:r w:rsidRPr="00EA5894">
        <w:t xml:space="preserve"> </w:t>
      </w:r>
      <w:r>
        <w:rPr>
          <w:rFonts w:eastAsia="Times New Roman" w:cs="Segoe UI"/>
          <w:color w:val="1D2125"/>
          <w:lang w:eastAsia="en-GB"/>
        </w:rPr>
        <w:t>8:28 (‘</w:t>
      </w:r>
      <w:r w:rsidRPr="00EA5894">
        <w:rPr>
          <w:rFonts w:eastAsia="Times New Roman" w:cs="Segoe UI"/>
          <w:color w:val="1D2125"/>
          <w:lang w:eastAsia="en-GB"/>
        </w:rPr>
        <w:t>Jesus said to them, ‘Very truly, I tell you, before Abraham was, I am.’</w:t>
      </w:r>
      <w:r>
        <w:rPr>
          <w:rFonts w:eastAsia="Times New Roman" w:cs="Segoe UI"/>
          <w:color w:val="1D2125"/>
          <w:lang w:eastAsia="en-GB"/>
        </w:rPr>
        <w:t>); 10:11 (‘I am the good shepherd)</w:t>
      </w:r>
      <w:r w:rsidR="00624FDF">
        <w:rPr>
          <w:rFonts w:eastAsia="Times New Roman" w:cs="Segoe UI"/>
          <w:color w:val="1D2125"/>
          <w:lang w:eastAsia="en-GB"/>
        </w:rPr>
        <w:t>; 11:25 (‘</w:t>
      </w:r>
      <w:r w:rsidR="00624FDF" w:rsidRPr="00624FDF">
        <w:rPr>
          <w:rFonts w:eastAsia="Times New Roman" w:cs="Segoe UI"/>
          <w:color w:val="1D2125"/>
          <w:lang w:eastAsia="en-GB"/>
        </w:rPr>
        <w:t>Jesus said to her, ‘I am the resurrection and the life</w:t>
      </w:r>
      <w:r w:rsidR="00624FDF">
        <w:rPr>
          <w:rFonts w:eastAsia="Times New Roman" w:cs="Segoe UI"/>
          <w:color w:val="1D2125"/>
          <w:lang w:eastAsia="en-GB"/>
        </w:rPr>
        <w:t>…’’); 14:6 (</w:t>
      </w:r>
      <w:r w:rsidR="00624FDF" w:rsidRPr="00624FDF">
        <w:rPr>
          <w:rFonts w:eastAsia="Times New Roman" w:cs="Segoe UI"/>
          <w:color w:val="1D2125"/>
          <w:lang w:eastAsia="en-GB"/>
        </w:rPr>
        <w:t>Jesus said to him, ‘I am the way, and the truth, and the life.</w:t>
      </w:r>
      <w:r w:rsidR="00624FDF">
        <w:rPr>
          <w:rFonts w:eastAsia="Times New Roman" w:cs="Segoe UI"/>
          <w:color w:val="1D2125"/>
          <w:lang w:eastAsia="en-GB"/>
        </w:rPr>
        <w:t>’);</w:t>
      </w:r>
      <w:r w:rsidR="00624FDF" w:rsidRPr="00624FDF">
        <w:rPr>
          <w:rFonts w:eastAsia="Times New Roman" w:cs="Segoe UI"/>
          <w:color w:val="1D2125"/>
          <w:lang w:eastAsia="en-GB"/>
        </w:rPr>
        <w:t> </w:t>
      </w:r>
      <w:r w:rsidR="00624FDF">
        <w:rPr>
          <w:rFonts w:eastAsia="Times New Roman" w:cs="Segoe UI"/>
          <w:color w:val="1D2125"/>
          <w:lang w:eastAsia="en-GB"/>
        </w:rPr>
        <w:t>15:1 (‘I am the true vine’).</w:t>
      </w:r>
    </w:p>
  </w:footnote>
  <w:footnote w:id="31">
    <w:p w14:paraId="532DDB53" w14:textId="35D1A1CD" w:rsidR="00237B0D" w:rsidRPr="00237B0D" w:rsidRDefault="00237B0D">
      <w:pPr>
        <w:pStyle w:val="FootnoteText"/>
      </w:pPr>
      <w:r>
        <w:rPr>
          <w:rStyle w:val="FootnoteReference"/>
        </w:rPr>
        <w:footnoteRef/>
      </w:r>
      <w:r>
        <w:t xml:space="preserve"> </w:t>
      </w:r>
      <w:r w:rsidR="003D6002">
        <w:t xml:space="preserve">Edwyn </w:t>
      </w:r>
      <w:r>
        <w:t xml:space="preserve">Hoskyns, </w:t>
      </w:r>
      <w:r>
        <w:rPr>
          <w:i/>
          <w:iCs/>
        </w:rPr>
        <w:t>The Fourth Gospel</w:t>
      </w:r>
      <w:r>
        <w:t xml:space="preserve"> (London: Faber and Faber, 1950), p63-64.</w:t>
      </w:r>
    </w:p>
  </w:footnote>
  <w:footnote w:id="32">
    <w:p w14:paraId="4B31A19E" w14:textId="433AF6B5" w:rsidR="00237B0D" w:rsidRPr="00237B0D" w:rsidRDefault="00237B0D" w:rsidP="00237B0D">
      <w:pPr>
        <w:pStyle w:val="FootnoteText"/>
      </w:pPr>
      <w:r>
        <w:rPr>
          <w:rStyle w:val="FootnoteReference"/>
        </w:rPr>
        <w:footnoteRef/>
      </w:r>
      <w:r>
        <w:t xml:space="preserve"> Smith claims that this was </w:t>
      </w:r>
      <w:proofErr w:type="gramStart"/>
      <w:r>
        <w:t>in order to</w:t>
      </w:r>
      <w:proofErr w:type="gramEnd"/>
      <w:r>
        <w:t xml:space="preserve"> accommodate ‘</w:t>
      </w:r>
      <w:r w:rsidRPr="00237B0D">
        <w:t>the evangelist’s interest in Jesus’ replacement of the Jewish festivals</w:t>
      </w:r>
      <w:r>
        <w:t>’, which seems a stretch, if not once again implicating John in the theory of ‘God going about on earth’.</w:t>
      </w:r>
      <w:r w:rsidRPr="00237B0D">
        <w:t xml:space="preserve"> </w:t>
      </w:r>
    </w:p>
    <w:p w14:paraId="5A67933E" w14:textId="4A120BA8" w:rsidR="00237B0D" w:rsidRDefault="00237B0D">
      <w:pPr>
        <w:pStyle w:val="FootnoteText"/>
      </w:pPr>
    </w:p>
  </w:footnote>
  <w:footnote w:id="33">
    <w:p w14:paraId="2080B895" w14:textId="6DF4097E" w:rsidR="002B2F73" w:rsidRDefault="002B2F73">
      <w:pPr>
        <w:pStyle w:val="FootnoteText"/>
      </w:pPr>
      <w:r>
        <w:rPr>
          <w:rStyle w:val="FootnoteReference"/>
        </w:rPr>
        <w:footnoteRef/>
      </w:r>
      <w:r>
        <w:t xml:space="preserve"> In John, the date of Jesus’ execution is Nisan 14, in the Synoptics it is Nisan 15. As Smith notes, ‘It is inconceivable that the events of Jesus’ arrest, trial and death should have occurred on the first day of Passover.’ (‘A source for </w:t>
      </w:r>
      <w:proofErr w:type="gramStart"/>
      <w:r>
        <w:t>Jesus</w:t>
      </w:r>
      <w:proofErr w:type="gramEnd"/>
      <w:r>
        <w:t xml:space="preserve"> research’, </w:t>
      </w:r>
      <w:proofErr w:type="spellStart"/>
      <w:r>
        <w:t>op.cit</w:t>
      </w:r>
      <w:proofErr w:type="spellEnd"/>
      <w:r>
        <w:t>., p.169)</w:t>
      </w:r>
      <w:r w:rsidR="007878FE">
        <w:t>.</w:t>
      </w:r>
    </w:p>
  </w:footnote>
  <w:footnote w:id="34">
    <w:p w14:paraId="7A37E218" w14:textId="434E63DC" w:rsidR="00F1698D" w:rsidRDefault="00F1698D">
      <w:pPr>
        <w:pStyle w:val="FootnoteText"/>
      </w:pPr>
      <w:r>
        <w:rPr>
          <w:rStyle w:val="FootnoteReference"/>
        </w:rPr>
        <w:footnoteRef/>
      </w:r>
      <w:r>
        <w:t xml:space="preserve"> See Marianne Meye Thompson (</w:t>
      </w:r>
      <w:r w:rsidR="006127F6">
        <w:t xml:space="preserve">Marianne Meye </w:t>
      </w:r>
      <w:r w:rsidRPr="00F1698D">
        <w:t xml:space="preserve">Thompson, ‘The Historical Jesus and the Johannine Christ’, </w:t>
      </w:r>
      <w:r w:rsidRPr="00F1698D">
        <w:rPr>
          <w:i/>
          <w:iCs/>
        </w:rPr>
        <w:t xml:space="preserve">Exploring the Gospel of John, </w:t>
      </w:r>
      <w:r w:rsidRPr="00F1698D">
        <w:t>eds. R.A. Culpepper and C.C. Black (Louisville: Westminster John Knox Press, 1992), 21-42</w:t>
      </w:r>
      <w:proofErr w:type="gramStart"/>
      <w:r w:rsidRPr="00F1698D">
        <w:t xml:space="preserve">. </w:t>
      </w:r>
      <w:r>
        <w:t>)</w:t>
      </w:r>
      <w:proofErr w:type="gramEnd"/>
      <w:r>
        <w:t>, p.24.</w:t>
      </w:r>
    </w:p>
  </w:footnote>
  <w:footnote w:id="35">
    <w:p w14:paraId="065523CE" w14:textId="60D49DE1" w:rsidR="00E74483" w:rsidRDefault="00E74483">
      <w:pPr>
        <w:pStyle w:val="FootnoteText"/>
      </w:pPr>
      <w:r>
        <w:rPr>
          <w:rStyle w:val="FootnoteReference"/>
        </w:rPr>
        <w:footnoteRef/>
      </w:r>
      <w:r>
        <w:t xml:space="preserve"> </w:t>
      </w:r>
      <w:r w:rsidR="002B2F73">
        <w:t>Especially the site of the Last Supper.</w:t>
      </w:r>
    </w:p>
  </w:footnote>
  <w:footnote w:id="36">
    <w:p w14:paraId="0ED0E594" w14:textId="65FA472C" w:rsidR="002B2F73" w:rsidRDefault="002B2F73">
      <w:pPr>
        <w:pStyle w:val="FootnoteText"/>
      </w:pPr>
      <w:r>
        <w:rPr>
          <w:rStyle w:val="FootnoteReference"/>
        </w:rPr>
        <w:footnoteRef/>
      </w:r>
      <w:r>
        <w:t xml:space="preserve"> </w:t>
      </w:r>
      <w:proofErr w:type="gramStart"/>
      <w:r>
        <w:t>Notably</w:t>
      </w:r>
      <w:r w:rsidR="001A64B0">
        <w:t>,</w:t>
      </w:r>
      <w:r>
        <w:t xml:space="preserve"> </w:t>
      </w:r>
      <w:r w:rsidR="001A64B0">
        <w:t xml:space="preserve"> in</w:t>
      </w:r>
      <w:proofErr w:type="gramEnd"/>
      <w:r w:rsidR="001A64B0">
        <w:t xml:space="preserve"> 5:2-3 (‘i</w:t>
      </w:r>
      <w:r w:rsidR="001A64B0" w:rsidRPr="001A64B0">
        <w:t xml:space="preserve">n </w:t>
      </w:r>
      <w:r w:rsidR="001A64B0">
        <w:t>Jerusalem b</w:t>
      </w:r>
      <w:r w:rsidR="001A64B0" w:rsidRPr="001A64B0">
        <w:t>y the Sheep Gate there is a pool, called in Hebrew</w:t>
      </w:r>
      <w:r w:rsidR="001A64B0">
        <w:rPr>
          <w:vertAlign w:val="superscript"/>
        </w:rPr>
        <w:t xml:space="preserve"> </w:t>
      </w:r>
      <w:r w:rsidR="001A64B0">
        <w:t>B</w:t>
      </w:r>
      <w:r w:rsidR="001A64B0" w:rsidRPr="001A64B0">
        <w:t>eth-</w:t>
      </w:r>
      <w:proofErr w:type="spellStart"/>
      <w:r w:rsidR="001A64B0" w:rsidRPr="001A64B0">
        <w:t>zatha</w:t>
      </w:r>
      <w:proofErr w:type="spellEnd"/>
      <w:r w:rsidR="001A64B0">
        <w:t>…’); in 9:7</w:t>
      </w:r>
      <w:r>
        <w:t xml:space="preserve"> </w:t>
      </w:r>
      <w:r w:rsidR="001A64B0">
        <w:t>(‘T</w:t>
      </w:r>
      <w:r>
        <w:t>he pool of Siloam</w:t>
      </w:r>
      <w:r w:rsidR="001A64B0">
        <w:t>’); 19:13 (‘</w:t>
      </w:r>
      <w:r w:rsidR="001A64B0" w:rsidRPr="001A64B0">
        <w:t>The Stone Pavement, or in Hebrew Gabbatha</w:t>
      </w:r>
      <w:r w:rsidR="001A64B0">
        <w:t>’)</w:t>
      </w:r>
      <w:r w:rsidR="007878FE">
        <w:t>.</w:t>
      </w:r>
    </w:p>
  </w:footnote>
  <w:footnote w:id="37">
    <w:p w14:paraId="6988F341" w14:textId="76B00B06" w:rsidR="008B221D" w:rsidRDefault="008B221D">
      <w:pPr>
        <w:pStyle w:val="FootnoteText"/>
      </w:pPr>
      <w:r>
        <w:rPr>
          <w:rStyle w:val="FootnoteReference"/>
        </w:rPr>
        <w:footnoteRef/>
      </w:r>
      <w:r>
        <w:t xml:space="preserve"> 46 years (John 2:20).</w:t>
      </w:r>
    </w:p>
  </w:footnote>
  <w:footnote w:id="38">
    <w:p w14:paraId="13952FF1" w14:textId="4D895D44" w:rsidR="001A64B0" w:rsidRDefault="001A64B0">
      <w:pPr>
        <w:pStyle w:val="FootnoteText"/>
      </w:pPr>
      <w:r>
        <w:rPr>
          <w:rStyle w:val="FootnoteReference"/>
        </w:rPr>
        <w:footnoteRef/>
      </w:r>
      <w:r>
        <w:t xml:space="preserve"> ‘John: A source for </w:t>
      </w:r>
      <w:proofErr w:type="gramStart"/>
      <w:r>
        <w:t>Jesus</w:t>
      </w:r>
      <w:proofErr w:type="gramEnd"/>
      <w:r>
        <w:t xml:space="preserve"> research’, op. cit., p.172</w:t>
      </w:r>
      <w:r w:rsidR="007878FE">
        <w:t>.</w:t>
      </w:r>
    </w:p>
  </w:footnote>
  <w:footnote w:id="39">
    <w:p w14:paraId="00E6ED49" w14:textId="39F60464" w:rsidR="001A64B0" w:rsidRDefault="001A64B0">
      <w:pPr>
        <w:pStyle w:val="FootnoteText"/>
      </w:pPr>
      <w:r>
        <w:rPr>
          <w:rStyle w:val="FootnoteReference"/>
        </w:rPr>
        <w:footnoteRef/>
      </w:r>
      <w:r>
        <w:t xml:space="preserve"> ‘Can anything good come out of Nazareth?’</w:t>
      </w:r>
    </w:p>
  </w:footnote>
  <w:footnote w:id="40">
    <w:p w14:paraId="7568A627" w14:textId="09E0D747" w:rsidR="0070757E" w:rsidRDefault="0070757E">
      <w:pPr>
        <w:pStyle w:val="FootnoteText"/>
      </w:pPr>
      <w:r>
        <w:rPr>
          <w:rStyle w:val="FootnoteReference"/>
        </w:rPr>
        <w:footnoteRef/>
      </w:r>
      <w:r>
        <w:t xml:space="preserve"> Probably an editorial addition in 4:2, where it is denied that Jesus himself baptized. </w:t>
      </w:r>
    </w:p>
  </w:footnote>
  <w:footnote w:id="41">
    <w:p w14:paraId="00C279F2" w14:textId="29CBE454" w:rsidR="0070757E" w:rsidRDefault="0070757E" w:rsidP="0070757E">
      <w:pPr>
        <w:pStyle w:val="FootnoteText"/>
      </w:pPr>
      <w:r>
        <w:rPr>
          <w:rStyle w:val="FootnoteReference"/>
        </w:rPr>
        <w:footnoteRef/>
      </w:r>
      <w:r>
        <w:t xml:space="preserve"> ‘Historical Issues’, op. cit., p260</w:t>
      </w:r>
      <w:r w:rsidR="007878FE">
        <w:t>.</w:t>
      </w:r>
    </w:p>
  </w:footnote>
  <w:footnote w:id="42">
    <w:p w14:paraId="404E1799" w14:textId="0F070F20" w:rsidR="0070757E" w:rsidRPr="0070757E" w:rsidRDefault="0070757E">
      <w:pPr>
        <w:pStyle w:val="FootnoteText"/>
        <w:rPr>
          <w:b/>
          <w:bCs/>
        </w:rPr>
      </w:pPr>
      <w:r>
        <w:rPr>
          <w:rStyle w:val="FootnoteReference"/>
        </w:rPr>
        <w:footnoteRef/>
      </w:r>
      <w:r>
        <w:t xml:space="preserve"> ‘Historical Issues’, op cit., p258 (‘The three Passover visits (to Jerusalem) reported by John become a probability, even though they advance Johannine Christology.’); p.260 (re the baptizing by Jesus); p.265 (</w:t>
      </w:r>
      <w:r w:rsidRPr="0070757E">
        <w:t>‘It remains arguable and perhaps even likely, that John’s departures from the Synoptics in the passion narrative reflect a more accurate view of what actually took place.’</w:t>
      </w:r>
      <w:r>
        <w:t>); p.267 (John’s ‘statements or narratives deserve serious consideration as quite possibly historically superior to the Synoptics.’)</w:t>
      </w:r>
    </w:p>
  </w:footnote>
  <w:footnote w:id="43">
    <w:p w14:paraId="190B355C" w14:textId="753A1861" w:rsidR="00146202" w:rsidRDefault="00146202">
      <w:pPr>
        <w:pStyle w:val="FootnoteText"/>
      </w:pPr>
      <w:r>
        <w:rPr>
          <w:rStyle w:val="FootnoteReference"/>
        </w:rPr>
        <w:footnoteRef/>
      </w:r>
      <w:r>
        <w:t xml:space="preserve"> ‘John: A source for </w:t>
      </w:r>
      <w:proofErr w:type="gramStart"/>
      <w:r>
        <w:t>Jesus</w:t>
      </w:r>
      <w:proofErr w:type="gramEnd"/>
      <w:r>
        <w:t xml:space="preserve"> research’, op. cit., p.178: ‘</w:t>
      </w:r>
      <w:r w:rsidRPr="00146202">
        <w:t xml:space="preserve">‘John’s Jesus is </w:t>
      </w:r>
      <w:proofErr w:type="gramStart"/>
      <w:r w:rsidRPr="00146202">
        <w:t>first of all</w:t>
      </w:r>
      <w:proofErr w:type="gramEnd"/>
      <w:r w:rsidRPr="00146202">
        <w:t xml:space="preserve"> the Jesus of the Johannine community who continues to speak through the medium of the Paraclete.’</w:t>
      </w:r>
    </w:p>
  </w:footnote>
  <w:footnote w:id="44">
    <w:p w14:paraId="753E2060" w14:textId="12E34D4F" w:rsidR="00146202" w:rsidRPr="00C10665" w:rsidRDefault="00146202">
      <w:pPr>
        <w:pStyle w:val="FootnoteText"/>
      </w:pPr>
      <w:r>
        <w:rPr>
          <w:rStyle w:val="FootnoteReference"/>
        </w:rPr>
        <w:footnoteRef/>
      </w:r>
      <w:r>
        <w:t xml:space="preserve"> See J. Louis Martyn’s </w:t>
      </w:r>
      <w:r>
        <w:rPr>
          <w:i/>
          <w:iCs/>
        </w:rPr>
        <w:t>History and Theology in the Fourth Gospel</w:t>
      </w:r>
      <w:r>
        <w:t>,</w:t>
      </w:r>
      <w:r w:rsidR="00C10665">
        <w:t xml:space="preserve"> 3</w:t>
      </w:r>
      <w:r w:rsidR="00C10665" w:rsidRPr="00C10665">
        <w:rPr>
          <w:vertAlign w:val="superscript"/>
        </w:rPr>
        <w:t>rd</w:t>
      </w:r>
      <w:r w:rsidR="00C10665">
        <w:t xml:space="preserve"> edition</w:t>
      </w:r>
      <w:r>
        <w:t xml:space="preserve"> </w:t>
      </w:r>
      <w:r w:rsidR="00C10665">
        <w:t xml:space="preserve">(Louisville: Westminster John Knox, 2003) and Raymond E. Brown’s </w:t>
      </w:r>
      <w:r w:rsidR="00C10665">
        <w:rPr>
          <w:i/>
          <w:iCs/>
        </w:rPr>
        <w:t>The Community of the Beloved Disciple</w:t>
      </w:r>
      <w:r w:rsidR="00C10665">
        <w:t>, (Ramsey NJ: Paulist Press, 1978).</w:t>
      </w:r>
    </w:p>
  </w:footnote>
  <w:footnote w:id="45">
    <w:p w14:paraId="088896CC" w14:textId="03B1957A" w:rsidR="00C10665" w:rsidRPr="007878FE" w:rsidRDefault="00C10665" w:rsidP="00C10665">
      <w:pPr>
        <w:pStyle w:val="FootnoteText"/>
      </w:pPr>
      <w:r>
        <w:rPr>
          <w:rStyle w:val="FootnoteReference"/>
        </w:rPr>
        <w:footnoteRef/>
      </w:r>
      <w:r>
        <w:t xml:space="preserve"> </w:t>
      </w:r>
      <w:r w:rsidRPr="00C10665">
        <w:t>Martinus C</w:t>
      </w:r>
      <w:r w:rsidR="006127F6">
        <w:t xml:space="preserve"> </w:t>
      </w:r>
      <w:r w:rsidR="006127F6" w:rsidRPr="00C10665">
        <w:t>de Boer</w:t>
      </w:r>
      <w:r w:rsidRPr="00C10665">
        <w:t>, 'The Story of the Johannine Community and its Literature', in Judith M. Lieu, and Martinus C. de Boer (eds), </w:t>
      </w:r>
      <w:r w:rsidRPr="00C10665">
        <w:rPr>
          <w:i/>
          <w:iCs/>
        </w:rPr>
        <w:t>The Oxford Handbook of Johannine Studies</w:t>
      </w:r>
      <w:r w:rsidRPr="00C10665">
        <w:t xml:space="preserve">, </w:t>
      </w:r>
      <w:r w:rsidR="008B2566">
        <w:t>Oxford Handbooks (</w:t>
      </w:r>
      <w:r w:rsidRPr="007878FE">
        <w:t>Oxford</w:t>
      </w:r>
      <w:r w:rsidR="008B2566">
        <w:t>: Oxford Academic, 2018).</w:t>
      </w:r>
      <w:r w:rsidR="007878FE">
        <w:t xml:space="preserve"> </w:t>
      </w:r>
    </w:p>
    <w:p w14:paraId="295B778D" w14:textId="7B0DD304" w:rsidR="00C10665" w:rsidRDefault="00C10665">
      <w:pPr>
        <w:pStyle w:val="FootnoteText"/>
      </w:pPr>
    </w:p>
  </w:footnote>
  <w:footnote w:id="46">
    <w:p w14:paraId="51FD35C1" w14:textId="25D1C594" w:rsidR="002B14EB" w:rsidRDefault="002B14EB">
      <w:pPr>
        <w:pStyle w:val="FootnoteText"/>
      </w:pPr>
      <w:r>
        <w:rPr>
          <w:rStyle w:val="FootnoteReference"/>
        </w:rPr>
        <w:footnoteRef/>
      </w:r>
      <w:r>
        <w:t xml:space="preserve"> Craig Blomberg (</w:t>
      </w:r>
      <w:r w:rsidR="006127F6">
        <w:t xml:space="preserve">Craig L. </w:t>
      </w:r>
      <w:r w:rsidRPr="002B14EB">
        <w:t xml:space="preserve">Blomberg, ‘The Historical Reliability of John: Rushing in Where Angels Fear to Tread?’, </w:t>
      </w:r>
      <w:r w:rsidRPr="002B14EB">
        <w:rPr>
          <w:i/>
          <w:iCs/>
        </w:rPr>
        <w:t xml:space="preserve">Jesus in Johannine Tradition, </w:t>
      </w:r>
      <w:r w:rsidRPr="002B14EB">
        <w:t>eds. R.T. Fortna and T. Thatcher (Louisville: Westminster John Knox Press, 2001), 71-82.</w:t>
      </w:r>
      <w:r>
        <w:t>) claims that the curse does not demonstrate John’s reference to synagogue exclusion in 9:22 and 12:42 as anachronistic, since it is highly unlikely that the curse was instituted globally, and possibly more locally relevant in e.g. Jerusalem (home of more conservative Judaism). In short, the date cannot be safely used to uphold the theory of the Johannine community. The description of Jesus’ pr</w:t>
      </w:r>
      <w:r w:rsidR="004F4718">
        <w:t>ophecy</w:t>
      </w:r>
      <w:r>
        <w:t xml:space="preserve"> of this in 16:2 does not demonstrate </w:t>
      </w:r>
      <w:r w:rsidR="004F4718">
        <w:t>an after-the-fact prediction.</w:t>
      </w:r>
    </w:p>
  </w:footnote>
  <w:footnote w:id="47">
    <w:p w14:paraId="18A0F2E3" w14:textId="08CE0B3E" w:rsidR="00495B65" w:rsidRDefault="00495B65">
      <w:pPr>
        <w:pStyle w:val="FootnoteText"/>
      </w:pPr>
      <w:r>
        <w:rPr>
          <w:rStyle w:val="FootnoteReference"/>
        </w:rPr>
        <w:footnoteRef/>
      </w:r>
      <w:r>
        <w:t xml:space="preserve"> For example, Adele </w:t>
      </w:r>
      <w:proofErr w:type="spellStart"/>
      <w:r>
        <w:t>Reinhartz</w:t>
      </w:r>
      <w:proofErr w:type="spellEnd"/>
      <w:r>
        <w:t xml:space="preserve"> (</w:t>
      </w:r>
      <w:r w:rsidR="006127F6" w:rsidRPr="006127F6">
        <w:t xml:space="preserve">‘Building Skyscrapers on Toothpicks: The Literary-Critical Challenge to Historical Criticism’, in Tom Thatcher and Stephen D. Moore (eds.), </w:t>
      </w:r>
      <w:r w:rsidR="006127F6" w:rsidRPr="006127F6">
        <w:rPr>
          <w:i/>
          <w:iCs/>
        </w:rPr>
        <w:t xml:space="preserve">Anatomies of Narrative Criticism: The Past, Present, and Future of the Fourth Gospel as Literature </w:t>
      </w:r>
      <w:r w:rsidR="006127F6" w:rsidRPr="006127F6">
        <w:t>(RBS, 55; Atlanta: SBL</w:t>
      </w:r>
      <w:r w:rsidR="006127F6">
        <w:t>, 2008</w:t>
      </w:r>
      <w:r w:rsidR="006127F6" w:rsidRPr="006127F6">
        <w:t>): 55-76</w:t>
      </w:r>
      <w:r w:rsidR="006127F6">
        <w:t xml:space="preserve">); </w:t>
      </w:r>
      <w:r>
        <w:t>Richard Bauckham (</w:t>
      </w:r>
      <w:r w:rsidR="006127F6" w:rsidRPr="006127F6">
        <w:rPr>
          <w:i/>
          <w:iCs/>
        </w:rPr>
        <w:t xml:space="preserve">The Testimony of the Beloved Disciple: Narrative, History, and Theology in the Gospel of John </w:t>
      </w:r>
      <w:r w:rsidR="006127F6" w:rsidRPr="006127F6">
        <w:t>(Grand Rapids, MI: Baker Academic</w:t>
      </w:r>
      <w:r w:rsidR="006127F6">
        <w:t>, 2007</w:t>
      </w:r>
      <w:r w:rsidR="006127F6" w:rsidRPr="006127F6">
        <w:t>)</w:t>
      </w:r>
      <w:r w:rsidR="006127F6">
        <w:t xml:space="preserve">); </w:t>
      </w:r>
      <w:r>
        <w:t>and Robert Kysar (</w:t>
      </w:r>
      <w:r w:rsidR="007878FE">
        <w:t>‘</w:t>
      </w:r>
      <w:r w:rsidR="006127F6" w:rsidRPr="006127F6">
        <w:t xml:space="preserve">The Whence and Whither of the Johannine Community’, in Raymond E. Brown and John R. Donahue (eds.), </w:t>
      </w:r>
      <w:r w:rsidR="006127F6" w:rsidRPr="006127F6">
        <w:rPr>
          <w:i/>
          <w:iCs/>
        </w:rPr>
        <w:t xml:space="preserve">Life in Abundance: Studies of John’s Gospel in Tribute to Raymond E. Brown, S.S. </w:t>
      </w:r>
      <w:r w:rsidR="006127F6" w:rsidRPr="006127F6">
        <w:t>(Collegeville, MN: Liturgical Press</w:t>
      </w:r>
      <w:r w:rsidR="007878FE">
        <w:t>, 2005</w:t>
      </w:r>
      <w:r w:rsidR="006127F6" w:rsidRPr="006127F6">
        <w:t>): 65-81</w:t>
      </w:r>
      <w:r w:rsidR="007878FE">
        <w:t xml:space="preserve">) – who all </w:t>
      </w:r>
      <w:r>
        <w:t>point up the lack of corroborating material, while Marianne Meye Thompson (Op. cit., p.26) observes that John’s Gospel is ‘heavily coloured and decisively shaped by the historical circumstances of the Johannine community…’</w:t>
      </w:r>
      <w:r w:rsidR="008B2566">
        <w:t>.</w:t>
      </w:r>
    </w:p>
  </w:footnote>
  <w:footnote w:id="48">
    <w:p w14:paraId="011CE072" w14:textId="14548063" w:rsidR="00D504B7" w:rsidRDefault="00D504B7">
      <w:pPr>
        <w:pStyle w:val="FootnoteText"/>
      </w:pPr>
      <w:r>
        <w:rPr>
          <w:rStyle w:val="FootnoteReference"/>
        </w:rPr>
        <w:footnoteRef/>
      </w:r>
      <w:r>
        <w:t xml:space="preserve"> </w:t>
      </w:r>
      <w:r w:rsidR="007878FE">
        <w:t xml:space="preserve">Hugo </w:t>
      </w:r>
      <w:proofErr w:type="spellStart"/>
      <w:r w:rsidRPr="00D504B7">
        <w:t>Méndez</w:t>
      </w:r>
      <w:proofErr w:type="spellEnd"/>
      <w:r w:rsidRPr="00D504B7">
        <w:t xml:space="preserve">, ‘Did the Johannine Community Exist?’, </w:t>
      </w:r>
      <w:r w:rsidRPr="00D504B7">
        <w:rPr>
          <w:i/>
          <w:iCs/>
        </w:rPr>
        <w:t>Journal for the Study of the New Testament</w:t>
      </w:r>
      <w:r w:rsidRPr="00D504B7">
        <w:t xml:space="preserve"> 42(3) (2020),350–374</w:t>
      </w:r>
      <w:r w:rsidR="008B2566">
        <w:t>.</w:t>
      </w:r>
    </w:p>
  </w:footnote>
  <w:footnote w:id="49">
    <w:p w14:paraId="5D1FA2E3" w14:textId="23D1A409" w:rsidR="00D504B7" w:rsidRDefault="00D504B7">
      <w:pPr>
        <w:pStyle w:val="FootnoteText"/>
      </w:pPr>
      <w:r>
        <w:rPr>
          <w:rStyle w:val="FootnoteReference"/>
        </w:rPr>
        <w:footnoteRef/>
      </w:r>
      <w:r>
        <w:t xml:space="preserve"> </w:t>
      </w:r>
      <w:r w:rsidR="007878FE">
        <w:t xml:space="preserve">R. Alan </w:t>
      </w:r>
      <w:r>
        <w:t xml:space="preserve">Culpepper, </w:t>
      </w:r>
      <w:r w:rsidRPr="00D504B7">
        <w:rPr>
          <w:i/>
          <w:iCs/>
        </w:rPr>
        <w:t xml:space="preserve">Anatomy of the Fourth Gospel: A Study in Literary Design </w:t>
      </w:r>
      <w:r w:rsidRPr="00D504B7">
        <w:t>(Minneapolis: Fortress Press</w:t>
      </w:r>
      <w:r>
        <w:t>, 1983</w:t>
      </w:r>
      <w:r w:rsidRPr="00D504B7">
        <w:t>)</w:t>
      </w:r>
      <w:r>
        <w:t>, p.40.</w:t>
      </w:r>
    </w:p>
  </w:footnote>
  <w:footnote w:id="50">
    <w:p w14:paraId="634E812D" w14:textId="1B579453" w:rsidR="00D504B7" w:rsidRDefault="00D504B7">
      <w:pPr>
        <w:pStyle w:val="FootnoteText"/>
      </w:pPr>
      <w:r>
        <w:rPr>
          <w:rStyle w:val="FootnoteReference"/>
        </w:rPr>
        <w:footnoteRef/>
      </w:r>
      <w:r>
        <w:t xml:space="preserve"> </w:t>
      </w:r>
      <w:r w:rsidR="007878FE">
        <w:t xml:space="preserve">John A.T. </w:t>
      </w:r>
      <w:r w:rsidRPr="00D504B7">
        <w:t xml:space="preserve">Robinson, </w:t>
      </w:r>
      <w:r w:rsidRPr="00D504B7">
        <w:rPr>
          <w:i/>
          <w:iCs/>
        </w:rPr>
        <w:t>The Priority of John</w:t>
      </w:r>
      <w:r w:rsidRPr="00D504B7">
        <w:t xml:space="preserve"> (London: SCM Press, 1985)</w:t>
      </w:r>
      <w:r w:rsidR="007878FE">
        <w:t>.</w:t>
      </w:r>
    </w:p>
  </w:footnote>
  <w:footnote w:id="51">
    <w:p w14:paraId="0A42D1EE" w14:textId="02403620" w:rsidR="008E2AD1" w:rsidRDefault="008E2AD1">
      <w:pPr>
        <w:pStyle w:val="FootnoteText"/>
      </w:pPr>
      <w:r>
        <w:rPr>
          <w:rStyle w:val="FootnoteReference"/>
        </w:rPr>
        <w:footnoteRef/>
      </w:r>
      <w:r>
        <w:t xml:space="preserve"> See the reference to atomisation of the Gospel tradition in the final paragraph of page 1 of this study.</w:t>
      </w:r>
    </w:p>
  </w:footnote>
  <w:footnote w:id="52">
    <w:p w14:paraId="50455888" w14:textId="7EFFAB43" w:rsidR="00973019" w:rsidRPr="00973019" w:rsidRDefault="00973019">
      <w:pPr>
        <w:pStyle w:val="FootnoteText"/>
      </w:pPr>
      <w:r>
        <w:rPr>
          <w:rStyle w:val="FootnoteReference"/>
        </w:rPr>
        <w:footnoteRef/>
      </w:r>
      <w:r>
        <w:t xml:space="preserve"> </w:t>
      </w:r>
      <w:r w:rsidR="007878FE">
        <w:t xml:space="preserve">John A.T. </w:t>
      </w:r>
      <w:r w:rsidR="007878FE" w:rsidRPr="00D504B7">
        <w:t xml:space="preserve">Robinson, </w:t>
      </w:r>
      <w:r>
        <w:rPr>
          <w:i/>
          <w:iCs/>
        </w:rPr>
        <w:t>Redating the New Testament</w:t>
      </w:r>
      <w:r>
        <w:t>, (London: SCM Press, 1976)</w:t>
      </w:r>
      <w:r w:rsidR="007878FE">
        <w:t>.</w:t>
      </w:r>
    </w:p>
  </w:footnote>
  <w:footnote w:id="53">
    <w:p w14:paraId="0F831A68" w14:textId="04DFA3D4" w:rsidR="00973019" w:rsidRDefault="00973019">
      <w:pPr>
        <w:pStyle w:val="FootnoteText"/>
      </w:pPr>
      <w:r>
        <w:rPr>
          <w:rStyle w:val="FootnoteReference"/>
        </w:rPr>
        <w:footnoteRef/>
      </w:r>
      <w:r>
        <w:t xml:space="preserve"> </w:t>
      </w:r>
      <w:r w:rsidR="00EF23C1">
        <w:t>To Robinson,</w:t>
      </w:r>
      <w:r>
        <w:t xml:space="preserve"> the absence of comment on the Temple Destruction is ‘as significant </w:t>
      </w:r>
      <w:r w:rsidR="007878FE">
        <w:t xml:space="preserve">as, </w:t>
      </w:r>
      <w:r>
        <w:t>for Sherlock Holmes</w:t>
      </w:r>
      <w:r w:rsidR="007878FE">
        <w:t>,</w:t>
      </w:r>
      <w:r>
        <w:t xml:space="preserve"> the dog that did not bark.’</w:t>
      </w:r>
    </w:p>
  </w:footnote>
  <w:footnote w:id="54">
    <w:p w14:paraId="0463AC8D" w14:textId="032A5F20" w:rsidR="00BE3243" w:rsidRDefault="00BE3243" w:rsidP="00BE3243">
      <w:pPr>
        <w:pStyle w:val="FootnoteText"/>
      </w:pPr>
      <w:r>
        <w:rPr>
          <w:rStyle w:val="FootnoteReference"/>
        </w:rPr>
        <w:footnoteRef/>
      </w:r>
      <w:r>
        <w:t xml:space="preserve"> </w:t>
      </w:r>
      <w:r w:rsidR="007878FE">
        <w:t xml:space="preserve">Paula </w:t>
      </w:r>
      <w:r w:rsidRPr="00C366F8">
        <w:t xml:space="preserve">Frederiksen, ‘The Historical Jesus, the Scene in the Temple, and the Gospel of John’, </w:t>
      </w:r>
      <w:r w:rsidRPr="00C366F8">
        <w:rPr>
          <w:i/>
          <w:iCs/>
        </w:rPr>
        <w:t xml:space="preserve">John, Jesus and History, Volume 1: Critical Appraisals of Critical Views, </w:t>
      </w:r>
      <w:r w:rsidRPr="00C366F8">
        <w:t>eds. P.N. Anderson, F. Just, T. Thatcher (Atlanta: SBL, 2007), 249-276</w:t>
      </w:r>
      <w:r w:rsidR="007878FE">
        <w:t>.</w:t>
      </w:r>
    </w:p>
  </w:footnote>
  <w:footnote w:id="55">
    <w:p w14:paraId="11BB33B6" w14:textId="148693A1" w:rsidR="00D57D70" w:rsidRDefault="00D57D70">
      <w:pPr>
        <w:pStyle w:val="FootnoteText"/>
      </w:pPr>
      <w:r>
        <w:rPr>
          <w:rStyle w:val="FootnoteReference"/>
        </w:rPr>
        <w:footnoteRef/>
      </w:r>
      <w:r>
        <w:t xml:space="preserve"> There is also the question as to why none of the disciples were punished; </w:t>
      </w:r>
      <w:proofErr w:type="gramStart"/>
      <w:r>
        <w:t>indeed</w:t>
      </w:r>
      <w:proofErr w:type="gramEnd"/>
      <w:r>
        <w:t xml:space="preserve"> how it was that the movement continued to be centred in Jerusalem well past Pilate’s departure in 36CE. </w:t>
      </w:r>
    </w:p>
  </w:footnote>
  <w:footnote w:id="56">
    <w:p w14:paraId="7C4FDCA8" w14:textId="18A94109" w:rsidR="00D57D70" w:rsidRPr="00D57D70" w:rsidRDefault="00D57D70">
      <w:pPr>
        <w:pStyle w:val="FootnoteText"/>
      </w:pPr>
      <w:r>
        <w:rPr>
          <w:rStyle w:val="FootnoteReference"/>
        </w:rPr>
        <w:footnoteRef/>
      </w:r>
      <w:r>
        <w:t xml:space="preserve"> Frederiksen </w:t>
      </w:r>
      <w:r w:rsidR="00084167">
        <w:t xml:space="preserve">(p.257, note 18) </w:t>
      </w:r>
      <w:r>
        <w:t>quotes John Meier (</w:t>
      </w:r>
      <w:r w:rsidR="007878FE">
        <w:t xml:space="preserve">John P. </w:t>
      </w:r>
      <w:r>
        <w:t xml:space="preserve">Meier, Mentor: Message and Miracles. Vol 2 of </w:t>
      </w:r>
      <w:r>
        <w:rPr>
          <w:i/>
          <w:iCs/>
        </w:rPr>
        <w:t xml:space="preserve">A Marginal Jew: Rethinking the Historical Jesus </w:t>
      </w:r>
      <w:r>
        <w:t>(New York</w:t>
      </w:r>
      <w:r w:rsidR="00084167">
        <w:t>: Doubleday, 1994), p.6):</w:t>
      </w:r>
      <w:r w:rsidR="00084167" w:rsidRPr="00084167">
        <w:t xml:space="preserve"> ‘A Jesus whose words and deeds did not threaten or alienate people, especially powerful people, is not the historical Jesus.’</w:t>
      </w:r>
      <w:r w:rsidR="00084167">
        <w:t xml:space="preserve"> </w:t>
      </w:r>
    </w:p>
  </w:footnote>
  <w:footnote w:id="57">
    <w:p w14:paraId="6E0F9621" w14:textId="3030A434" w:rsidR="003F73FB" w:rsidRDefault="003F73FB">
      <w:pPr>
        <w:pStyle w:val="FootnoteText"/>
      </w:pPr>
      <w:r>
        <w:rPr>
          <w:rStyle w:val="FootnoteReference"/>
        </w:rPr>
        <w:footnoteRef/>
      </w:r>
      <w:r>
        <w:t xml:space="preserve"> …while at the same time saying: </w:t>
      </w:r>
      <w:r w:rsidRPr="003F73FB">
        <w:t>‘I think that Jesus’ itinerary ranks among the</w:t>
      </w:r>
      <w:r w:rsidRPr="003F73FB">
        <w:rPr>
          <w:i/>
          <w:iCs/>
        </w:rPr>
        <w:t xml:space="preserve"> least</w:t>
      </w:r>
      <w:r w:rsidRPr="003F73FB">
        <w:t xml:space="preserve"> historically reliable data that we can glean from Mark…’</w:t>
      </w:r>
      <w:r w:rsidR="007878FE">
        <w:t>.</w:t>
      </w:r>
    </w:p>
  </w:footnote>
  <w:footnote w:id="58">
    <w:p w14:paraId="470F12E6" w14:textId="6D8D8FAD" w:rsidR="00680734" w:rsidRDefault="00680734">
      <w:pPr>
        <w:pStyle w:val="FootnoteText"/>
      </w:pPr>
      <w:r>
        <w:rPr>
          <w:rStyle w:val="FootnoteReference"/>
        </w:rPr>
        <w:footnoteRef/>
      </w:r>
      <w:r>
        <w:t xml:space="preserve"> </w:t>
      </w:r>
      <w:r>
        <w:rPr>
          <w:rFonts w:eastAsia="Times New Roman" w:cs="Segoe UI"/>
          <w:color w:val="1D2125"/>
          <w:lang w:eastAsia="en-GB"/>
        </w:rPr>
        <w:t>Other than in comparison with similar accounts in the Synoptics such as Mark 8:22-26,10:46-52, Matthew 9:27-34, 20:29-34 and Luke 18:35-43.</w:t>
      </w:r>
    </w:p>
  </w:footnote>
  <w:footnote w:id="59">
    <w:p w14:paraId="53E44B6A" w14:textId="55181FA1" w:rsidR="00597E9B" w:rsidRDefault="00597E9B">
      <w:pPr>
        <w:pStyle w:val="FootnoteText"/>
      </w:pPr>
      <w:r>
        <w:rPr>
          <w:rStyle w:val="FootnoteReference"/>
        </w:rPr>
        <w:footnoteRef/>
      </w:r>
      <w:r>
        <w:t xml:space="preserve"> John 9:1</w:t>
      </w:r>
      <w:r w:rsidR="007878FE">
        <w:t>.</w:t>
      </w:r>
    </w:p>
  </w:footnote>
  <w:footnote w:id="60">
    <w:p w14:paraId="1487EF71" w14:textId="296D5B3C" w:rsidR="00D82E03" w:rsidRDefault="00D82E03">
      <w:pPr>
        <w:pStyle w:val="FootnoteText"/>
      </w:pPr>
      <w:r>
        <w:rPr>
          <w:rStyle w:val="FootnoteReference"/>
        </w:rPr>
        <w:footnoteRef/>
      </w:r>
      <w:r>
        <w:t xml:space="preserve"> Note the neighbours (vv.8-12); the Pharisees (vv.13-17); </w:t>
      </w:r>
      <w:r w:rsidR="00331DD5">
        <w:t xml:space="preserve">and </w:t>
      </w:r>
      <w:r>
        <w:t>the parents of the blind man (vv.18-23)</w:t>
      </w:r>
      <w:r w:rsidR="00331DD5">
        <w:t>. Note also</w:t>
      </w:r>
      <w:r>
        <w:t xml:space="preserve"> the suggestion</w:t>
      </w:r>
      <w:r w:rsidR="00331DD5">
        <w:t>s</w:t>
      </w:r>
      <w:r>
        <w:t xml:space="preserve"> of weariness at the disbelief</w:t>
      </w:r>
      <w:r w:rsidR="00331DD5">
        <w:t>:</w:t>
      </w:r>
      <w:r w:rsidR="00294DA6">
        <w:t xml:space="preserve"> in 24</w:t>
      </w:r>
      <w:r>
        <w:t xml:space="preserve"> ‘</w:t>
      </w:r>
      <w:r w:rsidR="00294DA6" w:rsidRPr="00294DA6">
        <w:t>So for the second time they called the man who had been blind</w:t>
      </w:r>
      <w:r w:rsidR="00294DA6">
        <w:t>…’</w:t>
      </w:r>
      <w:r w:rsidR="00331DD5">
        <w:t>;</w:t>
      </w:r>
      <w:r w:rsidR="00294DA6">
        <w:t xml:space="preserve"> and in 27 ‘</w:t>
      </w:r>
      <w:r w:rsidR="00294DA6" w:rsidRPr="00294DA6">
        <w:t>He answered them, ‘I have told you already, and you would not listen. Why do you want to hear it again?</w:t>
      </w:r>
      <w:r w:rsidR="00294DA6">
        <w:t>’’</w:t>
      </w:r>
    </w:p>
  </w:footnote>
  <w:footnote w:id="61">
    <w:p w14:paraId="0489B47D" w14:textId="77777777" w:rsidR="00F359DC" w:rsidRDefault="00F359DC" w:rsidP="00F359DC">
      <w:pPr>
        <w:pStyle w:val="FootnoteText"/>
      </w:pPr>
      <w:r>
        <w:rPr>
          <w:rStyle w:val="FootnoteReference"/>
        </w:rPr>
        <w:footnoteRef/>
      </w:r>
      <w:r>
        <w:t xml:space="preserve"> Here is a case where Marianne Meye Thompson’s glib assertion (</w:t>
      </w:r>
      <w:proofErr w:type="spellStart"/>
      <w:r>
        <w:rPr>
          <w:rFonts w:eastAsia="Times New Roman" w:cs="Segoe UI"/>
          <w:color w:val="1D2125"/>
          <w:lang w:eastAsia="en-GB"/>
        </w:rPr>
        <w:t>Op.cit</w:t>
      </w:r>
      <w:proofErr w:type="spellEnd"/>
      <w:r>
        <w:rPr>
          <w:rFonts w:eastAsia="Times New Roman" w:cs="Segoe UI"/>
          <w:color w:val="1D2125"/>
          <w:lang w:eastAsia="en-GB"/>
        </w:rPr>
        <w:t>., p.25)</w:t>
      </w:r>
      <w:r>
        <w:t xml:space="preserve"> that John’s Gospel is unhistorical because ‘its interpretation of events has overshadowed any particular interest in reporting history.’ may be seen to be misplaced.</w:t>
      </w:r>
    </w:p>
  </w:footnote>
  <w:footnote w:id="62">
    <w:p w14:paraId="7F7CE7A1" w14:textId="1E1815DD" w:rsidR="00D81F77" w:rsidRDefault="00D81F77">
      <w:pPr>
        <w:pStyle w:val="FootnoteText"/>
      </w:pPr>
      <w:r>
        <w:rPr>
          <w:rStyle w:val="FootnoteReference"/>
        </w:rPr>
        <w:footnoteRef/>
      </w:r>
      <w:r>
        <w:t xml:space="preserve"> </w:t>
      </w:r>
      <w:r w:rsidR="00435894">
        <w:t>Smith (</w:t>
      </w:r>
      <w:r w:rsidR="007878FE">
        <w:t xml:space="preserve">D. Moody </w:t>
      </w:r>
      <w:r w:rsidR="00435894" w:rsidRPr="00435894">
        <w:t>Smith, ‘John: A Source for Jesus Research?’</w:t>
      </w:r>
      <w:r w:rsidR="003F73FB">
        <w:t xml:space="preserve">, </w:t>
      </w:r>
      <w:proofErr w:type="spellStart"/>
      <w:r w:rsidR="003F73FB">
        <w:t>op.cit</w:t>
      </w:r>
      <w:proofErr w:type="spellEnd"/>
      <w:r w:rsidR="003F73FB">
        <w:t>.,</w:t>
      </w:r>
      <w:r w:rsidR="00435894" w:rsidRPr="00435894">
        <w:t xml:space="preserve"> </w:t>
      </w:r>
      <w:r w:rsidR="00435894">
        <w:t>p174)</w:t>
      </w:r>
      <w:r w:rsidR="00435894" w:rsidRPr="00435894">
        <w:t xml:space="preserve"> </w:t>
      </w:r>
      <w:r w:rsidR="00435894">
        <w:t xml:space="preserve">quotes Meier observing John’s tendency ‘to heighten the miraculous element in miracle stories’ (Meier, John P, 1994, </w:t>
      </w:r>
      <w:r w:rsidR="00435894" w:rsidRPr="009C3105">
        <w:rPr>
          <w:i/>
          <w:iCs/>
        </w:rPr>
        <w:t>Mentor; Message</w:t>
      </w:r>
      <w:r w:rsidR="00435894">
        <w:rPr>
          <w:i/>
          <w:iCs/>
        </w:rPr>
        <w:t xml:space="preserve">, and Miracles. </w:t>
      </w:r>
      <w:r w:rsidR="00435894">
        <w:t xml:space="preserve">Vol. 2 of </w:t>
      </w:r>
      <w:r w:rsidR="00435894">
        <w:rPr>
          <w:i/>
          <w:iCs/>
        </w:rPr>
        <w:t xml:space="preserve">A Marginal Jew: Rethinking the Historical Jesus </w:t>
      </w:r>
      <w:r w:rsidR="00435894">
        <w:t>New York, Doubleday. p908-924)</w:t>
      </w:r>
      <w:r w:rsidR="005368C1">
        <w:t xml:space="preserve">. As examples, consider </w:t>
      </w:r>
      <w:r w:rsidR="005368C1">
        <w:rPr>
          <w:rFonts w:eastAsia="Times New Roman" w:cs="Segoe UI"/>
          <w:color w:val="1D2125"/>
          <w:lang w:eastAsia="en-GB"/>
        </w:rPr>
        <w:t>the implausible volume of wine in the first sign (2:6), the thirty-eight years of the lame man’s sickness (5:5), the four days over which Lazarus’ corpse had been rotting in the tomb (11:17).</w:t>
      </w:r>
    </w:p>
  </w:footnote>
  <w:footnote w:id="63">
    <w:p w14:paraId="71D9A5E7" w14:textId="77777777" w:rsidR="008A734E" w:rsidRDefault="008A734E" w:rsidP="008A734E">
      <w:pPr>
        <w:pStyle w:val="FootnoteText"/>
      </w:pPr>
      <w:r>
        <w:rPr>
          <w:rStyle w:val="FootnoteReference"/>
        </w:rPr>
        <w:footnoteRef/>
      </w:r>
      <w:r>
        <w:t xml:space="preserve"> Their reluctance </w:t>
      </w:r>
      <w:r>
        <w:rPr>
          <w:rFonts w:eastAsia="Times New Roman" w:cs="Segoe UI"/>
          <w:color w:val="1D2125"/>
          <w:lang w:eastAsia="en-GB"/>
        </w:rPr>
        <w:t>may superficially be attributable to the widely believed lateness of composition, the presumed dependence on Mark</w:t>
      </w:r>
      <w:r>
        <w:rPr>
          <w:rFonts w:eastAsia="Times New Roman" w:cs="Segoe UI"/>
          <w:i/>
          <w:iCs/>
          <w:color w:val="1D2125"/>
          <w:lang w:eastAsia="en-GB"/>
        </w:rPr>
        <w:t xml:space="preserve">, </w:t>
      </w:r>
      <w:r>
        <w:rPr>
          <w:rFonts w:eastAsia="Times New Roman" w:cs="Segoe UI"/>
          <w:color w:val="1D2125"/>
          <w:lang w:eastAsia="en-GB"/>
        </w:rPr>
        <w:t xml:space="preserve">the preponderance of theology over narrative detail, or even the application of </w:t>
      </w:r>
      <w:proofErr w:type="spellStart"/>
      <w:r>
        <w:rPr>
          <w:rFonts w:eastAsia="Times New Roman" w:cs="Segoe UI"/>
          <w:i/>
          <w:iCs/>
          <w:color w:val="1D2125"/>
          <w:lang w:eastAsia="en-GB"/>
        </w:rPr>
        <w:t>Formgeschichte</w:t>
      </w:r>
      <w:proofErr w:type="spellEnd"/>
      <w:r>
        <w:rPr>
          <w:rFonts w:eastAsia="Times New Roman" w:cs="Segoe UI"/>
          <w:color w:val="1D2125"/>
          <w:lang w:eastAsia="en-GB"/>
        </w:rPr>
        <w:t>.</w:t>
      </w:r>
    </w:p>
  </w:footnote>
  <w:footnote w:id="64">
    <w:p w14:paraId="29FF18E3" w14:textId="5CD0E268" w:rsidR="007453BD" w:rsidRPr="007453BD" w:rsidRDefault="007453BD">
      <w:pPr>
        <w:pStyle w:val="FootnoteText"/>
      </w:pPr>
      <w:r>
        <w:rPr>
          <w:rStyle w:val="FootnoteReference"/>
        </w:rPr>
        <w:footnoteRef/>
      </w:r>
      <w:r>
        <w:t xml:space="preserve"> </w:t>
      </w:r>
      <w:r w:rsidR="008E4CE1">
        <w:t>John 13:23</w:t>
      </w:r>
      <w:r w:rsidR="007878FE">
        <w:t>.</w:t>
      </w:r>
    </w:p>
  </w:footnote>
  <w:footnote w:id="65">
    <w:p w14:paraId="08006B8E" w14:textId="30ADF886" w:rsidR="005E1816" w:rsidRDefault="005E1816">
      <w:pPr>
        <w:pStyle w:val="FootnoteText"/>
      </w:pPr>
      <w:r>
        <w:rPr>
          <w:rStyle w:val="FootnoteReference"/>
        </w:rPr>
        <w:footnoteRef/>
      </w:r>
      <w:r>
        <w:t xml:space="preserve"> </w:t>
      </w:r>
      <w:r w:rsidR="007D494E">
        <w:t>Tom Thatcher concludes his study of the figure</w:t>
      </w:r>
      <w:r w:rsidR="002A79A8">
        <w:t xml:space="preserve"> of the Beloved Disciple (</w:t>
      </w:r>
      <w:r w:rsidR="007878FE">
        <w:t xml:space="preserve">Tom </w:t>
      </w:r>
      <w:r w:rsidR="002A79A8" w:rsidRPr="002A79A8">
        <w:t>Thatcher, 'The Beloved Disciple, the Fourth Evangelist, and the Authorship of the Fourth Gospel', in Judith M. Lieu, and Martinus C. de Boer (eds), </w:t>
      </w:r>
      <w:r w:rsidR="002A79A8" w:rsidRPr="002A79A8">
        <w:rPr>
          <w:i/>
          <w:iCs/>
        </w:rPr>
        <w:t>The Oxford Handbook of Johannine Studies</w:t>
      </w:r>
      <w:r w:rsidR="002A79A8" w:rsidRPr="002A79A8">
        <w:t>, Oxford Handbooks (Oxford: Oxford Academic, 2018)</w:t>
      </w:r>
      <w:r w:rsidR="002A79A8">
        <w:t>) with the following: ‘… it seems most likely that the Gospel of John was written by a disciple of the Beloved Disciple, an associate of the historical Jesus who was remembered as the key witness to a number of critical events from Jesus’ ministry, including his death and resurrection.’ (p98)</w:t>
      </w:r>
    </w:p>
  </w:footnote>
  <w:footnote w:id="66">
    <w:p w14:paraId="03EBBD83" w14:textId="0E41EFA4" w:rsidR="007453BD" w:rsidRDefault="007453BD">
      <w:pPr>
        <w:pStyle w:val="FootnoteText"/>
      </w:pPr>
      <w:r>
        <w:rPr>
          <w:rStyle w:val="FootnoteReference"/>
        </w:rPr>
        <w:footnoteRef/>
      </w:r>
      <w:r>
        <w:t xml:space="preserve"> </w:t>
      </w:r>
      <w:r w:rsidR="00E63824">
        <w:t>It is conceivable</w:t>
      </w:r>
      <w:r>
        <w:t xml:space="preserve"> that the historian</w:t>
      </w:r>
      <w:r w:rsidR="000B68EE">
        <w:t xml:space="preserve">, for fear of impugning his objectivity, hides his identity in 1:37 and 1:40 </w:t>
      </w:r>
      <w:r w:rsidR="00E63824">
        <w:t>(as one of the disciples who leaves John the Bapti</w:t>
      </w:r>
      <w:r w:rsidR="00A264DE">
        <w:t>st</w:t>
      </w:r>
      <w:r w:rsidR="00E63824">
        <w:t xml:space="preserve"> to follow Jesus.)</w:t>
      </w:r>
    </w:p>
  </w:footnote>
  <w:footnote w:id="67">
    <w:p w14:paraId="6E114F47" w14:textId="77777777" w:rsidR="00075A82" w:rsidRDefault="00075A82" w:rsidP="00075A82">
      <w:pPr>
        <w:pStyle w:val="FootnoteText"/>
      </w:pPr>
      <w:r>
        <w:rPr>
          <w:rStyle w:val="FootnoteReference"/>
        </w:rPr>
        <w:footnoteRef/>
      </w:r>
      <w:r>
        <w:t xml:space="preserve"> Following what seems now to be the accepted time frame, </w:t>
      </w:r>
      <w:r w:rsidRPr="00075A82">
        <w:rPr>
          <w:i/>
          <w:iCs/>
        </w:rPr>
        <w:t>pace</w:t>
      </w:r>
      <w:r>
        <w:t xml:space="preserve"> Mark.</w:t>
      </w:r>
    </w:p>
  </w:footnote>
  <w:footnote w:id="68">
    <w:p w14:paraId="3C4029E0" w14:textId="5EFBA7F1" w:rsidR="008558A8" w:rsidRDefault="008558A8">
      <w:pPr>
        <w:pStyle w:val="FootnoteText"/>
      </w:pPr>
      <w:r>
        <w:rPr>
          <w:rStyle w:val="FootnoteReference"/>
        </w:rPr>
        <w:footnoteRef/>
      </w:r>
      <w:r>
        <w:t xml:space="preserve"> John, </w:t>
      </w:r>
      <w:r w:rsidR="007E0308">
        <w:t>7:26-42</w:t>
      </w:r>
      <w:r w:rsidR="007B4F8A">
        <w:t>; 9:22.</w:t>
      </w:r>
      <w:r w:rsidR="00B47E7F">
        <w:t xml:space="preserve"> Also see John, 14:22: ‘</w:t>
      </w:r>
      <w:r w:rsidR="00B47E7F" w:rsidRPr="00B47E7F">
        <w:t xml:space="preserve">Judas (not Iscariot) said to him, ‘Lord, how is it that you will reveal yourself to us, </w:t>
      </w:r>
      <w:r w:rsidR="00B47E7F" w:rsidRPr="0030411B">
        <w:t xml:space="preserve">and </w:t>
      </w:r>
      <w:r w:rsidR="00B47E7F" w:rsidRPr="00B47E7F">
        <w:rPr>
          <w:i/>
          <w:iCs/>
        </w:rPr>
        <w:t>not to the world</w:t>
      </w:r>
      <w:r w:rsidR="00B47E7F" w:rsidRPr="00B47E7F">
        <w:t>?’</w:t>
      </w:r>
      <w:r w:rsidR="00B47E7F">
        <w:t xml:space="preserve">’ (Italics </w:t>
      </w:r>
      <w:r w:rsidR="0030411B">
        <w:t>added</w:t>
      </w:r>
      <w:r w:rsidR="00B47E7F">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A4619"/>
    <w:multiLevelType w:val="multilevel"/>
    <w:tmpl w:val="F9A27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9390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A19"/>
    <w:rsid w:val="00001B21"/>
    <w:rsid w:val="000055DC"/>
    <w:rsid w:val="000262AB"/>
    <w:rsid w:val="00032AE0"/>
    <w:rsid w:val="00072064"/>
    <w:rsid w:val="00075A82"/>
    <w:rsid w:val="00084167"/>
    <w:rsid w:val="000876D6"/>
    <w:rsid w:val="000A09B3"/>
    <w:rsid w:val="000A45A2"/>
    <w:rsid w:val="000B2CEB"/>
    <w:rsid w:val="000B68EE"/>
    <w:rsid w:val="000C2936"/>
    <w:rsid w:val="000D0474"/>
    <w:rsid w:val="000E290F"/>
    <w:rsid w:val="001158D4"/>
    <w:rsid w:val="00135EA5"/>
    <w:rsid w:val="00146202"/>
    <w:rsid w:val="001730E0"/>
    <w:rsid w:val="0017355B"/>
    <w:rsid w:val="00176A67"/>
    <w:rsid w:val="001A64B0"/>
    <w:rsid w:val="001B22FB"/>
    <w:rsid w:val="001B5D14"/>
    <w:rsid w:val="001F4F4E"/>
    <w:rsid w:val="00201D23"/>
    <w:rsid w:val="002170F1"/>
    <w:rsid w:val="002237FB"/>
    <w:rsid w:val="00226A78"/>
    <w:rsid w:val="00237B0D"/>
    <w:rsid w:val="002743C2"/>
    <w:rsid w:val="00294DA6"/>
    <w:rsid w:val="002A38A8"/>
    <w:rsid w:val="002A79A8"/>
    <w:rsid w:val="002B14EB"/>
    <w:rsid w:val="002B2F73"/>
    <w:rsid w:val="002B5D03"/>
    <w:rsid w:val="0030411B"/>
    <w:rsid w:val="00331DD5"/>
    <w:rsid w:val="003439DB"/>
    <w:rsid w:val="0034737B"/>
    <w:rsid w:val="003670D0"/>
    <w:rsid w:val="003676AC"/>
    <w:rsid w:val="00371AE2"/>
    <w:rsid w:val="003B40CE"/>
    <w:rsid w:val="003C19B7"/>
    <w:rsid w:val="003D6002"/>
    <w:rsid w:val="003E17CB"/>
    <w:rsid w:val="003E5950"/>
    <w:rsid w:val="003F73FB"/>
    <w:rsid w:val="0040245A"/>
    <w:rsid w:val="00405C2A"/>
    <w:rsid w:val="00435894"/>
    <w:rsid w:val="0044151B"/>
    <w:rsid w:val="004538BB"/>
    <w:rsid w:val="00473627"/>
    <w:rsid w:val="00477A1D"/>
    <w:rsid w:val="00491765"/>
    <w:rsid w:val="00495B65"/>
    <w:rsid w:val="004964AB"/>
    <w:rsid w:val="004A74D0"/>
    <w:rsid w:val="004B5A61"/>
    <w:rsid w:val="004C2DD1"/>
    <w:rsid w:val="004E125E"/>
    <w:rsid w:val="004E29B5"/>
    <w:rsid w:val="004E5022"/>
    <w:rsid w:val="004E6ED1"/>
    <w:rsid w:val="004F4718"/>
    <w:rsid w:val="004F7BD1"/>
    <w:rsid w:val="00505D1C"/>
    <w:rsid w:val="00514F69"/>
    <w:rsid w:val="00524AAC"/>
    <w:rsid w:val="00531B50"/>
    <w:rsid w:val="00535159"/>
    <w:rsid w:val="005368C1"/>
    <w:rsid w:val="005908D1"/>
    <w:rsid w:val="00597E9B"/>
    <w:rsid w:val="005A5C59"/>
    <w:rsid w:val="005E1816"/>
    <w:rsid w:val="006127F6"/>
    <w:rsid w:val="00624FDF"/>
    <w:rsid w:val="006361AE"/>
    <w:rsid w:val="00637E8E"/>
    <w:rsid w:val="006542A9"/>
    <w:rsid w:val="00680734"/>
    <w:rsid w:val="006D69C5"/>
    <w:rsid w:val="006E5904"/>
    <w:rsid w:val="0070124B"/>
    <w:rsid w:val="0070757E"/>
    <w:rsid w:val="0072734D"/>
    <w:rsid w:val="007453BD"/>
    <w:rsid w:val="007509A0"/>
    <w:rsid w:val="00777671"/>
    <w:rsid w:val="007878FE"/>
    <w:rsid w:val="00791528"/>
    <w:rsid w:val="0079637C"/>
    <w:rsid w:val="007A6537"/>
    <w:rsid w:val="007B4F8A"/>
    <w:rsid w:val="007D494E"/>
    <w:rsid w:val="007E0308"/>
    <w:rsid w:val="007E17A2"/>
    <w:rsid w:val="007F3832"/>
    <w:rsid w:val="00821506"/>
    <w:rsid w:val="00830AC6"/>
    <w:rsid w:val="00831047"/>
    <w:rsid w:val="00833361"/>
    <w:rsid w:val="00852BA8"/>
    <w:rsid w:val="008558A8"/>
    <w:rsid w:val="0086098F"/>
    <w:rsid w:val="00861D63"/>
    <w:rsid w:val="00864B68"/>
    <w:rsid w:val="00867937"/>
    <w:rsid w:val="00872873"/>
    <w:rsid w:val="008A734E"/>
    <w:rsid w:val="008B221D"/>
    <w:rsid w:val="008B2566"/>
    <w:rsid w:val="008E2AD1"/>
    <w:rsid w:val="008E4CE1"/>
    <w:rsid w:val="00906AA9"/>
    <w:rsid w:val="00926738"/>
    <w:rsid w:val="0093194A"/>
    <w:rsid w:val="00936FD0"/>
    <w:rsid w:val="0094578A"/>
    <w:rsid w:val="00973019"/>
    <w:rsid w:val="009904EB"/>
    <w:rsid w:val="009A28DA"/>
    <w:rsid w:val="009C3B19"/>
    <w:rsid w:val="009D3A79"/>
    <w:rsid w:val="009F0E1E"/>
    <w:rsid w:val="00A24E15"/>
    <w:rsid w:val="00A264DE"/>
    <w:rsid w:val="00A30AF7"/>
    <w:rsid w:val="00A33E6C"/>
    <w:rsid w:val="00A362D9"/>
    <w:rsid w:val="00A50BED"/>
    <w:rsid w:val="00A71A37"/>
    <w:rsid w:val="00A77449"/>
    <w:rsid w:val="00AA10FF"/>
    <w:rsid w:val="00AB42F3"/>
    <w:rsid w:val="00AD7598"/>
    <w:rsid w:val="00AE043D"/>
    <w:rsid w:val="00AE6BF3"/>
    <w:rsid w:val="00B06816"/>
    <w:rsid w:val="00B47E7F"/>
    <w:rsid w:val="00B5748A"/>
    <w:rsid w:val="00B64D81"/>
    <w:rsid w:val="00B854D2"/>
    <w:rsid w:val="00B92C3E"/>
    <w:rsid w:val="00BA1105"/>
    <w:rsid w:val="00BD0829"/>
    <w:rsid w:val="00BD6C6E"/>
    <w:rsid w:val="00BE3243"/>
    <w:rsid w:val="00BE71E0"/>
    <w:rsid w:val="00C10665"/>
    <w:rsid w:val="00C33EE0"/>
    <w:rsid w:val="00C366F8"/>
    <w:rsid w:val="00C735C6"/>
    <w:rsid w:val="00C86562"/>
    <w:rsid w:val="00CB282D"/>
    <w:rsid w:val="00CD4FF2"/>
    <w:rsid w:val="00CE483C"/>
    <w:rsid w:val="00CF3248"/>
    <w:rsid w:val="00D06325"/>
    <w:rsid w:val="00D504B7"/>
    <w:rsid w:val="00D532D1"/>
    <w:rsid w:val="00D563BC"/>
    <w:rsid w:val="00D57D70"/>
    <w:rsid w:val="00D81F77"/>
    <w:rsid w:val="00D82E03"/>
    <w:rsid w:val="00D87B8D"/>
    <w:rsid w:val="00D904B3"/>
    <w:rsid w:val="00DD356F"/>
    <w:rsid w:val="00DF1F88"/>
    <w:rsid w:val="00DF23CC"/>
    <w:rsid w:val="00DF5598"/>
    <w:rsid w:val="00E104ED"/>
    <w:rsid w:val="00E10BB1"/>
    <w:rsid w:val="00E15EE2"/>
    <w:rsid w:val="00E223AD"/>
    <w:rsid w:val="00E3706F"/>
    <w:rsid w:val="00E62A19"/>
    <w:rsid w:val="00E63824"/>
    <w:rsid w:val="00E7270E"/>
    <w:rsid w:val="00E72849"/>
    <w:rsid w:val="00E74483"/>
    <w:rsid w:val="00E811E5"/>
    <w:rsid w:val="00E91EC8"/>
    <w:rsid w:val="00E92CA4"/>
    <w:rsid w:val="00EA5894"/>
    <w:rsid w:val="00ED0DCF"/>
    <w:rsid w:val="00EF23C1"/>
    <w:rsid w:val="00EF4980"/>
    <w:rsid w:val="00F1698D"/>
    <w:rsid w:val="00F354C3"/>
    <w:rsid w:val="00F359DC"/>
    <w:rsid w:val="00F63638"/>
    <w:rsid w:val="00F66942"/>
    <w:rsid w:val="00F71133"/>
    <w:rsid w:val="00F73032"/>
    <w:rsid w:val="00F90284"/>
    <w:rsid w:val="00FC5217"/>
    <w:rsid w:val="00FF1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020FEF"/>
  <w15:chartTrackingRefBased/>
  <w15:docId w15:val="{F89FD5A6-6019-EB42-93A3-60C653E68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A19"/>
  </w:style>
  <w:style w:type="paragraph" w:styleId="Heading1">
    <w:name w:val="heading 1"/>
    <w:basedOn w:val="Normal"/>
    <w:next w:val="Normal"/>
    <w:link w:val="Heading1Char"/>
    <w:uiPriority w:val="9"/>
    <w:qFormat/>
    <w:rsid w:val="00E62A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A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A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A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A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A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A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A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A19"/>
    <w:rPr>
      <w:rFonts w:eastAsiaTheme="majorEastAsia" w:cstheme="majorBidi"/>
      <w:color w:val="272727" w:themeColor="text1" w:themeTint="D8"/>
    </w:rPr>
  </w:style>
  <w:style w:type="paragraph" w:styleId="Title">
    <w:name w:val="Title"/>
    <w:basedOn w:val="Normal"/>
    <w:next w:val="Normal"/>
    <w:link w:val="TitleChar"/>
    <w:uiPriority w:val="10"/>
    <w:qFormat/>
    <w:rsid w:val="00E62A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A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A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A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A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2A19"/>
    <w:rPr>
      <w:i/>
      <w:iCs/>
      <w:color w:val="404040" w:themeColor="text1" w:themeTint="BF"/>
    </w:rPr>
  </w:style>
  <w:style w:type="paragraph" w:styleId="ListParagraph">
    <w:name w:val="List Paragraph"/>
    <w:basedOn w:val="Normal"/>
    <w:uiPriority w:val="34"/>
    <w:qFormat/>
    <w:rsid w:val="00E62A19"/>
    <w:pPr>
      <w:ind w:left="720"/>
      <w:contextualSpacing/>
    </w:pPr>
  </w:style>
  <w:style w:type="character" w:styleId="IntenseEmphasis">
    <w:name w:val="Intense Emphasis"/>
    <w:basedOn w:val="DefaultParagraphFont"/>
    <w:uiPriority w:val="21"/>
    <w:qFormat/>
    <w:rsid w:val="00E62A19"/>
    <w:rPr>
      <w:i/>
      <w:iCs/>
      <w:color w:val="0F4761" w:themeColor="accent1" w:themeShade="BF"/>
    </w:rPr>
  </w:style>
  <w:style w:type="paragraph" w:styleId="IntenseQuote">
    <w:name w:val="Intense Quote"/>
    <w:basedOn w:val="Normal"/>
    <w:next w:val="Normal"/>
    <w:link w:val="IntenseQuoteChar"/>
    <w:uiPriority w:val="30"/>
    <w:qFormat/>
    <w:rsid w:val="00E62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A19"/>
    <w:rPr>
      <w:i/>
      <w:iCs/>
      <w:color w:val="0F4761" w:themeColor="accent1" w:themeShade="BF"/>
    </w:rPr>
  </w:style>
  <w:style w:type="character" w:styleId="IntenseReference">
    <w:name w:val="Intense Reference"/>
    <w:basedOn w:val="DefaultParagraphFont"/>
    <w:uiPriority w:val="32"/>
    <w:qFormat/>
    <w:rsid w:val="00E62A19"/>
    <w:rPr>
      <w:b/>
      <w:bCs/>
      <w:smallCaps/>
      <w:color w:val="0F4761" w:themeColor="accent1" w:themeShade="BF"/>
      <w:spacing w:val="5"/>
    </w:rPr>
  </w:style>
  <w:style w:type="paragraph" w:styleId="FootnoteText">
    <w:name w:val="footnote text"/>
    <w:basedOn w:val="Normal"/>
    <w:link w:val="FootnoteTextChar"/>
    <w:uiPriority w:val="99"/>
    <w:semiHidden/>
    <w:unhideWhenUsed/>
    <w:rsid w:val="00821506"/>
    <w:rPr>
      <w:sz w:val="20"/>
      <w:szCs w:val="20"/>
    </w:rPr>
  </w:style>
  <w:style w:type="character" w:customStyle="1" w:styleId="FootnoteTextChar">
    <w:name w:val="Footnote Text Char"/>
    <w:basedOn w:val="DefaultParagraphFont"/>
    <w:link w:val="FootnoteText"/>
    <w:uiPriority w:val="99"/>
    <w:semiHidden/>
    <w:rsid w:val="00821506"/>
    <w:rPr>
      <w:sz w:val="20"/>
      <w:szCs w:val="20"/>
    </w:rPr>
  </w:style>
  <w:style w:type="character" w:styleId="FootnoteReference">
    <w:name w:val="footnote reference"/>
    <w:basedOn w:val="DefaultParagraphFont"/>
    <w:uiPriority w:val="99"/>
    <w:semiHidden/>
    <w:unhideWhenUsed/>
    <w:rsid w:val="00821506"/>
    <w:rPr>
      <w:vertAlign w:val="superscript"/>
    </w:rPr>
  </w:style>
  <w:style w:type="paragraph" w:styleId="NormalWeb">
    <w:name w:val="Normal (Web)"/>
    <w:basedOn w:val="Normal"/>
    <w:uiPriority w:val="99"/>
    <w:semiHidden/>
    <w:unhideWhenUsed/>
    <w:rsid w:val="00A24E15"/>
    <w:rPr>
      <w:rFonts w:ascii="Times New Roman" w:hAnsi="Times New Roman" w:cs="Times New Roman"/>
    </w:rPr>
  </w:style>
  <w:style w:type="character" w:customStyle="1" w:styleId="contributors">
    <w:name w:val="contributors"/>
    <w:basedOn w:val="DefaultParagraphFont"/>
    <w:rsid w:val="005E1816"/>
  </w:style>
  <w:style w:type="character" w:customStyle="1" w:styleId="maintitle">
    <w:name w:val="maintitle"/>
    <w:basedOn w:val="DefaultParagraphFont"/>
    <w:rsid w:val="005E1816"/>
  </w:style>
  <w:style w:type="character" w:customStyle="1" w:styleId="editors">
    <w:name w:val="editors"/>
    <w:basedOn w:val="DefaultParagraphFont"/>
    <w:rsid w:val="005E1816"/>
  </w:style>
  <w:style w:type="character" w:styleId="Emphasis">
    <w:name w:val="Emphasis"/>
    <w:basedOn w:val="DefaultParagraphFont"/>
    <w:uiPriority w:val="20"/>
    <w:qFormat/>
    <w:rsid w:val="005E1816"/>
    <w:rPr>
      <w:i/>
      <w:iCs/>
    </w:rPr>
  </w:style>
  <w:style w:type="character" w:customStyle="1" w:styleId="series-title">
    <w:name w:val="series-title"/>
    <w:basedOn w:val="DefaultParagraphFont"/>
    <w:rsid w:val="005E1816"/>
  </w:style>
  <w:style w:type="character" w:customStyle="1" w:styleId="print-publication-date">
    <w:name w:val="print-publication-date"/>
    <w:basedOn w:val="DefaultParagraphFont"/>
    <w:rsid w:val="005E1816"/>
  </w:style>
  <w:style w:type="character" w:customStyle="1" w:styleId="online-edition">
    <w:name w:val="online-edition"/>
    <w:basedOn w:val="DefaultParagraphFont"/>
    <w:rsid w:val="005E1816"/>
  </w:style>
  <w:style w:type="character" w:customStyle="1" w:styleId="containing-site">
    <w:name w:val="containing-site"/>
    <w:basedOn w:val="DefaultParagraphFont"/>
    <w:rsid w:val="005E1816"/>
  </w:style>
  <w:style w:type="character" w:customStyle="1" w:styleId="online-publication-date">
    <w:name w:val="online-publication-date"/>
    <w:basedOn w:val="DefaultParagraphFont"/>
    <w:rsid w:val="005E1816"/>
  </w:style>
  <w:style w:type="character" w:styleId="Hyperlink">
    <w:name w:val="Hyperlink"/>
    <w:basedOn w:val="DefaultParagraphFont"/>
    <w:uiPriority w:val="99"/>
    <w:unhideWhenUsed/>
    <w:rsid w:val="00BD0829"/>
    <w:rPr>
      <w:color w:val="467886" w:themeColor="hyperlink"/>
      <w:u w:val="single"/>
    </w:rPr>
  </w:style>
  <w:style w:type="character" w:styleId="UnresolvedMention">
    <w:name w:val="Unresolved Mention"/>
    <w:basedOn w:val="DefaultParagraphFont"/>
    <w:uiPriority w:val="99"/>
    <w:semiHidden/>
    <w:unhideWhenUsed/>
    <w:rsid w:val="00BD0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81FF2-7243-FE42-9ECC-08A67E425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1409</TotalTime>
  <Pages>10</Pages>
  <Words>3388</Words>
  <Characters>17724</Characters>
  <Application>Microsoft Office Word</Application>
  <DocSecurity>0</DocSecurity>
  <Lines>443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58</cp:revision>
  <cp:lastPrinted>2026-05-02T19:03:00Z</cp:lastPrinted>
  <dcterms:created xsi:type="dcterms:W3CDTF">2026-04-27T17:34:00Z</dcterms:created>
  <dcterms:modified xsi:type="dcterms:W3CDTF">2026-05-06T21:38:00Z</dcterms:modified>
</cp:coreProperties>
</file>