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78"/>
        <w:gridCol w:w="4233"/>
      </w:tblGrid>
      <w:tr w:rsidR="00C26D72" w:rsidRPr="00C26D72" w:rsidTr="00D23D1F">
        <w:trPr>
          <w:cantSplit/>
          <w:trHeight w:val="448"/>
        </w:trPr>
        <w:tc>
          <w:tcPr>
            <w:tcW w:w="4878" w:type="dxa"/>
          </w:tcPr>
          <w:p w:rsidR="00C26D72" w:rsidRPr="00C26D72" w:rsidRDefault="00C26D72" w:rsidP="00C26D72">
            <w:pPr>
              <w:spacing w:after="240"/>
              <w:rPr>
                <w:b/>
                <w:caps/>
              </w:rPr>
            </w:pPr>
            <w:bookmarkStart w:id="0" w:name="_Hlk39396249"/>
            <w:r w:rsidRPr="00C26D72">
              <w:rPr>
                <w:caps/>
                <w:noProof/>
                <w:sz w:val="28"/>
              </w:rPr>
              <w:drawing>
                <wp:anchor distT="0" distB="0" distL="114300" distR="114300" simplePos="0" relativeHeight="251659264" behindDoc="0" locked="0" layoutInCell="1" allowOverlap="1">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19838" cy="914400"/>
                          </a:xfrm>
                          <a:prstGeom prst="rect">
                            <a:avLst/>
                          </a:prstGeom>
                          <a:noFill/>
                        </pic:spPr>
                      </pic:pic>
                    </a:graphicData>
                  </a:graphic>
                </wp:anchor>
              </w:drawing>
            </w:r>
          </w:p>
          <w:p w:rsidR="00C26D72" w:rsidRPr="00C26D72" w:rsidRDefault="00C26D72" w:rsidP="00C26D72">
            <w:pPr>
              <w:spacing w:after="240"/>
              <w:rPr>
                <w:b/>
                <w:caps/>
              </w:rPr>
            </w:pPr>
          </w:p>
          <w:p w:rsidR="00C26D72" w:rsidRPr="00C26D72" w:rsidRDefault="00C26D72" w:rsidP="00C26D72">
            <w:pPr>
              <w:spacing w:after="240"/>
              <w:rPr>
                <w:b/>
                <w:caps/>
              </w:rPr>
            </w:pPr>
          </w:p>
          <w:p w:rsidR="00C26D72" w:rsidRPr="00C26D72" w:rsidRDefault="00C26D72" w:rsidP="00C26D72">
            <w:pPr>
              <w:spacing w:after="240"/>
              <w:rPr>
                <w:b/>
                <w:caps/>
              </w:rPr>
            </w:pPr>
          </w:p>
          <w:p w:rsidR="00C26D72" w:rsidRPr="00C26D72" w:rsidRDefault="00C26D72" w:rsidP="00C26D72">
            <w:pPr>
              <w:spacing w:after="240"/>
              <w:rPr>
                <w:b/>
                <w:caps/>
              </w:rPr>
            </w:pPr>
            <w:r w:rsidRPr="00C26D72">
              <w:rPr>
                <w:b/>
                <w:caps/>
              </w:rPr>
              <w:t>LOCATION</w:t>
            </w:r>
            <w:r>
              <w:rPr>
                <w:b/>
                <w:caps/>
              </w:rPr>
              <w:t>ONLINE</w:t>
            </w:r>
          </w:p>
        </w:tc>
        <w:tc>
          <w:tcPr>
            <w:tcW w:w="4233" w:type="dxa"/>
          </w:tcPr>
          <w:p w:rsidR="00C26D72" w:rsidRPr="00C26D72" w:rsidRDefault="00C26D72" w:rsidP="00C26D72">
            <w:pPr>
              <w:spacing w:after="240"/>
              <w:jc w:val="center"/>
              <w:rPr>
                <w:caps/>
              </w:rPr>
            </w:pPr>
          </w:p>
          <w:p w:rsidR="00C26D72" w:rsidRPr="00C26D72" w:rsidRDefault="00C26D72" w:rsidP="00C26D72">
            <w:pPr>
              <w:spacing w:after="240"/>
              <w:jc w:val="right"/>
              <w:rPr>
                <w:b/>
                <w:caps/>
              </w:rPr>
            </w:pPr>
          </w:p>
          <w:p w:rsidR="00C26D72" w:rsidRPr="00C26D72" w:rsidRDefault="00C26D72" w:rsidP="00C26D72">
            <w:pPr>
              <w:spacing w:after="240"/>
              <w:jc w:val="right"/>
              <w:rPr>
                <w:b/>
                <w:caps/>
              </w:rPr>
            </w:pPr>
          </w:p>
          <w:p w:rsidR="00C26D72" w:rsidRPr="00C26D72" w:rsidRDefault="00C26D72" w:rsidP="00C26D72">
            <w:pPr>
              <w:spacing w:after="240"/>
              <w:jc w:val="right"/>
              <w:rPr>
                <w:b/>
                <w:caps/>
              </w:rPr>
            </w:pPr>
          </w:p>
          <w:p w:rsidR="00C26D72" w:rsidRPr="00C26D72" w:rsidRDefault="00C26D72" w:rsidP="00C26D72">
            <w:pPr>
              <w:spacing w:after="240"/>
              <w:jc w:val="right"/>
              <w:rPr>
                <w:caps/>
              </w:rPr>
            </w:pPr>
            <w:r w:rsidRPr="00C26D72">
              <w:rPr>
                <w:b/>
                <w:caps/>
              </w:rPr>
              <w:t>LLEOLIAD abertawe</w:t>
            </w:r>
          </w:p>
        </w:tc>
      </w:tr>
      <w:tr w:rsidR="00C26D72" w:rsidRPr="00C26D72" w:rsidTr="00D23D1F">
        <w:trPr>
          <w:trHeight w:val="518"/>
        </w:trPr>
        <w:tc>
          <w:tcPr>
            <w:tcW w:w="4878" w:type="dxa"/>
          </w:tcPr>
          <w:p w:rsidR="00C26D72" w:rsidRPr="00C26D72" w:rsidRDefault="00C26D72" w:rsidP="00C26D72">
            <w:pPr>
              <w:spacing w:after="240"/>
              <w:ind w:left="5760" w:hanging="5760"/>
              <w:rPr>
                <w:b/>
              </w:rPr>
            </w:pPr>
            <w:r w:rsidRPr="00C26D72">
              <w:rPr>
                <w:b/>
              </w:rPr>
              <w:t>LEVEL 6</w:t>
            </w:r>
          </w:p>
        </w:tc>
        <w:tc>
          <w:tcPr>
            <w:tcW w:w="4233" w:type="dxa"/>
          </w:tcPr>
          <w:p w:rsidR="00C26D72" w:rsidRPr="00C26D72" w:rsidRDefault="00C26D72" w:rsidP="00C26D72">
            <w:pPr>
              <w:spacing w:after="240"/>
              <w:ind w:left="5760" w:hanging="5760"/>
              <w:jc w:val="right"/>
              <w:rPr>
                <w:b/>
              </w:rPr>
            </w:pPr>
            <w:r w:rsidRPr="00C26D72">
              <w:rPr>
                <w:b/>
              </w:rPr>
              <w:t>LEFEL 6</w:t>
            </w:r>
          </w:p>
        </w:tc>
      </w:tr>
      <w:tr w:rsidR="00C26D72" w:rsidRPr="00C26D72" w:rsidTr="00D23D1F">
        <w:trPr>
          <w:trHeight w:val="289"/>
        </w:trPr>
        <w:tc>
          <w:tcPr>
            <w:tcW w:w="4878" w:type="dxa"/>
          </w:tcPr>
          <w:p w:rsidR="00C26D72" w:rsidRPr="00C26D72" w:rsidRDefault="00C26D72" w:rsidP="00C26D72">
            <w:pPr>
              <w:rPr>
                <w:b/>
                <w:caps/>
              </w:rPr>
            </w:pPr>
            <w:r w:rsidRPr="00C26D72">
              <w:rPr>
                <w:b/>
                <w:caps/>
              </w:rPr>
              <w:t>EXAMINATION PERIOD</w:t>
            </w:r>
          </w:p>
        </w:tc>
        <w:tc>
          <w:tcPr>
            <w:tcW w:w="4233" w:type="dxa"/>
          </w:tcPr>
          <w:p w:rsidR="00C26D72" w:rsidRPr="00C26D72" w:rsidRDefault="00C26D72" w:rsidP="00C26D72">
            <w:pPr>
              <w:jc w:val="right"/>
              <w:rPr>
                <w:b/>
                <w:caps/>
              </w:rPr>
            </w:pPr>
            <w:r w:rsidRPr="00C26D72">
              <w:rPr>
                <w:b/>
                <w:caps/>
              </w:rPr>
              <w:t>CYFNOD ARHOLIADAU</w:t>
            </w:r>
          </w:p>
        </w:tc>
      </w:tr>
      <w:tr w:rsidR="00C26D72" w:rsidRPr="00C26D72" w:rsidTr="00D23D1F">
        <w:trPr>
          <w:trHeight w:val="825"/>
        </w:trPr>
        <w:tc>
          <w:tcPr>
            <w:tcW w:w="4878" w:type="dxa"/>
          </w:tcPr>
          <w:p w:rsidR="00C26D72" w:rsidRPr="00C26D72" w:rsidRDefault="00C26D72" w:rsidP="00C26D72">
            <w:pPr>
              <w:spacing w:after="240"/>
              <w:jc w:val="both"/>
              <w:rPr>
                <w:b/>
                <w:bCs/>
                <w:caps/>
              </w:rPr>
            </w:pPr>
            <w:r>
              <w:rPr>
                <w:b/>
                <w:bCs/>
                <w:caps/>
              </w:rPr>
              <w:t>JAN 21</w:t>
            </w:r>
          </w:p>
        </w:tc>
        <w:tc>
          <w:tcPr>
            <w:tcW w:w="4233" w:type="dxa"/>
          </w:tcPr>
          <w:p w:rsidR="00C26D72" w:rsidRPr="00C26D72" w:rsidRDefault="00C26D72" w:rsidP="00C26D72">
            <w:pPr>
              <w:spacing w:after="240"/>
              <w:jc w:val="right"/>
              <w:rPr>
                <w:b/>
                <w:bCs/>
                <w:caps/>
              </w:rPr>
            </w:pPr>
          </w:p>
        </w:tc>
      </w:tr>
      <w:tr w:rsidR="00C26D72" w:rsidRPr="00C26D72" w:rsidTr="00D23D1F">
        <w:trPr>
          <w:trHeight w:val="825"/>
        </w:trPr>
        <w:tc>
          <w:tcPr>
            <w:tcW w:w="4878" w:type="dxa"/>
          </w:tcPr>
          <w:p w:rsidR="00C26D72" w:rsidRPr="00C26D72" w:rsidRDefault="00C26D72" w:rsidP="00C26D72">
            <w:pPr>
              <w:jc w:val="center"/>
              <w:rPr>
                <w:b/>
                <w:caps/>
                <w:sz w:val="28"/>
              </w:rPr>
            </w:pPr>
          </w:p>
        </w:tc>
        <w:tc>
          <w:tcPr>
            <w:tcW w:w="4233" w:type="dxa"/>
          </w:tcPr>
          <w:p w:rsidR="00C26D72" w:rsidRPr="00C26D72" w:rsidRDefault="00C26D72" w:rsidP="00C26D72">
            <w:pPr>
              <w:spacing w:after="240"/>
              <w:jc w:val="right"/>
              <w:rPr>
                <w:b/>
                <w:caps/>
              </w:rPr>
            </w:pPr>
          </w:p>
        </w:tc>
      </w:tr>
    </w:tbl>
    <w:p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rsidR="00C26D72" w:rsidRPr="00C26D72" w:rsidRDefault="00C26D72" w:rsidP="00C26D72">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rsidR="00C26D72" w:rsidRPr="00C26D72" w:rsidRDefault="00C26D72" w:rsidP="00C26D72">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006C0BDF">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rsidR="00C26D72" w:rsidRPr="00C26D72" w:rsidRDefault="00C26D72" w:rsidP="00C26D72">
      <w:pPr>
        <w:spacing w:after="0" w:line="240" w:lineRule="auto"/>
        <w:rPr>
          <w:rFonts w:ascii="Times New Roman" w:eastAsia="Times New Roman" w:hAnsi="Times New Roman" w:cs="Times New Roman"/>
          <w:b/>
          <w:caps/>
          <w:strike w:val="0"/>
          <w:sz w:val="28"/>
          <w:szCs w:val="20"/>
          <w:lang w:eastAsia="en-GB"/>
        </w:rPr>
      </w:pPr>
    </w:p>
    <w:p w:rsidR="00C26D72" w:rsidRPr="00C26D72" w:rsidRDefault="00C26D72" w:rsidP="00C26D72">
      <w:pPr>
        <w:spacing w:after="120" w:line="240" w:lineRule="auto"/>
        <w:rPr>
          <w:rFonts w:ascii="Times New Roman" w:eastAsia="Times New Roman" w:hAnsi="Times New Roman" w:cs="Times New Roman"/>
          <w:i/>
          <w:strike w:val="0"/>
          <w:szCs w:val="20"/>
          <w:lang w:eastAsia="en-GB"/>
        </w:rPr>
      </w:pPr>
    </w:p>
    <w:p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rsidR="00C26D72" w:rsidRPr="00C26D72" w:rsidRDefault="00C26D72" w:rsidP="00C26D72">
      <w:pPr>
        <w:spacing w:after="120" w:line="240" w:lineRule="auto"/>
        <w:ind w:left="720"/>
        <w:rPr>
          <w:rFonts w:ascii="Times New Roman" w:eastAsia="Times New Roman" w:hAnsi="Times New Roman" w:cs="Times New Roman"/>
          <w:strike w:val="0"/>
          <w:sz w:val="28"/>
          <w:szCs w:val="20"/>
          <w:lang w:eastAsia="en-GB"/>
        </w:rPr>
      </w:pPr>
    </w:p>
    <w:p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rsidR="006C0BDF" w:rsidRPr="006C0BDF" w:rsidRDefault="00C26D72" w:rsidP="006C0BDF">
      <w:pPr>
        <w:pStyle w:val="ListParagraph"/>
        <w:numPr>
          <w:ilvl w:val="0"/>
          <w:numId w:val="9"/>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lastRenderedPageBreak/>
        <w:t xml:space="preserve">‘Trace Evidence’ relates to the </w:t>
      </w:r>
      <w:r w:rsidR="006C0BDF" w:rsidRPr="006C0BDF">
        <w:rPr>
          <w:rFonts w:eastAsia="Times New Roman"/>
          <w:strike w:val="0"/>
          <w:sz w:val="28"/>
          <w:szCs w:val="28"/>
          <w:lang w:eastAsia="en-GB"/>
        </w:rPr>
        <w:t xml:space="preserve">‘traces’ of tiny particles’ that may be left at crime scenes by criminals. </w:t>
      </w:r>
    </w:p>
    <w:p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Explain: What ‘tiny particles’ make up ‘trace evidence’.</w:t>
      </w:r>
    </w:p>
    <w:p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 xml:space="preserve">Explain: How ‘trace evidence’ might be recovered from a crime scene, and </w:t>
      </w:r>
    </w:p>
    <w:p w:rsidR="0062487A" w:rsidRDefault="006C0BDF" w:rsidP="0062487A">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C</w:t>
      </w:r>
      <w:r w:rsidR="00C26D72" w:rsidRPr="006C0BDF">
        <w:rPr>
          <w:rFonts w:eastAsia="Times New Roman"/>
          <w:strike w:val="0"/>
          <w:sz w:val="28"/>
          <w:szCs w:val="28"/>
          <w:lang w:eastAsia="en-GB"/>
        </w:rPr>
        <w:t>ritically evaluate the effectiveness of ‘Trace Eviden</w:t>
      </w:r>
      <w:r w:rsidR="0062487A">
        <w:rPr>
          <w:rFonts w:eastAsia="Times New Roman"/>
          <w:strike w:val="0"/>
          <w:sz w:val="28"/>
          <w:szCs w:val="28"/>
          <w:lang w:eastAsia="en-GB"/>
        </w:rPr>
        <w:t>ce’ in criminal investigations.(25</w:t>
      </w:r>
      <w:r w:rsidR="00C26D72" w:rsidRPr="006C0BDF">
        <w:rPr>
          <w:rFonts w:eastAsia="Times New Roman"/>
          <w:strike w:val="0"/>
          <w:sz w:val="28"/>
          <w:szCs w:val="28"/>
          <w:lang w:eastAsia="en-GB"/>
        </w:rPr>
        <w:t>Marks)</w:t>
      </w:r>
    </w:p>
    <w:p w:rsidR="0062487A" w:rsidRPr="0062487A" w:rsidRDefault="0062487A" w:rsidP="0062487A">
      <w:pPr>
        <w:spacing w:after="0" w:line="480" w:lineRule="auto"/>
        <w:rPr>
          <w:rFonts w:eastAsia="Times New Roman"/>
          <w:strike w:val="0"/>
          <w:lang w:eastAsia="en-GB"/>
        </w:rPr>
      </w:pPr>
      <w:r w:rsidRPr="0062487A">
        <w:rPr>
          <w:rFonts w:eastAsia="Times New Roman"/>
          <w:strike w:val="0"/>
          <w:color w:val="000000"/>
          <w:lang w:eastAsia="en-GB"/>
        </w:rPr>
        <w:t xml:space="preserve">Trace evidence is an aspect of forensic science that assists crime scene investigators in a variety of different ways. The tiny particles that are left or can be found at a crime scene were drawn attention to by Edmond Locard’s Principle of Exchange, where Locard (1920) stated: “Every contact leaves a trace.”. It is from this principle, that crime scene investigators may seek out these traces, in the form of them being trace evidence. Amongst trace evidence exhibits, tiny particles can be associated, the retention and therefore value of trace evidence is determined by the type of evidence the specific exhibition falls under. The main types of trace evidence are: Glass, Paint, Fibres, Hair, and Soil, with each type of trace evidence having varying retention times based on multiple factors, such as: the washing of such evidence, the activity or movement of the evidence with exhibitions potentially being moved around the crime scene, the length of time at which the evidence has value, for example, glass fragments on a suspect's hoodie following the breakage of a window into a victim's car, as time progresses, more and more fragments will fall off and leave the hoodie, with the majority of glass fragments typically being lost within the first hour of contact, the final factor that can impact the retention of trace evidence is material texture, with coarse surfaces likely to be better at retaining </w:t>
      </w:r>
      <w:r w:rsidRPr="0062487A">
        <w:rPr>
          <w:rFonts w:eastAsia="Times New Roman"/>
          <w:strike w:val="0"/>
          <w:color w:val="000000"/>
          <w:lang w:eastAsia="en-GB"/>
        </w:rPr>
        <w:lastRenderedPageBreak/>
        <w:t>foreign debris whilst smooth surfaces are less likely to retain due to their texture being one that enables aspects such as glass or paint, to be wiped or scrubbed off.</w:t>
      </w:r>
    </w:p>
    <w:p w:rsidR="0062487A" w:rsidRPr="0062487A" w:rsidRDefault="0062487A" w:rsidP="0062487A">
      <w:pPr>
        <w:pStyle w:val="ListParagraph"/>
        <w:spacing w:after="0" w:line="480" w:lineRule="auto"/>
        <w:ind w:left="1506"/>
        <w:rPr>
          <w:rFonts w:ascii="Times New Roman" w:eastAsia="Times New Roman" w:hAnsi="Times New Roman" w:cs="Times New Roman"/>
          <w:strike w:val="0"/>
          <w:lang w:eastAsia="en-GB"/>
        </w:rPr>
      </w:pPr>
    </w:p>
    <w:p w:rsidR="0062487A" w:rsidRPr="0062487A" w:rsidRDefault="0062487A" w:rsidP="0062487A">
      <w:pPr>
        <w:pStyle w:val="ListParagraph"/>
        <w:spacing w:after="0" w:line="480" w:lineRule="auto"/>
        <w:ind w:left="0"/>
        <w:rPr>
          <w:rFonts w:ascii="Times New Roman" w:eastAsia="Times New Roman" w:hAnsi="Times New Roman" w:cs="Times New Roman"/>
          <w:strike w:val="0"/>
          <w:lang w:eastAsia="en-GB"/>
        </w:rPr>
      </w:pPr>
      <w:r w:rsidRPr="0062487A">
        <w:rPr>
          <w:rFonts w:eastAsia="Times New Roman"/>
          <w:strike w:val="0"/>
          <w:color w:val="000000"/>
          <w:lang w:eastAsia="en-GB"/>
        </w:rPr>
        <w:t>Trace evidence can be recovered using multiple recovery methods, with some being better at maintaining evidential value, whilst others may damage or hinder the evidential value of specific exhibits. Following the appropriate change into PPE, such as approved paper suits, gloves, mask and overshoes, with a minimum of gloves and mask for the most basic of recoveries, evidential collection can occur, with smaller exhibits being extracted with the use of hand held tweezers, with the tweezers then placing the article or exhibit inside an appropriate packaging and tamper proof pack to prevent cross contamination as well as maintain the chain or continuity of evidence. Other methods of recovery that can be used, can be the collection of the specific item that has trace evidence associated with, for example, the entire removal and recovery of an object with trace evidence such as the previously mentioned glass, paint, etc may be necessary, with larger and more in depth measures taken to recover such exhibits to prevent cross contamination. To obtain a sample of less tangible types of trace evidence, tape lifting can also be used.</w:t>
      </w:r>
    </w:p>
    <w:p w:rsidR="0062487A" w:rsidRPr="0062487A" w:rsidRDefault="0062487A" w:rsidP="0062487A">
      <w:pPr>
        <w:pStyle w:val="ListParagraph"/>
        <w:spacing w:after="0" w:line="480" w:lineRule="auto"/>
        <w:ind w:left="1506"/>
        <w:rPr>
          <w:rFonts w:ascii="Times New Roman" w:eastAsia="Times New Roman" w:hAnsi="Times New Roman" w:cs="Times New Roman"/>
          <w:strike w:val="0"/>
          <w:lang w:eastAsia="en-GB"/>
        </w:rPr>
      </w:pPr>
    </w:p>
    <w:p w:rsidR="0062487A" w:rsidRPr="0062487A" w:rsidRDefault="0062487A" w:rsidP="0062487A">
      <w:pPr>
        <w:pStyle w:val="ListParagraph"/>
        <w:spacing w:after="0" w:line="480" w:lineRule="auto"/>
        <w:ind w:left="0"/>
        <w:rPr>
          <w:rFonts w:ascii="Times New Roman" w:eastAsia="Times New Roman" w:hAnsi="Times New Roman" w:cs="Times New Roman"/>
          <w:strike w:val="0"/>
          <w:lang w:eastAsia="en-GB"/>
        </w:rPr>
      </w:pPr>
      <w:r w:rsidRPr="0062487A">
        <w:rPr>
          <w:rFonts w:eastAsia="Times New Roman"/>
          <w:strike w:val="0"/>
          <w:color w:val="000000"/>
          <w:lang w:eastAsia="en-GB"/>
        </w:rPr>
        <w:t xml:space="preserve">Furthermore, blood is a category of evidence that can also be used as trace evidence, as the presence of blood can indicate to crime scene investigators an injury has occurred, as well as establish a direct link, from an exhibit, showing contact with the injured should the victim's blood be found on a suspect's possession. The distribution of blood can also be important factors of trace evidence as it may reveal the sequence of events that occurred at the scene of the crime, </w:t>
      </w:r>
      <w:r w:rsidRPr="0062487A">
        <w:rPr>
          <w:rFonts w:eastAsia="Times New Roman"/>
          <w:strike w:val="0"/>
          <w:color w:val="000000"/>
          <w:lang w:eastAsia="en-GB"/>
        </w:rPr>
        <w:lastRenderedPageBreak/>
        <w:t>should the suspect or victim make contact with features such as furniture, hair, glass or paint.</w:t>
      </w:r>
    </w:p>
    <w:p w:rsidR="0062487A" w:rsidRPr="0062487A" w:rsidRDefault="0062487A" w:rsidP="0062487A">
      <w:pPr>
        <w:pStyle w:val="ListParagraph"/>
        <w:spacing w:after="0" w:line="480" w:lineRule="auto"/>
        <w:ind w:left="1506"/>
        <w:rPr>
          <w:rFonts w:ascii="Times New Roman" w:eastAsia="Times New Roman" w:hAnsi="Times New Roman" w:cs="Times New Roman"/>
          <w:strike w:val="0"/>
          <w:lang w:eastAsia="en-GB"/>
        </w:rPr>
      </w:pPr>
    </w:p>
    <w:p w:rsidR="0062487A" w:rsidRPr="0062487A" w:rsidRDefault="0062487A" w:rsidP="0062487A">
      <w:pPr>
        <w:pStyle w:val="ListParagraph"/>
        <w:spacing w:after="0" w:line="480" w:lineRule="auto"/>
        <w:ind w:left="0"/>
        <w:rPr>
          <w:rFonts w:ascii="Times New Roman" w:eastAsia="Times New Roman" w:hAnsi="Times New Roman" w:cs="Times New Roman"/>
          <w:strike w:val="0"/>
          <w:lang w:eastAsia="en-GB"/>
        </w:rPr>
      </w:pPr>
      <w:r w:rsidRPr="0062487A">
        <w:rPr>
          <w:rFonts w:eastAsia="Times New Roman"/>
          <w:strike w:val="0"/>
          <w:color w:val="000000"/>
          <w:lang w:eastAsia="en-GB"/>
        </w:rPr>
        <w:t>Although trace evidence can be an asset to crime scene investigators, Morgan (2019) states that there is too much focus on detecting and identifying forensic traces, with too little or not enough focus on the actual interpretation of the findings, as for example, if gunshot residue or glass fragments were found on a t shirt, Morgan (2019) argues, that confirming the existence of such residue or fragments is not enough, and it should still be established whether the individual was responsible for firing the gun or breaking the glass, as opposed to simply being near and within proximity.</w:t>
      </w:r>
    </w:p>
    <w:p w:rsidR="0062487A" w:rsidRPr="0062487A" w:rsidRDefault="0062487A" w:rsidP="0062487A">
      <w:pPr>
        <w:pStyle w:val="ListParagraph"/>
        <w:spacing w:after="0" w:line="480" w:lineRule="auto"/>
        <w:ind w:left="1506"/>
        <w:rPr>
          <w:rFonts w:ascii="Times New Roman" w:eastAsia="Times New Roman" w:hAnsi="Times New Roman" w:cs="Times New Roman"/>
          <w:strike w:val="0"/>
          <w:lang w:eastAsia="en-GB"/>
        </w:rPr>
      </w:pPr>
    </w:p>
    <w:p w:rsidR="0062487A" w:rsidRPr="0062487A" w:rsidRDefault="0062487A" w:rsidP="0062487A">
      <w:pPr>
        <w:pStyle w:val="ListParagraph"/>
        <w:spacing w:after="0" w:line="480" w:lineRule="auto"/>
        <w:ind w:left="0"/>
        <w:rPr>
          <w:rFonts w:ascii="Times New Roman" w:eastAsia="Times New Roman" w:hAnsi="Times New Roman" w:cs="Times New Roman"/>
          <w:strike w:val="0"/>
          <w:lang w:eastAsia="en-GB"/>
        </w:rPr>
      </w:pPr>
      <w:r w:rsidRPr="0062487A">
        <w:rPr>
          <w:rFonts w:eastAsia="Times New Roman"/>
          <w:strike w:val="0"/>
          <w:color w:val="000000"/>
          <w:lang w:eastAsia="en-GB"/>
        </w:rPr>
        <w:t>Although there are criticisms towards the use or exact goal surrounding forensic trace evidence, it is this category of evidence that often leads investigators in the right direction, and can help inform decisions with regards to the entirety of the criminal investigative process.</w:t>
      </w:r>
    </w:p>
    <w:p w:rsidR="00C26D72" w:rsidRDefault="00C26D72" w:rsidP="0062487A">
      <w:pPr>
        <w:spacing w:after="0" w:line="480" w:lineRule="auto"/>
        <w:ind w:left="426"/>
        <w:rPr>
          <w:rFonts w:ascii="Times New Roman" w:eastAsia="Times New Roman" w:hAnsi="Times New Roman" w:cs="Times New Roman"/>
          <w:strike w:val="0"/>
          <w:sz w:val="28"/>
          <w:szCs w:val="28"/>
          <w:lang w:eastAsia="en-GB"/>
        </w:rPr>
      </w:pPr>
    </w:p>
    <w:p w:rsidR="006C0BDF" w:rsidRDefault="006C0BDF" w:rsidP="00C26D72">
      <w:pPr>
        <w:spacing w:after="0" w:line="480" w:lineRule="auto"/>
        <w:ind w:left="426"/>
        <w:jc w:val="both"/>
        <w:rPr>
          <w:rFonts w:ascii="Times New Roman" w:eastAsia="Times New Roman" w:hAnsi="Times New Roman" w:cs="Times New Roman"/>
          <w:strike w:val="0"/>
          <w:sz w:val="28"/>
          <w:szCs w:val="28"/>
          <w:lang w:eastAsia="en-GB"/>
        </w:rPr>
      </w:pPr>
    </w:p>
    <w:p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t xml:space="preserve">2. </w:t>
      </w:r>
      <w:r w:rsidR="006C0BDF" w:rsidRPr="006C0BDF">
        <w:rPr>
          <w:rFonts w:eastAsia="Times New Roman"/>
          <w:strike w:val="0"/>
          <w:sz w:val="28"/>
          <w:szCs w:val="28"/>
          <w:lang w:eastAsia="en-GB"/>
        </w:rPr>
        <w:t xml:space="preserve">   Explain the importance of careful scene examination following a terrorist attack. </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sidRPr="006C0BDF">
        <w:rPr>
          <w:rFonts w:eastAsia="Times New Roman"/>
          <w:strike w:val="0"/>
          <w:sz w:val="28"/>
          <w:szCs w:val="28"/>
          <w:lang w:eastAsia="en-GB"/>
        </w:rPr>
        <w:t>(25 Marks)</w:t>
      </w: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t xml:space="preserve">Careful scene examination is a crucial aspect of all crime scene investigation, especially following the events of a terror attack, as tens of thousands, if not close to a million exhibits with evidential value could potentially be recovered. </w:t>
      </w:r>
      <w:r w:rsidRPr="0062487A">
        <w:rPr>
          <w:rFonts w:eastAsia="Times New Roman"/>
          <w:strike w:val="0"/>
          <w:color w:val="000000"/>
          <w:lang w:eastAsia="en-GB"/>
        </w:rPr>
        <w:lastRenderedPageBreak/>
        <w:t>The enermority of evidence that can be found at a terrorist incident can be illustrated when looking at the 7/7 terrorist incident, where that incident alone had over 1,500 crime scenes, as there were 4 bombers involved, which resulted in the actual scene of detonation requiring investigation, alongside all of the bombers vehicles, houses, along with all of the shops or stores where equipment was purchased to create the devices used at the incident. </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t>Furthermore, in cases as big as  7/7, entire buildings or a warehouse may be required to house the hundreds of thousands of evidential exhibits, with each exhibit being labelled and organised, given unique and specific identification and documentation. To demonstrate the volume of evidence, the recovery of CCTV which was considered to be one of the lowest volume of recovery with regards to the hundreds of thousands of debris, particles, DNA and impressions recovered, CCTV footage had over 80,000 evidentiary exhibits.</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t>Due to the nature of terrorist incidents, where there would sometimes be a non-uniform or civilian staff as crime scene investigator to investigate the scene of a crime, terrorist incidents instead require full time forensic police officers as fully trained and specialised investigators, and will be the ones that will look at the scene and give evidence in court.</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t>These officers are referred to as forensic examiners when utilised in response to a terrorist incident, whereas crime scene officers are used for local crime and incidents. </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lastRenderedPageBreak/>
        <w:t>As well as in response to traditional crime, scene discipline is vital when responding to terrorist incidents and can be important when examining a scene carefully. Scene discipline in the form of both barrier clothing as well as the prevention of scene to scene movement. Due to the risk of cross contamination, complete PPE in the form of Barrier clothing can be worn with barrier clothing in its entirety meaning = 1st: pair of latex gloves, 2nd: overshoes, 3rd: hooded suit - taped to 1st pair of gloves and suit - 4th: DNA mask, 5th: second pair of latex gloves. Scene to scene movement should also be limited and where possible officers should not attend more than one scene. However, due to the nature of the terrorist incident and the large volume of crime scenes, this is unlikely to happen as usually a team is responsible for either solving a single crime scene, or should the scene be large enough and warrant multiple teams, a team would be assigned one corner or one area. If and when scene to scene movement is unavoidable, it is important to record this fact as well as require the member of staff in question to go through a decontamination process between scenes. Additionally, a  log should be kept of what staff attended which scenes and when to ensure careful examination and prevent cross contamination.</w:t>
      </w:r>
    </w:p>
    <w:p w:rsidR="0062487A" w:rsidRPr="0062487A" w:rsidRDefault="0062487A" w:rsidP="0062487A">
      <w:pPr>
        <w:spacing w:after="24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t>Due to the nature of terrorist incidents, should a bomb be suspected to have been used, an Explosives Officer (EXPO) controls the scene, and the establishment of a wide codon would be employed. The Explosives Officer (EXPO) would be relied on to ensure there is no longer any significant or avoidable risks when conducting a response, and will coordinate until there is a handover point, where a Bomb Scene Examiner (BSE) would conduct an initial assessment and possibly declare the explosive ‘safe’. </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t>During this scene handover, the EXPO will make the BSE aware of any dangers identified during what is referred to as the initial ‘walk through’, as well as inform the BSE of the specific route taken by the officers.</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t>Careful scene examination following a terrorist incident is crucial as officers can often identify the bomb device by the way it has been made, as each terrorist group typically has a variety of different methods, for example, a DIY bomb style explosive that was planted in a hit and run, could be associated with the IRA, whereas a suicide vest could be identified as being manufactured by ISIS based on the specific method of manufacturing. This basic initial analysis can allow investigators to begin to look at who may be associated with a specific group.</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t>Additional details following safe and careful examination of a terrorist scene, may also reveal specific components of detonated device, with the potential of identifying the manufacturer, which could then be followed should the police trace who the manufacturer has distributed to, and who may have purchased the components.  With regards to a bomb, the police may look at where the timer came from, look at dates or specific types of products, can then try and look at the location where it was sold, as well as purchase time, in hopes of eventually obtaining CCTV footage if available. The recovery of components is crucial for actions or inquiries made to investigate the forensics. Additionally, it is important to know information on the bomb, such as chemical used and other explosive traces found.</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lastRenderedPageBreak/>
        <w:t>Furthermore, when looking at the scene, it is important to identify bodies in a safe, humane but appropriate manner that does not hinder investigation. The scene of an incident is often looked at extensively, with every aspect of debris looked at to ensure evidence is recovered and examined, as officers can sometimes find bomb components or body parts in debris of explosives. </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C26D72" w:rsidRPr="0062487A" w:rsidRDefault="0062487A" w:rsidP="0062487A">
      <w:pPr>
        <w:spacing w:after="0" w:line="480" w:lineRule="auto"/>
        <w:ind w:left="420"/>
        <w:jc w:val="both"/>
        <w:rPr>
          <w:rFonts w:ascii="Times New Roman" w:eastAsia="Times New Roman" w:hAnsi="Times New Roman" w:cs="Times New Roman"/>
          <w:strike w:val="0"/>
          <w:lang w:eastAsia="en-GB"/>
        </w:rPr>
      </w:pPr>
      <w:r w:rsidRPr="0062487A">
        <w:rPr>
          <w:rFonts w:eastAsia="Times New Roman"/>
          <w:strike w:val="0"/>
          <w:color w:val="000000"/>
          <w:lang w:eastAsia="en-GB"/>
        </w:rPr>
        <w:t>Similarly to normal crime scene investigation, the continuity of evidence is crucial for component parts and even bodies, to ensure they go to coroner’ office properly.</w:t>
      </w:r>
      <w:r>
        <w:rPr>
          <w:rFonts w:ascii="Times New Roman" w:eastAsia="Times New Roman" w:hAnsi="Times New Roman" w:cs="Times New Roman"/>
          <w:strike w:val="0"/>
          <w:lang w:eastAsia="en-GB"/>
        </w:rPr>
        <w:t xml:space="preserve"> </w:t>
      </w:r>
      <w:r>
        <w:rPr>
          <w:rFonts w:eastAsia="Times New Roman"/>
          <w:strike w:val="0"/>
          <w:lang w:eastAsia="en-GB"/>
        </w:rPr>
        <w:t xml:space="preserve">Additionally, </w:t>
      </w:r>
      <w:r>
        <w:rPr>
          <w:rFonts w:eastAsia="Times New Roman"/>
          <w:strike w:val="0"/>
          <w:color w:val="000000"/>
          <w:lang w:eastAsia="en-GB"/>
        </w:rPr>
        <w:t>c</w:t>
      </w:r>
      <w:r w:rsidRPr="0062487A">
        <w:rPr>
          <w:rFonts w:eastAsia="Times New Roman"/>
          <w:strike w:val="0"/>
          <w:color w:val="000000"/>
          <w:lang w:eastAsia="en-GB"/>
        </w:rPr>
        <w:t>areful recovery and examination of trace evidence such as DNA, blood and impressions is also crucial for investigations</w:t>
      </w:r>
      <w:r>
        <w:rPr>
          <w:rFonts w:eastAsia="Times New Roman"/>
          <w:strike w:val="0"/>
          <w:color w:val="000000"/>
          <w:lang w:eastAsia="en-GB"/>
        </w:rPr>
        <w:t>, especially terrorist incidents.</w:t>
      </w:r>
    </w:p>
    <w:p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t xml:space="preserve">3. Explain the purpose of forensic </w:t>
      </w:r>
      <w:r w:rsidRPr="006C0BDF">
        <w:rPr>
          <w:rFonts w:eastAsia="Times New Roman"/>
          <w:strike w:val="0"/>
          <w:sz w:val="28"/>
          <w:szCs w:val="28"/>
          <w:lang w:eastAsia="en-GB"/>
        </w:rPr>
        <w:t xml:space="preserve">examination </w:t>
      </w:r>
      <w:r w:rsidRPr="00C26D72">
        <w:rPr>
          <w:rFonts w:eastAsia="Times New Roman"/>
          <w:strike w:val="0"/>
          <w:sz w:val="28"/>
          <w:szCs w:val="28"/>
          <w:lang w:eastAsia="en-GB"/>
        </w:rPr>
        <w:t xml:space="preserve">in criminal investigations </w:t>
      </w:r>
      <w:r w:rsidRPr="006C0BDF">
        <w:rPr>
          <w:rFonts w:eastAsia="Times New Roman"/>
          <w:strike w:val="0"/>
          <w:sz w:val="28"/>
          <w:szCs w:val="28"/>
          <w:lang w:eastAsia="en-GB"/>
        </w:rPr>
        <w:t>and critically evaluate the effectiveness of forensic work in criminal prosecutions in the United Kingdom</w:t>
      </w:r>
      <w:r w:rsidRPr="00C26D72">
        <w:rPr>
          <w:rFonts w:eastAsia="Times New Roman"/>
          <w:strike w:val="0"/>
          <w:sz w:val="28"/>
          <w:szCs w:val="28"/>
          <w:lang w:eastAsia="en-GB"/>
        </w:rPr>
        <w:t>.</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Pr="00C26D72">
        <w:rPr>
          <w:rFonts w:eastAsia="Times New Roman"/>
          <w:strike w:val="0"/>
          <w:sz w:val="28"/>
          <w:szCs w:val="28"/>
          <w:lang w:eastAsia="en-GB"/>
        </w:rPr>
        <w:t xml:space="preserve"> (25 Marks)</w:t>
      </w:r>
    </w:p>
    <w:bookmarkEnd w:id="0"/>
    <w:p w:rsidR="0062487A" w:rsidRPr="0062487A" w:rsidRDefault="0062487A" w:rsidP="0062487A">
      <w:pPr>
        <w:spacing w:after="0" w:line="480" w:lineRule="auto"/>
        <w:jc w:val="both"/>
        <w:rPr>
          <w:rFonts w:ascii="Times New Roman" w:eastAsia="Times New Roman" w:hAnsi="Times New Roman" w:cs="Times New Roman"/>
          <w:strike w:val="0"/>
          <w:lang w:eastAsia="en-GB"/>
        </w:rPr>
      </w:pPr>
      <w:r w:rsidRPr="0062487A">
        <w:rPr>
          <w:rFonts w:eastAsia="Times New Roman"/>
          <w:strike w:val="0"/>
          <w:color w:val="000000"/>
          <w:lang w:eastAsia="en-GB"/>
        </w:rPr>
        <w:t>Forensic science and examination plays a crucial role in many criminal prosecutions and every piece of forensic evidence goes through three key stages between its recovery from the crime scene to the presentation of scientific findings at court. The key stages are: the recovery and continuity of evidence, the analysis of evidence recovered from the crime scene, and finally the interpretation and evaluation of scientific evidence, alongside the presentation of such interpretation and results in court.</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jc w:val="both"/>
        <w:rPr>
          <w:rFonts w:ascii="Times New Roman" w:eastAsia="Times New Roman" w:hAnsi="Times New Roman" w:cs="Times New Roman"/>
          <w:strike w:val="0"/>
          <w:lang w:eastAsia="en-GB"/>
        </w:rPr>
      </w:pPr>
      <w:r w:rsidRPr="0062487A">
        <w:rPr>
          <w:rFonts w:eastAsia="Times New Roman"/>
          <w:strike w:val="0"/>
          <w:color w:val="000000"/>
          <w:lang w:eastAsia="en-GB"/>
        </w:rPr>
        <w:t>Due to Locard’s (1920) principle of exchange being: “Whenever two objects come into contact there is an exchange of material from one to the other.” Or “Every contact leaves a trace.”, the use of forensic science and examination is extensive in every investigation due to its use in being able to help crime scene investigators establish that a crime has in fact been committed, corroborate or disprove varying witness accounts, can potentially link or exclude a suspect to the scene, enable investigators to interpret the scene itself with regards to scene movements or the sequence of events, and can also link a crime scene to another crime scene should the same evidence be found, which can further potentially at a later point following thorough examination, establish the identity of the victim or suspect, as well as witnesses should they be local to the scene of the crime.</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jc w:val="both"/>
        <w:rPr>
          <w:rFonts w:ascii="Times New Roman" w:eastAsia="Times New Roman" w:hAnsi="Times New Roman" w:cs="Times New Roman"/>
          <w:strike w:val="0"/>
          <w:lang w:eastAsia="en-GB"/>
        </w:rPr>
      </w:pPr>
      <w:r w:rsidRPr="0062487A">
        <w:rPr>
          <w:rFonts w:eastAsia="Times New Roman"/>
          <w:strike w:val="0"/>
          <w:color w:val="000000"/>
          <w:lang w:eastAsia="en-GB"/>
        </w:rPr>
        <w:t>The effectiveness of forensic science can be seen when looking at the terms used by forensic examiners, where objective evidentiary exhibits obtained by the police or crime scene investigators can be classified as either conclusive evidence or corroborative evidence. With conclusive evidence typically meaning information gathered and examined by forensic analysts being objective fact, and unable to be contradicted by any other evidence, and corroborative evidence usually meaning a specific exhibit offers evidence that simply supports a theory and attempt to provide an explanation, but cannot be objectively looked at and could possibly be contradicted or another exhibit could provide an alternative explanation.</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jc w:val="both"/>
        <w:rPr>
          <w:rFonts w:ascii="Times New Roman" w:eastAsia="Times New Roman" w:hAnsi="Times New Roman" w:cs="Times New Roman"/>
          <w:strike w:val="0"/>
          <w:lang w:eastAsia="en-GB"/>
        </w:rPr>
      </w:pPr>
      <w:r w:rsidRPr="0062487A">
        <w:rPr>
          <w:rFonts w:eastAsia="Times New Roman"/>
          <w:strike w:val="0"/>
          <w:color w:val="000000"/>
          <w:lang w:eastAsia="en-GB"/>
        </w:rPr>
        <w:lastRenderedPageBreak/>
        <w:t>The use of such evidence can often either make or break a criminal investigation, an investigation that may lead to a prosecution, which demonstrates its impact on criminal prosecutions within the United Kingdom.</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jc w:val="both"/>
        <w:rPr>
          <w:rFonts w:ascii="Times New Roman" w:eastAsia="Times New Roman" w:hAnsi="Times New Roman" w:cs="Times New Roman"/>
          <w:strike w:val="0"/>
          <w:lang w:eastAsia="en-GB"/>
        </w:rPr>
      </w:pPr>
      <w:r w:rsidRPr="0062487A">
        <w:rPr>
          <w:rFonts w:eastAsia="Times New Roman"/>
          <w:strike w:val="0"/>
          <w:color w:val="000000"/>
          <w:lang w:eastAsia="en-GB"/>
        </w:rPr>
        <w:t>Although there are a variety of uses for forensic examination in criminal investigations, when it comes to effectiveness in criminal prosecutions, Defence Barristers such as Michael Mansfield QC may argue that although DNA or evidence may be linked to an individual, it still does not prove they themselves committed a crime, with Michael Mansfield QC once stating “Forensic scientists rarely disagree on the facts, only on the interpretation of the facts. In other words not that the traces were there but how they got there.” a quote that demonstrates the importance of continuity of evidence as well as the prevention of cross contamination, as Mansfield successfully quashed a conviction after stating the previously mentioned argument.</w:t>
      </w:r>
    </w:p>
    <w:p w:rsidR="00A82038" w:rsidRDefault="00A82038" w:rsidP="00C26D72">
      <w:pPr>
        <w:spacing w:after="0" w:line="240" w:lineRule="auto"/>
        <w:ind w:left="426"/>
        <w:rPr>
          <w:rFonts w:ascii="Times New Roman" w:eastAsia="Times New Roman" w:hAnsi="Times New Roman" w:cs="Times New Roman"/>
          <w:strike w:val="0"/>
          <w:lang w:eastAsia="en-GB"/>
        </w:rPr>
      </w:pPr>
    </w:p>
    <w:p w:rsidR="00A82038" w:rsidRDefault="00A82038" w:rsidP="00C26D72">
      <w:pPr>
        <w:spacing w:after="0" w:line="240" w:lineRule="auto"/>
        <w:ind w:left="426"/>
        <w:rPr>
          <w:rFonts w:ascii="Times New Roman" w:eastAsia="Times New Roman" w:hAnsi="Times New Roman" w:cs="Times New Roman"/>
          <w:strike w:val="0"/>
          <w:lang w:eastAsia="en-GB"/>
        </w:rPr>
      </w:pPr>
    </w:p>
    <w:p w:rsidR="00A82038" w:rsidRDefault="00A82038" w:rsidP="00C26D72">
      <w:pPr>
        <w:spacing w:after="0" w:line="240" w:lineRule="auto"/>
        <w:ind w:left="426"/>
        <w:rPr>
          <w:rFonts w:ascii="Times New Roman" w:eastAsia="Times New Roman" w:hAnsi="Times New Roman" w:cs="Times New Roman"/>
          <w:strike w:val="0"/>
          <w:lang w:eastAsia="en-GB"/>
        </w:rPr>
      </w:pPr>
    </w:p>
    <w:p w:rsidR="00A82038" w:rsidRPr="00A82038" w:rsidRDefault="00A82038" w:rsidP="00A82038">
      <w:pPr>
        <w:spacing w:after="0" w:line="480" w:lineRule="auto"/>
        <w:ind w:left="426"/>
        <w:rPr>
          <w:rFonts w:eastAsia="Times New Roman"/>
          <w:strike w:val="0"/>
          <w:sz w:val="28"/>
          <w:szCs w:val="28"/>
          <w:lang w:eastAsia="en-GB"/>
        </w:rPr>
      </w:pPr>
      <w:r w:rsidRPr="00A82038">
        <w:rPr>
          <w:rFonts w:eastAsia="Times New Roman"/>
          <w:strike w:val="0"/>
          <w:sz w:val="28"/>
          <w:szCs w:val="28"/>
          <w:lang w:eastAsia="en-GB"/>
        </w:rPr>
        <w:t>4. DNA provides important evidence in criminal prosecutions:</w:t>
      </w:r>
    </w:p>
    <w:p w:rsidR="00A82038" w:rsidRPr="00A82038" w:rsidRDefault="00A82038" w:rsidP="00A82038">
      <w:pPr>
        <w:spacing w:after="0" w:line="480" w:lineRule="auto"/>
        <w:ind w:left="426"/>
        <w:rPr>
          <w:rFonts w:eastAsia="Times New Roman"/>
          <w:strike w:val="0"/>
          <w:sz w:val="28"/>
          <w:szCs w:val="28"/>
          <w:lang w:eastAsia="en-GB"/>
        </w:rPr>
      </w:pPr>
    </w:p>
    <w:p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Explain from where dna might be recovered at a crime scene,</w:t>
      </w:r>
    </w:p>
    <w:p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Explain how dna samples may be recovered, and</w:t>
      </w:r>
    </w:p>
    <w:p w:rsidR="00C26D72"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Critically evaluate the effectiveness of dna as evidence.    </w:t>
      </w:r>
    </w:p>
    <w:p w:rsidR="00C26D72" w:rsidRPr="00C26D72" w:rsidRDefault="00A82038" w:rsidP="00A82038">
      <w:pPr>
        <w:spacing w:after="0" w:line="480" w:lineRule="auto"/>
        <w:ind w:left="6612" w:firstLine="588"/>
        <w:rPr>
          <w:rFonts w:eastAsia="Times New Roman"/>
          <w:strike w:val="0"/>
          <w:sz w:val="28"/>
          <w:szCs w:val="28"/>
          <w:lang w:eastAsia="en-GB"/>
        </w:rPr>
      </w:pPr>
      <w:r w:rsidRPr="00A82038">
        <w:rPr>
          <w:rFonts w:eastAsia="Times New Roman"/>
          <w:strike w:val="0"/>
          <w:sz w:val="28"/>
          <w:szCs w:val="28"/>
          <w:lang w:eastAsia="en-GB"/>
        </w:rPr>
        <w:t>(25 Marks)</w:t>
      </w:r>
    </w:p>
    <w:p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rsidR="0062487A" w:rsidRPr="0062487A" w:rsidRDefault="0062487A" w:rsidP="0062487A">
      <w:pPr>
        <w:spacing w:after="0" w:line="480" w:lineRule="auto"/>
        <w:rPr>
          <w:rFonts w:ascii="Times New Roman" w:eastAsia="Times New Roman" w:hAnsi="Times New Roman" w:cs="Times New Roman"/>
          <w:strike w:val="0"/>
          <w:lang w:eastAsia="en-GB"/>
        </w:rPr>
      </w:pPr>
      <w:r w:rsidRPr="0062487A">
        <w:rPr>
          <w:rFonts w:eastAsia="Times New Roman"/>
          <w:strike w:val="0"/>
          <w:color w:val="000000"/>
          <w:lang w:eastAsia="en-GB"/>
        </w:rPr>
        <w:t xml:space="preserve">DNA or Deoxyribonucleic Acid is genetic material that is in every single cell of the human body that holds very unique genetic information that links an individual by </w:t>
      </w:r>
      <w:r w:rsidRPr="0062487A">
        <w:rPr>
          <w:rFonts w:eastAsia="Times New Roman"/>
          <w:strike w:val="0"/>
          <w:color w:val="000000"/>
          <w:lang w:eastAsia="en-GB"/>
        </w:rPr>
        <w:lastRenderedPageBreak/>
        <w:t>their physical characteristics and chemical processes in the human body. In 1952 DNA was discovered by Watson and Crick (1952 )as being responsible for transmitting and transferring genetic information from the body, on to physical and tangible matter, with this knowledge later being used by Jeffrey (1985) in the form of DNA fingerprinting.</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rPr>
          <w:rFonts w:ascii="Times New Roman" w:eastAsia="Times New Roman" w:hAnsi="Times New Roman" w:cs="Times New Roman"/>
          <w:strike w:val="0"/>
          <w:lang w:eastAsia="en-GB"/>
        </w:rPr>
      </w:pPr>
      <w:r w:rsidRPr="0062487A">
        <w:rPr>
          <w:rFonts w:eastAsia="Times New Roman"/>
          <w:strike w:val="0"/>
          <w:color w:val="000000"/>
          <w:lang w:eastAsia="en-GB"/>
        </w:rPr>
        <w:t>DNA samples can be recovered and obtained from a variety of different sources, with DNA evidence coming from exhibits such as blood, semen, hair, skin, saliva, nail scrapings or clippings, drinks bottles or cans, chewing gum, chewing tobacco, cigarettes and even watch straps. Due to the nature of DNA being unique to each individual, finding evidence from these sources, as well as fingerprints provide effective sources of evidence for criminal prosecutions.</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rPr>
          <w:rFonts w:ascii="Times New Roman" w:eastAsia="Times New Roman" w:hAnsi="Times New Roman" w:cs="Times New Roman"/>
          <w:strike w:val="0"/>
          <w:lang w:eastAsia="en-GB"/>
        </w:rPr>
      </w:pPr>
      <w:r w:rsidRPr="0062487A">
        <w:rPr>
          <w:rFonts w:eastAsia="Times New Roman"/>
          <w:strike w:val="0"/>
          <w:color w:val="000000"/>
          <w:lang w:eastAsia="en-GB"/>
        </w:rPr>
        <w:t xml:space="preserve">DNA samples are often recovered with the use of swabs, but sources of DNA can sometimes be difficult to locate within a crime scene. Therefore, to assist crime scene investigators when looking for DNA such as Blood, presumptive testing can occur at the crime scene. A presumptive test can assist officers in identifying a mark or stain as blood, can aid in the actual search of blood, as blood can sometimes be invisible to the naked eye, presumptive testing can also assist officers when dealing with scenes that have been scrubbed or cleaned, as well as assist in locating multiple contacts of blood or impact points, to assist officers in figuring out the sequence of events as well as potential movement should the presumptive test highlight multiple areas of blood. Furthermore, where a crime scene has large volumes of exhibits, items, or articles, presumptive testing can assist in distinguishing between innocent items and items that may be of crucial or great </w:t>
      </w:r>
      <w:r w:rsidRPr="0062487A">
        <w:rPr>
          <w:rFonts w:eastAsia="Times New Roman"/>
          <w:strike w:val="0"/>
          <w:color w:val="000000"/>
          <w:lang w:eastAsia="en-GB"/>
        </w:rPr>
        <w:lastRenderedPageBreak/>
        <w:t>evidential value, with the test allowing officers to prioritise areas within a crime scene, should blood or DNA at first be unable to be found, then the test which is often applied in the form of spray being dispersed, can potentially highlight a trail of blood, showing where a victim may have in fact have initially been injured or killed, and potentially moved or removed from the scene.</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rPr>
          <w:rFonts w:ascii="Times New Roman" w:eastAsia="Times New Roman" w:hAnsi="Times New Roman" w:cs="Times New Roman"/>
          <w:strike w:val="0"/>
          <w:lang w:eastAsia="en-GB"/>
        </w:rPr>
      </w:pPr>
      <w:r w:rsidRPr="0062487A">
        <w:rPr>
          <w:rFonts w:eastAsia="Times New Roman"/>
          <w:strike w:val="0"/>
          <w:color w:val="000000"/>
          <w:lang w:eastAsia="en-GB"/>
        </w:rPr>
        <w:t>Although DNA can sometimes be conclusive evidence in some cases, the likelihood or sample match success rate of DNA is not always high. For example, while semen has the highest success rate for identifying DNA, with a profile success percentage of 90%, with bloodstain being 87%, other exhibits such as hair roots or saliva prove to be less successful, with hair roots having a match success rate of only 50%, and saliva only have a match rate of 40%.</w:t>
      </w:r>
    </w:p>
    <w:p w:rsidR="0062487A" w:rsidRPr="0062487A" w:rsidRDefault="0062487A" w:rsidP="0062487A">
      <w:pPr>
        <w:spacing w:after="0" w:line="480" w:lineRule="auto"/>
        <w:rPr>
          <w:rFonts w:ascii="Times New Roman" w:eastAsia="Times New Roman" w:hAnsi="Times New Roman" w:cs="Times New Roman"/>
          <w:strike w:val="0"/>
          <w:lang w:eastAsia="en-GB"/>
        </w:rPr>
      </w:pPr>
    </w:p>
    <w:p w:rsidR="0062487A" w:rsidRPr="0062487A" w:rsidRDefault="0062487A" w:rsidP="0062487A">
      <w:pPr>
        <w:spacing w:after="0" w:line="480" w:lineRule="auto"/>
        <w:rPr>
          <w:rFonts w:ascii="Times New Roman" w:eastAsia="Times New Roman" w:hAnsi="Times New Roman" w:cs="Times New Roman"/>
          <w:strike w:val="0"/>
          <w:lang w:eastAsia="en-GB"/>
        </w:rPr>
      </w:pPr>
      <w:r w:rsidRPr="0062487A">
        <w:rPr>
          <w:rFonts w:eastAsia="Times New Roman"/>
          <w:strike w:val="0"/>
          <w:color w:val="000000"/>
          <w:lang w:eastAsia="en-GB"/>
        </w:rPr>
        <w:t>Despite these limitations and the fact that DNA is not a magical aspect of forensic science that without fail, can lead to the police arresting the correct suspect, is it a tool, that when used alongside physical and trace evidence, can help further support a criminal prosecution and provide information that may link suspects to other evidentiary exhibits.</w:t>
      </w:r>
    </w:p>
    <w:p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rsidR="00C26D72" w:rsidRPr="00C26D72" w:rsidRDefault="00C26D72" w:rsidP="00C26D72">
      <w:pPr>
        <w:spacing w:after="0" w:line="240" w:lineRule="auto"/>
        <w:ind w:left="426"/>
        <w:rPr>
          <w:rFonts w:ascii="Times New Roman" w:eastAsia="Times New Roman" w:hAnsi="Times New Roman" w:cs="Times New Roman"/>
          <w:strike w:val="0"/>
          <w:lang w:eastAsia="en-GB"/>
        </w:rPr>
      </w:pPr>
    </w:p>
    <w:sectPr w:rsidR="00C26D72" w:rsidRPr="00C26D72"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7A14" w:rsidRDefault="00827A14" w:rsidP="00C26D72">
      <w:pPr>
        <w:spacing w:after="0" w:line="240" w:lineRule="auto"/>
      </w:pPr>
      <w:r>
        <w:separator/>
      </w:r>
    </w:p>
  </w:endnote>
  <w:endnote w:type="continuationSeparator" w:id="1">
    <w:p w:rsidR="00827A14" w:rsidRDefault="00827A14" w:rsidP="00C26D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D72" w:rsidRDefault="00C26D72">
    <w:pPr>
      <w:pStyle w:val="Footer"/>
    </w:pPr>
    <w:r>
      <w:t>December 2020</w:t>
    </w:r>
  </w:p>
  <w:p w:rsidR="00405A9E" w:rsidRPr="00A72458" w:rsidRDefault="00827A14" w:rsidP="00A72458">
    <w:pPr>
      <w:pStyle w:val="Footer"/>
      <w:tabs>
        <w:tab w:val="clear" w:pos="9026"/>
        <w:tab w:val="right" w:pos="902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7A14" w:rsidRDefault="00827A14" w:rsidP="00C26D72">
      <w:pPr>
        <w:spacing w:after="0" w:line="240" w:lineRule="auto"/>
      </w:pPr>
      <w:r>
        <w:separator/>
      </w:r>
    </w:p>
  </w:footnote>
  <w:footnote w:type="continuationSeparator" w:id="1">
    <w:p w:rsidR="00827A14" w:rsidRDefault="00827A14" w:rsidP="00C26D7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nsid w:val="0A0F21ED"/>
    <w:multiLevelType w:val="hybridMultilevel"/>
    <w:tmpl w:val="7A2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8C16F2"/>
    <w:multiLevelType w:val="hybridMultilevel"/>
    <w:tmpl w:val="170CA86C"/>
    <w:lvl w:ilvl="0" w:tplc="89CAA01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nsid w:val="2B326A14"/>
    <w:multiLevelType w:val="hybridMultilevel"/>
    <w:tmpl w:val="C0841C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5">
    <w:nsid w:val="38792E94"/>
    <w:multiLevelType w:val="hybridMultilevel"/>
    <w:tmpl w:val="5318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8B377FB"/>
    <w:multiLevelType w:val="hybridMultilevel"/>
    <w:tmpl w:val="3778759C"/>
    <w:lvl w:ilvl="0" w:tplc="75FCDCC6">
      <w:start w:val="1"/>
      <w:numFmt w:val="bullet"/>
      <w:lvlText w:val="•"/>
      <w:lvlJc w:val="left"/>
      <w:pPr>
        <w:tabs>
          <w:tab w:val="num" w:pos="720"/>
        </w:tabs>
        <w:ind w:left="720" w:hanging="360"/>
      </w:pPr>
      <w:rPr>
        <w:rFonts w:ascii="Arial" w:hAnsi="Arial" w:hint="default"/>
      </w:rPr>
    </w:lvl>
    <w:lvl w:ilvl="1" w:tplc="54824F26" w:tentative="1">
      <w:start w:val="1"/>
      <w:numFmt w:val="bullet"/>
      <w:lvlText w:val="•"/>
      <w:lvlJc w:val="left"/>
      <w:pPr>
        <w:tabs>
          <w:tab w:val="num" w:pos="1440"/>
        </w:tabs>
        <w:ind w:left="1440" w:hanging="360"/>
      </w:pPr>
      <w:rPr>
        <w:rFonts w:ascii="Arial" w:hAnsi="Arial" w:hint="default"/>
      </w:rPr>
    </w:lvl>
    <w:lvl w:ilvl="2" w:tplc="B5B80450" w:tentative="1">
      <w:start w:val="1"/>
      <w:numFmt w:val="bullet"/>
      <w:lvlText w:val="•"/>
      <w:lvlJc w:val="left"/>
      <w:pPr>
        <w:tabs>
          <w:tab w:val="num" w:pos="2160"/>
        </w:tabs>
        <w:ind w:left="2160" w:hanging="360"/>
      </w:pPr>
      <w:rPr>
        <w:rFonts w:ascii="Arial" w:hAnsi="Arial" w:hint="default"/>
      </w:rPr>
    </w:lvl>
    <w:lvl w:ilvl="3" w:tplc="E9D66776" w:tentative="1">
      <w:start w:val="1"/>
      <w:numFmt w:val="bullet"/>
      <w:lvlText w:val="•"/>
      <w:lvlJc w:val="left"/>
      <w:pPr>
        <w:tabs>
          <w:tab w:val="num" w:pos="2880"/>
        </w:tabs>
        <w:ind w:left="2880" w:hanging="360"/>
      </w:pPr>
      <w:rPr>
        <w:rFonts w:ascii="Arial" w:hAnsi="Arial" w:hint="default"/>
      </w:rPr>
    </w:lvl>
    <w:lvl w:ilvl="4" w:tplc="7CE25596" w:tentative="1">
      <w:start w:val="1"/>
      <w:numFmt w:val="bullet"/>
      <w:lvlText w:val="•"/>
      <w:lvlJc w:val="left"/>
      <w:pPr>
        <w:tabs>
          <w:tab w:val="num" w:pos="3600"/>
        </w:tabs>
        <w:ind w:left="3600" w:hanging="360"/>
      </w:pPr>
      <w:rPr>
        <w:rFonts w:ascii="Arial" w:hAnsi="Arial" w:hint="default"/>
      </w:rPr>
    </w:lvl>
    <w:lvl w:ilvl="5" w:tplc="B16ADC34" w:tentative="1">
      <w:start w:val="1"/>
      <w:numFmt w:val="bullet"/>
      <w:lvlText w:val="•"/>
      <w:lvlJc w:val="left"/>
      <w:pPr>
        <w:tabs>
          <w:tab w:val="num" w:pos="4320"/>
        </w:tabs>
        <w:ind w:left="4320" w:hanging="360"/>
      </w:pPr>
      <w:rPr>
        <w:rFonts w:ascii="Arial" w:hAnsi="Arial" w:hint="default"/>
      </w:rPr>
    </w:lvl>
    <w:lvl w:ilvl="6" w:tplc="5D76DBE8" w:tentative="1">
      <w:start w:val="1"/>
      <w:numFmt w:val="bullet"/>
      <w:lvlText w:val="•"/>
      <w:lvlJc w:val="left"/>
      <w:pPr>
        <w:tabs>
          <w:tab w:val="num" w:pos="5040"/>
        </w:tabs>
        <w:ind w:left="5040" w:hanging="360"/>
      </w:pPr>
      <w:rPr>
        <w:rFonts w:ascii="Arial" w:hAnsi="Arial" w:hint="default"/>
      </w:rPr>
    </w:lvl>
    <w:lvl w:ilvl="7" w:tplc="F4DE728E" w:tentative="1">
      <w:start w:val="1"/>
      <w:numFmt w:val="bullet"/>
      <w:lvlText w:val="•"/>
      <w:lvlJc w:val="left"/>
      <w:pPr>
        <w:tabs>
          <w:tab w:val="num" w:pos="5760"/>
        </w:tabs>
        <w:ind w:left="5760" w:hanging="360"/>
      </w:pPr>
      <w:rPr>
        <w:rFonts w:ascii="Arial" w:hAnsi="Arial" w:hint="default"/>
      </w:rPr>
    </w:lvl>
    <w:lvl w:ilvl="8" w:tplc="2996D904" w:tentative="1">
      <w:start w:val="1"/>
      <w:numFmt w:val="bullet"/>
      <w:lvlText w:val="•"/>
      <w:lvlJc w:val="left"/>
      <w:pPr>
        <w:tabs>
          <w:tab w:val="num" w:pos="6480"/>
        </w:tabs>
        <w:ind w:left="6480" w:hanging="360"/>
      </w:pPr>
      <w:rPr>
        <w:rFonts w:ascii="Arial" w:hAnsi="Arial" w:hint="default"/>
      </w:rPr>
    </w:lvl>
  </w:abstractNum>
  <w:abstractNum w:abstractNumId="7">
    <w:nsid w:val="3E213ACE"/>
    <w:multiLevelType w:val="hybridMultilevel"/>
    <w:tmpl w:val="77AEE9CE"/>
    <w:lvl w:ilvl="0" w:tplc="111A6EAA">
      <w:start w:val="1"/>
      <w:numFmt w:val="bullet"/>
      <w:lvlText w:val="•"/>
      <w:lvlJc w:val="left"/>
      <w:pPr>
        <w:tabs>
          <w:tab w:val="num" w:pos="720"/>
        </w:tabs>
        <w:ind w:left="720" w:hanging="360"/>
      </w:pPr>
      <w:rPr>
        <w:rFonts w:ascii="Arial" w:hAnsi="Arial" w:hint="default"/>
      </w:rPr>
    </w:lvl>
    <w:lvl w:ilvl="1" w:tplc="DB9A3AAE" w:tentative="1">
      <w:start w:val="1"/>
      <w:numFmt w:val="bullet"/>
      <w:lvlText w:val="•"/>
      <w:lvlJc w:val="left"/>
      <w:pPr>
        <w:tabs>
          <w:tab w:val="num" w:pos="1440"/>
        </w:tabs>
        <w:ind w:left="1440" w:hanging="360"/>
      </w:pPr>
      <w:rPr>
        <w:rFonts w:ascii="Arial" w:hAnsi="Arial" w:hint="default"/>
      </w:rPr>
    </w:lvl>
    <w:lvl w:ilvl="2" w:tplc="A1DE456C" w:tentative="1">
      <w:start w:val="1"/>
      <w:numFmt w:val="bullet"/>
      <w:lvlText w:val="•"/>
      <w:lvlJc w:val="left"/>
      <w:pPr>
        <w:tabs>
          <w:tab w:val="num" w:pos="2160"/>
        </w:tabs>
        <w:ind w:left="2160" w:hanging="360"/>
      </w:pPr>
      <w:rPr>
        <w:rFonts w:ascii="Arial" w:hAnsi="Arial" w:hint="default"/>
      </w:rPr>
    </w:lvl>
    <w:lvl w:ilvl="3" w:tplc="A85695C4" w:tentative="1">
      <w:start w:val="1"/>
      <w:numFmt w:val="bullet"/>
      <w:lvlText w:val="•"/>
      <w:lvlJc w:val="left"/>
      <w:pPr>
        <w:tabs>
          <w:tab w:val="num" w:pos="2880"/>
        </w:tabs>
        <w:ind w:left="2880" w:hanging="360"/>
      </w:pPr>
      <w:rPr>
        <w:rFonts w:ascii="Arial" w:hAnsi="Arial" w:hint="default"/>
      </w:rPr>
    </w:lvl>
    <w:lvl w:ilvl="4" w:tplc="E6282C70" w:tentative="1">
      <w:start w:val="1"/>
      <w:numFmt w:val="bullet"/>
      <w:lvlText w:val="•"/>
      <w:lvlJc w:val="left"/>
      <w:pPr>
        <w:tabs>
          <w:tab w:val="num" w:pos="3600"/>
        </w:tabs>
        <w:ind w:left="3600" w:hanging="360"/>
      </w:pPr>
      <w:rPr>
        <w:rFonts w:ascii="Arial" w:hAnsi="Arial" w:hint="default"/>
      </w:rPr>
    </w:lvl>
    <w:lvl w:ilvl="5" w:tplc="0ED8C7E2" w:tentative="1">
      <w:start w:val="1"/>
      <w:numFmt w:val="bullet"/>
      <w:lvlText w:val="•"/>
      <w:lvlJc w:val="left"/>
      <w:pPr>
        <w:tabs>
          <w:tab w:val="num" w:pos="4320"/>
        </w:tabs>
        <w:ind w:left="4320" w:hanging="360"/>
      </w:pPr>
      <w:rPr>
        <w:rFonts w:ascii="Arial" w:hAnsi="Arial" w:hint="default"/>
      </w:rPr>
    </w:lvl>
    <w:lvl w:ilvl="6" w:tplc="9E5E1C4E" w:tentative="1">
      <w:start w:val="1"/>
      <w:numFmt w:val="bullet"/>
      <w:lvlText w:val="•"/>
      <w:lvlJc w:val="left"/>
      <w:pPr>
        <w:tabs>
          <w:tab w:val="num" w:pos="5040"/>
        </w:tabs>
        <w:ind w:left="5040" w:hanging="360"/>
      </w:pPr>
      <w:rPr>
        <w:rFonts w:ascii="Arial" w:hAnsi="Arial" w:hint="default"/>
      </w:rPr>
    </w:lvl>
    <w:lvl w:ilvl="7" w:tplc="5030AE2E" w:tentative="1">
      <w:start w:val="1"/>
      <w:numFmt w:val="bullet"/>
      <w:lvlText w:val="•"/>
      <w:lvlJc w:val="left"/>
      <w:pPr>
        <w:tabs>
          <w:tab w:val="num" w:pos="5760"/>
        </w:tabs>
        <w:ind w:left="5760" w:hanging="360"/>
      </w:pPr>
      <w:rPr>
        <w:rFonts w:ascii="Arial" w:hAnsi="Arial" w:hint="default"/>
      </w:rPr>
    </w:lvl>
    <w:lvl w:ilvl="8" w:tplc="A67A0216" w:tentative="1">
      <w:start w:val="1"/>
      <w:numFmt w:val="bullet"/>
      <w:lvlText w:val="•"/>
      <w:lvlJc w:val="left"/>
      <w:pPr>
        <w:tabs>
          <w:tab w:val="num" w:pos="6480"/>
        </w:tabs>
        <w:ind w:left="6480" w:hanging="360"/>
      </w:pPr>
      <w:rPr>
        <w:rFonts w:ascii="Arial" w:hAnsi="Arial" w:hint="default"/>
      </w:rPr>
    </w:lvl>
  </w:abstractNum>
  <w:abstractNum w:abstractNumId="8">
    <w:nsid w:val="465B4EFF"/>
    <w:multiLevelType w:val="hybridMultilevel"/>
    <w:tmpl w:val="BE7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6BB7B06"/>
    <w:multiLevelType w:val="hybridMultilevel"/>
    <w:tmpl w:val="C528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nsid w:val="6C7C2BDB"/>
    <w:multiLevelType w:val="hybridMultilevel"/>
    <w:tmpl w:val="352A0E9C"/>
    <w:lvl w:ilvl="0" w:tplc="CC08D71E">
      <w:start w:val="1"/>
      <w:numFmt w:val="bullet"/>
      <w:lvlText w:val="•"/>
      <w:lvlJc w:val="left"/>
      <w:pPr>
        <w:tabs>
          <w:tab w:val="num" w:pos="720"/>
        </w:tabs>
        <w:ind w:left="720" w:hanging="360"/>
      </w:pPr>
      <w:rPr>
        <w:rFonts w:ascii="Arial" w:hAnsi="Arial" w:hint="default"/>
      </w:rPr>
    </w:lvl>
    <w:lvl w:ilvl="1" w:tplc="21340D5C" w:tentative="1">
      <w:start w:val="1"/>
      <w:numFmt w:val="bullet"/>
      <w:lvlText w:val="•"/>
      <w:lvlJc w:val="left"/>
      <w:pPr>
        <w:tabs>
          <w:tab w:val="num" w:pos="1440"/>
        </w:tabs>
        <w:ind w:left="1440" w:hanging="360"/>
      </w:pPr>
      <w:rPr>
        <w:rFonts w:ascii="Arial" w:hAnsi="Arial" w:hint="default"/>
      </w:rPr>
    </w:lvl>
    <w:lvl w:ilvl="2" w:tplc="06F0605C" w:tentative="1">
      <w:start w:val="1"/>
      <w:numFmt w:val="bullet"/>
      <w:lvlText w:val="•"/>
      <w:lvlJc w:val="left"/>
      <w:pPr>
        <w:tabs>
          <w:tab w:val="num" w:pos="2160"/>
        </w:tabs>
        <w:ind w:left="2160" w:hanging="360"/>
      </w:pPr>
      <w:rPr>
        <w:rFonts w:ascii="Arial" w:hAnsi="Arial" w:hint="default"/>
      </w:rPr>
    </w:lvl>
    <w:lvl w:ilvl="3" w:tplc="0A64F90E" w:tentative="1">
      <w:start w:val="1"/>
      <w:numFmt w:val="bullet"/>
      <w:lvlText w:val="•"/>
      <w:lvlJc w:val="left"/>
      <w:pPr>
        <w:tabs>
          <w:tab w:val="num" w:pos="2880"/>
        </w:tabs>
        <w:ind w:left="2880" w:hanging="360"/>
      </w:pPr>
      <w:rPr>
        <w:rFonts w:ascii="Arial" w:hAnsi="Arial" w:hint="default"/>
      </w:rPr>
    </w:lvl>
    <w:lvl w:ilvl="4" w:tplc="543A9D8A" w:tentative="1">
      <w:start w:val="1"/>
      <w:numFmt w:val="bullet"/>
      <w:lvlText w:val="•"/>
      <w:lvlJc w:val="left"/>
      <w:pPr>
        <w:tabs>
          <w:tab w:val="num" w:pos="3600"/>
        </w:tabs>
        <w:ind w:left="3600" w:hanging="360"/>
      </w:pPr>
      <w:rPr>
        <w:rFonts w:ascii="Arial" w:hAnsi="Arial" w:hint="default"/>
      </w:rPr>
    </w:lvl>
    <w:lvl w:ilvl="5" w:tplc="215638CA" w:tentative="1">
      <w:start w:val="1"/>
      <w:numFmt w:val="bullet"/>
      <w:lvlText w:val="•"/>
      <w:lvlJc w:val="left"/>
      <w:pPr>
        <w:tabs>
          <w:tab w:val="num" w:pos="4320"/>
        </w:tabs>
        <w:ind w:left="4320" w:hanging="360"/>
      </w:pPr>
      <w:rPr>
        <w:rFonts w:ascii="Arial" w:hAnsi="Arial" w:hint="default"/>
      </w:rPr>
    </w:lvl>
    <w:lvl w:ilvl="6" w:tplc="EA822126" w:tentative="1">
      <w:start w:val="1"/>
      <w:numFmt w:val="bullet"/>
      <w:lvlText w:val="•"/>
      <w:lvlJc w:val="left"/>
      <w:pPr>
        <w:tabs>
          <w:tab w:val="num" w:pos="5040"/>
        </w:tabs>
        <w:ind w:left="5040" w:hanging="360"/>
      </w:pPr>
      <w:rPr>
        <w:rFonts w:ascii="Arial" w:hAnsi="Arial" w:hint="default"/>
      </w:rPr>
    </w:lvl>
    <w:lvl w:ilvl="7" w:tplc="0BF87F46" w:tentative="1">
      <w:start w:val="1"/>
      <w:numFmt w:val="bullet"/>
      <w:lvlText w:val="•"/>
      <w:lvlJc w:val="left"/>
      <w:pPr>
        <w:tabs>
          <w:tab w:val="num" w:pos="5760"/>
        </w:tabs>
        <w:ind w:left="5760" w:hanging="360"/>
      </w:pPr>
      <w:rPr>
        <w:rFonts w:ascii="Arial" w:hAnsi="Arial" w:hint="default"/>
      </w:rPr>
    </w:lvl>
    <w:lvl w:ilvl="8" w:tplc="430EC1C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
  </w:num>
  <w:num w:numId="4">
    <w:abstractNumId w:val="8"/>
  </w:num>
  <w:num w:numId="5">
    <w:abstractNumId w:val="7"/>
  </w:num>
  <w:num w:numId="6">
    <w:abstractNumId w:val="6"/>
  </w:num>
  <w:num w:numId="7">
    <w:abstractNumId w:val="11"/>
  </w:num>
  <w:num w:numId="8">
    <w:abstractNumId w:val="5"/>
  </w:num>
  <w:num w:numId="9">
    <w:abstractNumId w:val="10"/>
  </w:num>
  <w:num w:numId="10">
    <w:abstractNumId w:val="0"/>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26D72"/>
    <w:rsid w:val="003E4E89"/>
    <w:rsid w:val="00596365"/>
    <w:rsid w:val="006138EB"/>
    <w:rsid w:val="0062487A"/>
    <w:rsid w:val="006C0BDF"/>
    <w:rsid w:val="00827A14"/>
    <w:rsid w:val="00A82038"/>
    <w:rsid w:val="00C26D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E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6D72"/>
    <w:pPr>
      <w:tabs>
        <w:tab w:val="center" w:pos="4513"/>
        <w:tab w:val="right" w:pos="9026"/>
      </w:tabs>
      <w:spacing w:after="0" w:line="240" w:lineRule="auto"/>
    </w:pPr>
    <w:rPr>
      <w:rFonts w:ascii="Calibri" w:hAnsi="Calibri" w:cs="Times New Roman"/>
      <w:strike w:val="0"/>
      <w:sz w:val="22"/>
      <w:szCs w:val="22"/>
    </w:rPr>
  </w:style>
  <w:style w:type="character" w:customStyle="1" w:styleId="FooterChar">
    <w:name w:val="Footer Char"/>
    <w:basedOn w:val="DefaultParagraphFont"/>
    <w:link w:val="Footer"/>
    <w:uiPriority w:val="99"/>
    <w:rsid w:val="00C26D72"/>
    <w:rPr>
      <w:rFonts w:ascii="Calibri" w:hAnsi="Calibri" w:cs="Times New Roman"/>
      <w:strike w:val="0"/>
      <w:sz w:val="22"/>
      <w:szCs w:val="22"/>
    </w:rPr>
  </w:style>
  <w:style w:type="table" w:styleId="TableGrid">
    <w:name w:val="Table Grid"/>
    <w:basedOn w:val="TableNormal"/>
    <w:uiPriority w:val="59"/>
    <w:rsid w:val="00C26D72"/>
    <w:pPr>
      <w:spacing w:after="0" w:line="240" w:lineRule="auto"/>
    </w:pPr>
    <w:rPr>
      <w:rFonts w:ascii="Times New Roman" w:eastAsia="Times New Roman" w:hAnsi="Times New Roman" w:cs="Times New Roman"/>
      <w:strike w:val="0"/>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C26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72"/>
  </w:style>
  <w:style w:type="paragraph" w:styleId="ListParagraph">
    <w:name w:val="List Paragraph"/>
    <w:basedOn w:val="Normal"/>
    <w:uiPriority w:val="34"/>
    <w:qFormat/>
    <w:rsid w:val="006C0BDF"/>
    <w:pPr>
      <w:ind w:left="720"/>
      <w:contextualSpacing/>
    </w:pPr>
  </w:style>
  <w:style w:type="paragraph" w:styleId="NormalWeb">
    <w:name w:val="Normal (Web)"/>
    <w:basedOn w:val="Normal"/>
    <w:uiPriority w:val="99"/>
    <w:semiHidden/>
    <w:unhideWhenUsed/>
    <w:rsid w:val="0062487A"/>
    <w:pPr>
      <w:spacing w:before="100" w:beforeAutospacing="1" w:after="100" w:afterAutospacing="1" w:line="240" w:lineRule="auto"/>
    </w:pPr>
    <w:rPr>
      <w:rFonts w:ascii="Times New Roman" w:eastAsia="Times New Roman" w:hAnsi="Times New Roman" w:cs="Times New Roman"/>
      <w:strike w:val="0"/>
      <w:lang w:eastAsia="en-GB"/>
    </w:rPr>
  </w:style>
</w:styles>
</file>

<file path=word/webSettings.xml><?xml version="1.0" encoding="utf-8"?>
<w:webSettings xmlns:r="http://schemas.openxmlformats.org/officeDocument/2006/relationships" xmlns:w="http://schemas.openxmlformats.org/wordprocessingml/2006/main">
  <w:divs>
    <w:div w:id="135337921">
      <w:bodyDiv w:val="1"/>
      <w:marLeft w:val="0"/>
      <w:marRight w:val="0"/>
      <w:marTop w:val="0"/>
      <w:marBottom w:val="0"/>
      <w:divBdr>
        <w:top w:val="none" w:sz="0" w:space="0" w:color="auto"/>
        <w:left w:val="none" w:sz="0" w:space="0" w:color="auto"/>
        <w:bottom w:val="none" w:sz="0" w:space="0" w:color="auto"/>
        <w:right w:val="none" w:sz="0" w:space="0" w:color="auto"/>
      </w:divBdr>
    </w:div>
    <w:div w:id="348525954">
      <w:bodyDiv w:val="1"/>
      <w:marLeft w:val="0"/>
      <w:marRight w:val="0"/>
      <w:marTop w:val="0"/>
      <w:marBottom w:val="0"/>
      <w:divBdr>
        <w:top w:val="none" w:sz="0" w:space="0" w:color="auto"/>
        <w:left w:val="none" w:sz="0" w:space="0" w:color="auto"/>
        <w:bottom w:val="none" w:sz="0" w:space="0" w:color="auto"/>
        <w:right w:val="none" w:sz="0" w:space="0" w:color="auto"/>
      </w:divBdr>
    </w:div>
    <w:div w:id="2006472809">
      <w:bodyDiv w:val="1"/>
      <w:marLeft w:val="0"/>
      <w:marRight w:val="0"/>
      <w:marTop w:val="0"/>
      <w:marBottom w:val="0"/>
      <w:divBdr>
        <w:top w:val="none" w:sz="0" w:space="0" w:color="auto"/>
        <w:left w:val="none" w:sz="0" w:space="0" w:color="auto"/>
        <w:bottom w:val="none" w:sz="0" w:space="0" w:color="auto"/>
        <w:right w:val="none" w:sz="0" w:space="0" w:color="auto"/>
      </w:divBdr>
    </w:div>
    <w:div w:id="208190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7DF3A-F378-4592-B1DA-AEDD5670F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12</Pages>
  <Words>2601</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17399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wynne jones</dc:creator>
  <cp:lastModifiedBy>ADMIN</cp:lastModifiedBy>
  <cp:revision>2</cp:revision>
  <dcterms:created xsi:type="dcterms:W3CDTF">2021-01-12T11:58:00Z</dcterms:created>
  <dcterms:modified xsi:type="dcterms:W3CDTF">2021-01-12T11:58:00Z</dcterms:modified>
</cp:coreProperties>
</file>