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7B761C" w:rsidRDefault="007B761C">
      <w:pPr>
        <w:spacing w:line="480" w:lineRule="auto"/>
        <w:jc w:val="center"/>
        <w:rPr>
          <w:rFonts w:ascii="Arial" w:eastAsia="Arial" w:hAnsi="Arial" w:cs="Arial"/>
          <w:b/>
          <w:sz w:val="24"/>
          <w:szCs w:val="24"/>
        </w:rPr>
      </w:pPr>
    </w:p>
    <w:p w14:paraId="00000002" w14:textId="77777777" w:rsidR="007B761C" w:rsidRDefault="007B761C">
      <w:pPr>
        <w:spacing w:line="480" w:lineRule="auto"/>
        <w:jc w:val="center"/>
        <w:rPr>
          <w:rFonts w:ascii="Arial" w:eastAsia="Arial" w:hAnsi="Arial" w:cs="Arial"/>
          <w:b/>
          <w:sz w:val="24"/>
          <w:szCs w:val="24"/>
        </w:rPr>
      </w:pPr>
    </w:p>
    <w:p w14:paraId="00000003" w14:textId="77777777" w:rsidR="007B761C" w:rsidRDefault="007B761C">
      <w:pPr>
        <w:spacing w:line="480" w:lineRule="auto"/>
        <w:jc w:val="center"/>
        <w:rPr>
          <w:rFonts w:ascii="Arial" w:eastAsia="Arial" w:hAnsi="Arial" w:cs="Arial"/>
          <w:b/>
          <w:sz w:val="24"/>
          <w:szCs w:val="24"/>
        </w:rPr>
      </w:pPr>
    </w:p>
    <w:p w14:paraId="00000004" w14:textId="77777777" w:rsidR="007B761C" w:rsidRDefault="007B761C">
      <w:pPr>
        <w:spacing w:line="480" w:lineRule="auto"/>
        <w:jc w:val="center"/>
        <w:rPr>
          <w:rFonts w:ascii="Arial" w:eastAsia="Arial" w:hAnsi="Arial" w:cs="Arial"/>
          <w:b/>
          <w:sz w:val="24"/>
          <w:szCs w:val="24"/>
        </w:rPr>
      </w:pPr>
    </w:p>
    <w:p w14:paraId="00000005" w14:textId="77777777" w:rsidR="007B761C" w:rsidRDefault="00000000">
      <w:pPr>
        <w:spacing w:line="480" w:lineRule="auto"/>
        <w:jc w:val="center"/>
        <w:rPr>
          <w:rFonts w:ascii="Arial" w:eastAsia="Arial" w:hAnsi="Arial" w:cs="Arial"/>
          <w:sz w:val="24"/>
          <w:szCs w:val="24"/>
        </w:rPr>
      </w:pPr>
      <w:r>
        <w:rPr>
          <w:rFonts w:ascii="Arial" w:eastAsia="Arial" w:hAnsi="Arial" w:cs="Arial"/>
          <w:sz w:val="24"/>
          <w:szCs w:val="24"/>
        </w:rPr>
        <w:t>INTERNATIONAL FINANCIAL MANAGEMENT</w:t>
      </w:r>
    </w:p>
    <w:p w14:paraId="00000006" w14:textId="77777777" w:rsidR="007B761C" w:rsidRDefault="007B761C">
      <w:pPr>
        <w:spacing w:line="480" w:lineRule="auto"/>
        <w:jc w:val="center"/>
        <w:rPr>
          <w:rFonts w:ascii="Arial" w:eastAsia="Arial" w:hAnsi="Arial" w:cs="Arial"/>
          <w:sz w:val="24"/>
          <w:szCs w:val="24"/>
        </w:rPr>
      </w:pPr>
    </w:p>
    <w:p w14:paraId="00000008" w14:textId="6906FEC7" w:rsidR="007B761C" w:rsidRDefault="00000000" w:rsidP="00DB66DA">
      <w:pPr>
        <w:spacing w:line="480" w:lineRule="auto"/>
        <w:jc w:val="center"/>
        <w:rPr>
          <w:rFonts w:ascii="Arial" w:eastAsia="Arial" w:hAnsi="Arial" w:cs="Arial"/>
          <w:sz w:val="24"/>
          <w:szCs w:val="24"/>
        </w:rPr>
      </w:pPr>
      <w:r>
        <w:rPr>
          <w:rFonts w:ascii="Arial" w:eastAsia="Arial" w:hAnsi="Arial" w:cs="Arial"/>
          <w:sz w:val="24"/>
          <w:szCs w:val="24"/>
        </w:rPr>
        <w:t>Name</w:t>
      </w:r>
      <w:r w:rsidR="00DB66DA">
        <w:rPr>
          <w:rFonts w:ascii="Arial" w:eastAsia="Arial" w:hAnsi="Arial" w:cs="Arial"/>
          <w:sz w:val="24"/>
          <w:szCs w:val="24"/>
        </w:rPr>
        <w:t>: Ivan Gunchev</w:t>
      </w:r>
    </w:p>
    <w:p w14:paraId="6B36BBE7" w14:textId="666FB3AB" w:rsidR="00DB66DA" w:rsidRDefault="00DB66DA" w:rsidP="00DB66DA">
      <w:pPr>
        <w:spacing w:line="480" w:lineRule="auto"/>
        <w:jc w:val="center"/>
        <w:rPr>
          <w:rFonts w:ascii="Arial" w:eastAsia="Arial" w:hAnsi="Arial" w:cs="Arial"/>
          <w:sz w:val="24"/>
          <w:szCs w:val="24"/>
        </w:rPr>
      </w:pPr>
      <w:r>
        <w:rPr>
          <w:rFonts w:ascii="Arial" w:eastAsia="Arial" w:hAnsi="Arial" w:cs="Arial"/>
          <w:sz w:val="24"/>
          <w:szCs w:val="24"/>
        </w:rPr>
        <w:t>Student Number:2030335</w:t>
      </w:r>
    </w:p>
    <w:p w14:paraId="471F35EE" w14:textId="77777777" w:rsidR="00DB66DA" w:rsidRDefault="00000000" w:rsidP="00DB66DA">
      <w:pPr>
        <w:spacing w:line="480" w:lineRule="auto"/>
        <w:jc w:val="center"/>
        <w:rPr>
          <w:rFonts w:ascii="Arial" w:eastAsia="Arial" w:hAnsi="Arial" w:cs="Arial"/>
          <w:sz w:val="24"/>
          <w:szCs w:val="24"/>
        </w:rPr>
      </w:pPr>
      <w:r>
        <w:rPr>
          <w:rFonts w:ascii="Arial" w:eastAsia="Arial" w:hAnsi="Arial" w:cs="Arial"/>
          <w:sz w:val="24"/>
          <w:szCs w:val="24"/>
        </w:rPr>
        <w:t>Course Name</w:t>
      </w:r>
      <w:r w:rsidR="00DB66DA">
        <w:rPr>
          <w:rFonts w:ascii="Arial" w:eastAsia="Arial" w:hAnsi="Arial" w:cs="Arial"/>
          <w:sz w:val="24"/>
          <w:szCs w:val="24"/>
        </w:rPr>
        <w:t>:</w:t>
      </w:r>
    </w:p>
    <w:p w14:paraId="00000009" w14:textId="623FDD71" w:rsidR="007B761C" w:rsidRDefault="00DB66DA" w:rsidP="00DB66DA">
      <w:pPr>
        <w:spacing w:line="480" w:lineRule="auto"/>
        <w:jc w:val="center"/>
        <w:rPr>
          <w:rFonts w:ascii="Arial" w:eastAsia="Arial" w:hAnsi="Arial" w:cs="Arial"/>
          <w:sz w:val="24"/>
          <w:szCs w:val="24"/>
        </w:rPr>
      </w:pPr>
      <w:r w:rsidRPr="00DB66DA">
        <w:rPr>
          <w:rFonts w:ascii="Times New Roman" w:hAnsi="Times New Roman" w:cs="Times New Roman"/>
          <w:sz w:val="24"/>
          <w:szCs w:val="24"/>
          <w:shd w:val="clear" w:color="auto" w:fill="FFFFFF"/>
        </w:rPr>
        <w:t xml:space="preserve"> </w:t>
      </w:r>
      <w:r w:rsidRPr="00820801">
        <w:rPr>
          <w:rFonts w:ascii="Times New Roman" w:hAnsi="Times New Roman" w:cs="Times New Roman"/>
          <w:sz w:val="24"/>
          <w:szCs w:val="24"/>
          <w:shd w:val="clear" w:color="auto" w:fill="FFFFFF"/>
        </w:rPr>
        <w:t>International Business Communications</w:t>
      </w:r>
    </w:p>
    <w:p w14:paraId="0000000C" w14:textId="2EB0A1AE" w:rsidR="007B761C" w:rsidRDefault="00000000">
      <w:pPr>
        <w:spacing w:line="480" w:lineRule="auto"/>
        <w:jc w:val="center"/>
        <w:rPr>
          <w:rFonts w:ascii="Arial" w:eastAsia="Arial" w:hAnsi="Arial" w:cs="Arial"/>
          <w:sz w:val="24"/>
          <w:szCs w:val="24"/>
        </w:rPr>
      </w:pPr>
      <w:r>
        <w:rPr>
          <w:rFonts w:ascii="Arial" w:eastAsia="Arial" w:hAnsi="Arial" w:cs="Arial"/>
          <w:sz w:val="24"/>
          <w:szCs w:val="24"/>
        </w:rPr>
        <w:t>Date of Submission</w:t>
      </w:r>
      <w:r w:rsidR="00DB66DA">
        <w:rPr>
          <w:rFonts w:ascii="Arial" w:eastAsia="Arial" w:hAnsi="Arial" w:cs="Arial"/>
          <w:sz w:val="24"/>
          <w:szCs w:val="24"/>
        </w:rPr>
        <w:t>:17.08.24</w:t>
      </w:r>
    </w:p>
    <w:p w14:paraId="0000000D" w14:textId="77777777" w:rsidR="007B761C" w:rsidRDefault="007B761C">
      <w:pPr>
        <w:spacing w:line="480" w:lineRule="auto"/>
        <w:rPr>
          <w:rFonts w:ascii="Arial" w:eastAsia="Arial" w:hAnsi="Arial" w:cs="Arial"/>
          <w:b/>
          <w:sz w:val="24"/>
          <w:szCs w:val="24"/>
        </w:rPr>
      </w:pPr>
    </w:p>
    <w:p w14:paraId="0000000E" w14:textId="77777777" w:rsidR="007B761C" w:rsidRDefault="007B761C">
      <w:pPr>
        <w:spacing w:line="480" w:lineRule="auto"/>
        <w:rPr>
          <w:rFonts w:ascii="Arial" w:eastAsia="Arial" w:hAnsi="Arial" w:cs="Arial"/>
          <w:b/>
          <w:sz w:val="24"/>
          <w:szCs w:val="24"/>
        </w:rPr>
      </w:pPr>
    </w:p>
    <w:p w14:paraId="0000000F" w14:textId="77777777" w:rsidR="007B761C" w:rsidRDefault="007B761C">
      <w:pPr>
        <w:spacing w:line="480" w:lineRule="auto"/>
        <w:rPr>
          <w:rFonts w:ascii="Arial" w:eastAsia="Arial" w:hAnsi="Arial" w:cs="Arial"/>
          <w:b/>
          <w:sz w:val="24"/>
          <w:szCs w:val="24"/>
        </w:rPr>
      </w:pPr>
    </w:p>
    <w:p w14:paraId="00000010" w14:textId="77777777" w:rsidR="007B761C" w:rsidRDefault="007B761C">
      <w:pPr>
        <w:spacing w:line="480" w:lineRule="auto"/>
        <w:rPr>
          <w:rFonts w:ascii="Arial" w:eastAsia="Arial" w:hAnsi="Arial" w:cs="Arial"/>
          <w:b/>
          <w:sz w:val="24"/>
          <w:szCs w:val="24"/>
        </w:rPr>
      </w:pPr>
    </w:p>
    <w:p w14:paraId="00000011" w14:textId="77777777" w:rsidR="007B761C" w:rsidRDefault="007B761C">
      <w:pPr>
        <w:spacing w:line="480" w:lineRule="auto"/>
        <w:rPr>
          <w:rFonts w:ascii="Arial" w:eastAsia="Arial" w:hAnsi="Arial" w:cs="Arial"/>
          <w:b/>
          <w:sz w:val="24"/>
          <w:szCs w:val="24"/>
        </w:rPr>
      </w:pPr>
    </w:p>
    <w:p w14:paraId="00000012" w14:textId="77777777" w:rsidR="007B761C" w:rsidRDefault="007B761C">
      <w:pPr>
        <w:spacing w:line="480" w:lineRule="auto"/>
        <w:rPr>
          <w:rFonts w:ascii="Arial" w:eastAsia="Arial" w:hAnsi="Arial" w:cs="Arial"/>
          <w:b/>
          <w:sz w:val="24"/>
          <w:szCs w:val="24"/>
        </w:rPr>
      </w:pPr>
    </w:p>
    <w:p w14:paraId="00000013" w14:textId="77777777" w:rsidR="007B761C" w:rsidRDefault="00000000">
      <w:pPr>
        <w:spacing w:line="480" w:lineRule="auto"/>
        <w:rPr>
          <w:rFonts w:ascii="Arial" w:eastAsia="Arial" w:hAnsi="Arial" w:cs="Arial"/>
          <w:b/>
          <w:sz w:val="24"/>
          <w:szCs w:val="24"/>
        </w:rPr>
      </w:pPr>
      <w:r>
        <w:rPr>
          <w:rFonts w:ascii="Arial" w:eastAsia="Arial" w:hAnsi="Arial" w:cs="Arial"/>
          <w:b/>
          <w:sz w:val="24"/>
          <w:szCs w:val="24"/>
        </w:rPr>
        <w:t>Table of contents</w:t>
      </w:r>
    </w:p>
    <w:sdt>
      <w:sdtPr>
        <w:id w:val="902408859"/>
        <w:docPartObj>
          <w:docPartGallery w:val="Table of Contents"/>
          <w:docPartUnique/>
        </w:docPartObj>
      </w:sdtPr>
      <w:sdtContent>
        <w:p w14:paraId="00000014" w14:textId="77777777" w:rsidR="007B761C" w:rsidRDefault="00000000">
          <w:pPr>
            <w:widowControl w:val="0"/>
            <w:tabs>
              <w:tab w:val="right" w:leader="dot" w:pos="12000"/>
            </w:tabs>
            <w:spacing w:before="60" w:after="0" w:line="240" w:lineRule="auto"/>
            <w:rPr>
              <w:rFonts w:ascii="Arial" w:eastAsia="Arial" w:hAnsi="Arial" w:cs="Arial"/>
              <w:color w:val="000000"/>
              <w:sz w:val="24"/>
              <w:szCs w:val="24"/>
            </w:rPr>
          </w:pPr>
          <w:r>
            <w:fldChar w:fldCharType="begin"/>
          </w:r>
          <w:r>
            <w:instrText xml:space="preserve"> TOC \h \u \z \t "Heading 1,1,Heading 2,2,Heading 3,3,Heading 4,4,Heading 5,5,Heading 6,6,"</w:instrText>
          </w:r>
          <w:r>
            <w:fldChar w:fldCharType="separate"/>
          </w:r>
          <w:hyperlink w:anchor="_t1zq02swev59">
            <w:r>
              <w:rPr>
                <w:rFonts w:ascii="Arial" w:eastAsia="Arial" w:hAnsi="Arial" w:cs="Arial"/>
                <w:color w:val="000000"/>
                <w:sz w:val="24"/>
                <w:szCs w:val="24"/>
              </w:rPr>
              <w:t>Introduction</w:t>
            </w:r>
            <w:r>
              <w:rPr>
                <w:rFonts w:ascii="Arial" w:eastAsia="Arial" w:hAnsi="Arial" w:cs="Arial"/>
                <w:color w:val="000000"/>
                <w:sz w:val="24"/>
                <w:szCs w:val="24"/>
              </w:rPr>
              <w:tab/>
              <w:t>3</w:t>
            </w:r>
          </w:hyperlink>
        </w:p>
        <w:p w14:paraId="00000015" w14:textId="77777777" w:rsidR="007B761C" w:rsidRDefault="00000000">
          <w:pPr>
            <w:widowControl w:val="0"/>
            <w:tabs>
              <w:tab w:val="right" w:leader="dot" w:pos="12000"/>
            </w:tabs>
            <w:spacing w:before="60" w:after="0" w:line="240" w:lineRule="auto"/>
            <w:rPr>
              <w:rFonts w:ascii="Arial" w:eastAsia="Arial" w:hAnsi="Arial" w:cs="Arial"/>
              <w:color w:val="000000"/>
              <w:sz w:val="24"/>
              <w:szCs w:val="24"/>
            </w:rPr>
          </w:pPr>
          <w:hyperlink w:anchor="_w2qegdx6ej96">
            <w:r>
              <w:rPr>
                <w:rFonts w:ascii="Arial" w:eastAsia="Arial" w:hAnsi="Arial" w:cs="Arial"/>
                <w:color w:val="000000"/>
                <w:sz w:val="24"/>
                <w:szCs w:val="24"/>
              </w:rPr>
              <w:t>Efficient Market Hypothesis (EMH)</w:t>
            </w:r>
            <w:r>
              <w:rPr>
                <w:rFonts w:ascii="Arial" w:eastAsia="Arial" w:hAnsi="Arial" w:cs="Arial"/>
                <w:color w:val="000000"/>
                <w:sz w:val="24"/>
                <w:szCs w:val="24"/>
              </w:rPr>
              <w:tab/>
              <w:t>3</w:t>
            </w:r>
          </w:hyperlink>
        </w:p>
        <w:p w14:paraId="00000016" w14:textId="77777777" w:rsidR="007B761C" w:rsidRDefault="00000000">
          <w:pPr>
            <w:widowControl w:val="0"/>
            <w:tabs>
              <w:tab w:val="right" w:leader="dot" w:pos="12000"/>
            </w:tabs>
            <w:spacing w:before="60" w:after="0" w:line="240" w:lineRule="auto"/>
            <w:rPr>
              <w:rFonts w:ascii="Arial" w:eastAsia="Arial" w:hAnsi="Arial" w:cs="Arial"/>
              <w:color w:val="000000"/>
              <w:sz w:val="24"/>
              <w:szCs w:val="24"/>
            </w:rPr>
          </w:pPr>
          <w:hyperlink w:anchor="_eabp4tbinu2s">
            <w:r>
              <w:rPr>
                <w:rFonts w:ascii="Arial" w:eastAsia="Arial" w:hAnsi="Arial" w:cs="Arial"/>
                <w:color w:val="000000"/>
                <w:sz w:val="24"/>
                <w:szCs w:val="24"/>
              </w:rPr>
              <w:t>Multinational Capital Budgeting &amp; Capital Rationing</w:t>
            </w:r>
            <w:r>
              <w:rPr>
                <w:rFonts w:ascii="Arial" w:eastAsia="Arial" w:hAnsi="Arial" w:cs="Arial"/>
                <w:color w:val="000000"/>
                <w:sz w:val="24"/>
                <w:szCs w:val="24"/>
              </w:rPr>
              <w:tab/>
              <w:t>4</w:t>
            </w:r>
          </w:hyperlink>
        </w:p>
        <w:p w14:paraId="00000017" w14:textId="77777777" w:rsidR="007B761C" w:rsidRDefault="00000000">
          <w:pPr>
            <w:widowControl w:val="0"/>
            <w:tabs>
              <w:tab w:val="right" w:leader="dot" w:pos="12000"/>
            </w:tabs>
            <w:spacing w:before="60" w:after="0" w:line="240" w:lineRule="auto"/>
            <w:rPr>
              <w:rFonts w:ascii="Arial" w:eastAsia="Arial" w:hAnsi="Arial" w:cs="Arial"/>
              <w:color w:val="000000"/>
              <w:sz w:val="24"/>
              <w:szCs w:val="24"/>
            </w:rPr>
          </w:pPr>
          <w:hyperlink w:anchor="_bjgp1d6oq86">
            <w:r>
              <w:rPr>
                <w:rFonts w:ascii="Arial" w:eastAsia="Arial" w:hAnsi="Arial" w:cs="Arial"/>
                <w:color w:val="000000"/>
                <w:sz w:val="24"/>
                <w:szCs w:val="24"/>
              </w:rPr>
              <w:t>Investment Appraisal</w:t>
            </w:r>
            <w:r>
              <w:rPr>
                <w:rFonts w:ascii="Arial" w:eastAsia="Arial" w:hAnsi="Arial" w:cs="Arial"/>
                <w:color w:val="000000"/>
                <w:sz w:val="24"/>
                <w:szCs w:val="24"/>
              </w:rPr>
              <w:tab/>
              <w:t>5</w:t>
            </w:r>
          </w:hyperlink>
        </w:p>
        <w:p w14:paraId="00000018" w14:textId="77777777" w:rsidR="007B761C" w:rsidRDefault="00000000">
          <w:pPr>
            <w:widowControl w:val="0"/>
            <w:tabs>
              <w:tab w:val="right" w:leader="dot" w:pos="12000"/>
            </w:tabs>
            <w:spacing w:before="60" w:after="0" w:line="240" w:lineRule="auto"/>
            <w:rPr>
              <w:rFonts w:ascii="Arial" w:eastAsia="Arial" w:hAnsi="Arial" w:cs="Arial"/>
              <w:color w:val="000000"/>
              <w:sz w:val="24"/>
              <w:szCs w:val="24"/>
            </w:rPr>
          </w:pPr>
          <w:hyperlink w:anchor="_5vqinhpajoye">
            <w:r>
              <w:rPr>
                <w:rFonts w:ascii="Arial" w:eastAsia="Arial" w:hAnsi="Arial" w:cs="Arial"/>
                <w:color w:val="000000"/>
                <w:sz w:val="24"/>
                <w:szCs w:val="24"/>
              </w:rPr>
              <w:t>Strategies for Managing Foreign Exchange Risks</w:t>
            </w:r>
            <w:r>
              <w:rPr>
                <w:rFonts w:ascii="Arial" w:eastAsia="Arial" w:hAnsi="Arial" w:cs="Arial"/>
                <w:color w:val="000000"/>
                <w:sz w:val="24"/>
                <w:szCs w:val="24"/>
              </w:rPr>
              <w:tab/>
              <w:t>5</w:t>
            </w:r>
          </w:hyperlink>
        </w:p>
        <w:p w14:paraId="00000019" w14:textId="77777777" w:rsidR="007B761C" w:rsidRDefault="00000000">
          <w:pPr>
            <w:widowControl w:val="0"/>
            <w:tabs>
              <w:tab w:val="right" w:leader="dot" w:pos="12000"/>
            </w:tabs>
            <w:spacing w:before="60" w:after="0" w:line="240" w:lineRule="auto"/>
            <w:ind w:left="360"/>
            <w:rPr>
              <w:rFonts w:ascii="Arial" w:eastAsia="Arial" w:hAnsi="Arial" w:cs="Arial"/>
              <w:color w:val="000000"/>
              <w:sz w:val="24"/>
              <w:szCs w:val="24"/>
            </w:rPr>
          </w:pPr>
          <w:hyperlink w:anchor="_wxky4z5ajok7">
            <w:r>
              <w:rPr>
                <w:rFonts w:ascii="Arial" w:eastAsia="Arial" w:hAnsi="Arial" w:cs="Arial"/>
                <w:color w:val="000000"/>
                <w:sz w:val="24"/>
                <w:szCs w:val="24"/>
              </w:rPr>
              <w:t>Hedging Strategies</w:t>
            </w:r>
            <w:r>
              <w:rPr>
                <w:rFonts w:ascii="Arial" w:eastAsia="Arial" w:hAnsi="Arial" w:cs="Arial"/>
                <w:color w:val="000000"/>
                <w:sz w:val="24"/>
                <w:szCs w:val="24"/>
              </w:rPr>
              <w:tab/>
              <w:t>5</w:t>
            </w:r>
          </w:hyperlink>
        </w:p>
        <w:p w14:paraId="0000001A" w14:textId="77777777" w:rsidR="007B761C" w:rsidRDefault="00000000">
          <w:pPr>
            <w:widowControl w:val="0"/>
            <w:tabs>
              <w:tab w:val="right" w:leader="dot" w:pos="12000"/>
            </w:tabs>
            <w:spacing w:before="60" w:after="0" w:line="240" w:lineRule="auto"/>
            <w:ind w:left="360"/>
            <w:rPr>
              <w:rFonts w:ascii="Arial" w:eastAsia="Arial" w:hAnsi="Arial" w:cs="Arial"/>
              <w:color w:val="000000"/>
              <w:sz w:val="24"/>
              <w:szCs w:val="24"/>
            </w:rPr>
          </w:pPr>
          <w:hyperlink w:anchor="_1a4j1yak70a0">
            <w:r>
              <w:rPr>
                <w:rFonts w:ascii="Arial" w:eastAsia="Arial" w:hAnsi="Arial" w:cs="Arial"/>
                <w:color w:val="000000"/>
                <w:sz w:val="24"/>
                <w:szCs w:val="24"/>
              </w:rPr>
              <w:t>Diversification Strategies</w:t>
            </w:r>
            <w:r>
              <w:rPr>
                <w:rFonts w:ascii="Arial" w:eastAsia="Arial" w:hAnsi="Arial" w:cs="Arial"/>
                <w:color w:val="000000"/>
                <w:sz w:val="24"/>
                <w:szCs w:val="24"/>
              </w:rPr>
              <w:tab/>
              <w:t>6</w:t>
            </w:r>
          </w:hyperlink>
        </w:p>
        <w:p w14:paraId="0000001B" w14:textId="77777777" w:rsidR="007B761C" w:rsidRDefault="00000000">
          <w:pPr>
            <w:widowControl w:val="0"/>
            <w:tabs>
              <w:tab w:val="right" w:leader="dot" w:pos="12000"/>
            </w:tabs>
            <w:spacing w:before="60" w:after="0" w:line="240" w:lineRule="auto"/>
            <w:ind w:left="360"/>
            <w:rPr>
              <w:rFonts w:ascii="Arial" w:eastAsia="Arial" w:hAnsi="Arial" w:cs="Arial"/>
              <w:color w:val="000000"/>
              <w:sz w:val="24"/>
              <w:szCs w:val="24"/>
            </w:rPr>
          </w:pPr>
          <w:hyperlink w:anchor="_twqz3hpf3qiw">
            <w:r>
              <w:rPr>
                <w:rFonts w:ascii="Arial" w:eastAsia="Arial" w:hAnsi="Arial" w:cs="Arial"/>
                <w:color w:val="000000"/>
                <w:sz w:val="24"/>
                <w:szCs w:val="24"/>
              </w:rPr>
              <w:t>Financial Strategies</w:t>
            </w:r>
            <w:r>
              <w:rPr>
                <w:rFonts w:ascii="Arial" w:eastAsia="Arial" w:hAnsi="Arial" w:cs="Arial"/>
                <w:color w:val="000000"/>
                <w:sz w:val="24"/>
                <w:szCs w:val="24"/>
              </w:rPr>
              <w:tab/>
              <w:t>7</w:t>
            </w:r>
          </w:hyperlink>
        </w:p>
        <w:p w14:paraId="0000001C" w14:textId="77777777" w:rsidR="007B761C" w:rsidRDefault="00000000">
          <w:pPr>
            <w:widowControl w:val="0"/>
            <w:tabs>
              <w:tab w:val="right" w:leader="dot" w:pos="12000"/>
            </w:tabs>
            <w:spacing w:before="60" w:after="0" w:line="240" w:lineRule="auto"/>
            <w:rPr>
              <w:rFonts w:ascii="Arial" w:eastAsia="Arial" w:hAnsi="Arial" w:cs="Arial"/>
              <w:color w:val="000000"/>
              <w:sz w:val="24"/>
              <w:szCs w:val="24"/>
            </w:rPr>
          </w:pPr>
          <w:hyperlink w:anchor="_6gb5bnzbeq8d">
            <w:r>
              <w:rPr>
                <w:rFonts w:ascii="Arial" w:eastAsia="Arial" w:hAnsi="Arial" w:cs="Arial"/>
                <w:color w:val="000000"/>
                <w:sz w:val="24"/>
                <w:szCs w:val="24"/>
              </w:rPr>
              <w:t>Critical Analysis and Evaluation</w:t>
            </w:r>
            <w:r>
              <w:rPr>
                <w:rFonts w:ascii="Arial" w:eastAsia="Arial" w:hAnsi="Arial" w:cs="Arial"/>
                <w:color w:val="000000"/>
                <w:sz w:val="24"/>
                <w:szCs w:val="24"/>
              </w:rPr>
              <w:tab/>
              <w:t>7</w:t>
            </w:r>
          </w:hyperlink>
        </w:p>
        <w:p w14:paraId="0000001D" w14:textId="77777777" w:rsidR="007B761C" w:rsidRDefault="00000000">
          <w:pPr>
            <w:widowControl w:val="0"/>
            <w:tabs>
              <w:tab w:val="right" w:leader="dot" w:pos="12000"/>
            </w:tabs>
            <w:spacing w:before="60" w:after="0" w:line="240" w:lineRule="auto"/>
            <w:rPr>
              <w:rFonts w:ascii="Arial" w:eastAsia="Arial" w:hAnsi="Arial" w:cs="Arial"/>
              <w:color w:val="000000"/>
              <w:sz w:val="24"/>
              <w:szCs w:val="24"/>
            </w:rPr>
          </w:pPr>
          <w:hyperlink w:anchor="_beg0zmmd6qz1">
            <w:r>
              <w:rPr>
                <w:rFonts w:ascii="Arial" w:eastAsia="Arial" w:hAnsi="Arial" w:cs="Arial"/>
                <w:color w:val="000000"/>
                <w:sz w:val="24"/>
                <w:szCs w:val="24"/>
              </w:rPr>
              <w:t>Conclusion</w:t>
            </w:r>
            <w:r>
              <w:rPr>
                <w:rFonts w:ascii="Arial" w:eastAsia="Arial" w:hAnsi="Arial" w:cs="Arial"/>
                <w:color w:val="000000"/>
                <w:sz w:val="24"/>
                <w:szCs w:val="24"/>
              </w:rPr>
              <w:tab/>
              <w:t>9</w:t>
            </w:r>
          </w:hyperlink>
        </w:p>
        <w:p w14:paraId="0000001E" w14:textId="77777777" w:rsidR="007B761C" w:rsidRDefault="00000000">
          <w:pPr>
            <w:widowControl w:val="0"/>
            <w:tabs>
              <w:tab w:val="right" w:leader="dot" w:pos="12000"/>
            </w:tabs>
            <w:spacing w:before="60" w:after="0" w:line="240" w:lineRule="auto"/>
            <w:rPr>
              <w:rFonts w:ascii="Arial" w:eastAsia="Arial" w:hAnsi="Arial" w:cs="Arial"/>
              <w:color w:val="000000"/>
              <w:sz w:val="24"/>
              <w:szCs w:val="24"/>
            </w:rPr>
          </w:pPr>
          <w:hyperlink w:anchor="_os14vpcpgy9u">
            <w:r>
              <w:rPr>
                <w:rFonts w:ascii="Arial" w:eastAsia="Arial" w:hAnsi="Arial" w:cs="Arial"/>
                <w:color w:val="000000"/>
                <w:sz w:val="24"/>
                <w:szCs w:val="24"/>
              </w:rPr>
              <w:t>Reference</w:t>
            </w:r>
            <w:r>
              <w:rPr>
                <w:rFonts w:ascii="Arial" w:eastAsia="Arial" w:hAnsi="Arial" w:cs="Arial"/>
                <w:color w:val="000000"/>
                <w:sz w:val="24"/>
                <w:szCs w:val="24"/>
              </w:rPr>
              <w:tab/>
              <w:t>10</w:t>
            </w:r>
          </w:hyperlink>
          <w:r>
            <w:fldChar w:fldCharType="end"/>
          </w:r>
        </w:p>
      </w:sdtContent>
    </w:sdt>
    <w:p w14:paraId="0000001F" w14:textId="77777777" w:rsidR="007B761C" w:rsidRDefault="007B761C">
      <w:pPr>
        <w:spacing w:line="480" w:lineRule="auto"/>
        <w:rPr>
          <w:rFonts w:ascii="Arial" w:eastAsia="Arial" w:hAnsi="Arial" w:cs="Arial"/>
          <w:b/>
          <w:sz w:val="24"/>
          <w:szCs w:val="24"/>
        </w:rPr>
      </w:pPr>
    </w:p>
    <w:p w14:paraId="00000020" w14:textId="77777777" w:rsidR="007B761C" w:rsidRDefault="007B761C">
      <w:pPr>
        <w:spacing w:line="480" w:lineRule="auto"/>
        <w:rPr>
          <w:rFonts w:ascii="Arial" w:eastAsia="Arial" w:hAnsi="Arial" w:cs="Arial"/>
          <w:b/>
          <w:sz w:val="24"/>
          <w:szCs w:val="24"/>
        </w:rPr>
      </w:pPr>
    </w:p>
    <w:p w14:paraId="00000021" w14:textId="77777777" w:rsidR="007B761C" w:rsidRDefault="007B761C">
      <w:pPr>
        <w:spacing w:line="480" w:lineRule="auto"/>
        <w:rPr>
          <w:rFonts w:ascii="Arial" w:eastAsia="Arial" w:hAnsi="Arial" w:cs="Arial"/>
          <w:b/>
          <w:sz w:val="24"/>
          <w:szCs w:val="24"/>
        </w:rPr>
      </w:pPr>
    </w:p>
    <w:p w14:paraId="00000022" w14:textId="77777777" w:rsidR="007B761C" w:rsidRDefault="007B761C">
      <w:pPr>
        <w:spacing w:line="480" w:lineRule="auto"/>
        <w:rPr>
          <w:rFonts w:ascii="Arial" w:eastAsia="Arial" w:hAnsi="Arial" w:cs="Arial"/>
          <w:b/>
          <w:sz w:val="24"/>
          <w:szCs w:val="24"/>
        </w:rPr>
      </w:pPr>
    </w:p>
    <w:p w14:paraId="00000023" w14:textId="77777777" w:rsidR="007B761C" w:rsidRDefault="007B761C">
      <w:pPr>
        <w:spacing w:line="480" w:lineRule="auto"/>
        <w:rPr>
          <w:rFonts w:ascii="Arial" w:eastAsia="Arial" w:hAnsi="Arial" w:cs="Arial"/>
          <w:b/>
          <w:sz w:val="24"/>
          <w:szCs w:val="24"/>
        </w:rPr>
      </w:pPr>
    </w:p>
    <w:p w14:paraId="00000024" w14:textId="77777777" w:rsidR="007B761C" w:rsidRDefault="007B761C">
      <w:pPr>
        <w:spacing w:line="480" w:lineRule="auto"/>
        <w:rPr>
          <w:rFonts w:ascii="Arial" w:eastAsia="Arial" w:hAnsi="Arial" w:cs="Arial"/>
          <w:b/>
          <w:sz w:val="24"/>
          <w:szCs w:val="24"/>
        </w:rPr>
      </w:pPr>
    </w:p>
    <w:p w14:paraId="00000025" w14:textId="77777777" w:rsidR="007B761C" w:rsidRDefault="007B761C">
      <w:pPr>
        <w:spacing w:line="480" w:lineRule="auto"/>
        <w:rPr>
          <w:rFonts w:ascii="Arial" w:eastAsia="Arial" w:hAnsi="Arial" w:cs="Arial"/>
          <w:b/>
          <w:sz w:val="24"/>
          <w:szCs w:val="24"/>
        </w:rPr>
      </w:pPr>
    </w:p>
    <w:p w14:paraId="00000026" w14:textId="77777777" w:rsidR="007B761C" w:rsidRDefault="007B761C">
      <w:pPr>
        <w:spacing w:line="480" w:lineRule="auto"/>
        <w:rPr>
          <w:rFonts w:ascii="Arial" w:eastAsia="Arial" w:hAnsi="Arial" w:cs="Arial"/>
          <w:b/>
          <w:sz w:val="24"/>
          <w:szCs w:val="24"/>
        </w:rPr>
      </w:pPr>
    </w:p>
    <w:p w14:paraId="00000027" w14:textId="77777777" w:rsidR="007B761C" w:rsidRDefault="007B761C">
      <w:pPr>
        <w:spacing w:line="480" w:lineRule="auto"/>
        <w:rPr>
          <w:rFonts w:ascii="Arial" w:eastAsia="Arial" w:hAnsi="Arial" w:cs="Arial"/>
          <w:b/>
          <w:sz w:val="24"/>
          <w:szCs w:val="24"/>
        </w:rPr>
      </w:pPr>
    </w:p>
    <w:p w14:paraId="00000028" w14:textId="77777777" w:rsidR="007B761C" w:rsidRDefault="007B761C">
      <w:pPr>
        <w:spacing w:line="480" w:lineRule="auto"/>
        <w:rPr>
          <w:rFonts w:ascii="Arial" w:eastAsia="Arial" w:hAnsi="Arial" w:cs="Arial"/>
          <w:b/>
          <w:sz w:val="24"/>
          <w:szCs w:val="24"/>
        </w:rPr>
      </w:pPr>
    </w:p>
    <w:p w14:paraId="00000029" w14:textId="77777777" w:rsidR="007B761C" w:rsidRDefault="007B761C">
      <w:pPr>
        <w:spacing w:line="480" w:lineRule="auto"/>
        <w:rPr>
          <w:rFonts w:ascii="Arial" w:eastAsia="Arial" w:hAnsi="Arial" w:cs="Arial"/>
          <w:b/>
          <w:sz w:val="24"/>
          <w:szCs w:val="24"/>
        </w:rPr>
      </w:pPr>
    </w:p>
    <w:p w14:paraId="0000002A" w14:textId="77777777" w:rsidR="007B761C" w:rsidRDefault="00000000">
      <w:pPr>
        <w:pStyle w:val="Heading1"/>
        <w:spacing w:line="480" w:lineRule="auto"/>
        <w:rPr>
          <w:rFonts w:ascii="Arial" w:eastAsia="Arial" w:hAnsi="Arial" w:cs="Arial"/>
          <w:sz w:val="24"/>
          <w:szCs w:val="24"/>
        </w:rPr>
      </w:pPr>
      <w:bookmarkStart w:id="0" w:name="_t1zq02swev59" w:colFirst="0" w:colLast="0"/>
      <w:bookmarkEnd w:id="0"/>
      <w:r>
        <w:rPr>
          <w:rFonts w:ascii="Arial" w:eastAsia="Arial" w:hAnsi="Arial" w:cs="Arial"/>
          <w:sz w:val="24"/>
          <w:szCs w:val="24"/>
        </w:rPr>
        <w:lastRenderedPageBreak/>
        <w:t>Introduction</w:t>
      </w:r>
    </w:p>
    <w:p w14:paraId="0000002B" w14:textId="77777777" w:rsidR="007B761C" w:rsidRDefault="00000000">
      <w:pPr>
        <w:spacing w:line="480" w:lineRule="auto"/>
        <w:ind w:firstLine="720"/>
        <w:rPr>
          <w:rFonts w:ascii="Arial" w:eastAsia="Arial" w:hAnsi="Arial" w:cs="Arial"/>
          <w:sz w:val="24"/>
          <w:szCs w:val="24"/>
        </w:rPr>
      </w:pPr>
      <w:r>
        <w:rPr>
          <w:rFonts w:ascii="Arial" w:eastAsia="Arial" w:hAnsi="Arial" w:cs="Arial"/>
          <w:sz w:val="24"/>
          <w:szCs w:val="24"/>
        </w:rPr>
        <w:t xml:space="preserve">Today, multinational corporations (MNCs) are vital in contributing to foreign direct investment in spreading expertise and technology. To mention a few, they face different concerns, one being foreign exchange risks. Various markets worldwide offer MNCs chances of development and diversification, but these opportunities also come with challenges, especially in controlling foreign exchange risks. Foreign exchange risk, also called currency risk, is inherent in international operations and arises from changes in currency values (Jankensgard et al., 2020). This risk pertains to international operations because of the fluctuating exchange rates of the various currencies in the global business operation. Foreign exchange risk is when a company may lose money on international trade because of currency fluctuations (Bernoth and Herwartz, 2019). Fisch and Puhr (2021) argue that fluctuations in currency exchange rates are one of the risks MNCs face from foreign markets. Hence, MNCs need to be guided by certain theories and adopt specific strategies that allow them to manage their exposure to foreign exchange risks so that their profitability is sustained, competitive advantage is maintained, and they are placed on the path of long-term success. This paper discusses different strategies that multinational corporations often adopt in managing their exposure to foreign exchange risks.  </w:t>
      </w:r>
    </w:p>
    <w:p w14:paraId="0000002C" w14:textId="77777777" w:rsidR="007B761C" w:rsidRDefault="007B761C">
      <w:pPr>
        <w:spacing w:line="480" w:lineRule="auto"/>
        <w:ind w:firstLine="720"/>
        <w:rPr>
          <w:rFonts w:ascii="Arial" w:eastAsia="Arial" w:hAnsi="Arial" w:cs="Arial"/>
          <w:sz w:val="24"/>
          <w:szCs w:val="24"/>
        </w:rPr>
      </w:pPr>
    </w:p>
    <w:p w14:paraId="0000002D" w14:textId="77777777" w:rsidR="007B761C" w:rsidRDefault="00000000">
      <w:pPr>
        <w:pStyle w:val="Heading1"/>
        <w:spacing w:line="480" w:lineRule="auto"/>
        <w:rPr>
          <w:rFonts w:ascii="Arial" w:eastAsia="Arial" w:hAnsi="Arial" w:cs="Arial"/>
          <w:sz w:val="24"/>
          <w:szCs w:val="24"/>
        </w:rPr>
      </w:pPr>
      <w:bookmarkStart w:id="1" w:name="_w2qegdx6ej96" w:colFirst="0" w:colLast="0"/>
      <w:bookmarkEnd w:id="1"/>
      <w:r>
        <w:rPr>
          <w:rFonts w:ascii="Arial" w:eastAsia="Arial" w:hAnsi="Arial" w:cs="Arial"/>
          <w:sz w:val="24"/>
          <w:szCs w:val="24"/>
        </w:rPr>
        <w:t>Efficient Market Hypothesis (EMH)</w:t>
      </w:r>
    </w:p>
    <w:p w14:paraId="0000002E" w14:textId="77777777" w:rsidR="007B761C" w:rsidRDefault="00000000">
      <w:pPr>
        <w:spacing w:line="480" w:lineRule="auto"/>
        <w:ind w:firstLine="720"/>
        <w:rPr>
          <w:rFonts w:ascii="Arial" w:eastAsia="Arial" w:hAnsi="Arial" w:cs="Arial"/>
          <w:sz w:val="24"/>
          <w:szCs w:val="24"/>
        </w:rPr>
      </w:pPr>
      <w:r>
        <w:rPr>
          <w:rFonts w:ascii="Arial" w:eastAsia="Arial" w:hAnsi="Arial" w:cs="Arial"/>
          <w:sz w:val="24"/>
          <w:szCs w:val="24"/>
        </w:rPr>
        <w:t xml:space="preserve">Efficient Market Hypothesis assumes that asset prices reflect all available information (Kellermann, 2019). From the perspective of foreign exchange markets, </w:t>
      </w:r>
      <w:r>
        <w:rPr>
          <w:rFonts w:ascii="Arial" w:eastAsia="Arial" w:hAnsi="Arial" w:cs="Arial"/>
          <w:sz w:val="24"/>
          <w:szCs w:val="24"/>
        </w:rPr>
        <w:lastRenderedPageBreak/>
        <w:t xml:space="preserve">EMH assumes that currency prices should ideally incorporate all available information; hence, it becomes hard for MNCs to make good on future volatility (Baffour et al., 2021). According to the EMH, it is impossible to profit from foreign exchange speculation because the market adjusts to this change in a concise period. </w:t>
      </w:r>
    </w:p>
    <w:p w14:paraId="0000002F" w14:textId="77777777" w:rsidR="007B761C" w:rsidRDefault="007B761C">
      <w:pPr>
        <w:spacing w:line="480" w:lineRule="auto"/>
        <w:ind w:firstLine="720"/>
        <w:rPr>
          <w:rFonts w:ascii="Arial" w:eastAsia="Arial" w:hAnsi="Arial" w:cs="Arial"/>
          <w:sz w:val="24"/>
          <w:szCs w:val="24"/>
        </w:rPr>
      </w:pPr>
    </w:p>
    <w:p w14:paraId="00000030" w14:textId="77777777" w:rsidR="007B761C" w:rsidRDefault="00000000">
      <w:pPr>
        <w:pStyle w:val="Heading1"/>
        <w:spacing w:line="480" w:lineRule="auto"/>
        <w:rPr>
          <w:rFonts w:ascii="Arial" w:eastAsia="Arial" w:hAnsi="Arial" w:cs="Arial"/>
          <w:sz w:val="24"/>
          <w:szCs w:val="24"/>
        </w:rPr>
      </w:pPr>
      <w:bookmarkStart w:id="2" w:name="_eabp4tbinu2s" w:colFirst="0" w:colLast="0"/>
      <w:bookmarkEnd w:id="2"/>
      <w:r>
        <w:rPr>
          <w:rFonts w:ascii="Arial" w:eastAsia="Arial" w:hAnsi="Arial" w:cs="Arial"/>
          <w:sz w:val="24"/>
          <w:szCs w:val="24"/>
        </w:rPr>
        <w:t>Multinational Capital Budgeting &amp; Capital Rationing</w:t>
      </w:r>
    </w:p>
    <w:p w14:paraId="00000031" w14:textId="77777777" w:rsidR="007B761C" w:rsidRDefault="00000000">
      <w:pPr>
        <w:spacing w:line="480" w:lineRule="auto"/>
        <w:ind w:firstLine="720"/>
        <w:rPr>
          <w:rFonts w:ascii="Arial" w:eastAsia="Arial" w:hAnsi="Arial" w:cs="Arial"/>
          <w:sz w:val="24"/>
          <w:szCs w:val="24"/>
        </w:rPr>
      </w:pPr>
      <w:bookmarkStart w:id="3" w:name="_gjdgxs" w:colFirst="0" w:colLast="0"/>
      <w:bookmarkEnd w:id="3"/>
      <w:r>
        <w:rPr>
          <w:rFonts w:ascii="Arial" w:eastAsia="Arial" w:hAnsi="Arial" w:cs="Arial"/>
          <w:sz w:val="24"/>
          <w:szCs w:val="24"/>
        </w:rPr>
        <w:t xml:space="preserve">Multinational capital budgeting extends the capital budgeting concept for making capital investment decisions in foreign countries and considering foreign exchange fluctuations, if any (Shwiyat et al., 2024). In deciding where to go and what to do when MNCs invest abroad, they must manage both the expected cash flow from business ventures and fluctuating foreign currency exchange rates. This makes capital budgeting a sensitive instrument in the minimization of foreign exchange risks. </w:t>
      </w:r>
    </w:p>
    <w:p w14:paraId="00000032" w14:textId="77777777" w:rsidR="007B761C" w:rsidRDefault="00000000">
      <w:pPr>
        <w:spacing w:line="480" w:lineRule="auto"/>
        <w:ind w:firstLine="720"/>
        <w:rPr>
          <w:rFonts w:ascii="Arial" w:eastAsia="Arial" w:hAnsi="Arial" w:cs="Arial"/>
          <w:sz w:val="24"/>
          <w:szCs w:val="24"/>
        </w:rPr>
      </w:pPr>
      <w:r>
        <w:rPr>
          <w:rFonts w:ascii="Arial" w:eastAsia="Arial" w:hAnsi="Arial" w:cs="Arial"/>
          <w:sz w:val="24"/>
          <w:szCs w:val="24"/>
        </w:rPr>
        <w:t>On the other hand, capital rationing involves allocating limited financial resources to competing projects (Osmundsen et al., 2022). Capital rationing is not simply defined as a reduction in capital usage but has a more profound meaning in MNCs because it involves control of foreign exchange risk. MNCs have to prioritize their projects not only according to the returns that the project is expected to deliver but also the degree of exchange rate risk. MNCs can reduce Foreign Exchange risk by choosing and financing appropriate projects exhibiting better risk-adjusted returns (Jankensgard et al., 2020).</w:t>
      </w:r>
    </w:p>
    <w:p w14:paraId="00000033" w14:textId="77777777" w:rsidR="007B761C" w:rsidRDefault="007B761C">
      <w:pPr>
        <w:spacing w:line="480" w:lineRule="auto"/>
        <w:ind w:firstLine="720"/>
        <w:rPr>
          <w:rFonts w:ascii="Arial" w:eastAsia="Arial" w:hAnsi="Arial" w:cs="Arial"/>
          <w:sz w:val="24"/>
          <w:szCs w:val="24"/>
        </w:rPr>
      </w:pPr>
    </w:p>
    <w:p w14:paraId="00000034" w14:textId="77777777" w:rsidR="007B761C" w:rsidRDefault="00000000">
      <w:pPr>
        <w:pStyle w:val="Heading1"/>
        <w:spacing w:line="480" w:lineRule="auto"/>
        <w:rPr>
          <w:rFonts w:ascii="Arial" w:eastAsia="Arial" w:hAnsi="Arial" w:cs="Arial"/>
          <w:sz w:val="24"/>
          <w:szCs w:val="24"/>
        </w:rPr>
      </w:pPr>
      <w:bookmarkStart w:id="4" w:name="_bjgp1d6oq86" w:colFirst="0" w:colLast="0"/>
      <w:bookmarkEnd w:id="4"/>
      <w:r>
        <w:rPr>
          <w:rFonts w:ascii="Arial" w:eastAsia="Arial" w:hAnsi="Arial" w:cs="Arial"/>
          <w:sz w:val="24"/>
          <w:szCs w:val="24"/>
        </w:rPr>
        <w:lastRenderedPageBreak/>
        <w:t>Investment Appraisal</w:t>
      </w:r>
    </w:p>
    <w:p w14:paraId="00000035" w14:textId="77777777" w:rsidR="007B761C" w:rsidRDefault="00000000">
      <w:pPr>
        <w:spacing w:line="480" w:lineRule="auto"/>
        <w:ind w:firstLine="720"/>
        <w:rPr>
          <w:rFonts w:ascii="Arial" w:eastAsia="Arial" w:hAnsi="Arial" w:cs="Arial"/>
          <w:sz w:val="24"/>
          <w:szCs w:val="24"/>
        </w:rPr>
      </w:pPr>
      <w:r>
        <w:rPr>
          <w:rFonts w:ascii="Arial" w:eastAsia="Arial" w:hAnsi="Arial" w:cs="Arial"/>
          <w:sz w:val="24"/>
          <w:szCs w:val="24"/>
        </w:rPr>
        <w:t xml:space="preserve">Investment appraisal methods like NPV and IRR prove imperative for MNCs, mainly when foreign exchange risk arises. NPV entails the discounting of future cash inflows to their present values to assist organizations in establishing whether or not a project would yield sufficient revenues (Sinenko and Savin, 2020). In any foreign investment undertaken by MNCs, social factors such as fluctuations in the exchange rates affect the future cash flows. For example, if an MNC invests in a country where the local currency is expected to decline in the future, then the future cash flows that are expected on the particular investment may not have the same value when converted into the home currency, which ultimately affects the NPV on the specific project. </w:t>
      </w:r>
    </w:p>
    <w:p w14:paraId="00000036" w14:textId="77777777" w:rsidR="007B761C" w:rsidRDefault="007B761C">
      <w:pPr>
        <w:spacing w:line="480" w:lineRule="auto"/>
        <w:ind w:firstLine="720"/>
        <w:rPr>
          <w:rFonts w:ascii="Arial" w:eastAsia="Arial" w:hAnsi="Arial" w:cs="Arial"/>
          <w:sz w:val="24"/>
          <w:szCs w:val="24"/>
        </w:rPr>
      </w:pPr>
    </w:p>
    <w:p w14:paraId="00000037" w14:textId="77777777" w:rsidR="007B761C" w:rsidRDefault="00000000">
      <w:pPr>
        <w:pStyle w:val="Heading1"/>
        <w:spacing w:line="480" w:lineRule="auto"/>
        <w:rPr>
          <w:rFonts w:ascii="Arial" w:eastAsia="Arial" w:hAnsi="Arial" w:cs="Arial"/>
          <w:sz w:val="24"/>
          <w:szCs w:val="24"/>
        </w:rPr>
      </w:pPr>
      <w:bookmarkStart w:id="5" w:name="_5vqinhpajoye" w:colFirst="0" w:colLast="0"/>
      <w:bookmarkEnd w:id="5"/>
      <w:r>
        <w:rPr>
          <w:rFonts w:ascii="Arial" w:eastAsia="Arial" w:hAnsi="Arial" w:cs="Arial"/>
          <w:sz w:val="24"/>
          <w:szCs w:val="24"/>
        </w:rPr>
        <w:t>Strategies for Managing Foreign Exchange Risks</w:t>
      </w:r>
    </w:p>
    <w:p w14:paraId="00000038" w14:textId="77777777" w:rsidR="007B761C" w:rsidRDefault="00000000">
      <w:pPr>
        <w:pStyle w:val="Heading2"/>
        <w:spacing w:line="480" w:lineRule="auto"/>
        <w:ind w:firstLine="720"/>
        <w:rPr>
          <w:rFonts w:ascii="Arial" w:eastAsia="Arial" w:hAnsi="Arial" w:cs="Arial"/>
          <w:sz w:val="24"/>
          <w:szCs w:val="24"/>
        </w:rPr>
      </w:pPr>
      <w:bookmarkStart w:id="6" w:name="_wxky4z5ajok7" w:colFirst="0" w:colLast="0"/>
      <w:bookmarkEnd w:id="6"/>
      <w:r>
        <w:rPr>
          <w:rFonts w:ascii="Arial" w:eastAsia="Arial" w:hAnsi="Arial" w:cs="Arial"/>
          <w:sz w:val="24"/>
          <w:szCs w:val="24"/>
        </w:rPr>
        <w:t>Hedging Strategies</w:t>
      </w:r>
    </w:p>
    <w:p w14:paraId="00000039" w14:textId="77777777" w:rsidR="007B761C" w:rsidRDefault="00000000">
      <w:pPr>
        <w:spacing w:line="480" w:lineRule="auto"/>
        <w:ind w:firstLine="720"/>
        <w:rPr>
          <w:rFonts w:ascii="Arial" w:eastAsia="Arial" w:hAnsi="Arial" w:cs="Arial"/>
          <w:sz w:val="24"/>
          <w:szCs w:val="24"/>
        </w:rPr>
      </w:pPr>
      <w:r>
        <w:rPr>
          <w:rFonts w:ascii="Arial" w:eastAsia="Arial" w:hAnsi="Arial" w:cs="Arial"/>
          <w:sz w:val="24"/>
          <w:szCs w:val="24"/>
        </w:rPr>
        <w:t xml:space="preserve">Managing foreign exchange risks is among MNCs' most prevalent tactics, and hedging remains at the forefront of their strategies. Using financial instruments, MNCs can hedge exchange risks by engaging in them and fixing specific exchange rates for future transactions, thereby eliminating fluctuating value (Zhang, 2020). In a forward contract, MNCs can fix the exchange rate for a future transaction so that they are barred from any unfavorable exchange rate risks. Futures contracts are standardized and traded on an exchange; however, they offer the same protection. Like forwards or futures, options provide MNCs with the privilege but not the recourse of exchanging </w:t>
      </w:r>
      <w:r>
        <w:rPr>
          <w:rFonts w:ascii="Arial" w:eastAsia="Arial" w:hAnsi="Arial" w:cs="Arial"/>
          <w:sz w:val="24"/>
          <w:szCs w:val="24"/>
        </w:rPr>
        <w:lastRenderedPageBreak/>
        <w:t>currency at a determined rate; however, options are more flexible than forwards or futures. Currency swaps are contracts where two parties agree to exchange cash flows in one currency for another for an agreed period to help MNCs manage long-term foreign exchange risk. These hedging techniques may serve the purpose of managing the currency risk, but they are not without their price; for options, you'll be paying option premiums, or futures will be costly as they warrant margin.</w:t>
      </w:r>
    </w:p>
    <w:p w14:paraId="0000003A" w14:textId="77777777" w:rsidR="007B761C" w:rsidRDefault="007B761C">
      <w:pPr>
        <w:spacing w:line="480" w:lineRule="auto"/>
        <w:ind w:firstLine="720"/>
        <w:rPr>
          <w:rFonts w:ascii="Arial" w:eastAsia="Arial" w:hAnsi="Arial" w:cs="Arial"/>
          <w:sz w:val="24"/>
          <w:szCs w:val="24"/>
        </w:rPr>
      </w:pPr>
    </w:p>
    <w:p w14:paraId="0000003B" w14:textId="77777777" w:rsidR="007B761C" w:rsidRDefault="00000000">
      <w:pPr>
        <w:pStyle w:val="Heading2"/>
        <w:spacing w:line="480" w:lineRule="auto"/>
        <w:ind w:firstLine="720"/>
        <w:rPr>
          <w:rFonts w:ascii="Arial" w:eastAsia="Arial" w:hAnsi="Arial" w:cs="Arial"/>
          <w:sz w:val="24"/>
          <w:szCs w:val="24"/>
        </w:rPr>
      </w:pPr>
      <w:bookmarkStart w:id="7" w:name="_1a4j1yak70a0" w:colFirst="0" w:colLast="0"/>
      <w:bookmarkEnd w:id="7"/>
      <w:r>
        <w:rPr>
          <w:rFonts w:ascii="Arial" w:eastAsia="Arial" w:hAnsi="Arial" w:cs="Arial"/>
          <w:sz w:val="24"/>
          <w:szCs w:val="24"/>
        </w:rPr>
        <w:t>Diversification Strategies</w:t>
      </w:r>
    </w:p>
    <w:p w14:paraId="0000003C" w14:textId="77777777" w:rsidR="007B761C" w:rsidRDefault="00000000">
      <w:pPr>
        <w:spacing w:line="480" w:lineRule="auto"/>
        <w:ind w:firstLine="720"/>
        <w:rPr>
          <w:rFonts w:ascii="Arial" w:eastAsia="Arial" w:hAnsi="Arial" w:cs="Arial"/>
          <w:sz w:val="24"/>
          <w:szCs w:val="24"/>
        </w:rPr>
      </w:pPr>
      <w:r>
        <w:rPr>
          <w:rFonts w:ascii="Arial" w:eastAsia="Arial" w:hAnsi="Arial" w:cs="Arial"/>
          <w:sz w:val="24"/>
          <w:szCs w:val="24"/>
        </w:rPr>
        <w:t xml:space="preserve">Another technique MNCs use to cope with exchange risks is geographical diversification. MNCs can avoid the risk of poor currency choices by conducting their activities across many countries and currencies (Yildiz et al., 2022). For instance, where an MNC company has a large proportion of its business operations in the U. S. and in the Eurozone, a euro depreciation may be cancelled out by improvements arising from operations in the U.S. dollar, thereby balancing impacts from business operations on corporate earnings. </w:t>
      </w:r>
    </w:p>
    <w:p w14:paraId="0000003D" w14:textId="77777777" w:rsidR="007B761C" w:rsidRDefault="00000000">
      <w:pPr>
        <w:spacing w:line="480" w:lineRule="auto"/>
        <w:ind w:firstLine="720"/>
        <w:rPr>
          <w:rFonts w:ascii="Arial" w:eastAsia="Arial" w:hAnsi="Arial" w:cs="Arial"/>
          <w:sz w:val="24"/>
          <w:szCs w:val="24"/>
        </w:rPr>
      </w:pPr>
      <w:r>
        <w:rPr>
          <w:rFonts w:ascii="Arial" w:eastAsia="Arial" w:hAnsi="Arial" w:cs="Arial"/>
          <w:sz w:val="24"/>
          <w:szCs w:val="24"/>
        </w:rPr>
        <w:t>However, it has also to be noted that diversification also has risks. Working across countries with different currencies also creates a problem of control because it is more complex and costly. Further, diversification does not provide a hedge on global economic risk that simultaneously affects most of the international currencies. Hence, although geographical diversification has the potential to reduce such risks, it should be part of an integrated risk management framework that speaks to the circumstances of the MNC.</w:t>
      </w:r>
    </w:p>
    <w:p w14:paraId="0000003E" w14:textId="77777777" w:rsidR="007B761C" w:rsidRDefault="007B761C">
      <w:pPr>
        <w:spacing w:line="480" w:lineRule="auto"/>
        <w:ind w:firstLine="720"/>
        <w:rPr>
          <w:rFonts w:ascii="Arial" w:eastAsia="Arial" w:hAnsi="Arial" w:cs="Arial"/>
          <w:sz w:val="24"/>
          <w:szCs w:val="24"/>
        </w:rPr>
      </w:pPr>
    </w:p>
    <w:p w14:paraId="0000003F" w14:textId="77777777" w:rsidR="007B761C" w:rsidRDefault="00000000">
      <w:pPr>
        <w:pStyle w:val="Heading2"/>
        <w:spacing w:line="480" w:lineRule="auto"/>
        <w:ind w:firstLine="720"/>
        <w:rPr>
          <w:rFonts w:ascii="Arial" w:eastAsia="Arial" w:hAnsi="Arial" w:cs="Arial"/>
          <w:sz w:val="24"/>
          <w:szCs w:val="24"/>
        </w:rPr>
      </w:pPr>
      <w:bookmarkStart w:id="8" w:name="_twqz3hpf3qiw" w:colFirst="0" w:colLast="0"/>
      <w:bookmarkEnd w:id="8"/>
      <w:r>
        <w:rPr>
          <w:rFonts w:ascii="Arial" w:eastAsia="Arial" w:hAnsi="Arial" w:cs="Arial"/>
          <w:sz w:val="24"/>
          <w:szCs w:val="24"/>
        </w:rPr>
        <w:t>Financial Strategies</w:t>
      </w:r>
    </w:p>
    <w:p w14:paraId="00000040" w14:textId="77777777" w:rsidR="007B761C" w:rsidRDefault="00000000">
      <w:pPr>
        <w:spacing w:line="480" w:lineRule="auto"/>
        <w:ind w:firstLine="720"/>
        <w:rPr>
          <w:rFonts w:ascii="Arial" w:eastAsia="Arial" w:hAnsi="Arial" w:cs="Arial"/>
          <w:sz w:val="24"/>
          <w:szCs w:val="24"/>
        </w:rPr>
      </w:pPr>
      <w:r>
        <w:rPr>
          <w:rFonts w:ascii="Arial" w:eastAsia="Arial" w:hAnsi="Arial" w:cs="Arial"/>
          <w:sz w:val="24"/>
          <w:szCs w:val="24"/>
        </w:rPr>
        <w:t>MNCs also resort to particular forms of financing to hedge against exchange risks, including short-term financing strategies and the policy on the distribution of dividends. Long-term financing implies using funds in a foreign currency to match the assets' foreign currency or the liabilities being financed. This approach, called natural hedging, assists MNCs in minimizing exchange rate risks (Zhang, 2020). For instance, if an MNC expects to receive future payments in euros, then to hedge a particular currency risk, the MNC might borrow in euros. Exchange risk control is also checked using the company's dividend distribution policies. MNC might decide to transfer earnings back to the parent company during a certain foreign exchange rate or keep the earnings in foreign currency, for example, if it expects the home currency to depreciate. This facilitates MNCs in deciding when to pay dividends and how best to manage currency fluctuation risks associated with their monetary results.</w:t>
      </w:r>
    </w:p>
    <w:p w14:paraId="00000041" w14:textId="77777777" w:rsidR="007B761C" w:rsidRDefault="007B761C">
      <w:pPr>
        <w:spacing w:line="480" w:lineRule="auto"/>
        <w:ind w:firstLine="720"/>
        <w:rPr>
          <w:rFonts w:ascii="Arial" w:eastAsia="Arial" w:hAnsi="Arial" w:cs="Arial"/>
          <w:sz w:val="24"/>
          <w:szCs w:val="24"/>
        </w:rPr>
      </w:pPr>
    </w:p>
    <w:p w14:paraId="00000042" w14:textId="77777777" w:rsidR="007B761C" w:rsidRDefault="00000000">
      <w:pPr>
        <w:pStyle w:val="Heading1"/>
        <w:spacing w:line="480" w:lineRule="auto"/>
        <w:rPr>
          <w:rFonts w:ascii="Arial" w:eastAsia="Arial" w:hAnsi="Arial" w:cs="Arial"/>
          <w:sz w:val="24"/>
          <w:szCs w:val="24"/>
        </w:rPr>
      </w:pPr>
      <w:bookmarkStart w:id="9" w:name="_6gb5bnzbeq8d" w:colFirst="0" w:colLast="0"/>
      <w:bookmarkEnd w:id="9"/>
      <w:r>
        <w:rPr>
          <w:rFonts w:ascii="Arial" w:eastAsia="Arial" w:hAnsi="Arial" w:cs="Arial"/>
          <w:sz w:val="24"/>
          <w:szCs w:val="24"/>
        </w:rPr>
        <w:t>Critical Analysis and Evaluation</w:t>
      </w:r>
    </w:p>
    <w:p w14:paraId="00000043" w14:textId="77777777" w:rsidR="007B761C" w:rsidRDefault="00000000">
      <w:pPr>
        <w:spacing w:line="480" w:lineRule="auto"/>
        <w:ind w:firstLine="720"/>
        <w:rPr>
          <w:rFonts w:ascii="Arial" w:eastAsia="Arial" w:hAnsi="Arial" w:cs="Arial"/>
          <w:sz w:val="24"/>
          <w:szCs w:val="24"/>
        </w:rPr>
      </w:pPr>
      <w:r>
        <w:rPr>
          <w:rFonts w:ascii="Arial" w:eastAsia="Arial" w:hAnsi="Arial" w:cs="Arial"/>
          <w:sz w:val="24"/>
          <w:szCs w:val="24"/>
        </w:rPr>
        <w:t xml:space="preserve">Each theory and strategy has strengths and weaknesses in hedging foreign exchange risks. The Efficient Market Hypothesis (EMH) posits that speculating as to the direction of any particular currency is practically a pointless exercise given that the market is inherently 'efficient.' However, the world, according to EMH, fails to capture the possibility of potential market anomalies that can be exploited for better risk </w:t>
      </w:r>
      <w:r>
        <w:rPr>
          <w:rFonts w:ascii="Arial" w:eastAsia="Arial" w:hAnsi="Arial" w:cs="Arial"/>
          <w:sz w:val="24"/>
          <w:szCs w:val="24"/>
        </w:rPr>
        <w:lastRenderedPageBreak/>
        <w:t xml:space="preserve">management. International capital budgeting and investment appraisal techniques help manage exchange risk in capital investments, but the process calls for accurate forecasting of exchange rates, which volatile exchange risks could bedevil. </w:t>
      </w:r>
    </w:p>
    <w:p w14:paraId="00000044" w14:textId="77777777" w:rsidR="007B761C" w:rsidRDefault="00000000">
      <w:pPr>
        <w:spacing w:line="480" w:lineRule="auto"/>
        <w:ind w:firstLine="720"/>
        <w:rPr>
          <w:rFonts w:ascii="Arial" w:eastAsia="Arial" w:hAnsi="Arial" w:cs="Arial"/>
          <w:sz w:val="24"/>
          <w:szCs w:val="24"/>
        </w:rPr>
      </w:pPr>
      <w:r>
        <w:rPr>
          <w:rFonts w:ascii="Arial" w:eastAsia="Arial" w:hAnsi="Arial" w:cs="Arial"/>
          <w:sz w:val="24"/>
          <w:szCs w:val="24"/>
        </w:rPr>
        <w:t>Various measures, such as hedging and diversification, form ways of managing foreign exchange risk, but the aspects are costly and cumbersome. Short-term financing sources and dividend policies are other layers of protection, but they also depend on timing and exactness of implementation. However, when applied singularly, the most applicable strategies for the MNCs may interdependently involve a combination of all the strategies concerning global risks and opportunities.</w:t>
      </w:r>
    </w:p>
    <w:p w14:paraId="00000045" w14:textId="77777777" w:rsidR="007B761C" w:rsidRDefault="00000000">
      <w:pPr>
        <w:spacing w:line="480" w:lineRule="auto"/>
        <w:ind w:firstLine="720"/>
        <w:rPr>
          <w:rFonts w:ascii="Arial" w:eastAsia="Arial" w:hAnsi="Arial" w:cs="Arial"/>
          <w:sz w:val="24"/>
          <w:szCs w:val="24"/>
        </w:rPr>
      </w:pPr>
      <w:r>
        <w:rPr>
          <w:rFonts w:ascii="Arial" w:eastAsia="Arial" w:hAnsi="Arial" w:cs="Arial"/>
          <w:sz w:val="24"/>
          <w:szCs w:val="24"/>
        </w:rPr>
        <w:t>Another advantage of hedging strategies is that they offer high-risk certainty regarding foreign exchange. This way, MNCs can hedge against unfavorable currency value movements, which means more secure financial planning and forecasting. On the other hand, hedging is not cheap: options have costs, and futures require additional margin payments in the event of market fluctuations. Sometimes, minimizing risks connected to a single currency through diversification techniques may be possible since the exposure will have been diversified in different currencies. However, managing operations in several countries can be problematic, and diversification does not guarantee a perfect defence against global economic crises. Other financial techniques, including short-term sources of funds and dividend policy, are different ways the firm can hedge on currency risk, although they must be well-timed and synchronised with other general corporate finance strategies.</w:t>
      </w:r>
    </w:p>
    <w:p w14:paraId="00000046" w14:textId="77777777" w:rsidR="007B761C" w:rsidRDefault="007B761C">
      <w:pPr>
        <w:spacing w:line="480" w:lineRule="auto"/>
        <w:ind w:firstLine="720"/>
        <w:rPr>
          <w:rFonts w:ascii="Arial" w:eastAsia="Arial" w:hAnsi="Arial" w:cs="Arial"/>
          <w:sz w:val="24"/>
          <w:szCs w:val="24"/>
        </w:rPr>
      </w:pPr>
    </w:p>
    <w:p w14:paraId="00000047" w14:textId="77777777" w:rsidR="007B761C" w:rsidRDefault="00000000">
      <w:pPr>
        <w:pStyle w:val="Heading1"/>
        <w:spacing w:line="480" w:lineRule="auto"/>
        <w:rPr>
          <w:rFonts w:ascii="Arial" w:eastAsia="Arial" w:hAnsi="Arial" w:cs="Arial"/>
          <w:sz w:val="24"/>
          <w:szCs w:val="24"/>
        </w:rPr>
      </w:pPr>
      <w:bookmarkStart w:id="10" w:name="_beg0zmmd6qz1" w:colFirst="0" w:colLast="0"/>
      <w:bookmarkEnd w:id="10"/>
      <w:r>
        <w:rPr>
          <w:rFonts w:ascii="Arial" w:eastAsia="Arial" w:hAnsi="Arial" w:cs="Arial"/>
          <w:sz w:val="24"/>
          <w:szCs w:val="24"/>
        </w:rPr>
        <w:lastRenderedPageBreak/>
        <w:t>Conclusion</w:t>
      </w:r>
    </w:p>
    <w:p w14:paraId="00000048" w14:textId="77777777" w:rsidR="007B761C" w:rsidRDefault="00000000">
      <w:pPr>
        <w:spacing w:line="480" w:lineRule="auto"/>
        <w:ind w:firstLine="720"/>
        <w:rPr>
          <w:rFonts w:ascii="Arial" w:eastAsia="Arial" w:hAnsi="Arial" w:cs="Arial"/>
          <w:sz w:val="24"/>
          <w:szCs w:val="24"/>
        </w:rPr>
      </w:pPr>
      <w:r>
        <w:rPr>
          <w:rFonts w:ascii="Arial" w:eastAsia="Arial" w:hAnsi="Arial" w:cs="Arial"/>
          <w:sz w:val="24"/>
          <w:szCs w:val="24"/>
        </w:rPr>
        <w:t>Exchange risk control is essential to multinational corporations' international financial operating environment. In this paper, different strategies MNCs use to reduce the impact of fluctuations in currency exchange rates are discussed. When integrated into a company's overall financial and strategic management plans, these strategies help MNCs safeguard their profitability and defend their market position and future viability in the world economy. Finally, it can be concluded that the ways of managing foreign exchange risk are broadly the same, and it is up to the concrete MNC and its exposure level, its overall risk appetite, and its strategic plan for utilizing all these methods. With sufficient analysis and selection of the right approach, MNCs ensure that they overcome the challenges associated with the international financial environment to appropriate their financial and operational objectives.</w:t>
      </w:r>
    </w:p>
    <w:p w14:paraId="00000049" w14:textId="77777777" w:rsidR="007B761C" w:rsidRDefault="007B761C">
      <w:pPr>
        <w:widowControl w:val="0"/>
        <w:spacing w:after="240" w:line="480" w:lineRule="auto"/>
        <w:jc w:val="center"/>
        <w:rPr>
          <w:rFonts w:ascii="Arial" w:eastAsia="Arial" w:hAnsi="Arial" w:cs="Arial"/>
          <w:sz w:val="24"/>
          <w:szCs w:val="24"/>
        </w:rPr>
      </w:pPr>
    </w:p>
    <w:p w14:paraId="0000004A" w14:textId="77777777" w:rsidR="007B761C" w:rsidRDefault="007B761C">
      <w:pPr>
        <w:widowControl w:val="0"/>
        <w:spacing w:after="240" w:line="480" w:lineRule="auto"/>
        <w:jc w:val="center"/>
        <w:rPr>
          <w:rFonts w:ascii="Arial" w:eastAsia="Arial" w:hAnsi="Arial" w:cs="Arial"/>
          <w:sz w:val="24"/>
          <w:szCs w:val="24"/>
        </w:rPr>
      </w:pPr>
    </w:p>
    <w:p w14:paraId="0000004B" w14:textId="77777777" w:rsidR="007B761C" w:rsidRDefault="007B761C">
      <w:pPr>
        <w:widowControl w:val="0"/>
        <w:spacing w:after="240" w:line="480" w:lineRule="auto"/>
        <w:jc w:val="center"/>
        <w:rPr>
          <w:rFonts w:ascii="Arial" w:eastAsia="Arial" w:hAnsi="Arial" w:cs="Arial"/>
          <w:sz w:val="24"/>
          <w:szCs w:val="24"/>
        </w:rPr>
      </w:pPr>
    </w:p>
    <w:p w14:paraId="0000004C" w14:textId="77777777" w:rsidR="007B761C" w:rsidRDefault="007B761C">
      <w:pPr>
        <w:widowControl w:val="0"/>
        <w:spacing w:after="240" w:line="480" w:lineRule="auto"/>
        <w:jc w:val="center"/>
        <w:rPr>
          <w:rFonts w:ascii="Arial" w:eastAsia="Arial" w:hAnsi="Arial" w:cs="Arial"/>
          <w:sz w:val="24"/>
          <w:szCs w:val="24"/>
        </w:rPr>
      </w:pPr>
    </w:p>
    <w:p w14:paraId="0000004D" w14:textId="77777777" w:rsidR="007B761C" w:rsidRDefault="007B761C">
      <w:pPr>
        <w:widowControl w:val="0"/>
        <w:spacing w:after="240" w:line="480" w:lineRule="auto"/>
        <w:jc w:val="center"/>
        <w:rPr>
          <w:rFonts w:ascii="Arial" w:eastAsia="Arial" w:hAnsi="Arial" w:cs="Arial"/>
          <w:sz w:val="24"/>
          <w:szCs w:val="24"/>
        </w:rPr>
      </w:pPr>
    </w:p>
    <w:p w14:paraId="0000004E" w14:textId="77777777" w:rsidR="007B761C" w:rsidRDefault="007B761C">
      <w:pPr>
        <w:widowControl w:val="0"/>
        <w:spacing w:after="240" w:line="480" w:lineRule="auto"/>
        <w:jc w:val="center"/>
        <w:rPr>
          <w:rFonts w:ascii="Arial" w:eastAsia="Arial" w:hAnsi="Arial" w:cs="Arial"/>
          <w:sz w:val="24"/>
          <w:szCs w:val="24"/>
        </w:rPr>
      </w:pPr>
    </w:p>
    <w:p w14:paraId="0000004F" w14:textId="77777777" w:rsidR="007B761C" w:rsidRDefault="007B761C">
      <w:pPr>
        <w:widowControl w:val="0"/>
        <w:spacing w:after="240" w:line="480" w:lineRule="auto"/>
        <w:jc w:val="center"/>
        <w:rPr>
          <w:rFonts w:ascii="Arial" w:eastAsia="Arial" w:hAnsi="Arial" w:cs="Arial"/>
          <w:sz w:val="24"/>
          <w:szCs w:val="24"/>
        </w:rPr>
      </w:pPr>
    </w:p>
    <w:p w14:paraId="00000050" w14:textId="77777777" w:rsidR="007B761C" w:rsidRDefault="007B761C">
      <w:pPr>
        <w:widowControl w:val="0"/>
        <w:spacing w:after="240" w:line="480" w:lineRule="auto"/>
        <w:rPr>
          <w:rFonts w:ascii="Arial" w:eastAsia="Arial" w:hAnsi="Arial" w:cs="Arial"/>
          <w:sz w:val="24"/>
          <w:szCs w:val="24"/>
        </w:rPr>
      </w:pPr>
    </w:p>
    <w:p w14:paraId="00000051" w14:textId="77777777" w:rsidR="007B761C" w:rsidRDefault="00000000">
      <w:pPr>
        <w:pStyle w:val="Heading1"/>
        <w:spacing w:line="480" w:lineRule="auto"/>
        <w:rPr>
          <w:rFonts w:ascii="Arial" w:eastAsia="Arial" w:hAnsi="Arial" w:cs="Arial"/>
          <w:sz w:val="24"/>
          <w:szCs w:val="24"/>
        </w:rPr>
      </w:pPr>
      <w:bookmarkStart w:id="11" w:name="_os14vpcpgy9u" w:colFirst="0" w:colLast="0"/>
      <w:bookmarkEnd w:id="11"/>
      <w:r>
        <w:rPr>
          <w:rFonts w:ascii="Arial" w:eastAsia="Arial" w:hAnsi="Arial" w:cs="Arial"/>
          <w:sz w:val="24"/>
          <w:szCs w:val="24"/>
        </w:rPr>
        <w:lastRenderedPageBreak/>
        <w:t>Reference</w:t>
      </w:r>
    </w:p>
    <w:p w14:paraId="00000052" w14:textId="77777777" w:rsidR="007B761C" w:rsidRDefault="00000000">
      <w:pPr>
        <w:widowControl w:val="0"/>
        <w:spacing w:after="0" w:line="480" w:lineRule="auto"/>
        <w:ind w:left="720" w:hanging="720"/>
        <w:rPr>
          <w:rFonts w:ascii="Arial" w:eastAsia="Arial" w:hAnsi="Arial" w:cs="Arial"/>
          <w:sz w:val="24"/>
          <w:szCs w:val="24"/>
        </w:rPr>
      </w:pPr>
      <w:r>
        <w:rPr>
          <w:rFonts w:ascii="Arial" w:eastAsia="Arial" w:hAnsi="Arial" w:cs="Arial"/>
          <w:sz w:val="24"/>
          <w:szCs w:val="24"/>
        </w:rPr>
        <w:t xml:space="preserve">Baffour, A. A., Gyimah, K. N. and Owiredu, A., 2021. Complexity of exchange rate movement, analysis and volatility forecasting models: a review. </w:t>
      </w:r>
      <w:r>
        <w:rPr>
          <w:rFonts w:ascii="Arial" w:eastAsia="Arial" w:hAnsi="Arial" w:cs="Arial"/>
          <w:i/>
          <w:sz w:val="24"/>
          <w:szCs w:val="24"/>
        </w:rPr>
        <w:t>International Journal of Monetary Economics and Finance</w:t>
      </w:r>
      <w:r>
        <w:rPr>
          <w:rFonts w:ascii="Arial" w:eastAsia="Arial" w:hAnsi="Arial" w:cs="Arial"/>
          <w:sz w:val="24"/>
          <w:szCs w:val="24"/>
        </w:rPr>
        <w:t>, 14 (5), 460–460.</w:t>
      </w:r>
    </w:p>
    <w:p w14:paraId="00000053" w14:textId="77777777" w:rsidR="007B761C" w:rsidRDefault="00000000">
      <w:pPr>
        <w:widowControl w:val="0"/>
        <w:spacing w:after="0" w:line="480" w:lineRule="auto"/>
        <w:ind w:left="720" w:hanging="720"/>
        <w:rPr>
          <w:rFonts w:ascii="Arial" w:eastAsia="Arial" w:hAnsi="Arial" w:cs="Arial"/>
          <w:sz w:val="24"/>
          <w:szCs w:val="24"/>
        </w:rPr>
      </w:pPr>
      <w:r>
        <w:rPr>
          <w:rFonts w:ascii="Arial" w:eastAsia="Arial" w:hAnsi="Arial" w:cs="Arial"/>
          <w:sz w:val="24"/>
          <w:szCs w:val="24"/>
        </w:rPr>
        <w:t xml:space="preserve">Bernoth, K. and Herwartz, H., 2019. Exchange Rates, Foreign Currency Exposure and Sovereign Risk. </w:t>
      </w:r>
      <w:r>
        <w:rPr>
          <w:rFonts w:ascii="Arial" w:eastAsia="Arial" w:hAnsi="Arial" w:cs="Arial"/>
          <w:i/>
          <w:sz w:val="24"/>
          <w:szCs w:val="24"/>
        </w:rPr>
        <w:t>SSRN Electronic Journal</w:t>
      </w:r>
      <w:r>
        <w:rPr>
          <w:rFonts w:ascii="Arial" w:eastAsia="Arial" w:hAnsi="Arial" w:cs="Arial"/>
          <w:sz w:val="24"/>
          <w:szCs w:val="24"/>
        </w:rPr>
        <w:t>.</w:t>
      </w:r>
    </w:p>
    <w:p w14:paraId="00000054" w14:textId="77777777" w:rsidR="007B761C" w:rsidRDefault="00000000">
      <w:pPr>
        <w:widowControl w:val="0"/>
        <w:spacing w:after="0" w:line="480" w:lineRule="auto"/>
        <w:ind w:left="720" w:hanging="720"/>
        <w:rPr>
          <w:rFonts w:ascii="Arial" w:eastAsia="Arial" w:hAnsi="Arial" w:cs="Arial"/>
          <w:sz w:val="24"/>
          <w:szCs w:val="24"/>
        </w:rPr>
      </w:pPr>
      <w:r>
        <w:rPr>
          <w:rFonts w:ascii="Arial" w:eastAsia="Arial" w:hAnsi="Arial" w:cs="Arial"/>
          <w:sz w:val="24"/>
          <w:szCs w:val="24"/>
        </w:rPr>
        <w:t xml:space="preserve">Fisch, J. H. and Puhr, H., 2021. Financial Hedging and Operational Flexibility as Instruments to Manage Exchange‐rate Uncertainty in Multinational Corporations. </w:t>
      </w:r>
      <w:r>
        <w:rPr>
          <w:rFonts w:ascii="Arial" w:eastAsia="Arial" w:hAnsi="Arial" w:cs="Arial"/>
          <w:i/>
          <w:sz w:val="24"/>
          <w:szCs w:val="24"/>
        </w:rPr>
        <w:t>Global Strategy Journal</w:t>
      </w:r>
      <w:r>
        <w:rPr>
          <w:rFonts w:ascii="Arial" w:eastAsia="Arial" w:hAnsi="Arial" w:cs="Arial"/>
          <w:sz w:val="24"/>
          <w:szCs w:val="24"/>
        </w:rPr>
        <w:t>, 12 (2).</w:t>
      </w:r>
    </w:p>
    <w:p w14:paraId="00000055" w14:textId="77777777" w:rsidR="007B761C" w:rsidRDefault="00000000">
      <w:pPr>
        <w:widowControl w:val="0"/>
        <w:spacing w:after="0" w:line="480" w:lineRule="auto"/>
        <w:ind w:left="720" w:hanging="720"/>
        <w:rPr>
          <w:rFonts w:ascii="Arial" w:eastAsia="Arial" w:hAnsi="Arial" w:cs="Arial"/>
          <w:sz w:val="24"/>
          <w:szCs w:val="24"/>
        </w:rPr>
      </w:pPr>
      <w:r>
        <w:rPr>
          <w:rFonts w:ascii="Arial" w:eastAsia="Arial" w:hAnsi="Arial" w:cs="Arial"/>
          <w:sz w:val="24"/>
          <w:szCs w:val="24"/>
        </w:rPr>
        <w:t xml:space="preserve">JankensgardH., Alviniussen, A. and Oxelheim, L., 2020. </w:t>
      </w:r>
      <w:r>
        <w:rPr>
          <w:rFonts w:ascii="Arial" w:eastAsia="Arial" w:hAnsi="Arial" w:cs="Arial"/>
          <w:i/>
          <w:sz w:val="24"/>
          <w:szCs w:val="24"/>
        </w:rPr>
        <w:t>Corporate foreign exchange risk management</w:t>
      </w:r>
      <w:r>
        <w:rPr>
          <w:rFonts w:ascii="Arial" w:eastAsia="Arial" w:hAnsi="Arial" w:cs="Arial"/>
          <w:sz w:val="24"/>
          <w:szCs w:val="24"/>
        </w:rPr>
        <w:t>. Hoboken, New Jersey: John Wiley &amp; Sons, Inc.</w:t>
      </w:r>
    </w:p>
    <w:p w14:paraId="00000056" w14:textId="77777777" w:rsidR="007B761C" w:rsidRDefault="00000000">
      <w:pPr>
        <w:widowControl w:val="0"/>
        <w:spacing w:after="0" w:line="480" w:lineRule="auto"/>
        <w:ind w:left="720" w:hanging="720"/>
        <w:rPr>
          <w:rFonts w:ascii="Arial" w:eastAsia="Arial" w:hAnsi="Arial" w:cs="Arial"/>
          <w:sz w:val="24"/>
          <w:szCs w:val="24"/>
        </w:rPr>
      </w:pPr>
      <w:r>
        <w:rPr>
          <w:rFonts w:ascii="Arial" w:eastAsia="Arial" w:hAnsi="Arial" w:cs="Arial"/>
          <w:sz w:val="24"/>
          <w:szCs w:val="24"/>
        </w:rPr>
        <w:t xml:space="preserve">Kellermann, M., 2019. </w:t>
      </w:r>
      <w:r>
        <w:rPr>
          <w:rFonts w:ascii="Arial" w:eastAsia="Arial" w:hAnsi="Arial" w:cs="Arial"/>
          <w:i/>
          <w:sz w:val="24"/>
          <w:szCs w:val="24"/>
        </w:rPr>
        <w:t>Ensuring quality to gain access to global markets : a reform toolkit</w:t>
      </w:r>
      <w:r>
        <w:rPr>
          <w:rFonts w:ascii="Arial" w:eastAsia="Arial" w:hAnsi="Arial" w:cs="Arial"/>
          <w:sz w:val="24"/>
          <w:szCs w:val="24"/>
        </w:rPr>
        <w:t>. Washington, Dc: World Bank Group.</w:t>
      </w:r>
    </w:p>
    <w:p w14:paraId="00000057" w14:textId="77777777" w:rsidR="007B761C" w:rsidRDefault="00000000">
      <w:pPr>
        <w:widowControl w:val="0"/>
        <w:spacing w:after="0" w:line="480" w:lineRule="auto"/>
        <w:ind w:left="720" w:hanging="720"/>
        <w:rPr>
          <w:rFonts w:ascii="Arial" w:eastAsia="Arial" w:hAnsi="Arial" w:cs="Arial"/>
          <w:sz w:val="24"/>
          <w:szCs w:val="24"/>
        </w:rPr>
      </w:pPr>
      <w:r>
        <w:rPr>
          <w:rFonts w:ascii="Arial" w:eastAsia="Arial" w:hAnsi="Arial" w:cs="Arial"/>
          <w:sz w:val="24"/>
          <w:szCs w:val="24"/>
        </w:rPr>
        <w:t xml:space="preserve">Osmundsen, P., Løvås, K. and Emhjellen, M., 2022. Investment Allocation with Capital Constraints. Comparison of Fiscal Regimes. </w:t>
      </w:r>
      <w:r>
        <w:rPr>
          <w:rFonts w:ascii="Arial" w:eastAsia="Arial" w:hAnsi="Arial" w:cs="Arial"/>
          <w:i/>
          <w:sz w:val="24"/>
          <w:szCs w:val="24"/>
        </w:rPr>
        <w:t>The Energy Journal</w:t>
      </w:r>
      <w:r>
        <w:rPr>
          <w:rFonts w:ascii="Arial" w:eastAsia="Arial" w:hAnsi="Arial" w:cs="Arial"/>
          <w:sz w:val="24"/>
          <w:szCs w:val="24"/>
        </w:rPr>
        <w:t>, 43 (1).</w:t>
      </w:r>
    </w:p>
    <w:p w14:paraId="00000058" w14:textId="77777777" w:rsidR="007B761C" w:rsidRDefault="00000000">
      <w:pPr>
        <w:widowControl w:val="0"/>
        <w:spacing w:after="0" w:line="480" w:lineRule="auto"/>
        <w:ind w:left="720" w:hanging="720"/>
        <w:rPr>
          <w:rFonts w:ascii="Arial" w:eastAsia="Arial" w:hAnsi="Arial" w:cs="Arial"/>
          <w:sz w:val="24"/>
          <w:szCs w:val="24"/>
        </w:rPr>
      </w:pPr>
      <w:r>
        <w:rPr>
          <w:rFonts w:ascii="Arial" w:eastAsia="Arial" w:hAnsi="Arial" w:cs="Arial"/>
          <w:sz w:val="24"/>
          <w:szCs w:val="24"/>
        </w:rPr>
        <w:t xml:space="preserve">Shwiyat, Z. M., Bataineh, A., Aljawarneh, N. M. and Bataineh, O. A., 2024. Impact of capital budgeting techniques for investment decisions on optimising cost, in light of implementing MRPII systems: evidence from Jordan. </w:t>
      </w:r>
      <w:r>
        <w:rPr>
          <w:rFonts w:ascii="Arial" w:eastAsia="Arial" w:hAnsi="Arial" w:cs="Arial"/>
          <w:i/>
          <w:sz w:val="24"/>
          <w:szCs w:val="24"/>
        </w:rPr>
        <w:t>International Journal of Procurement Management</w:t>
      </w:r>
      <w:r>
        <w:rPr>
          <w:rFonts w:ascii="Arial" w:eastAsia="Arial" w:hAnsi="Arial" w:cs="Arial"/>
          <w:sz w:val="24"/>
          <w:szCs w:val="24"/>
        </w:rPr>
        <w:t>, 20 (4), 427–443.</w:t>
      </w:r>
    </w:p>
    <w:p w14:paraId="00000059" w14:textId="77777777" w:rsidR="007B761C" w:rsidRDefault="00000000">
      <w:pPr>
        <w:widowControl w:val="0"/>
        <w:spacing w:after="0" w:line="480" w:lineRule="auto"/>
        <w:ind w:left="720" w:hanging="720"/>
        <w:rPr>
          <w:rFonts w:ascii="Arial" w:eastAsia="Arial" w:hAnsi="Arial" w:cs="Arial"/>
          <w:sz w:val="24"/>
          <w:szCs w:val="24"/>
        </w:rPr>
      </w:pPr>
      <w:r>
        <w:rPr>
          <w:rFonts w:ascii="Arial" w:eastAsia="Arial" w:hAnsi="Arial" w:cs="Arial"/>
          <w:sz w:val="24"/>
          <w:szCs w:val="24"/>
        </w:rPr>
        <w:t xml:space="preserve">Sinenko, S. and Savin, I., 2020. Assessment of sufficiency of financial resources according to plan of investment project of cooperation. </w:t>
      </w:r>
      <w:r>
        <w:rPr>
          <w:rFonts w:ascii="Arial" w:eastAsia="Arial" w:hAnsi="Arial" w:cs="Arial"/>
          <w:i/>
          <w:sz w:val="24"/>
          <w:szCs w:val="24"/>
        </w:rPr>
        <w:t>E3S Web of Conferences</w:t>
      </w:r>
      <w:r>
        <w:rPr>
          <w:rFonts w:ascii="Arial" w:eastAsia="Arial" w:hAnsi="Arial" w:cs="Arial"/>
          <w:sz w:val="24"/>
          <w:szCs w:val="24"/>
        </w:rPr>
        <w:t>, 217, 07026.</w:t>
      </w:r>
    </w:p>
    <w:p w14:paraId="0000005A" w14:textId="77777777" w:rsidR="007B761C" w:rsidRDefault="00000000">
      <w:pPr>
        <w:widowControl w:val="0"/>
        <w:spacing w:after="0" w:line="480" w:lineRule="auto"/>
        <w:ind w:left="720" w:hanging="720"/>
        <w:rPr>
          <w:rFonts w:ascii="Arial" w:eastAsia="Arial" w:hAnsi="Arial" w:cs="Arial"/>
          <w:sz w:val="24"/>
          <w:szCs w:val="24"/>
        </w:rPr>
      </w:pPr>
      <w:r>
        <w:rPr>
          <w:rFonts w:ascii="Arial" w:eastAsia="Arial" w:hAnsi="Arial" w:cs="Arial"/>
          <w:sz w:val="24"/>
          <w:szCs w:val="24"/>
        </w:rPr>
        <w:t xml:space="preserve">Yildiz, H. E., Morgulis-Yakushev, S., Holm, U. and Eriksson, M., 2022. A relational view </w:t>
      </w:r>
      <w:r>
        <w:rPr>
          <w:rFonts w:ascii="Arial" w:eastAsia="Arial" w:hAnsi="Arial" w:cs="Arial"/>
          <w:sz w:val="24"/>
          <w:szCs w:val="24"/>
        </w:rPr>
        <w:lastRenderedPageBreak/>
        <w:t xml:space="preserve">on the performance effects of international diversification strategies. </w:t>
      </w:r>
      <w:r>
        <w:rPr>
          <w:rFonts w:ascii="Arial" w:eastAsia="Arial" w:hAnsi="Arial" w:cs="Arial"/>
          <w:i/>
          <w:sz w:val="24"/>
          <w:szCs w:val="24"/>
        </w:rPr>
        <w:t>Journal of International Business Studies</w:t>
      </w:r>
      <w:r>
        <w:rPr>
          <w:rFonts w:ascii="Arial" w:eastAsia="Arial" w:hAnsi="Arial" w:cs="Arial"/>
          <w:sz w:val="24"/>
          <w:szCs w:val="24"/>
        </w:rPr>
        <w:t>.</w:t>
      </w:r>
    </w:p>
    <w:p w14:paraId="0000005B" w14:textId="77777777" w:rsidR="007B761C" w:rsidRDefault="00000000">
      <w:pPr>
        <w:widowControl w:val="0"/>
        <w:spacing w:after="0" w:line="480" w:lineRule="auto"/>
        <w:ind w:left="720" w:hanging="720"/>
        <w:rPr>
          <w:rFonts w:ascii="Arial" w:eastAsia="Arial" w:hAnsi="Arial" w:cs="Arial"/>
          <w:sz w:val="24"/>
          <w:szCs w:val="24"/>
        </w:rPr>
      </w:pPr>
      <w:r>
        <w:rPr>
          <w:rFonts w:ascii="Arial" w:eastAsia="Arial" w:hAnsi="Arial" w:cs="Arial"/>
          <w:sz w:val="24"/>
          <w:szCs w:val="24"/>
        </w:rPr>
        <w:t xml:space="preserve">Zhang, X., 2020. Multinational Companies’ Hedging Effectiveness of Foreign Exchange Risk: A Quantitative Comparison Study. </w:t>
      </w:r>
      <w:r>
        <w:rPr>
          <w:rFonts w:ascii="Arial" w:eastAsia="Arial" w:hAnsi="Arial" w:cs="Arial"/>
          <w:i/>
          <w:sz w:val="24"/>
          <w:szCs w:val="24"/>
        </w:rPr>
        <w:t>Fudan Journal of the Humanities and Social Sciences</w:t>
      </w:r>
      <w:r>
        <w:rPr>
          <w:rFonts w:ascii="Arial" w:eastAsia="Arial" w:hAnsi="Arial" w:cs="Arial"/>
          <w:sz w:val="24"/>
          <w:szCs w:val="24"/>
        </w:rPr>
        <w:t>.</w:t>
      </w:r>
    </w:p>
    <w:p w14:paraId="0000005C" w14:textId="77777777" w:rsidR="007B761C" w:rsidRDefault="007B761C">
      <w:pPr>
        <w:spacing w:line="480" w:lineRule="auto"/>
        <w:rPr>
          <w:rFonts w:ascii="Arial" w:eastAsia="Arial" w:hAnsi="Arial" w:cs="Arial"/>
          <w:sz w:val="24"/>
          <w:szCs w:val="24"/>
        </w:rPr>
      </w:pPr>
    </w:p>
    <w:sectPr w:rsidR="007B761C">
      <w:head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96C2BA" w14:textId="77777777" w:rsidR="00D2447A" w:rsidRDefault="00D2447A">
      <w:pPr>
        <w:spacing w:after="0" w:line="240" w:lineRule="auto"/>
      </w:pPr>
      <w:r>
        <w:separator/>
      </w:r>
    </w:p>
  </w:endnote>
  <w:endnote w:type="continuationSeparator" w:id="0">
    <w:p w14:paraId="2478488C" w14:textId="77777777" w:rsidR="00D2447A" w:rsidRDefault="00D244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32FA49" w14:textId="77777777" w:rsidR="00D2447A" w:rsidRDefault="00D2447A">
      <w:pPr>
        <w:spacing w:after="0" w:line="240" w:lineRule="auto"/>
      </w:pPr>
      <w:r>
        <w:separator/>
      </w:r>
    </w:p>
  </w:footnote>
  <w:footnote w:type="continuationSeparator" w:id="0">
    <w:p w14:paraId="094E09E3" w14:textId="77777777" w:rsidR="00D2447A" w:rsidRDefault="00D244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5D" w14:textId="05D58345" w:rsidR="007B761C" w:rsidRDefault="00000000">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International Financial Management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DB66DA">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0000005E" w14:textId="77777777" w:rsidR="007B761C" w:rsidRDefault="007B761C">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761C"/>
    <w:rsid w:val="00291E60"/>
    <w:rsid w:val="007B761C"/>
    <w:rsid w:val="00D2447A"/>
    <w:rsid w:val="00DB6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A178DE"/>
  <w15:docId w15:val="{7E1CABEF-447E-4D20-875E-94A153CB5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1823</Words>
  <Characters>10696</Characters>
  <Application>Microsoft Office Word</Application>
  <DocSecurity>0</DocSecurity>
  <Lines>216</Lines>
  <Paragraphs>52</Paragraphs>
  <ScaleCrop>false</ScaleCrop>
  <Company/>
  <LinksUpToDate>false</LinksUpToDate>
  <CharactersWithSpaces>12473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Ivan Gunchev</cp:lastModifiedBy>
  <cp:revision>2</cp:revision>
  <dcterms:created xsi:type="dcterms:W3CDTF">2024-08-17T12:51:00Z</dcterms:created>
  <dcterms:modified xsi:type="dcterms:W3CDTF">2024-08-17T12:52:00Z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8ff1c8cb7061ab6a08733af834554e197498b1245c708ffe57f0318c8c8ce678</vt:lpwstr>
  </property>
</Properties>
</file>