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0D6EE" w14:textId="2BAFC631" w:rsidR="00583148" w:rsidRDefault="1F347896" w:rsidP="6C91E2F8">
      <w:pPr>
        <w:rPr>
          <w:rFonts w:ascii="Aptos" w:eastAsia="Aptos" w:hAnsi="Aptos" w:cs="Aptos"/>
          <w:sz w:val="56"/>
          <w:szCs w:val="56"/>
        </w:rPr>
      </w:pPr>
      <w:r w:rsidRPr="6C91E2F8">
        <w:rPr>
          <w:rFonts w:ascii="Aptos" w:eastAsia="Aptos" w:hAnsi="Aptos" w:cs="Aptos"/>
          <w:sz w:val="48"/>
          <w:szCs w:val="48"/>
        </w:rPr>
        <w:t>Certificate of Higher Education in Employability Skills</w:t>
      </w:r>
    </w:p>
    <w:p w14:paraId="4EA48F88" w14:textId="13F0B0CD" w:rsidR="00583148" w:rsidRDefault="1F347896" w:rsidP="6C91E2F8">
      <w:pPr>
        <w:rPr>
          <w:rFonts w:ascii="Aptos" w:eastAsia="Aptos" w:hAnsi="Aptos" w:cs="Aptos"/>
          <w:sz w:val="56"/>
          <w:szCs w:val="56"/>
        </w:rPr>
      </w:pPr>
      <w:r w:rsidRPr="6C91E2F8">
        <w:rPr>
          <w:rFonts w:ascii="Aptos" w:eastAsia="Aptos" w:hAnsi="Aptos" w:cs="Aptos"/>
          <w:sz w:val="56"/>
          <w:szCs w:val="56"/>
        </w:rPr>
        <w:t xml:space="preserve">LEVEL 4 </w:t>
      </w:r>
    </w:p>
    <w:p w14:paraId="330D4A13" w14:textId="50A19F64" w:rsidR="00583148" w:rsidRDefault="00583148" w:rsidP="6C91E2F8">
      <w:pPr>
        <w:rPr>
          <w:rFonts w:ascii="Aptos" w:eastAsia="Aptos" w:hAnsi="Aptos" w:cs="Aptos"/>
          <w:sz w:val="22"/>
          <w:szCs w:val="22"/>
        </w:rPr>
      </w:pPr>
    </w:p>
    <w:p w14:paraId="2C078E63" w14:textId="58490E6A" w:rsidR="00583148" w:rsidRDefault="1F347896" w:rsidP="6C91E2F8">
      <w:pPr>
        <w:rPr>
          <w:rFonts w:ascii="Aptos" w:eastAsia="Aptos" w:hAnsi="Aptos" w:cs="Aptos"/>
          <w:sz w:val="48"/>
          <w:szCs w:val="48"/>
        </w:rPr>
      </w:pPr>
      <w:r w:rsidRPr="6C91E2F8">
        <w:rPr>
          <w:rFonts w:ascii="Aptos" w:eastAsia="Aptos" w:hAnsi="Aptos" w:cs="Aptos"/>
          <w:sz w:val="48"/>
          <w:szCs w:val="48"/>
        </w:rPr>
        <w:t>Problem Solving and Innovation (BMSW4014)</w:t>
      </w:r>
    </w:p>
    <w:p w14:paraId="039F80E7" w14:textId="4671CD84" w:rsidR="6C91E2F8" w:rsidRDefault="6C91E2F8" w:rsidP="6C91E2F8">
      <w:pPr>
        <w:rPr>
          <w:rFonts w:ascii="Aptos" w:eastAsia="Aptos" w:hAnsi="Aptos" w:cs="Aptos"/>
          <w:sz w:val="48"/>
          <w:szCs w:val="48"/>
        </w:rPr>
      </w:pPr>
    </w:p>
    <w:p w14:paraId="6B6269BA" w14:textId="766889CA" w:rsidR="5282B5D2" w:rsidRDefault="5282B5D2" w:rsidP="6C91E2F8">
      <w:r w:rsidRPr="6C91E2F8">
        <w:rPr>
          <w:rFonts w:ascii="Aptos" w:eastAsia="Aptos" w:hAnsi="Aptos" w:cs="Aptos"/>
          <w:sz w:val="48"/>
          <w:szCs w:val="48"/>
          <w:lang w:val="fr-FR"/>
        </w:rPr>
        <w:t xml:space="preserve">Module Lead : Jaliya de Silva </w:t>
      </w:r>
    </w:p>
    <w:p w14:paraId="4D5CC23C" w14:textId="7814BAA3" w:rsidR="5282B5D2" w:rsidRDefault="5282B5D2" w:rsidP="6C91E2F8">
      <w:r w:rsidRPr="6C91E2F8">
        <w:rPr>
          <w:rFonts w:ascii="Aptos" w:eastAsia="Aptos" w:hAnsi="Aptos" w:cs="Aptos"/>
          <w:sz w:val="48"/>
          <w:szCs w:val="48"/>
          <w:lang w:val="fr-FR"/>
        </w:rPr>
        <w:t xml:space="preserve">Email: </w:t>
      </w:r>
      <w:hyperlink r:id="rId5">
        <w:r w:rsidRPr="6C91E2F8">
          <w:rPr>
            <w:rStyle w:val="Hyperlink"/>
            <w:rFonts w:ascii="Aptos" w:eastAsia="Aptos" w:hAnsi="Aptos" w:cs="Aptos"/>
            <w:sz w:val="48"/>
            <w:szCs w:val="48"/>
            <w:lang w:val="fr-FR"/>
          </w:rPr>
          <w:t>j.de-silva@uwtsd.ac.uk</w:t>
        </w:r>
      </w:hyperlink>
    </w:p>
    <w:p w14:paraId="02A51639" w14:textId="4CCD7AA0" w:rsidR="6C91E2F8" w:rsidRDefault="6C91E2F8" w:rsidP="6C91E2F8">
      <w:pPr>
        <w:rPr>
          <w:rFonts w:ascii="Aptos" w:eastAsia="Aptos" w:hAnsi="Aptos" w:cs="Aptos"/>
          <w:sz w:val="48"/>
          <w:szCs w:val="48"/>
          <w:lang w:val="fr-FR"/>
        </w:rPr>
      </w:pPr>
    </w:p>
    <w:p w14:paraId="357616A5" w14:textId="0CEEB03D" w:rsidR="2D87C735" w:rsidRDefault="2D87C735" w:rsidP="6C91E2F8">
      <w:pPr>
        <w:rPr>
          <w:rFonts w:ascii="Aptos" w:eastAsia="Aptos" w:hAnsi="Aptos" w:cs="Aptos"/>
          <w:sz w:val="48"/>
          <w:szCs w:val="48"/>
          <w:lang w:val="fr-FR"/>
        </w:rPr>
      </w:pPr>
      <w:r w:rsidRPr="6C91E2F8">
        <w:rPr>
          <w:rFonts w:ascii="Aptos" w:eastAsia="Aptos" w:hAnsi="Aptos" w:cs="Aptos"/>
          <w:sz w:val="48"/>
          <w:szCs w:val="48"/>
          <w:lang w:val="fr-FR"/>
        </w:rPr>
        <w:t>Student Details :</w:t>
      </w:r>
    </w:p>
    <w:p w14:paraId="70C39F7B" w14:textId="76A70279" w:rsidR="4AD7EB32" w:rsidRDefault="4AD7EB32" w:rsidP="6C91E2F8">
      <w:pPr>
        <w:rPr>
          <w:rFonts w:ascii="Aptos" w:eastAsia="Aptos" w:hAnsi="Aptos" w:cs="Aptos"/>
          <w:sz w:val="48"/>
          <w:szCs w:val="48"/>
          <w:lang w:val="fr-FR"/>
        </w:rPr>
      </w:pPr>
      <w:r w:rsidRPr="6C91E2F8">
        <w:rPr>
          <w:rFonts w:ascii="Aptos" w:eastAsia="Aptos" w:hAnsi="Aptos" w:cs="Aptos"/>
          <w:sz w:val="48"/>
          <w:szCs w:val="48"/>
          <w:lang w:val="fr-FR"/>
        </w:rPr>
        <w:t>Sergiu Vranceanu</w:t>
      </w:r>
    </w:p>
    <w:p w14:paraId="381A916E" w14:textId="1751C020" w:rsidR="4B752AB2" w:rsidRDefault="4B752AB2" w:rsidP="6C91E2F8">
      <w:pPr>
        <w:rPr>
          <w:rFonts w:ascii="Aptos" w:eastAsia="Aptos" w:hAnsi="Aptos" w:cs="Aptos"/>
          <w:sz w:val="48"/>
          <w:szCs w:val="48"/>
          <w:lang w:val="fr-FR"/>
        </w:rPr>
      </w:pPr>
      <w:r w:rsidRPr="6C91E2F8">
        <w:rPr>
          <w:rFonts w:ascii="Aptos" w:eastAsia="Aptos" w:hAnsi="Aptos" w:cs="Aptos"/>
          <w:sz w:val="48"/>
          <w:szCs w:val="48"/>
          <w:lang w:val="fr-FR"/>
        </w:rPr>
        <w:t xml:space="preserve"> (</w:t>
      </w:r>
      <w:r w:rsidR="4CC9F772" w:rsidRPr="6C91E2F8">
        <w:rPr>
          <w:rFonts w:ascii="Aptos" w:eastAsia="Aptos" w:hAnsi="Aptos" w:cs="Aptos"/>
          <w:sz w:val="48"/>
          <w:szCs w:val="48"/>
          <w:lang w:val="fr-FR"/>
        </w:rPr>
        <w:t>2435824</w:t>
      </w:r>
      <w:r w:rsidRPr="6C91E2F8">
        <w:rPr>
          <w:rFonts w:ascii="Aptos" w:eastAsia="Aptos" w:hAnsi="Aptos" w:cs="Aptos"/>
          <w:sz w:val="48"/>
          <w:szCs w:val="48"/>
          <w:lang w:val="fr-FR"/>
        </w:rPr>
        <w:t>)</w:t>
      </w:r>
    </w:p>
    <w:p w14:paraId="3DA43CB6" w14:textId="3705ACE0" w:rsidR="6C91E2F8" w:rsidRDefault="6C91E2F8" w:rsidP="6C91E2F8">
      <w:pPr>
        <w:rPr>
          <w:rFonts w:ascii="Aptos" w:eastAsia="Aptos" w:hAnsi="Aptos" w:cs="Aptos"/>
          <w:sz w:val="48"/>
          <w:szCs w:val="48"/>
          <w:lang w:val="fr-FR"/>
        </w:rPr>
      </w:pPr>
    </w:p>
    <w:p w14:paraId="4FF45147" w14:textId="164B1BC1" w:rsidR="1097F54B" w:rsidRDefault="1097F54B" w:rsidP="6C91E2F8">
      <w:pPr>
        <w:rPr>
          <w:rFonts w:ascii="Aptos" w:eastAsia="Aptos" w:hAnsi="Aptos" w:cs="Aptos"/>
          <w:sz w:val="48"/>
          <w:szCs w:val="48"/>
          <w:lang w:val="fr-FR"/>
        </w:rPr>
      </w:pPr>
      <w:r w:rsidRPr="6C91E2F8">
        <w:rPr>
          <w:rFonts w:ascii="Aptos" w:eastAsia="Aptos" w:hAnsi="Aptos" w:cs="Aptos"/>
          <w:sz w:val="48"/>
          <w:szCs w:val="48"/>
          <w:lang w:val="fr-FR"/>
        </w:rPr>
        <w:t>2025-2026</w:t>
      </w:r>
    </w:p>
    <w:p w14:paraId="04D586CB" w14:textId="23331518" w:rsidR="6C91E2F8" w:rsidRDefault="6C91E2F8">
      <w:r>
        <w:br w:type="page"/>
      </w:r>
    </w:p>
    <w:p w14:paraId="08737037" w14:textId="2468609D" w:rsidR="7A2B372E" w:rsidRDefault="7A2B372E" w:rsidP="6C91E2F8">
      <w:pPr>
        <w:shd w:val="clear" w:color="auto" w:fill="FFFFFF" w:themeFill="background1"/>
        <w:spacing w:after="0"/>
      </w:pPr>
      <w:r w:rsidRPr="6C91E2F8">
        <w:rPr>
          <w:rFonts w:ascii="Arial" w:eastAsia="Arial" w:hAnsi="Arial" w:cs="Arial"/>
          <w:b/>
          <w:bCs/>
          <w:color w:val="000000" w:themeColor="text1"/>
          <w:sz w:val="48"/>
          <w:szCs w:val="48"/>
          <w:lang w:val="fr-FR"/>
        </w:rPr>
        <w:t>Content Page</w:t>
      </w:r>
      <w:r w:rsidR="0AA647AC" w:rsidRPr="6C91E2F8">
        <w:rPr>
          <w:rFonts w:ascii="Arial" w:eastAsia="Arial" w:hAnsi="Arial" w:cs="Arial"/>
          <w:b/>
          <w:bCs/>
          <w:color w:val="000000" w:themeColor="text1"/>
          <w:sz w:val="48"/>
          <w:szCs w:val="48"/>
          <w:lang w:val="fr-FR"/>
        </w:rPr>
        <w:t xml:space="preserve"> </w:t>
      </w:r>
      <w:r w:rsidRPr="6C91E2F8">
        <w:rPr>
          <w:rFonts w:ascii="Arial" w:eastAsia="Arial" w:hAnsi="Arial" w:cs="Arial"/>
          <w:b/>
          <w:bCs/>
          <w:color w:val="000000" w:themeColor="text1"/>
          <w:sz w:val="48"/>
          <w:szCs w:val="48"/>
          <w:lang w:val="fr-FR"/>
        </w:rPr>
        <w:t>:</w:t>
      </w:r>
    </w:p>
    <w:p w14:paraId="24AF475B" w14:textId="7417BE91" w:rsidR="6C91E2F8" w:rsidRDefault="6C91E2F8" w:rsidP="6C91E2F8">
      <w:pPr>
        <w:shd w:val="clear" w:color="auto" w:fill="FFFFFF" w:themeFill="background1"/>
        <w:spacing w:after="0"/>
        <w:rPr>
          <w:rFonts w:ascii="Arial" w:eastAsia="Arial" w:hAnsi="Arial" w:cs="Arial"/>
          <w:b/>
          <w:bCs/>
          <w:color w:val="000000" w:themeColor="text1"/>
          <w:sz w:val="48"/>
          <w:szCs w:val="48"/>
          <w:lang w:val="fr-FR"/>
        </w:rPr>
      </w:pPr>
    </w:p>
    <w:p w14:paraId="68A1262D" w14:textId="50D57B2D" w:rsidR="7A2B372E" w:rsidRDefault="7A2B372E" w:rsidP="6C91E2F8">
      <w:pPr>
        <w:shd w:val="clear" w:color="auto" w:fill="FFFFFF" w:themeFill="background1"/>
        <w:spacing w:after="0"/>
        <w:ind w:left="540"/>
      </w:pPr>
      <w:r w:rsidRPr="6C91E2F8">
        <w:rPr>
          <w:rFonts w:ascii="Arial" w:eastAsia="Arial" w:hAnsi="Arial" w:cs="Arial"/>
          <w:color w:val="000000" w:themeColor="text1"/>
          <w:sz w:val="48"/>
          <w:szCs w:val="48"/>
          <w:lang w:val="fr-FR"/>
        </w:rPr>
        <w:t>1.</w:t>
      </w:r>
      <w:r>
        <w:tab/>
      </w:r>
      <w:r w:rsidRPr="6C91E2F8">
        <w:rPr>
          <w:rFonts w:ascii="Arial" w:eastAsia="Arial" w:hAnsi="Arial" w:cs="Arial"/>
          <w:color w:val="000000" w:themeColor="text1"/>
          <w:sz w:val="48"/>
          <w:szCs w:val="48"/>
          <w:lang w:val="fr-FR"/>
        </w:rPr>
        <w:t>Introduction</w:t>
      </w:r>
    </w:p>
    <w:p w14:paraId="14D69E02" w14:textId="5E3338BF" w:rsidR="6C91E2F8" w:rsidRDefault="6C91E2F8" w:rsidP="6C91E2F8">
      <w:pPr>
        <w:shd w:val="clear" w:color="auto" w:fill="FFFFFF" w:themeFill="background1"/>
        <w:spacing w:after="0"/>
        <w:ind w:left="540"/>
        <w:rPr>
          <w:rFonts w:ascii="Arial" w:eastAsia="Arial" w:hAnsi="Arial" w:cs="Arial"/>
          <w:color w:val="000000" w:themeColor="text1"/>
          <w:sz w:val="48"/>
          <w:szCs w:val="48"/>
          <w:lang w:val="fr-FR"/>
        </w:rPr>
      </w:pPr>
    </w:p>
    <w:p w14:paraId="1AF55732" w14:textId="4067D67A" w:rsidR="7A2B372E" w:rsidRDefault="7A2B372E" w:rsidP="6C91E2F8">
      <w:pPr>
        <w:shd w:val="clear" w:color="auto" w:fill="FFFFFF" w:themeFill="background1"/>
        <w:spacing w:after="0"/>
        <w:ind w:left="540"/>
      </w:pPr>
      <w:r w:rsidRPr="6C91E2F8">
        <w:rPr>
          <w:rFonts w:ascii="Arial" w:eastAsia="Arial" w:hAnsi="Arial" w:cs="Arial"/>
          <w:color w:val="000000" w:themeColor="text1"/>
          <w:sz w:val="48"/>
          <w:szCs w:val="48"/>
          <w:lang w:val="fr-FR"/>
        </w:rPr>
        <w:t>2.</w:t>
      </w:r>
      <w:r>
        <w:tab/>
      </w:r>
      <w:r w:rsidRPr="6C91E2F8">
        <w:rPr>
          <w:rFonts w:ascii="Arial" w:eastAsia="Arial" w:hAnsi="Arial" w:cs="Arial"/>
          <w:color w:val="000000" w:themeColor="text1"/>
          <w:sz w:val="48"/>
          <w:szCs w:val="48"/>
          <w:lang w:val="fr-FR"/>
        </w:rPr>
        <w:t>Impact of the Current Situation (BMW Focus)</w:t>
      </w:r>
    </w:p>
    <w:p w14:paraId="1E9C39DE" w14:textId="4350F16A" w:rsidR="6C91E2F8" w:rsidRDefault="6C91E2F8" w:rsidP="6C91E2F8">
      <w:pPr>
        <w:shd w:val="clear" w:color="auto" w:fill="FFFFFF" w:themeFill="background1"/>
        <w:spacing w:after="0"/>
        <w:ind w:left="540"/>
        <w:rPr>
          <w:rFonts w:ascii="Arial" w:eastAsia="Arial" w:hAnsi="Arial" w:cs="Arial"/>
          <w:color w:val="000000" w:themeColor="text1"/>
          <w:sz w:val="48"/>
          <w:szCs w:val="48"/>
          <w:lang w:val="fr-FR"/>
        </w:rPr>
      </w:pPr>
    </w:p>
    <w:p w14:paraId="5220F16D" w14:textId="7CAE2A10" w:rsidR="7A2B372E" w:rsidRDefault="7A2B372E" w:rsidP="6C91E2F8">
      <w:pPr>
        <w:shd w:val="clear" w:color="auto" w:fill="FFFFFF" w:themeFill="background1"/>
        <w:spacing w:after="0"/>
        <w:ind w:left="540"/>
        <w:rPr>
          <w:rFonts w:ascii="Arial" w:eastAsia="Arial" w:hAnsi="Arial" w:cs="Arial"/>
          <w:color w:val="000000" w:themeColor="text1"/>
          <w:sz w:val="48"/>
          <w:szCs w:val="48"/>
          <w:lang w:val="fr-FR"/>
        </w:rPr>
      </w:pPr>
      <w:r w:rsidRPr="6C91E2F8">
        <w:rPr>
          <w:rFonts w:ascii="Arial" w:eastAsia="Arial" w:hAnsi="Arial" w:cs="Arial"/>
          <w:color w:val="000000" w:themeColor="text1"/>
          <w:sz w:val="48"/>
          <w:szCs w:val="48"/>
          <w:lang w:val="fr-FR"/>
        </w:rPr>
        <w:t>3.</w:t>
      </w:r>
      <w:r>
        <w:tab/>
      </w:r>
      <w:r w:rsidRPr="6C91E2F8">
        <w:rPr>
          <w:rFonts w:ascii="Arial" w:eastAsia="Arial" w:hAnsi="Arial" w:cs="Arial"/>
          <w:color w:val="000000" w:themeColor="text1"/>
          <w:sz w:val="48"/>
          <w:szCs w:val="48"/>
          <w:lang w:val="fr-FR"/>
        </w:rPr>
        <w:t>Root Cause Analysis (RCA)</w:t>
      </w:r>
    </w:p>
    <w:p w14:paraId="22AC0F28" w14:textId="4215F3F4" w:rsidR="6C91E2F8" w:rsidRDefault="6C91E2F8" w:rsidP="6C91E2F8">
      <w:pPr>
        <w:shd w:val="clear" w:color="auto" w:fill="FFFFFF" w:themeFill="background1"/>
        <w:spacing w:after="0"/>
        <w:ind w:left="540"/>
        <w:rPr>
          <w:rFonts w:ascii="Arial" w:eastAsia="Arial" w:hAnsi="Arial" w:cs="Arial"/>
          <w:color w:val="000000" w:themeColor="text1"/>
          <w:sz w:val="48"/>
          <w:szCs w:val="48"/>
          <w:lang w:val="fr-FR"/>
        </w:rPr>
      </w:pPr>
    </w:p>
    <w:p w14:paraId="4D773A90" w14:textId="5FE7480C" w:rsidR="7A2B372E" w:rsidRDefault="7A2B372E" w:rsidP="6C91E2F8">
      <w:pPr>
        <w:shd w:val="clear" w:color="auto" w:fill="FFFFFF" w:themeFill="background1"/>
        <w:spacing w:after="0"/>
        <w:ind w:left="540"/>
      </w:pPr>
      <w:r w:rsidRPr="6C91E2F8">
        <w:rPr>
          <w:rFonts w:ascii="Arial" w:eastAsia="Arial" w:hAnsi="Arial" w:cs="Arial"/>
          <w:color w:val="000000" w:themeColor="text1"/>
          <w:sz w:val="48"/>
          <w:szCs w:val="48"/>
          <w:lang w:val="fr-FR"/>
        </w:rPr>
        <w:t>4.</w:t>
      </w:r>
      <w:r>
        <w:tab/>
      </w:r>
      <w:r w:rsidRPr="6C91E2F8">
        <w:rPr>
          <w:rFonts w:ascii="Arial" w:eastAsia="Arial" w:hAnsi="Arial" w:cs="Arial"/>
          <w:color w:val="000000" w:themeColor="text1"/>
          <w:sz w:val="48"/>
          <w:szCs w:val="48"/>
          <w:lang w:val="fr-FR"/>
        </w:rPr>
        <w:t>Conclusion</w:t>
      </w:r>
    </w:p>
    <w:p w14:paraId="2BF78ED6" w14:textId="1A34EB95" w:rsidR="6C91E2F8" w:rsidRDefault="6C91E2F8" w:rsidP="6C91E2F8">
      <w:pPr>
        <w:shd w:val="clear" w:color="auto" w:fill="FFFFFF" w:themeFill="background1"/>
        <w:spacing w:after="0"/>
        <w:ind w:left="540"/>
        <w:rPr>
          <w:rFonts w:ascii="Arial" w:eastAsia="Arial" w:hAnsi="Arial" w:cs="Arial"/>
          <w:color w:val="000000" w:themeColor="text1"/>
          <w:sz w:val="48"/>
          <w:szCs w:val="48"/>
          <w:lang w:val="fr-FR"/>
        </w:rPr>
      </w:pPr>
    </w:p>
    <w:p w14:paraId="728E0756" w14:textId="0965198F" w:rsidR="7A2B372E" w:rsidRDefault="7A2B372E" w:rsidP="6C91E2F8">
      <w:pPr>
        <w:shd w:val="clear" w:color="auto" w:fill="FFFFFF" w:themeFill="background1"/>
        <w:spacing w:after="0"/>
        <w:ind w:left="540"/>
      </w:pPr>
      <w:r w:rsidRPr="6C91E2F8">
        <w:rPr>
          <w:rFonts w:ascii="Arial" w:eastAsia="Arial" w:hAnsi="Arial" w:cs="Arial"/>
          <w:color w:val="000000" w:themeColor="text1"/>
          <w:sz w:val="48"/>
          <w:szCs w:val="48"/>
          <w:lang w:val="fr-FR"/>
        </w:rPr>
        <w:t>5.</w:t>
      </w:r>
      <w:r>
        <w:tab/>
      </w:r>
      <w:r w:rsidRPr="6C91E2F8">
        <w:rPr>
          <w:rFonts w:ascii="Arial" w:eastAsia="Arial" w:hAnsi="Arial" w:cs="Arial"/>
          <w:color w:val="000000" w:themeColor="text1"/>
          <w:sz w:val="48"/>
          <w:szCs w:val="48"/>
          <w:lang w:val="fr-FR"/>
        </w:rPr>
        <w:t>References</w:t>
      </w:r>
    </w:p>
    <w:p w14:paraId="648FB310" w14:textId="6129E480" w:rsidR="6C91E2F8" w:rsidRDefault="6C91E2F8" w:rsidP="6C91E2F8">
      <w:pPr>
        <w:rPr>
          <w:rFonts w:ascii="Aptos" w:eastAsia="Aptos" w:hAnsi="Aptos" w:cs="Aptos"/>
          <w:sz w:val="48"/>
          <w:szCs w:val="48"/>
          <w:lang w:val="fr-FR"/>
        </w:rPr>
      </w:pPr>
    </w:p>
    <w:p w14:paraId="49F859D4" w14:textId="3363B236" w:rsidR="6C91E2F8" w:rsidRDefault="6C91E2F8" w:rsidP="6C91E2F8">
      <w:pPr>
        <w:rPr>
          <w:rFonts w:ascii="Aptos" w:eastAsia="Aptos" w:hAnsi="Aptos" w:cs="Aptos"/>
          <w:sz w:val="48"/>
          <w:szCs w:val="48"/>
          <w:lang w:val="fr-FR"/>
        </w:rPr>
      </w:pPr>
    </w:p>
    <w:p w14:paraId="04CDA1B6" w14:textId="1D797D4B" w:rsidR="6C91E2F8" w:rsidRDefault="6C91E2F8">
      <w:r>
        <w:br w:type="page"/>
      </w:r>
    </w:p>
    <w:p w14:paraId="4D650159" w14:textId="4A12C676" w:rsidR="06515ED8" w:rsidRDefault="06515ED8" w:rsidP="6C91E2F8">
      <w:pPr>
        <w:shd w:val="clear" w:color="auto" w:fill="FFFFFF" w:themeFill="background1"/>
        <w:spacing w:after="0"/>
      </w:pPr>
      <w:r w:rsidRPr="6C91E2F8">
        <w:rPr>
          <w:rFonts w:ascii="Arial" w:eastAsia="Arial" w:hAnsi="Arial" w:cs="Arial"/>
          <w:b/>
          <w:bCs/>
          <w:color w:val="000000" w:themeColor="text1"/>
          <w:sz w:val="28"/>
          <w:szCs w:val="28"/>
          <w:lang w:val="fr-FR"/>
        </w:rPr>
        <w:t>1. Introduction</w:t>
      </w:r>
    </w:p>
    <w:p w14:paraId="1B398CF8" w14:textId="0E3E87BF" w:rsidR="6C91E2F8" w:rsidRDefault="6C91E2F8" w:rsidP="6C91E2F8">
      <w:pPr>
        <w:shd w:val="clear" w:color="auto" w:fill="FFFFFF" w:themeFill="background1"/>
        <w:spacing w:after="0"/>
      </w:pPr>
    </w:p>
    <w:p w14:paraId="4C7C25C2" w14:textId="5AD5BFC9"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 xml:space="preserve">As sustainability becomes central to corporate strategy, automobile manufacturers are under mounting pressure to demonstrate credible environmental performance. </w:t>
      </w:r>
      <w:r w:rsidRPr="6C91E2F8">
        <w:rPr>
          <w:rFonts w:ascii="Arial" w:eastAsia="Arial" w:hAnsi="Arial" w:cs="Arial"/>
          <w:i/>
          <w:iCs/>
          <w:color w:val="000000" w:themeColor="text1"/>
          <w:lang w:val="fr-FR"/>
        </w:rPr>
        <w:t>Greenwashing</w:t>
      </w:r>
      <w:r w:rsidRPr="6C91E2F8">
        <w:rPr>
          <w:rFonts w:ascii="Arial" w:eastAsia="Arial" w:hAnsi="Arial" w:cs="Arial"/>
          <w:color w:val="000000" w:themeColor="text1"/>
          <w:lang w:val="fr-FR"/>
        </w:rPr>
        <w:t xml:space="preserve"> occurs when organisations exaggerate or misrepresent environmental benefits to appear more sustainable than they are. Within the automotive industry, this issue has grown in prominence due to the global transition toward electric mobility and stricter emissions targets. This report analyses greenwashing through the lens of BMW, assessing its current impact, identifying key root causes, and drawing conclusions on how the company and industry can move toward greater transparency and accountability.</w:t>
      </w:r>
    </w:p>
    <w:p w14:paraId="661C86D6" w14:textId="733B459F" w:rsidR="6C91E2F8" w:rsidRDefault="6C91E2F8" w:rsidP="6C91E2F8">
      <w:pPr>
        <w:shd w:val="clear" w:color="auto" w:fill="FFFFFF" w:themeFill="background1"/>
        <w:spacing w:after="0"/>
      </w:pPr>
    </w:p>
    <w:p w14:paraId="66406D3B" w14:textId="19711F60" w:rsidR="6C91E2F8" w:rsidRDefault="6C91E2F8" w:rsidP="6C91E2F8">
      <w:pPr>
        <w:shd w:val="clear" w:color="auto" w:fill="FFFFFF" w:themeFill="background1"/>
        <w:spacing w:after="0"/>
        <w:rPr>
          <w:rFonts w:ascii="Arial" w:eastAsia="Arial" w:hAnsi="Arial" w:cs="Arial"/>
          <w:color w:val="000000" w:themeColor="text1"/>
          <w:sz w:val="28"/>
          <w:szCs w:val="28"/>
          <w:lang w:val="fr-FR"/>
        </w:rPr>
      </w:pPr>
    </w:p>
    <w:p w14:paraId="17B8A337" w14:textId="0150CE2F" w:rsidR="6C91E2F8" w:rsidRDefault="6C91E2F8" w:rsidP="6C91E2F8">
      <w:pPr>
        <w:shd w:val="clear" w:color="auto" w:fill="FFFFFF" w:themeFill="background1"/>
        <w:spacing w:after="0"/>
      </w:pPr>
    </w:p>
    <w:p w14:paraId="07C440CC" w14:textId="7EC20E2E" w:rsidR="06515ED8" w:rsidRDefault="06515ED8" w:rsidP="6C91E2F8">
      <w:pPr>
        <w:shd w:val="clear" w:color="auto" w:fill="FFFFFF" w:themeFill="background1"/>
        <w:spacing w:after="0"/>
      </w:pPr>
      <w:r w:rsidRPr="6C91E2F8">
        <w:rPr>
          <w:rFonts w:ascii="Arial" w:eastAsia="Arial" w:hAnsi="Arial" w:cs="Arial"/>
          <w:b/>
          <w:bCs/>
          <w:color w:val="000000" w:themeColor="text1"/>
          <w:sz w:val="28"/>
          <w:szCs w:val="28"/>
          <w:lang w:val="fr-FR"/>
        </w:rPr>
        <w:t>2. Impact of the Current Situation (BMW Focus)</w:t>
      </w:r>
    </w:p>
    <w:p w14:paraId="48CC8C7B" w14:textId="488755FD" w:rsidR="6C91E2F8" w:rsidRDefault="6C91E2F8" w:rsidP="6C91E2F8">
      <w:pPr>
        <w:shd w:val="clear" w:color="auto" w:fill="FFFFFF" w:themeFill="background1"/>
        <w:spacing w:after="0"/>
      </w:pPr>
    </w:p>
    <w:p w14:paraId="7E11F798" w14:textId="77011978"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BMW has made significant public commitments to sustainability, including a 40 % per-vehicle CO₂ reduction across its value chain by 2030 compared with 2019 levels (BMW Group, 2024). However, advertising watchdogs have challenged the accuracy of some environmental claims. In February 2024, the UK Advertising Standards Authority banned BMW advertisements describing electric vehicles as “zero-emission” because they omitted reference to emissions generated from electricity production and manufacturing (The Brussels Times, 2024). Similarly, Denmark’s consumer ombudsman reported BMW Denmark to the police for marketing vehicles as less harmful to the environment without adequate substantiation (Sustainability Beat, 2024).</w:t>
      </w:r>
    </w:p>
    <w:p w14:paraId="7C8A7052" w14:textId="083BB408" w:rsidR="6C91E2F8" w:rsidRDefault="6C91E2F8" w:rsidP="6C91E2F8">
      <w:pPr>
        <w:shd w:val="clear" w:color="auto" w:fill="FFFFFF" w:themeFill="background1"/>
        <w:spacing w:after="0"/>
      </w:pPr>
    </w:p>
    <w:p w14:paraId="104B0FDD" w14:textId="40CA6B0B"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Such controversies highlight reputational and regulatory risks. Research by Liao and Wu (2024) indicates that perceived greenwashing can significantly reduce consumer trust and willingness to purchase electric vehicles, not only from the offending brand but across the wider market. Consequently, misleading claims threaten both brand credibility and consumer confidence in the industry’s sustainability transition.</w:t>
      </w:r>
    </w:p>
    <w:p w14:paraId="7EEF11F2" w14:textId="6E19C8A0" w:rsidR="6C91E2F8" w:rsidRDefault="6C91E2F8" w:rsidP="6C91E2F8">
      <w:pPr>
        <w:shd w:val="clear" w:color="auto" w:fill="FFFFFF" w:themeFill="background1"/>
        <w:spacing w:after="0"/>
      </w:pPr>
    </w:p>
    <w:p w14:paraId="7B688168" w14:textId="431F01F3" w:rsidR="6C91E2F8" w:rsidRDefault="6C91E2F8" w:rsidP="6C91E2F8">
      <w:pPr>
        <w:shd w:val="clear" w:color="auto" w:fill="FFFFFF" w:themeFill="background1"/>
        <w:spacing w:after="0"/>
        <w:rPr>
          <w:rFonts w:ascii="Arial" w:eastAsia="Arial" w:hAnsi="Arial" w:cs="Arial"/>
          <w:color w:val="000000" w:themeColor="text1"/>
          <w:lang w:val="fr-FR"/>
        </w:rPr>
      </w:pPr>
    </w:p>
    <w:p w14:paraId="710EAE1E" w14:textId="387E860F" w:rsidR="6C91E2F8" w:rsidRDefault="6C91E2F8" w:rsidP="6C91E2F8">
      <w:pPr>
        <w:shd w:val="clear" w:color="auto" w:fill="FFFFFF" w:themeFill="background1"/>
        <w:spacing w:after="0"/>
      </w:pPr>
    </w:p>
    <w:p w14:paraId="71CBACE3" w14:textId="04B78D8F" w:rsidR="06515ED8" w:rsidRDefault="06515ED8" w:rsidP="6C91E2F8">
      <w:pPr>
        <w:shd w:val="clear" w:color="auto" w:fill="FFFFFF" w:themeFill="background1"/>
        <w:spacing w:after="0"/>
      </w:pPr>
      <w:r w:rsidRPr="6C91E2F8">
        <w:rPr>
          <w:rFonts w:ascii="Arial" w:eastAsia="Arial" w:hAnsi="Arial" w:cs="Arial"/>
          <w:b/>
          <w:bCs/>
          <w:color w:val="000000" w:themeColor="text1"/>
          <w:sz w:val="28"/>
          <w:szCs w:val="28"/>
          <w:lang w:val="fr-FR"/>
        </w:rPr>
        <w:t>3. Root Cause Analysis (RCA)</w:t>
      </w:r>
    </w:p>
    <w:p w14:paraId="25424620" w14:textId="3410E924"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A root cause analysis reveals several interlinked factors behind the rise of greenwashing in the automobile sector</w:t>
      </w:r>
      <w:r w:rsidR="6E1A3E2C" w:rsidRPr="6C91E2F8">
        <w:rPr>
          <w:rFonts w:ascii="Arial" w:eastAsia="Arial" w:hAnsi="Arial" w:cs="Arial"/>
          <w:color w:val="000000" w:themeColor="text1"/>
          <w:lang w:val="fr-FR"/>
        </w:rPr>
        <w:t xml:space="preserve"> using the 5 whys technique:</w:t>
      </w:r>
    </w:p>
    <w:p w14:paraId="35A9D3D1" w14:textId="0B035817" w:rsidR="6C91E2F8" w:rsidRDefault="6C91E2F8" w:rsidP="6C91E2F8">
      <w:pPr>
        <w:shd w:val="clear" w:color="auto" w:fill="FFFFFF" w:themeFill="background1"/>
        <w:spacing w:after="0"/>
      </w:pPr>
    </w:p>
    <w:p w14:paraId="37416B8D" w14:textId="501C2810"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1. Competitive and Market Pressure: With rising demand for sustainable vehicles, companies face intense pressure to showcase green credentials quickly, sometimes overstating progress to gain market advantage (Wheels &amp; Motion, 2024).</w:t>
      </w:r>
    </w:p>
    <w:p w14:paraId="3456084B" w14:textId="3BF636C0" w:rsidR="6C91E2F8" w:rsidRDefault="6C91E2F8" w:rsidP="6C91E2F8">
      <w:pPr>
        <w:shd w:val="clear" w:color="auto" w:fill="FFFFFF" w:themeFill="background1"/>
        <w:spacing w:after="0"/>
      </w:pPr>
    </w:p>
    <w:p w14:paraId="6D25535E" w14:textId="11849525"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2. Regulatory Ambiguity: Environmental marketing lacks consistent global definitions and enforcement. The ASA’s ruling against BMW underscores the consequences of unclear standards on what constitutes “zero emissions” (The Brussels Times, 2024).</w:t>
      </w:r>
    </w:p>
    <w:p w14:paraId="10701CFD" w14:textId="702E05E3" w:rsidR="6C91E2F8" w:rsidRDefault="6C91E2F8" w:rsidP="6C91E2F8">
      <w:pPr>
        <w:shd w:val="clear" w:color="auto" w:fill="FFFFFF" w:themeFill="background1"/>
        <w:spacing w:after="0"/>
      </w:pPr>
    </w:p>
    <w:p w14:paraId="63E284A1" w14:textId="52AA4489"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3. Lifecycle Complexity: The automotive value chain</w:t>
      </w:r>
      <w:r w:rsidR="134BFA42" w:rsidRPr="1F311831">
        <w:rPr>
          <w:rFonts w:ascii="Arial" w:eastAsia="Arial" w:hAnsi="Arial" w:cs="Arial"/>
          <w:color w:val="000000" w:themeColor="text1"/>
          <w:lang w:val="fr-FR"/>
        </w:rPr>
        <w:t xml:space="preserve"> </w:t>
      </w:r>
      <w:r w:rsidRPr="6C91E2F8">
        <w:rPr>
          <w:rFonts w:ascii="Arial" w:eastAsia="Arial" w:hAnsi="Arial" w:cs="Arial"/>
          <w:color w:val="000000" w:themeColor="text1"/>
          <w:lang w:val="fr-FR"/>
        </w:rPr>
        <w:t>from raw-material extraction to disposal</w:t>
      </w:r>
      <w:r w:rsidR="5802F5C8" w:rsidRPr="1F311831">
        <w:rPr>
          <w:rFonts w:ascii="Arial" w:eastAsia="Arial" w:hAnsi="Arial" w:cs="Arial"/>
          <w:color w:val="000000" w:themeColor="text1"/>
          <w:lang w:val="fr-FR"/>
        </w:rPr>
        <w:t xml:space="preserve"> </w:t>
      </w:r>
      <w:r w:rsidRPr="6C91E2F8">
        <w:rPr>
          <w:rFonts w:ascii="Arial" w:eastAsia="Arial" w:hAnsi="Arial" w:cs="Arial"/>
          <w:color w:val="000000" w:themeColor="text1"/>
          <w:lang w:val="fr-FR"/>
        </w:rPr>
        <w:t>is carbon-intensive. Marketing that highlights tailpipe emissions while omitting manufacturing and charging impacts can mislead audiences (BMW Group, 2024).</w:t>
      </w:r>
    </w:p>
    <w:p w14:paraId="62CB7BD5" w14:textId="156C6E38" w:rsidR="6C91E2F8" w:rsidRDefault="6C91E2F8" w:rsidP="6C91E2F8">
      <w:pPr>
        <w:shd w:val="clear" w:color="auto" w:fill="FFFFFF" w:themeFill="background1"/>
        <w:spacing w:after="0"/>
      </w:pPr>
    </w:p>
    <w:p w14:paraId="279B8CC1" w14:textId="24AB70D5"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4. Reputational Incentives: Firms may prioritise sustainability narratives to maintain investor and stakeholder confidence, even when underlying practices remain unchanged (Shan, 2025).</w:t>
      </w:r>
    </w:p>
    <w:p w14:paraId="37994C4B" w14:textId="2B71DC71" w:rsidR="6C91E2F8" w:rsidRDefault="6C91E2F8" w:rsidP="6C91E2F8">
      <w:pPr>
        <w:shd w:val="clear" w:color="auto" w:fill="FFFFFF" w:themeFill="background1"/>
        <w:spacing w:after="0"/>
      </w:pPr>
    </w:p>
    <w:p w14:paraId="7EF69B2F" w14:textId="503F75E1"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5. Communication Simplification: To attract consumers, advertisers often use simple, emotionally appealing terms like “eco-friendly” or “zero emissions”, inadvertently (or deliberately) neglecting nuance (Sustainability Beat, 2024).</w:t>
      </w:r>
    </w:p>
    <w:p w14:paraId="7609B70C" w14:textId="47F8CBC4" w:rsidR="6C91E2F8" w:rsidRDefault="6C91E2F8" w:rsidP="6C91E2F8">
      <w:pPr>
        <w:shd w:val="clear" w:color="auto" w:fill="FFFFFF" w:themeFill="background1"/>
        <w:spacing w:after="0"/>
      </w:pPr>
    </w:p>
    <w:p w14:paraId="26E30924" w14:textId="39271E66"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These root causes show that greenwashing arises from both systemic pressures and deliberate messaging choices shaped by marketing, regulation, and corporate image management.</w:t>
      </w:r>
    </w:p>
    <w:p w14:paraId="1ECC5A26" w14:textId="1EFE8B72" w:rsidR="6C91E2F8" w:rsidRDefault="6C91E2F8" w:rsidP="6C91E2F8">
      <w:pPr>
        <w:shd w:val="clear" w:color="auto" w:fill="FFFFFF" w:themeFill="background1"/>
        <w:spacing w:after="0"/>
      </w:pPr>
    </w:p>
    <w:p w14:paraId="2D0D95CF" w14:textId="193C45BA" w:rsidR="6C91E2F8" w:rsidRDefault="6C91E2F8" w:rsidP="6C91E2F8">
      <w:pPr>
        <w:shd w:val="clear" w:color="auto" w:fill="FFFFFF" w:themeFill="background1"/>
        <w:spacing w:after="0"/>
        <w:rPr>
          <w:rFonts w:ascii="Arial" w:eastAsia="Arial" w:hAnsi="Arial" w:cs="Arial"/>
          <w:color w:val="000000" w:themeColor="text1"/>
          <w:sz w:val="28"/>
          <w:szCs w:val="28"/>
          <w:lang w:val="fr-FR"/>
        </w:rPr>
      </w:pPr>
    </w:p>
    <w:p w14:paraId="45C52254" w14:textId="4C9CA8EE" w:rsidR="6C91E2F8" w:rsidRDefault="6C91E2F8" w:rsidP="6C91E2F8">
      <w:pPr>
        <w:shd w:val="clear" w:color="auto" w:fill="FFFFFF" w:themeFill="background1"/>
        <w:spacing w:after="0"/>
      </w:pPr>
    </w:p>
    <w:p w14:paraId="316033A7" w14:textId="0BED1FB1" w:rsidR="06515ED8" w:rsidRDefault="06515ED8" w:rsidP="6C91E2F8">
      <w:pPr>
        <w:shd w:val="clear" w:color="auto" w:fill="FFFFFF" w:themeFill="background1"/>
        <w:spacing w:after="0"/>
      </w:pPr>
      <w:r w:rsidRPr="6C91E2F8">
        <w:rPr>
          <w:rFonts w:ascii="Arial" w:eastAsia="Arial" w:hAnsi="Arial" w:cs="Arial"/>
          <w:b/>
          <w:bCs/>
          <w:color w:val="000000" w:themeColor="text1"/>
          <w:sz w:val="28"/>
          <w:szCs w:val="28"/>
          <w:lang w:val="fr-FR"/>
        </w:rPr>
        <w:t>4. Conclusion</w:t>
      </w:r>
    </w:p>
    <w:p w14:paraId="4E8EC7AD" w14:textId="13BD9F9B" w:rsidR="6C91E2F8" w:rsidRDefault="6C91E2F8" w:rsidP="6C91E2F8">
      <w:pPr>
        <w:shd w:val="clear" w:color="auto" w:fill="FFFFFF" w:themeFill="background1"/>
        <w:spacing w:after="0"/>
      </w:pPr>
    </w:p>
    <w:p w14:paraId="07E27A1C" w14:textId="1FA2F9C4"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Greenwashing in the automotive industry reflects the tension between genuine sustainability progress and the need for persuasive marketing. BMW’s case demonstrates that while technological advances are real, oversimplified claims can undermine credibility and attract regulatory penalties. Addressing this issue requires comprehensive lifecycle reporting, clear regulatory frameworks, and transparent communication with consumers. Only through evidence-based, verifiable claims can automakers maintain trust and drive a truly sustainable transition to low-carbon mobility.</w:t>
      </w:r>
    </w:p>
    <w:p w14:paraId="0985CF27" w14:textId="5D4FDB97" w:rsidR="6C91E2F8" w:rsidRDefault="6C91E2F8" w:rsidP="6C91E2F8">
      <w:pPr>
        <w:shd w:val="clear" w:color="auto" w:fill="FFFFFF" w:themeFill="background1"/>
        <w:spacing w:after="0"/>
      </w:pPr>
    </w:p>
    <w:p w14:paraId="7604B3D9" w14:textId="6DC5634A" w:rsidR="6C91E2F8" w:rsidRDefault="6C91E2F8" w:rsidP="6C91E2F8">
      <w:pPr>
        <w:shd w:val="clear" w:color="auto" w:fill="FFFFFF" w:themeFill="background1"/>
        <w:spacing w:after="0"/>
        <w:rPr>
          <w:rFonts w:ascii="Arial" w:eastAsia="Arial" w:hAnsi="Arial" w:cs="Arial"/>
          <w:color w:val="000000" w:themeColor="text1"/>
          <w:sz w:val="28"/>
          <w:szCs w:val="28"/>
          <w:lang w:val="fr-FR"/>
        </w:rPr>
      </w:pPr>
    </w:p>
    <w:p w14:paraId="460711E4" w14:textId="2C07DF4D" w:rsidR="6C91E2F8" w:rsidRDefault="6C91E2F8" w:rsidP="6C91E2F8">
      <w:pPr>
        <w:shd w:val="clear" w:color="auto" w:fill="FFFFFF" w:themeFill="background1"/>
        <w:spacing w:after="0"/>
      </w:pPr>
    </w:p>
    <w:p w14:paraId="0601943F" w14:textId="3550C18B" w:rsidR="06515ED8" w:rsidRDefault="06515ED8" w:rsidP="6C91E2F8">
      <w:pPr>
        <w:shd w:val="clear" w:color="auto" w:fill="FFFFFF" w:themeFill="background1"/>
        <w:spacing w:after="0"/>
      </w:pPr>
      <w:r w:rsidRPr="6C91E2F8">
        <w:rPr>
          <w:rFonts w:ascii="Arial" w:eastAsia="Arial" w:hAnsi="Arial" w:cs="Arial"/>
          <w:b/>
          <w:bCs/>
          <w:color w:val="000000" w:themeColor="text1"/>
          <w:sz w:val="28"/>
          <w:szCs w:val="28"/>
          <w:lang w:val="fr-FR"/>
        </w:rPr>
        <w:t>5. References</w:t>
      </w:r>
    </w:p>
    <w:p w14:paraId="01344FAA" w14:textId="3BA39136" w:rsidR="030AA843" w:rsidRDefault="030AA843" w:rsidP="6C91E2F8">
      <w:pPr>
        <w:shd w:val="clear" w:color="auto" w:fill="FFFFFF" w:themeFill="background1"/>
        <w:spacing w:after="0"/>
        <w:rPr>
          <w:rFonts w:ascii="Arial" w:eastAsia="Arial" w:hAnsi="Arial" w:cs="Arial"/>
          <w:b/>
          <w:bCs/>
          <w:color w:val="000000" w:themeColor="text1"/>
          <w:sz w:val="28"/>
          <w:szCs w:val="28"/>
        </w:rPr>
      </w:pPr>
      <w:r w:rsidRPr="6C91E2F8">
        <w:rPr>
          <w:rFonts w:ascii="Arial" w:eastAsia="Arial" w:hAnsi="Arial" w:cs="Arial"/>
          <w:color w:val="000000" w:themeColor="text1"/>
        </w:rPr>
        <w:t xml:space="preserve">BMW and MG ordered to drop EV adverts over greenwashing concerns’ (2024) </w:t>
      </w:r>
      <w:r w:rsidRPr="6C91E2F8">
        <w:rPr>
          <w:rFonts w:ascii="Arial" w:eastAsia="Arial" w:hAnsi="Arial" w:cs="Arial"/>
          <w:i/>
          <w:iCs/>
          <w:color w:val="000000" w:themeColor="text1"/>
        </w:rPr>
        <w:t>edie news</w:t>
      </w:r>
      <w:r w:rsidRPr="6C91E2F8">
        <w:rPr>
          <w:rFonts w:ascii="Arial" w:eastAsia="Arial" w:hAnsi="Arial" w:cs="Arial"/>
          <w:color w:val="000000" w:themeColor="text1"/>
        </w:rPr>
        <w:t xml:space="preserve">, 7 February. Available at: </w:t>
      </w:r>
      <w:hyperlink r:id="rId6">
        <w:r w:rsidRPr="6C91E2F8">
          <w:rPr>
            <w:rStyle w:val="Hyperlink"/>
            <w:rFonts w:ascii="Arial" w:eastAsia="Arial" w:hAnsi="Arial" w:cs="Arial"/>
            <w:color w:val="1155CC"/>
          </w:rPr>
          <w:t>https://www.edie.net/bmw-and-mg-ordered-to-drop-ev-adverts-over-greenwashing-concerns/</w:t>
        </w:r>
      </w:hyperlink>
    </w:p>
    <w:p w14:paraId="42797E0F" w14:textId="6A272D3A" w:rsidR="6C91E2F8" w:rsidRDefault="6C91E2F8" w:rsidP="6C91E2F8">
      <w:pPr>
        <w:shd w:val="clear" w:color="auto" w:fill="FFFFFF" w:themeFill="background1"/>
        <w:spacing w:after="0"/>
      </w:pPr>
    </w:p>
    <w:p w14:paraId="2A7C28F9" w14:textId="29D6F848" w:rsidR="06515ED8" w:rsidRDefault="06515ED8" w:rsidP="6C91E2F8">
      <w:pPr>
        <w:shd w:val="clear" w:color="auto" w:fill="FFFFFF" w:themeFill="background1"/>
        <w:spacing w:after="0"/>
        <w:rPr>
          <w:rFonts w:ascii="Arial" w:eastAsia="Arial" w:hAnsi="Arial" w:cs="Arial"/>
          <w:color w:val="000000" w:themeColor="text1"/>
        </w:rPr>
      </w:pPr>
      <w:r w:rsidRPr="6C91E2F8">
        <w:rPr>
          <w:rFonts w:ascii="Arial" w:eastAsia="Arial" w:hAnsi="Arial" w:cs="Arial"/>
          <w:color w:val="000000" w:themeColor="text1"/>
        </w:rPr>
        <w:t xml:space="preserve">BMW Group (2024) </w:t>
      </w:r>
      <w:r w:rsidRPr="6C91E2F8">
        <w:rPr>
          <w:rFonts w:ascii="Arial" w:eastAsia="Arial" w:hAnsi="Arial" w:cs="Arial"/>
          <w:i/>
          <w:iCs/>
          <w:color w:val="000000" w:themeColor="text1"/>
        </w:rPr>
        <w:t>Driving decarbonisation in the supply chain.</w:t>
      </w:r>
      <w:r w:rsidRPr="6C91E2F8">
        <w:rPr>
          <w:rFonts w:ascii="Arial" w:eastAsia="Arial" w:hAnsi="Arial" w:cs="Arial"/>
          <w:color w:val="000000" w:themeColor="text1"/>
        </w:rPr>
        <w:t xml:space="preserve"> Munich: BMW Group. Available at: </w:t>
      </w:r>
      <w:hyperlink r:id="rId7">
        <w:r w:rsidRPr="6C91E2F8">
          <w:rPr>
            <w:rStyle w:val="Hyperlink"/>
            <w:rFonts w:ascii="Arial" w:eastAsia="Arial" w:hAnsi="Arial" w:cs="Arial"/>
            <w:color w:val="1155CC"/>
          </w:rPr>
          <w:t>https://www.bmwgroup.com/en/news/general/2024/decarbonisation.html</w:t>
        </w:r>
      </w:hyperlink>
    </w:p>
    <w:p w14:paraId="7C7FF316" w14:textId="5CE40968" w:rsidR="6C91E2F8" w:rsidRDefault="6C91E2F8" w:rsidP="6C91E2F8">
      <w:pPr>
        <w:shd w:val="clear" w:color="auto" w:fill="FFFFFF" w:themeFill="background1"/>
        <w:spacing w:after="0"/>
      </w:pPr>
    </w:p>
    <w:p w14:paraId="6A61E7C9" w14:textId="3BA22046" w:rsidR="06515ED8" w:rsidRDefault="06515ED8" w:rsidP="6C91E2F8">
      <w:pPr>
        <w:shd w:val="clear" w:color="auto" w:fill="FFFFFF" w:themeFill="background1"/>
        <w:spacing w:after="0"/>
      </w:pPr>
      <w:r w:rsidRPr="6C91E2F8">
        <w:rPr>
          <w:rFonts w:ascii="Arial" w:eastAsia="Arial" w:hAnsi="Arial" w:cs="Arial"/>
          <w:color w:val="000000" w:themeColor="text1"/>
        </w:rPr>
        <w:t xml:space="preserve">Liao, Y. and Wu, L. (2024) ‘The Influence of Brand Greenwashing on EV Purchase Intention: The Moderating Role of Consumer Innovativeness and Peer Brand Attitude’, </w:t>
      </w:r>
      <w:r w:rsidRPr="6C91E2F8">
        <w:rPr>
          <w:rFonts w:ascii="Arial" w:eastAsia="Arial" w:hAnsi="Arial" w:cs="Arial"/>
          <w:i/>
          <w:iCs/>
          <w:color w:val="000000" w:themeColor="text1"/>
        </w:rPr>
        <w:t>World Electric Vehicle Journal</w:t>
      </w:r>
      <w:r w:rsidRPr="6C91E2F8">
        <w:rPr>
          <w:rFonts w:ascii="Arial" w:eastAsia="Arial" w:hAnsi="Arial" w:cs="Arial"/>
          <w:color w:val="000000" w:themeColor="text1"/>
        </w:rPr>
        <w:t>, 15(7), p. 313.</w:t>
      </w:r>
      <w:r w:rsidR="26F700EA" w:rsidRPr="6C91E2F8">
        <w:rPr>
          <w:rFonts w:ascii="Arial" w:eastAsia="Arial" w:hAnsi="Arial" w:cs="Arial"/>
          <w:color w:val="000000" w:themeColor="text1"/>
        </w:rPr>
        <w:t xml:space="preserve"> </w:t>
      </w:r>
      <w:hyperlink r:id="rId8">
        <w:r w:rsidR="7422ED14" w:rsidRPr="6C91E2F8">
          <w:rPr>
            <w:rStyle w:val="Hyperlink"/>
            <w:rFonts w:ascii="Helvetica" w:eastAsia="Helvetica" w:hAnsi="Helvetica" w:cs="Helvetica"/>
            <w:color w:val="1155CC"/>
          </w:rPr>
          <w:t>https://www.mdpi.com/2032-6653/15/7/313</w:t>
        </w:r>
      </w:hyperlink>
    </w:p>
    <w:p w14:paraId="1060FFE0" w14:textId="253F8A1F" w:rsidR="6C91E2F8" w:rsidRDefault="6C91E2F8" w:rsidP="6C91E2F8">
      <w:pPr>
        <w:shd w:val="clear" w:color="auto" w:fill="FFFFFF" w:themeFill="background1"/>
        <w:spacing w:after="0"/>
      </w:pPr>
    </w:p>
    <w:p w14:paraId="6DF3649D" w14:textId="49F5CE46"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 xml:space="preserve">Sustainability Beat (2024) ‘BMW and MG car ads banned by advertising watchdog over green claims’, </w:t>
      </w:r>
      <w:r w:rsidRPr="6C91E2F8">
        <w:rPr>
          <w:rFonts w:ascii="Arial" w:eastAsia="Arial" w:hAnsi="Arial" w:cs="Arial"/>
          <w:i/>
          <w:iCs/>
          <w:color w:val="000000" w:themeColor="text1"/>
          <w:lang w:val="fr-FR"/>
        </w:rPr>
        <w:t>Sustainability Beat</w:t>
      </w:r>
      <w:r w:rsidRPr="6C91E2F8">
        <w:rPr>
          <w:rFonts w:ascii="Arial" w:eastAsia="Arial" w:hAnsi="Arial" w:cs="Arial"/>
          <w:color w:val="000000" w:themeColor="text1"/>
          <w:lang w:val="fr-FR"/>
        </w:rPr>
        <w:t xml:space="preserve">, 7 February. Available at: </w:t>
      </w:r>
      <w:hyperlink r:id="rId9">
        <w:r w:rsidRPr="6C91E2F8">
          <w:rPr>
            <w:rStyle w:val="Hyperlink"/>
            <w:rFonts w:ascii="Arial" w:eastAsia="Arial" w:hAnsi="Arial" w:cs="Arial"/>
            <w:color w:val="1155CC"/>
            <w:lang w:val="fr-FR"/>
          </w:rPr>
          <w:t>https://www.sustainability-beat.co.uk/2024/02/07/bmw-asa</w:t>
        </w:r>
      </w:hyperlink>
      <w:r w:rsidRPr="6C91E2F8">
        <w:rPr>
          <w:rFonts w:ascii="Arial" w:eastAsia="Arial" w:hAnsi="Arial" w:cs="Arial"/>
          <w:color w:val="000000" w:themeColor="text1"/>
          <w:lang w:val="fr-FR"/>
        </w:rPr>
        <w:t xml:space="preserve"> </w:t>
      </w:r>
    </w:p>
    <w:p w14:paraId="65F303C0" w14:textId="7BB047A4" w:rsidR="6C91E2F8" w:rsidRDefault="6C91E2F8" w:rsidP="6C91E2F8">
      <w:pPr>
        <w:shd w:val="clear" w:color="auto" w:fill="FFFFFF" w:themeFill="background1"/>
        <w:spacing w:after="0"/>
      </w:pPr>
    </w:p>
    <w:p w14:paraId="23C05BB0" w14:textId="34B37889" w:rsidR="06515ED8" w:rsidRDefault="06515ED8" w:rsidP="6C91E2F8">
      <w:pPr>
        <w:shd w:val="clear" w:color="auto" w:fill="FFFFFF" w:themeFill="background1"/>
        <w:spacing w:after="0"/>
        <w:rPr>
          <w:rFonts w:ascii="Arial" w:eastAsia="Arial" w:hAnsi="Arial" w:cs="Arial"/>
          <w:color w:val="000000" w:themeColor="text1"/>
        </w:rPr>
      </w:pPr>
      <w:r w:rsidRPr="6C91E2F8">
        <w:rPr>
          <w:rFonts w:ascii="Arial" w:eastAsia="Arial" w:hAnsi="Arial" w:cs="Arial"/>
          <w:color w:val="000000" w:themeColor="text1"/>
        </w:rPr>
        <w:t xml:space="preserve">The Brussels Times (2024) ‘Greenwashing: UK advertising regulator says electric cars are not “zero emission”’, </w:t>
      </w:r>
      <w:r w:rsidRPr="6C91E2F8">
        <w:rPr>
          <w:rFonts w:ascii="Arial" w:eastAsia="Arial" w:hAnsi="Arial" w:cs="Arial"/>
          <w:i/>
          <w:iCs/>
          <w:color w:val="000000" w:themeColor="text1"/>
        </w:rPr>
        <w:t>The Brussels Times</w:t>
      </w:r>
      <w:r w:rsidRPr="6C91E2F8">
        <w:rPr>
          <w:rFonts w:ascii="Arial" w:eastAsia="Arial" w:hAnsi="Arial" w:cs="Arial"/>
          <w:color w:val="000000" w:themeColor="text1"/>
        </w:rPr>
        <w:t xml:space="preserve">, 7 February. Available at: </w:t>
      </w:r>
      <w:hyperlink r:id="rId10">
        <w:r w:rsidRPr="6C91E2F8">
          <w:rPr>
            <w:rStyle w:val="Hyperlink"/>
            <w:rFonts w:ascii="Arial" w:eastAsia="Arial" w:hAnsi="Arial" w:cs="Arial"/>
            <w:color w:val="1155CC"/>
          </w:rPr>
          <w:t>https://www.brusselstimes.com/news/914993/greenwashing-uk-advertising-regulator-says-electric-cars-are-not-zero-emission</w:t>
        </w:r>
      </w:hyperlink>
      <w:r w:rsidRPr="6C91E2F8">
        <w:rPr>
          <w:rFonts w:ascii="Arial" w:eastAsia="Arial" w:hAnsi="Arial" w:cs="Arial"/>
          <w:color w:val="000000" w:themeColor="text1"/>
        </w:rPr>
        <w:t xml:space="preserve"> </w:t>
      </w:r>
    </w:p>
    <w:p w14:paraId="0A337399" w14:textId="18091299" w:rsidR="6C91E2F8" w:rsidRDefault="6C91E2F8" w:rsidP="6C91E2F8">
      <w:pPr>
        <w:shd w:val="clear" w:color="auto" w:fill="FFFFFF" w:themeFill="background1"/>
        <w:spacing w:after="0"/>
      </w:pPr>
    </w:p>
    <w:p w14:paraId="6872703A" w14:textId="525F2691" w:rsidR="06515ED8" w:rsidRDefault="06515ED8" w:rsidP="6C91E2F8">
      <w:pPr>
        <w:shd w:val="clear" w:color="auto" w:fill="FFFFFF" w:themeFill="background1"/>
        <w:spacing w:after="0"/>
        <w:rPr>
          <w:rFonts w:ascii="Arial" w:eastAsia="Arial" w:hAnsi="Arial" w:cs="Arial"/>
          <w:color w:val="000000" w:themeColor="text1"/>
          <w:lang w:val="fr-FR"/>
        </w:rPr>
      </w:pPr>
      <w:r w:rsidRPr="6C91E2F8">
        <w:rPr>
          <w:rFonts w:ascii="Arial" w:eastAsia="Arial" w:hAnsi="Arial" w:cs="Arial"/>
          <w:color w:val="000000" w:themeColor="text1"/>
          <w:lang w:val="fr-FR"/>
        </w:rPr>
        <w:t xml:space="preserve">Shan, Y. (2025) ‘Analysis of the Causes and Countermeasures of “Greenwashing” — Taking Volkswagen’s “Dieselgate” as an Example’, in </w:t>
      </w:r>
      <w:r w:rsidRPr="6C91E2F8">
        <w:rPr>
          <w:rFonts w:ascii="Arial" w:eastAsia="Arial" w:hAnsi="Arial" w:cs="Arial"/>
          <w:i/>
          <w:iCs/>
          <w:color w:val="000000" w:themeColor="text1"/>
          <w:lang w:val="fr-FR"/>
        </w:rPr>
        <w:t>Advances in Economics, Business and Management Research</w:t>
      </w:r>
      <w:r w:rsidRPr="6C91E2F8">
        <w:rPr>
          <w:rFonts w:ascii="Arial" w:eastAsia="Arial" w:hAnsi="Arial" w:cs="Arial"/>
          <w:color w:val="000000" w:themeColor="text1"/>
          <w:lang w:val="fr-FR"/>
        </w:rPr>
        <w:t>. Atlantis Press.</w:t>
      </w:r>
    </w:p>
    <w:p w14:paraId="52BA0E4C" w14:textId="1477FE29" w:rsidR="6C91E2F8" w:rsidRDefault="6C91E2F8" w:rsidP="6C91E2F8"/>
    <w:p w14:paraId="1EA6EE62" w14:textId="4D8DF938" w:rsidR="6C91E2F8" w:rsidRDefault="6C91E2F8" w:rsidP="6C91E2F8">
      <w:pPr>
        <w:rPr>
          <w:b/>
          <w:bCs/>
          <w:sz w:val="28"/>
          <w:szCs w:val="28"/>
        </w:rPr>
      </w:pPr>
    </w:p>
    <w:p w14:paraId="627060A3" w14:textId="5F89F33F" w:rsidR="76E4E8AF" w:rsidRDefault="76E4E8AF" w:rsidP="6C91E2F8">
      <w:pPr>
        <w:rPr>
          <w:b/>
          <w:bCs/>
          <w:sz w:val="28"/>
          <w:szCs w:val="28"/>
        </w:rPr>
      </w:pPr>
      <w:r w:rsidRPr="6C91E2F8">
        <w:rPr>
          <w:b/>
          <w:bCs/>
          <w:sz w:val="28"/>
          <w:szCs w:val="28"/>
        </w:rPr>
        <w:t>6. AI statement</w:t>
      </w:r>
      <w:r w:rsidR="7DE062E7" w:rsidRPr="6C91E2F8">
        <w:rPr>
          <w:b/>
          <w:bCs/>
          <w:sz w:val="28"/>
          <w:szCs w:val="28"/>
        </w:rPr>
        <w:t xml:space="preserve"> </w:t>
      </w:r>
    </w:p>
    <w:p w14:paraId="620EE997" w14:textId="1CC2A833" w:rsidR="7DE062E7" w:rsidRDefault="7DE062E7" w:rsidP="6C91E2F8">
      <w:pPr>
        <w:rPr>
          <w:sz w:val="40"/>
          <w:szCs w:val="40"/>
        </w:rPr>
      </w:pPr>
      <w:r w:rsidRPr="6C91E2F8">
        <w:rPr>
          <w:sz w:val="40"/>
          <w:szCs w:val="40"/>
        </w:rPr>
        <w:t xml:space="preserve">- </w:t>
      </w:r>
      <w:r w:rsidR="13945B12" w:rsidRPr="6C91E2F8">
        <w:rPr>
          <w:sz w:val="40"/>
          <w:szCs w:val="40"/>
        </w:rPr>
        <w:t>I confirm that i have not presented any Ai generated text as my own work</w:t>
      </w:r>
      <w:r w:rsidR="7C67BF57" w:rsidRPr="6C91E2F8">
        <w:rPr>
          <w:sz w:val="40"/>
          <w:szCs w:val="40"/>
        </w:rPr>
        <w:t>.</w:t>
      </w:r>
    </w:p>
    <w:p w14:paraId="50246AC0" w14:textId="31E23C1D" w:rsidR="6C91E2F8" w:rsidRDefault="6C91E2F8" w:rsidP="6C91E2F8">
      <w:pPr>
        <w:rPr>
          <w:b/>
          <w:bCs/>
          <w:sz w:val="40"/>
          <w:szCs w:val="40"/>
        </w:rPr>
      </w:pPr>
    </w:p>
    <w:p w14:paraId="3464F2E7" w14:textId="33054E22" w:rsidR="6C91E2F8" w:rsidRDefault="6C91E2F8" w:rsidP="6C91E2F8">
      <w:pPr>
        <w:rPr>
          <w:rFonts w:ascii="Aptos" w:eastAsia="Aptos" w:hAnsi="Aptos" w:cs="Aptos"/>
          <w:sz w:val="28"/>
          <w:szCs w:val="28"/>
          <w:lang w:val="fr-FR"/>
        </w:rPr>
      </w:pPr>
    </w:p>
    <w:p w14:paraId="20A2EF78" w14:textId="4E0031EE" w:rsidR="6C91E2F8" w:rsidRDefault="6C91E2F8" w:rsidP="6C91E2F8">
      <w:pPr>
        <w:rPr>
          <w:rFonts w:ascii="Aptos" w:eastAsia="Aptos" w:hAnsi="Aptos" w:cs="Aptos"/>
          <w:sz w:val="48"/>
          <w:szCs w:val="48"/>
          <w:lang w:val="fr-FR"/>
        </w:rPr>
      </w:pPr>
    </w:p>
    <w:p w14:paraId="5B3EEA89" w14:textId="17BEE96F" w:rsidR="6C91E2F8" w:rsidRDefault="6C91E2F8" w:rsidP="6C91E2F8"/>
    <w:sectPr w:rsidR="6C91E2F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D19603"/>
    <w:multiLevelType w:val="hybridMultilevel"/>
    <w:tmpl w:val="FFFFFFFF"/>
    <w:lvl w:ilvl="0" w:tplc="922E9472">
      <w:start w:val="1"/>
      <w:numFmt w:val="bullet"/>
      <w:lvlText w:val="-"/>
      <w:lvlJc w:val="left"/>
      <w:pPr>
        <w:ind w:left="720" w:hanging="360"/>
      </w:pPr>
      <w:rPr>
        <w:rFonts w:ascii="Aptos" w:hAnsi="Aptos" w:hint="default"/>
      </w:rPr>
    </w:lvl>
    <w:lvl w:ilvl="1" w:tplc="4268ED70">
      <w:start w:val="1"/>
      <w:numFmt w:val="bullet"/>
      <w:lvlText w:val="o"/>
      <w:lvlJc w:val="left"/>
      <w:pPr>
        <w:ind w:left="1440" w:hanging="360"/>
      </w:pPr>
      <w:rPr>
        <w:rFonts w:ascii="Courier New" w:hAnsi="Courier New" w:hint="default"/>
      </w:rPr>
    </w:lvl>
    <w:lvl w:ilvl="2" w:tplc="A4E6BC56">
      <w:start w:val="1"/>
      <w:numFmt w:val="bullet"/>
      <w:lvlText w:val=""/>
      <w:lvlJc w:val="left"/>
      <w:pPr>
        <w:ind w:left="2160" w:hanging="360"/>
      </w:pPr>
      <w:rPr>
        <w:rFonts w:ascii="Wingdings" w:hAnsi="Wingdings" w:hint="default"/>
      </w:rPr>
    </w:lvl>
    <w:lvl w:ilvl="3" w:tplc="AC6071D6">
      <w:start w:val="1"/>
      <w:numFmt w:val="bullet"/>
      <w:lvlText w:val=""/>
      <w:lvlJc w:val="left"/>
      <w:pPr>
        <w:ind w:left="2880" w:hanging="360"/>
      </w:pPr>
      <w:rPr>
        <w:rFonts w:ascii="Symbol" w:hAnsi="Symbol" w:hint="default"/>
      </w:rPr>
    </w:lvl>
    <w:lvl w:ilvl="4" w:tplc="99D88048">
      <w:start w:val="1"/>
      <w:numFmt w:val="bullet"/>
      <w:lvlText w:val="o"/>
      <w:lvlJc w:val="left"/>
      <w:pPr>
        <w:ind w:left="3600" w:hanging="360"/>
      </w:pPr>
      <w:rPr>
        <w:rFonts w:ascii="Courier New" w:hAnsi="Courier New" w:hint="default"/>
      </w:rPr>
    </w:lvl>
    <w:lvl w:ilvl="5" w:tplc="AA306A8E">
      <w:start w:val="1"/>
      <w:numFmt w:val="bullet"/>
      <w:lvlText w:val=""/>
      <w:lvlJc w:val="left"/>
      <w:pPr>
        <w:ind w:left="4320" w:hanging="360"/>
      </w:pPr>
      <w:rPr>
        <w:rFonts w:ascii="Wingdings" w:hAnsi="Wingdings" w:hint="default"/>
      </w:rPr>
    </w:lvl>
    <w:lvl w:ilvl="6" w:tplc="67E42E90">
      <w:start w:val="1"/>
      <w:numFmt w:val="bullet"/>
      <w:lvlText w:val=""/>
      <w:lvlJc w:val="left"/>
      <w:pPr>
        <w:ind w:left="5040" w:hanging="360"/>
      </w:pPr>
      <w:rPr>
        <w:rFonts w:ascii="Symbol" w:hAnsi="Symbol" w:hint="default"/>
      </w:rPr>
    </w:lvl>
    <w:lvl w:ilvl="7" w:tplc="A2700B28">
      <w:start w:val="1"/>
      <w:numFmt w:val="bullet"/>
      <w:lvlText w:val="o"/>
      <w:lvlJc w:val="left"/>
      <w:pPr>
        <w:ind w:left="5760" w:hanging="360"/>
      </w:pPr>
      <w:rPr>
        <w:rFonts w:ascii="Courier New" w:hAnsi="Courier New" w:hint="default"/>
      </w:rPr>
    </w:lvl>
    <w:lvl w:ilvl="8" w:tplc="784EBDD0">
      <w:start w:val="1"/>
      <w:numFmt w:val="bullet"/>
      <w:lvlText w:val=""/>
      <w:lvlJc w:val="left"/>
      <w:pPr>
        <w:ind w:left="6480" w:hanging="360"/>
      </w:pPr>
      <w:rPr>
        <w:rFonts w:ascii="Wingdings" w:hAnsi="Wingdings" w:hint="default"/>
      </w:rPr>
    </w:lvl>
  </w:abstractNum>
  <w:num w:numId="1" w16cid:durableId="2120948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B3EEE4"/>
    <w:rsid w:val="003630D3"/>
    <w:rsid w:val="00583148"/>
    <w:rsid w:val="006417E3"/>
    <w:rsid w:val="0068480C"/>
    <w:rsid w:val="00DB244A"/>
    <w:rsid w:val="00E20073"/>
    <w:rsid w:val="00FF2E88"/>
    <w:rsid w:val="030AA843"/>
    <w:rsid w:val="03B319B1"/>
    <w:rsid w:val="06515ED8"/>
    <w:rsid w:val="0AA647AC"/>
    <w:rsid w:val="0B482A47"/>
    <w:rsid w:val="0CDC2C19"/>
    <w:rsid w:val="0F266FB7"/>
    <w:rsid w:val="1097F54B"/>
    <w:rsid w:val="11E9FE5B"/>
    <w:rsid w:val="134BFA42"/>
    <w:rsid w:val="135030D6"/>
    <w:rsid w:val="13945B12"/>
    <w:rsid w:val="13EF01A6"/>
    <w:rsid w:val="15246FF3"/>
    <w:rsid w:val="15BCC578"/>
    <w:rsid w:val="15F1C5A0"/>
    <w:rsid w:val="1890EB31"/>
    <w:rsid w:val="1954DB84"/>
    <w:rsid w:val="1BF663F7"/>
    <w:rsid w:val="1D20D032"/>
    <w:rsid w:val="1F311831"/>
    <w:rsid w:val="1F347896"/>
    <w:rsid w:val="1F6E7F2C"/>
    <w:rsid w:val="1F80338F"/>
    <w:rsid w:val="21835569"/>
    <w:rsid w:val="22EAC6A5"/>
    <w:rsid w:val="24CD9237"/>
    <w:rsid w:val="25D35B33"/>
    <w:rsid w:val="26F700EA"/>
    <w:rsid w:val="2D87C735"/>
    <w:rsid w:val="2F3BBF42"/>
    <w:rsid w:val="323137C4"/>
    <w:rsid w:val="32424712"/>
    <w:rsid w:val="342CA9EB"/>
    <w:rsid w:val="34E84BB7"/>
    <w:rsid w:val="3D35B655"/>
    <w:rsid w:val="3ED5E52F"/>
    <w:rsid w:val="3EFFC22C"/>
    <w:rsid w:val="3F5EA2EF"/>
    <w:rsid w:val="4117CF51"/>
    <w:rsid w:val="4144D996"/>
    <w:rsid w:val="426C78AC"/>
    <w:rsid w:val="45EF041C"/>
    <w:rsid w:val="461DBB7E"/>
    <w:rsid w:val="47208D74"/>
    <w:rsid w:val="47C20ECE"/>
    <w:rsid w:val="48904AEF"/>
    <w:rsid w:val="49BA3BA2"/>
    <w:rsid w:val="4AD7EB32"/>
    <w:rsid w:val="4AEB2527"/>
    <w:rsid w:val="4AFC2AC2"/>
    <w:rsid w:val="4B752AB2"/>
    <w:rsid w:val="4B8334B2"/>
    <w:rsid w:val="4CC9F772"/>
    <w:rsid w:val="4DEF670C"/>
    <w:rsid w:val="5282B5D2"/>
    <w:rsid w:val="52B3EEE4"/>
    <w:rsid w:val="538659C3"/>
    <w:rsid w:val="56082928"/>
    <w:rsid w:val="5802F5C8"/>
    <w:rsid w:val="5D4F30B4"/>
    <w:rsid w:val="5D516339"/>
    <w:rsid w:val="6174F775"/>
    <w:rsid w:val="61C9CC33"/>
    <w:rsid w:val="6224C46E"/>
    <w:rsid w:val="634D2071"/>
    <w:rsid w:val="64964390"/>
    <w:rsid w:val="6C91E2F8"/>
    <w:rsid w:val="6DACBCEC"/>
    <w:rsid w:val="6E1A3E2C"/>
    <w:rsid w:val="70730A2C"/>
    <w:rsid w:val="71BD552C"/>
    <w:rsid w:val="7422ED14"/>
    <w:rsid w:val="756CC1FC"/>
    <w:rsid w:val="76E4E8AF"/>
    <w:rsid w:val="7A2B372E"/>
    <w:rsid w:val="7C67BF57"/>
    <w:rsid w:val="7DE062E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3EEE4"/>
  <w15:chartTrackingRefBased/>
  <w15:docId w15:val="{4A942747-AC7F-4B49-BF95-8B40B1948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6C91E2F8"/>
    <w:rPr>
      <w:color w:val="467886"/>
      <w:u w:val="single"/>
    </w:rPr>
  </w:style>
  <w:style w:type="paragraph" w:styleId="ListParagraph">
    <w:name w:val="List Paragraph"/>
    <w:basedOn w:val="Normal"/>
    <w:uiPriority w:val="34"/>
    <w:qFormat/>
    <w:rsid w:val="6C91E2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32-6653/15/7/313" TargetMode="External"/><Relationship Id="rId3" Type="http://schemas.openxmlformats.org/officeDocument/2006/relationships/settings" Target="settings.xml"/><Relationship Id="rId7" Type="http://schemas.openxmlformats.org/officeDocument/2006/relationships/hyperlink" Target="https://www.bmwgroup.com/en/news/general/2024/decarbonisation.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die.net/bmw-and-mg-ordered-to-drop-ev-adverts-over-greenwashing-concerns/" TargetMode="External"/><Relationship Id="rId11" Type="http://schemas.openxmlformats.org/officeDocument/2006/relationships/fontTable" Target="fontTable.xml"/><Relationship Id="rId5" Type="http://schemas.openxmlformats.org/officeDocument/2006/relationships/hyperlink" Target="mailto:j.de-silva@uwtsd.ac.uk" TargetMode="External"/><Relationship Id="rId10" Type="http://schemas.openxmlformats.org/officeDocument/2006/relationships/hyperlink" Target="https://www.brusselstimes.com/news/914993/greenwashing-uk-advertising-regulator-says-electric-cars-are-not-zero-emission" TargetMode="External"/><Relationship Id="rId4" Type="http://schemas.openxmlformats.org/officeDocument/2006/relationships/webSettings" Target="webSettings.xml"/><Relationship Id="rId9" Type="http://schemas.openxmlformats.org/officeDocument/2006/relationships/hyperlink" Target="https://www.sustainability-beat.co.uk/2024/02/07/bmw-as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937</Words>
  <Characters>5345</Characters>
  <Application>Microsoft Office Word</Application>
  <DocSecurity>0</DocSecurity>
  <Lines>44</Lines>
  <Paragraphs>12</Paragraphs>
  <ScaleCrop>false</ScaleCrop>
  <Company/>
  <LinksUpToDate>false</LinksUpToDate>
  <CharactersWithSpaces>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Vranceanu (2435824)</dc:creator>
  <cp:keywords/>
  <dc:description/>
  <cp:lastModifiedBy>Sergiu Vranceanu (2435824)</cp:lastModifiedBy>
  <cp:revision>2</cp:revision>
  <dcterms:created xsi:type="dcterms:W3CDTF">2025-11-14T23:31:00Z</dcterms:created>
  <dcterms:modified xsi:type="dcterms:W3CDTF">2025-11-14T23:31:00Z</dcterms:modified>
</cp:coreProperties>
</file>