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2652" w:rsidRDefault="008C2652" w:rsidP="008C2652">
      <w:pPr>
        <w:jc w:val="center"/>
        <w:rPr>
          <w:b/>
          <w:sz w:val="28"/>
          <w:szCs w:val="28"/>
        </w:rPr>
      </w:pPr>
      <w:r w:rsidRPr="008C2652">
        <w:rPr>
          <w:b/>
          <w:sz w:val="28"/>
          <w:szCs w:val="28"/>
        </w:rPr>
        <w:t>Book Review</w:t>
      </w:r>
    </w:p>
    <w:p w:rsidR="008C2652" w:rsidRPr="008C2652" w:rsidRDefault="008C2652" w:rsidP="008C2652">
      <w:pPr>
        <w:jc w:val="center"/>
        <w:rPr>
          <w:b/>
          <w:sz w:val="28"/>
          <w:szCs w:val="28"/>
        </w:rPr>
      </w:pPr>
    </w:p>
    <w:p w:rsidR="007179F1" w:rsidRPr="008C2652" w:rsidRDefault="007179F1" w:rsidP="008C2652">
      <w:pPr>
        <w:spacing w:line="360" w:lineRule="auto"/>
        <w:rPr>
          <w:rFonts w:cstheme="minorHAnsi"/>
          <w:b/>
          <w:sz w:val="24"/>
          <w:szCs w:val="24"/>
        </w:rPr>
      </w:pPr>
      <w:r w:rsidRPr="008C2652">
        <w:rPr>
          <w:rFonts w:cstheme="minorHAnsi"/>
          <w:b/>
          <w:sz w:val="24"/>
          <w:szCs w:val="24"/>
        </w:rPr>
        <w:t xml:space="preserve">A. J. P. Taylor, </w:t>
      </w:r>
      <w:r w:rsidRPr="008C2652">
        <w:rPr>
          <w:rFonts w:cstheme="minorHAnsi"/>
          <w:b/>
          <w:i/>
          <w:sz w:val="24"/>
          <w:szCs w:val="24"/>
        </w:rPr>
        <w:t>War by Time-table: How the First World War Began</w:t>
      </w:r>
      <w:r w:rsidRPr="008C2652">
        <w:rPr>
          <w:rFonts w:cstheme="minorHAnsi"/>
          <w:b/>
          <w:sz w:val="24"/>
          <w:szCs w:val="24"/>
        </w:rPr>
        <w:t xml:space="preserve"> (London: Macdonald &amp; Co Ltd, 1969). 127. ISBN 9780356028187.</w:t>
      </w:r>
    </w:p>
    <w:p w:rsidR="007179F1" w:rsidRPr="008C2652" w:rsidRDefault="007179F1" w:rsidP="008C2652">
      <w:pPr>
        <w:spacing w:line="360" w:lineRule="auto"/>
        <w:rPr>
          <w:rFonts w:cstheme="minorHAnsi"/>
          <w:sz w:val="24"/>
          <w:szCs w:val="24"/>
        </w:rPr>
      </w:pPr>
    </w:p>
    <w:p w:rsidR="00247676" w:rsidRPr="008C2652" w:rsidRDefault="00636AD9" w:rsidP="008C2652">
      <w:pPr>
        <w:spacing w:line="360" w:lineRule="auto"/>
        <w:rPr>
          <w:rFonts w:cstheme="minorHAnsi"/>
          <w:sz w:val="24"/>
          <w:szCs w:val="24"/>
        </w:rPr>
      </w:pPr>
      <w:r w:rsidRPr="008C2652">
        <w:rPr>
          <w:rFonts w:cstheme="minorHAnsi"/>
          <w:sz w:val="24"/>
          <w:szCs w:val="24"/>
        </w:rPr>
        <w:t xml:space="preserve">British historian and journalist A. J. P. Taylor’s </w:t>
      </w:r>
      <w:r w:rsidRPr="008C2652">
        <w:rPr>
          <w:rFonts w:cstheme="minorHAnsi"/>
          <w:i/>
          <w:sz w:val="24"/>
          <w:szCs w:val="24"/>
        </w:rPr>
        <w:t>War by Timetable</w:t>
      </w:r>
      <w:r w:rsidRPr="008C2652">
        <w:rPr>
          <w:rFonts w:cstheme="minorHAnsi"/>
          <w:sz w:val="24"/>
          <w:szCs w:val="24"/>
        </w:rPr>
        <w:t xml:space="preserve"> was a follow-up to his earlier bestseller,</w:t>
      </w:r>
      <w:r w:rsidRPr="008C2652">
        <w:rPr>
          <w:rStyle w:val="FootnoteReference"/>
          <w:rFonts w:cstheme="minorHAnsi"/>
          <w:sz w:val="24"/>
          <w:szCs w:val="24"/>
        </w:rPr>
        <w:footnoteReference w:id="1"/>
      </w:r>
      <w:r w:rsidRPr="008C2652">
        <w:rPr>
          <w:rFonts w:cstheme="minorHAnsi"/>
          <w:sz w:val="24"/>
          <w:szCs w:val="24"/>
        </w:rPr>
        <w:t xml:space="preserve"> </w:t>
      </w:r>
      <w:r w:rsidRPr="008C2652">
        <w:rPr>
          <w:rFonts w:cstheme="minorHAnsi"/>
          <w:i/>
          <w:sz w:val="24"/>
          <w:szCs w:val="24"/>
        </w:rPr>
        <w:t>The First World War: An Illustrated History</w:t>
      </w:r>
      <w:r w:rsidRPr="008C2652">
        <w:rPr>
          <w:rFonts w:cstheme="minorHAnsi"/>
          <w:sz w:val="24"/>
          <w:szCs w:val="24"/>
        </w:rPr>
        <w:t>.</w:t>
      </w:r>
      <w:r w:rsidR="000D080D" w:rsidRPr="008C2652">
        <w:rPr>
          <w:rStyle w:val="FootnoteReference"/>
          <w:rFonts w:cstheme="minorHAnsi"/>
          <w:sz w:val="24"/>
          <w:szCs w:val="24"/>
        </w:rPr>
        <w:footnoteReference w:id="2"/>
      </w:r>
      <w:r w:rsidRPr="008C2652">
        <w:rPr>
          <w:rFonts w:cstheme="minorHAnsi"/>
          <w:sz w:val="24"/>
          <w:szCs w:val="24"/>
        </w:rPr>
        <w:t xml:space="preserve"> In this popular history, he narrowed his focus to the situation in 1914, just before the outbreak of war, </w:t>
      </w:r>
      <w:proofErr w:type="gramStart"/>
      <w:r w:rsidRPr="008C2652">
        <w:rPr>
          <w:rFonts w:cstheme="minorHAnsi"/>
          <w:sz w:val="24"/>
          <w:szCs w:val="24"/>
        </w:rPr>
        <w:t>in order to</w:t>
      </w:r>
      <w:proofErr w:type="gramEnd"/>
      <w:r w:rsidRPr="008C2652">
        <w:rPr>
          <w:rFonts w:cstheme="minorHAnsi"/>
          <w:sz w:val="24"/>
          <w:szCs w:val="24"/>
        </w:rPr>
        <w:t xml:space="preserve"> highlight the complacency of Britain and the other major European powers in regard warfare. He suggested that </w:t>
      </w:r>
      <w:r w:rsidR="00DF22BC" w:rsidRPr="008C2652">
        <w:rPr>
          <w:rFonts w:cstheme="minorHAnsi"/>
          <w:sz w:val="24"/>
          <w:szCs w:val="24"/>
        </w:rPr>
        <w:t xml:space="preserve">the diplomatic machinery and planning created in the nineteenth century </w:t>
      </w:r>
      <w:proofErr w:type="gramStart"/>
      <w:r w:rsidR="00DF22BC" w:rsidRPr="008C2652">
        <w:rPr>
          <w:rFonts w:cstheme="minorHAnsi"/>
          <w:sz w:val="24"/>
          <w:szCs w:val="24"/>
        </w:rPr>
        <w:t>for the purpose of</w:t>
      </w:r>
      <w:proofErr w:type="gramEnd"/>
      <w:r w:rsidR="00DF22BC" w:rsidRPr="008C2652">
        <w:rPr>
          <w:rFonts w:cstheme="minorHAnsi"/>
          <w:sz w:val="24"/>
          <w:szCs w:val="24"/>
        </w:rPr>
        <w:t xml:space="preserve"> avoiding war had not been altered to meet changing realities, and so was instead propelling the world into war. He drew similarity between these diplomatic plans and, as is suggested by title of his monograph, the railway timetables that would enable swift, large-scale mobilisation; in doing so, he created a hugely enduring image in </w:t>
      </w:r>
      <w:r w:rsidR="009124EA" w:rsidRPr="008C2652">
        <w:rPr>
          <w:rFonts w:cstheme="minorHAnsi"/>
          <w:sz w:val="24"/>
          <w:szCs w:val="24"/>
        </w:rPr>
        <w:t xml:space="preserve">both </w:t>
      </w:r>
      <w:r w:rsidR="00DF22BC" w:rsidRPr="008C2652">
        <w:rPr>
          <w:rFonts w:cstheme="minorHAnsi"/>
          <w:sz w:val="24"/>
          <w:szCs w:val="24"/>
        </w:rPr>
        <w:t>the British historiography of the war</w:t>
      </w:r>
      <w:r w:rsidR="009124EA" w:rsidRPr="008C2652">
        <w:rPr>
          <w:rFonts w:cstheme="minorHAnsi"/>
          <w:sz w:val="24"/>
          <w:szCs w:val="24"/>
        </w:rPr>
        <w:t xml:space="preserve"> and in popular understanding of the war</w:t>
      </w:r>
      <w:r w:rsidR="00DF22BC" w:rsidRPr="008C2652">
        <w:rPr>
          <w:rFonts w:cstheme="minorHAnsi"/>
          <w:sz w:val="24"/>
          <w:szCs w:val="24"/>
        </w:rPr>
        <w:t>.</w:t>
      </w:r>
      <w:r w:rsidR="009124EA" w:rsidRPr="008C2652">
        <w:rPr>
          <w:rStyle w:val="FootnoteReference"/>
          <w:rFonts w:cstheme="minorHAnsi"/>
          <w:sz w:val="24"/>
          <w:szCs w:val="24"/>
        </w:rPr>
        <w:footnoteReference w:id="3"/>
      </w:r>
    </w:p>
    <w:p w:rsidR="007179F1" w:rsidRPr="008C2652" w:rsidRDefault="007179F1" w:rsidP="008C2652">
      <w:pPr>
        <w:spacing w:line="360" w:lineRule="auto"/>
        <w:rPr>
          <w:rFonts w:cstheme="minorHAnsi"/>
          <w:sz w:val="24"/>
          <w:szCs w:val="24"/>
        </w:rPr>
      </w:pPr>
      <w:r w:rsidRPr="008C2652">
        <w:rPr>
          <w:rFonts w:cstheme="minorHAnsi"/>
          <w:sz w:val="24"/>
          <w:szCs w:val="24"/>
        </w:rPr>
        <w:tab/>
        <w:t>According to Taylor, the root of this complacency was a lack of experience of war in the decades before: he notes that the last war proper between major powers had been the Franco-Prussian War of 1870-1871, and last time that such a war had been thought close was the dispute between Britain and Russian over Constantinople, in 1878.</w:t>
      </w:r>
      <w:r w:rsidRPr="008C2652">
        <w:rPr>
          <w:rStyle w:val="FootnoteReference"/>
          <w:rFonts w:cstheme="minorHAnsi"/>
          <w:sz w:val="24"/>
          <w:szCs w:val="24"/>
        </w:rPr>
        <w:footnoteReference w:id="4"/>
      </w:r>
      <w:r w:rsidRPr="008C2652">
        <w:rPr>
          <w:rFonts w:cstheme="minorHAnsi"/>
          <w:sz w:val="24"/>
          <w:szCs w:val="24"/>
        </w:rPr>
        <w:t xml:space="preserve"> For Taylor, this seemed to have </w:t>
      </w:r>
      <w:r w:rsidR="00BE3404" w:rsidRPr="008C2652">
        <w:rPr>
          <w:rFonts w:cstheme="minorHAnsi"/>
          <w:sz w:val="24"/>
          <w:szCs w:val="24"/>
        </w:rPr>
        <w:t>two</w:t>
      </w:r>
      <w:r w:rsidRPr="008C2652">
        <w:rPr>
          <w:rFonts w:cstheme="minorHAnsi"/>
          <w:sz w:val="24"/>
          <w:szCs w:val="24"/>
        </w:rPr>
        <w:t xml:space="preserve"> disastrous consequences. Firstly, </w:t>
      </w:r>
      <w:r w:rsidR="00300A30" w:rsidRPr="008C2652">
        <w:rPr>
          <w:rFonts w:cstheme="minorHAnsi"/>
          <w:sz w:val="24"/>
          <w:szCs w:val="24"/>
        </w:rPr>
        <w:t>the balancing of power had come to be seen as a natural state of affairs, rather than something that had been imposed by the Concert of Europe and by Bismarck’s later system of alliances;</w:t>
      </w:r>
      <w:r w:rsidR="008277EA" w:rsidRPr="008C2652">
        <w:rPr>
          <w:rStyle w:val="FootnoteReference"/>
          <w:rFonts w:cstheme="minorHAnsi"/>
          <w:sz w:val="24"/>
          <w:szCs w:val="24"/>
        </w:rPr>
        <w:footnoteReference w:id="5"/>
      </w:r>
      <w:r w:rsidR="00300A30" w:rsidRPr="008C2652">
        <w:rPr>
          <w:rFonts w:cstheme="minorHAnsi"/>
          <w:sz w:val="24"/>
          <w:szCs w:val="24"/>
        </w:rPr>
        <w:t xml:space="preserve"> Taylor relates this to the meticulous planning of railway timetables, and also the granting in England of enormously </w:t>
      </w:r>
      <w:r w:rsidR="00300A30" w:rsidRPr="008C2652">
        <w:rPr>
          <w:rFonts w:cstheme="minorHAnsi"/>
          <w:sz w:val="24"/>
          <w:szCs w:val="24"/>
        </w:rPr>
        <w:lastRenderedPageBreak/>
        <w:t>long-lasting leases, both of which rested on the assumption that affairs as they currently existed would continue indefinitely.</w:t>
      </w:r>
      <w:r w:rsidR="008277EA" w:rsidRPr="008C2652">
        <w:rPr>
          <w:rStyle w:val="FootnoteReference"/>
          <w:rFonts w:cstheme="minorHAnsi"/>
          <w:sz w:val="24"/>
          <w:szCs w:val="24"/>
        </w:rPr>
        <w:footnoteReference w:id="6"/>
      </w:r>
      <w:r w:rsidR="00300A30" w:rsidRPr="008C2652">
        <w:rPr>
          <w:rFonts w:cstheme="minorHAnsi"/>
          <w:sz w:val="24"/>
          <w:szCs w:val="24"/>
        </w:rPr>
        <w:t xml:space="preserve"> Secondly, it meant that the</w:t>
      </w:r>
      <w:r w:rsidR="00BE3404" w:rsidRPr="008C2652">
        <w:rPr>
          <w:rFonts w:cstheme="minorHAnsi"/>
          <w:sz w:val="24"/>
          <w:szCs w:val="24"/>
        </w:rPr>
        <w:t xml:space="preserve"> strategists of the powers were inexperienced, operating only in a theoretical space and without co-operation.</w:t>
      </w:r>
      <w:r w:rsidR="008277EA" w:rsidRPr="008C2652">
        <w:rPr>
          <w:rStyle w:val="FootnoteReference"/>
          <w:rFonts w:cstheme="minorHAnsi"/>
          <w:sz w:val="24"/>
          <w:szCs w:val="24"/>
        </w:rPr>
        <w:footnoteReference w:id="7"/>
      </w:r>
      <w:r w:rsidR="00BE3404" w:rsidRPr="008C2652">
        <w:rPr>
          <w:rFonts w:cstheme="minorHAnsi"/>
          <w:sz w:val="24"/>
          <w:szCs w:val="24"/>
        </w:rPr>
        <w:t xml:space="preserve"> However, Taylor does suggest that Britain was an exception to this: mobilising for Britain meant moving an army across the Channel to join the French army;</w:t>
      </w:r>
      <w:r w:rsidR="008277EA" w:rsidRPr="008C2652">
        <w:rPr>
          <w:rStyle w:val="FootnoteReference"/>
          <w:rFonts w:cstheme="minorHAnsi"/>
          <w:sz w:val="24"/>
          <w:szCs w:val="24"/>
        </w:rPr>
        <w:footnoteReference w:id="8"/>
      </w:r>
      <w:r w:rsidR="00BE3404" w:rsidRPr="008C2652">
        <w:rPr>
          <w:rFonts w:cstheme="minorHAnsi"/>
          <w:sz w:val="24"/>
          <w:szCs w:val="24"/>
        </w:rPr>
        <w:t xml:space="preserve"> as such, a degree of co-operation did exist between these armies.</w:t>
      </w:r>
      <w:r w:rsidR="00DC6E99" w:rsidRPr="008C2652">
        <w:rPr>
          <w:rFonts w:cstheme="minorHAnsi"/>
          <w:sz w:val="24"/>
          <w:szCs w:val="24"/>
        </w:rPr>
        <w:t xml:space="preserve"> </w:t>
      </w:r>
      <w:r w:rsidR="00D56900" w:rsidRPr="008C2652">
        <w:rPr>
          <w:rFonts w:cstheme="minorHAnsi"/>
          <w:sz w:val="24"/>
          <w:szCs w:val="24"/>
        </w:rPr>
        <w:t xml:space="preserve"> Despite this limited example of co-operation, t</w:t>
      </w:r>
      <w:r w:rsidR="00DC6E99" w:rsidRPr="008C2652">
        <w:rPr>
          <w:rFonts w:cstheme="minorHAnsi"/>
          <w:sz w:val="24"/>
          <w:szCs w:val="24"/>
        </w:rPr>
        <w:t>he result was that the plans of the powers ‘had become habit’</w:t>
      </w:r>
      <w:r w:rsidR="00D56900" w:rsidRPr="008C2652">
        <w:rPr>
          <w:rFonts w:cstheme="minorHAnsi"/>
          <w:sz w:val="24"/>
          <w:szCs w:val="24"/>
        </w:rPr>
        <w:t>, not actively maintained or altered to match changing realities.</w:t>
      </w:r>
      <w:r w:rsidR="00DC6E99" w:rsidRPr="008C2652">
        <w:rPr>
          <w:rStyle w:val="FootnoteReference"/>
          <w:rFonts w:cstheme="minorHAnsi"/>
          <w:sz w:val="24"/>
          <w:szCs w:val="24"/>
        </w:rPr>
        <w:footnoteReference w:id="9"/>
      </w:r>
    </w:p>
    <w:p w:rsidR="00BE3404" w:rsidRPr="008C2652" w:rsidRDefault="00BE3404" w:rsidP="008C2652">
      <w:pPr>
        <w:spacing w:line="360" w:lineRule="auto"/>
        <w:rPr>
          <w:rFonts w:cstheme="minorHAnsi"/>
          <w:sz w:val="24"/>
          <w:szCs w:val="24"/>
        </w:rPr>
      </w:pPr>
      <w:r w:rsidRPr="008C2652">
        <w:rPr>
          <w:rFonts w:cstheme="minorHAnsi"/>
          <w:sz w:val="24"/>
          <w:szCs w:val="24"/>
        </w:rPr>
        <w:tab/>
        <w:t xml:space="preserve">Taylor </w:t>
      </w:r>
      <w:r w:rsidR="00DC6E99" w:rsidRPr="008C2652">
        <w:rPr>
          <w:rFonts w:cstheme="minorHAnsi"/>
          <w:sz w:val="24"/>
          <w:szCs w:val="24"/>
        </w:rPr>
        <w:t>suggests</w:t>
      </w:r>
      <w:r w:rsidRPr="008C2652">
        <w:rPr>
          <w:rFonts w:cstheme="minorHAnsi"/>
          <w:sz w:val="24"/>
          <w:szCs w:val="24"/>
        </w:rPr>
        <w:t xml:space="preserve"> that this system, of Britain and the other major European powers keeping one another in check, rested on the creation of mass armies</w:t>
      </w:r>
      <w:r w:rsidR="00E10E93" w:rsidRPr="008C2652">
        <w:rPr>
          <w:rFonts w:cstheme="minorHAnsi"/>
          <w:sz w:val="24"/>
          <w:szCs w:val="24"/>
        </w:rPr>
        <w:t xml:space="preserve"> ‘based on universal military service’.</w:t>
      </w:r>
      <w:r w:rsidR="008277EA" w:rsidRPr="008C2652">
        <w:rPr>
          <w:rStyle w:val="FootnoteReference"/>
          <w:rFonts w:cstheme="minorHAnsi"/>
          <w:sz w:val="24"/>
          <w:szCs w:val="24"/>
        </w:rPr>
        <w:footnoteReference w:id="10"/>
      </w:r>
      <w:r w:rsidR="00E10E93" w:rsidRPr="008C2652">
        <w:rPr>
          <w:rFonts w:cstheme="minorHAnsi"/>
          <w:sz w:val="24"/>
          <w:szCs w:val="24"/>
        </w:rPr>
        <w:t xml:space="preserve"> However, he oddly fails to discuss Britain as the exception to this: </w:t>
      </w:r>
      <w:r w:rsidR="000626D7" w:rsidRPr="008C2652">
        <w:rPr>
          <w:rFonts w:cstheme="minorHAnsi"/>
          <w:sz w:val="24"/>
          <w:szCs w:val="24"/>
        </w:rPr>
        <w:t xml:space="preserve">going into the war, </w:t>
      </w:r>
      <w:r w:rsidR="00E10E93" w:rsidRPr="008C2652">
        <w:rPr>
          <w:rFonts w:cstheme="minorHAnsi"/>
          <w:sz w:val="24"/>
          <w:szCs w:val="24"/>
        </w:rPr>
        <w:t xml:space="preserve">Britain still had a smaller, professional army </w:t>
      </w:r>
      <w:r w:rsidR="000626D7" w:rsidRPr="008C2652">
        <w:rPr>
          <w:rFonts w:cstheme="minorHAnsi"/>
          <w:sz w:val="24"/>
          <w:szCs w:val="24"/>
        </w:rPr>
        <w:t xml:space="preserve">based on voluntary recruitment </w:t>
      </w:r>
      <w:r w:rsidR="00E10E93" w:rsidRPr="008C2652">
        <w:rPr>
          <w:rFonts w:cstheme="minorHAnsi"/>
          <w:sz w:val="24"/>
          <w:szCs w:val="24"/>
        </w:rPr>
        <w:t>rather than a mass one. Compulsory registration for the army, and later conscription, would not be introduced to Britain until war had already broken out; this would become a hugely contentious issue, contributing to the splitting of the Liberal Party.</w:t>
      </w:r>
      <w:r w:rsidR="00CD5E8C" w:rsidRPr="008C2652">
        <w:rPr>
          <w:rStyle w:val="FootnoteReference"/>
          <w:rFonts w:cstheme="minorHAnsi"/>
          <w:sz w:val="24"/>
          <w:szCs w:val="24"/>
        </w:rPr>
        <w:footnoteReference w:id="11"/>
      </w:r>
      <w:r w:rsidR="00E10E93" w:rsidRPr="008C2652">
        <w:rPr>
          <w:rFonts w:cstheme="minorHAnsi"/>
          <w:sz w:val="24"/>
          <w:szCs w:val="24"/>
        </w:rPr>
        <w:t xml:space="preserve"> As such, in the British historiography, it adds credence the categorisation of the First World War as a ‘total war’, for its disruptive effect </w:t>
      </w:r>
      <w:proofErr w:type="gramStart"/>
      <w:r w:rsidR="000626D7" w:rsidRPr="008C2652">
        <w:rPr>
          <w:rFonts w:cstheme="minorHAnsi"/>
          <w:sz w:val="24"/>
          <w:szCs w:val="24"/>
        </w:rPr>
        <w:t>on the whole</w:t>
      </w:r>
      <w:proofErr w:type="gramEnd"/>
      <w:r w:rsidR="000626D7" w:rsidRPr="008C2652">
        <w:rPr>
          <w:rFonts w:cstheme="minorHAnsi"/>
          <w:sz w:val="24"/>
          <w:szCs w:val="24"/>
        </w:rPr>
        <w:t xml:space="preserve"> of British society, and so is a strange point for Taylor to omit.</w:t>
      </w:r>
    </w:p>
    <w:p w:rsidR="000626D7" w:rsidRPr="008C2652" w:rsidRDefault="000626D7" w:rsidP="008C2652">
      <w:pPr>
        <w:spacing w:line="360" w:lineRule="auto"/>
        <w:rPr>
          <w:rFonts w:cstheme="minorHAnsi"/>
          <w:sz w:val="24"/>
          <w:szCs w:val="24"/>
        </w:rPr>
      </w:pPr>
      <w:r w:rsidRPr="008C2652">
        <w:rPr>
          <w:rFonts w:cstheme="minorHAnsi"/>
          <w:sz w:val="24"/>
          <w:szCs w:val="24"/>
        </w:rPr>
        <w:tab/>
        <w:t xml:space="preserve">However, Taylor does discuss the role of the navy in British mobilisation. </w:t>
      </w:r>
      <w:r w:rsidR="001E7F26" w:rsidRPr="008C2652">
        <w:rPr>
          <w:rFonts w:cstheme="minorHAnsi"/>
          <w:sz w:val="24"/>
          <w:szCs w:val="24"/>
        </w:rPr>
        <w:t xml:space="preserve">He suggests that, where Germany had its Schlieffen plan, British hopes for a swift end to war </w:t>
      </w:r>
      <w:r w:rsidR="00572CEF" w:rsidRPr="008C2652">
        <w:rPr>
          <w:rFonts w:cstheme="minorHAnsi"/>
          <w:sz w:val="24"/>
          <w:szCs w:val="24"/>
        </w:rPr>
        <w:t>rested on the destruction of the German fleet.</w:t>
      </w:r>
      <w:r w:rsidR="00A70365" w:rsidRPr="008C2652">
        <w:rPr>
          <w:rStyle w:val="FootnoteReference"/>
          <w:rFonts w:cstheme="minorHAnsi"/>
          <w:sz w:val="24"/>
          <w:szCs w:val="24"/>
        </w:rPr>
        <w:footnoteReference w:id="12"/>
      </w:r>
      <w:r w:rsidR="00572CEF" w:rsidRPr="008C2652">
        <w:rPr>
          <w:rFonts w:cstheme="minorHAnsi"/>
          <w:sz w:val="24"/>
          <w:szCs w:val="24"/>
        </w:rPr>
        <w:t xml:space="preserve"> Like the Schlieffen plan, this hope was detached from reality. While Britain was bolstering its own fleet, Germany was building its own and so rendering the plan for a d</w:t>
      </w:r>
      <w:r w:rsidR="00C51AAA" w:rsidRPr="008C2652">
        <w:rPr>
          <w:rFonts w:cstheme="minorHAnsi"/>
          <w:sz w:val="24"/>
          <w:szCs w:val="24"/>
        </w:rPr>
        <w:t>ecisive naval battle impossible;</w:t>
      </w:r>
      <w:r w:rsidR="00572CEF" w:rsidRPr="008C2652">
        <w:rPr>
          <w:rStyle w:val="FootnoteReference"/>
          <w:rFonts w:cstheme="minorHAnsi"/>
          <w:sz w:val="24"/>
          <w:szCs w:val="24"/>
        </w:rPr>
        <w:footnoteReference w:id="13"/>
      </w:r>
      <w:r w:rsidR="00572CEF" w:rsidRPr="008C2652">
        <w:rPr>
          <w:rFonts w:cstheme="minorHAnsi"/>
          <w:sz w:val="24"/>
          <w:szCs w:val="24"/>
        </w:rPr>
        <w:t xml:space="preserve"> </w:t>
      </w:r>
      <w:r w:rsidR="00C51AAA" w:rsidRPr="008C2652">
        <w:rPr>
          <w:rFonts w:cstheme="minorHAnsi"/>
          <w:sz w:val="24"/>
          <w:szCs w:val="24"/>
        </w:rPr>
        <w:t>as such, the timetables were ‘tragically inaccurate’.</w:t>
      </w:r>
      <w:r w:rsidR="00C51AAA" w:rsidRPr="008C2652">
        <w:rPr>
          <w:rStyle w:val="FootnoteReference"/>
          <w:rFonts w:cstheme="minorHAnsi"/>
          <w:sz w:val="24"/>
          <w:szCs w:val="24"/>
        </w:rPr>
        <w:footnoteReference w:id="14"/>
      </w:r>
      <w:r w:rsidR="00C51AAA" w:rsidRPr="008C2652">
        <w:rPr>
          <w:rFonts w:cstheme="minorHAnsi"/>
          <w:sz w:val="24"/>
          <w:szCs w:val="24"/>
        </w:rPr>
        <w:t xml:space="preserve"> </w:t>
      </w:r>
      <w:r w:rsidR="00572CEF" w:rsidRPr="008C2652">
        <w:rPr>
          <w:rFonts w:cstheme="minorHAnsi"/>
          <w:sz w:val="24"/>
          <w:szCs w:val="24"/>
        </w:rPr>
        <w:t xml:space="preserve">Later historians would shed more light on this unfounded hope for a </w:t>
      </w:r>
      <w:r w:rsidR="00572CEF" w:rsidRPr="008C2652">
        <w:rPr>
          <w:rFonts w:cstheme="minorHAnsi"/>
          <w:sz w:val="24"/>
          <w:szCs w:val="24"/>
        </w:rPr>
        <w:lastRenderedPageBreak/>
        <w:t>quick end to hostilities, which Farrar would call the ‘short war illusion’.</w:t>
      </w:r>
      <w:r w:rsidR="00572CEF" w:rsidRPr="008C2652">
        <w:rPr>
          <w:rStyle w:val="FootnoteReference"/>
          <w:rFonts w:cstheme="minorHAnsi"/>
          <w:sz w:val="24"/>
          <w:szCs w:val="24"/>
        </w:rPr>
        <w:footnoteReference w:id="15"/>
      </w:r>
      <w:r w:rsidR="00DC6E99" w:rsidRPr="008C2652">
        <w:rPr>
          <w:rFonts w:cstheme="minorHAnsi"/>
          <w:sz w:val="24"/>
          <w:szCs w:val="24"/>
        </w:rPr>
        <w:t xml:space="preserve"> The result of this misconception</w:t>
      </w:r>
      <w:r w:rsidR="00D56900" w:rsidRPr="008C2652">
        <w:rPr>
          <w:rFonts w:cstheme="minorHAnsi"/>
          <w:sz w:val="24"/>
          <w:szCs w:val="24"/>
        </w:rPr>
        <w:t xml:space="preserve"> was that the great fear of the nineteenth century</w:t>
      </w:r>
      <w:r w:rsidR="00D56900" w:rsidRPr="008C2652">
        <w:rPr>
          <w:rFonts w:cstheme="minorHAnsi"/>
          <w:color w:val="222222"/>
          <w:sz w:val="24"/>
          <w:szCs w:val="24"/>
          <w:shd w:val="clear" w:color="auto" w:fill="FFFFFF"/>
        </w:rPr>
        <w:t>—</w:t>
      </w:r>
      <w:r w:rsidR="00D56900" w:rsidRPr="008C2652">
        <w:rPr>
          <w:rFonts w:cstheme="minorHAnsi"/>
          <w:sz w:val="24"/>
          <w:szCs w:val="24"/>
        </w:rPr>
        <w:t>of a major European war</w:t>
      </w:r>
      <w:r w:rsidR="00D56900" w:rsidRPr="008C2652">
        <w:rPr>
          <w:rFonts w:cstheme="minorHAnsi"/>
          <w:color w:val="222222"/>
          <w:sz w:val="24"/>
          <w:szCs w:val="24"/>
          <w:shd w:val="clear" w:color="auto" w:fill="FFFFFF"/>
        </w:rPr>
        <w:t>—</w:t>
      </w:r>
      <w:r w:rsidR="00D56900" w:rsidRPr="008C2652">
        <w:rPr>
          <w:rFonts w:cstheme="minorHAnsi"/>
          <w:sz w:val="24"/>
          <w:szCs w:val="24"/>
        </w:rPr>
        <w:t xml:space="preserve">was no longer considered so great, </w:t>
      </w:r>
      <w:r w:rsidR="00DC6E99" w:rsidRPr="008C2652">
        <w:rPr>
          <w:rFonts w:cstheme="minorHAnsi"/>
          <w:sz w:val="24"/>
          <w:szCs w:val="24"/>
        </w:rPr>
        <w:t xml:space="preserve"> </w:t>
      </w:r>
      <w:r w:rsidR="00D56900" w:rsidRPr="008C2652">
        <w:rPr>
          <w:rFonts w:cstheme="minorHAnsi"/>
          <w:sz w:val="24"/>
          <w:szCs w:val="24"/>
        </w:rPr>
        <w:t>and so the fractious situation in the Balkans was allowed to escalate to a fractious situation between the major powers.</w:t>
      </w:r>
    </w:p>
    <w:p w:rsidR="00D56900" w:rsidRPr="008C2652" w:rsidRDefault="00C51AAA" w:rsidP="008C2652">
      <w:pPr>
        <w:spacing w:line="360" w:lineRule="auto"/>
        <w:rPr>
          <w:rFonts w:cstheme="minorHAnsi"/>
          <w:sz w:val="24"/>
          <w:szCs w:val="24"/>
        </w:rPr>
      </w:pPr>
      <w:r w:rsidRPr="008C2652">
        <w:rPr>
          <w:rFonts w:cstheme="minorHAnsi"/>
          <w:sz w:val="24"/>
          <w:szCs w:val="24"/>
        </w:rPr>
        <w:tab/>
      </w:r>
      <w:r w:rsidR="00967A0C" w:rsidRPr="008C2652">
        <w:rPr>
          <w:rFonts w:cstheme="minorHAnsi"/>
          <w:sz w:val="24"/>
          <w:szCs w:val="24"/>
        </w:rPr>
        <w:t xml:space="preserve">Taylor was unconvinced by previous assertions that the statesmen of Europe had dubious motives going in to negotiations in 1914. He rejects the assertion of Fritz Fischer that Germany desired the creation of a </w:t>
      </w:r>
      <w:proofErr w:type="spellStart"/>
      <w:r w:rsidR="00967A0C" w:rsidRPr="008C2652">
        <w:rPr>
          <w:rFonts w:cstheme="minorHAnsi"/>
          <w:i/>
          <w:sz w:val="24"/>
          <w:szCs w:val="24"/>
        </w:rPr>
        <w:t>Grossdeutchland</w:t>
      </w:r>
      <w:proofErr w:type="spellEnd"/>
      <w:r w:rsidR="00967A0C" w:rsidRPr="008C2652">
        <w:rPr>
          <w:rFonts w:cstheme="minorHAnsi"/>
          <w:sz w:val="24"/>
          <w:szCs w:val="24"/>
        </w:rPr>
        <w:t xml:space="preserve"> through annexation;</w:t>
      </w:r>
      <w:r w:rsidR="00967A0C" w:rsidRPr="008C2652">
        <w:rPr>
          <w:rStyle w:val="FootnoteReference"/>
          <w:rFonts w:cstheme="minorHAnsi"/>
          <w:sz w:val="24"/>
          <w:szCs w:val="24"/>
        </w:rPr>
        <w:footnoteReference w:id="16"/>
      </w:r>
      <w:r w:rsidR="00967A0C" w:rsidRPr="008C2652">
        <w:rPr>
          <w:rFonts w:cstheme="minorHAnsi"/>
          <w:sz w:val="24"/>
          <w:szCs w:val="24"/>
        </w:rPr>
        <w:t xml:space="preserve"> he similarly rejects the idea suggested by </w:t>
      </w:r>
      <w:proofErr w:type="spellStart"/>
      <w:r w:rsidR="00967A0C" w:rsidRPr="008C2652">
        <w:rPr>
          <w:rFonts w:cstheme="minorHAnsi"/>
          <w:sz w:val="24"/>
          <w:szCs w:val="24"/>
        </w:rPr>
        <w:t>Geiss</w:t>
      </w:r>
      <w:proofErr w:type="spellEnd"/>
      <w:r w:rsidR="00967A0C" w:rsidRPr="008C2652">
        <w:rPr>
          <w:rFonts w:cstheme="minorHAnsi"/>
          <w:sz w:val="24"/>
          <w:szCs w:val="24"/>
        </w:rPr>
        <w:t xml:space="preserve"> that the Triple Entente’s hand was forced by grand German ambitions.</w:t>
      </w:r>
      <w:r w:rsidR="00967A0C" w:rsidRPr="008C2652">
        <w:rPr>
          <w:rStyle w:val="FootnoteReference"/>
          <w:rFonts w:cstheme="minorHAnsi"/>
          <w:sz w:val="24"/>
          <w:szCs w:val="24"/>
        </w:rPr>
        <w:footnoteReference w:id="17"/>
      </w:r>
      <w:r w:rsidR="00967A0C" w:rsidRPr="008C2652">
        <w:rPr>
          <w:rFonts w:cstheme="minorHAnsi"/>
          <w:sz w:val="24"/>
          <w:szCs w:val="24"/>
        </w:rPr>
        <w:t xml:space="preserve"> Instead, he sees</w:t>
      </w:r>
      <w:r w:rsidR="000B4EB1" w:rsidRPr="008C2652">
        <w:rPr>
          <w:rFonts w:cstheme="minorHAnsi"/>
          <w:sz w:val="24"/>
          <w:szCs w:val="24"/>
        </w:rPr>
        <w:t xml:space="preserve"> the failure of the negotiations as resulting from misunderstanding. </w:t>
      </w:r>
      <w:proofErr w:type="gramStart"/>
      <w:r w:rsidR="000B4EB1" w:rsidRPr="008C2652">
        <w:rPr>
          <w:rFonts w:cstheme="minorHAnsi"/>
          <w:sz w:val="24"/>
          <w:szCs w:val="24"/>
        </w:rPr>
        <w:t>In particular, Taylor</w:t>
      </w:r>
      <w:proofErr w:type="gramEnd"/>
      <w:r w:rsidR="000B4EB1" w:rsidRPr="008C2652">
        <w:rPr>
          <w:rFonts w:cstheme="minorHAnsi"/>
          <w:sz w:val="24"/>
          <w:szCs w:val="24"/>
        </w:rPr>
        <w:t xml:space="preserve"> highlights German surprise at Britain’s entry into the war ‘just for a scrap of paper’.</w:t>
      </w:r>
      <w:r w:rsidR="000B4EB1" w:rsidRPr="008C2652">
        <w:rPr>
          <w:rStyle w:val="FootnoteReference"/>
          <w:rFonts w:cstheme="minorHAnsi"/>
          <w:sz w:val="24"/>
          <w:szCs w:val="24"/>
        </w:rPr>
        <w:footnoteReference w:id="18"/>
      </w:r>
      <w:r w:rsidR="000B4EB1" w:rsidRPr="008C2652">
        <w:rPr>
          <w:rFonts w:cstheme="minorHAnsi"/>
          <w:sz w:val="24"/>
          <w:szCs w:val="24"/>
        </w:rPr>
        <w:t xml:space="preserve"> He notes that these precise words may never have been used, but they do highlight the irreconcilability of the approaches of the two countries. Britain, with its cabinet government and Parliamentary scrutiny, was insistent on upholding contract law while Germany, with its military government and powerful Kaiser, saw this as irrelevant</w:t>
      </w:r>
      <w:r w:rsidR="000D080D" w:rsidRPr="008C2652">
        <w:rPr>
          <w:rFonts w:cstheme="minorHAnsi"/>
          <w:sz w:val="24"/>
          <w:szCs w:val="24"/>
        </w:rPr>
        <w:t>.</w:t>
      </w:r>
      <w:r w:rsidR="000B4EB1" w:rsidRPr="008C2652">
        <w:rPr>
          <w:rStyle w:val="FootnoteReference"/>
          <w:rFonts w:cstheme="minorHAnsi"/>
          <w:sz w:val="24"/>
          <w:szCs w:val="24"/>
        </w:rPr>
        <w:footnoteReference w:id="19"/>
      </w:r>
      <w:r w:rsidR="000B4EB1" w:rsidRPr="008C2652">
        <w:rPr>
          <w:rFonts w:cstheme="minorHAnsi"/>
          <w:sz w:val="24"/>
          <w:szCs w:val="24"/>
        </w:rPr>
        <w:t xml:space="preserve"> </w:t>
      </w:r>
      <w:r w:rsidR="000D080D" w:rsidRPr="008C2652">
        <w:rPr>
          <w:rFonts w:cstheme="minorHAnsi"/>
          <w:sz w:val="24"/>
          <w:szCs w:val="24"/>
        </w:rPr>
        <w:t>By this point, Germany felt that its long-feared encirclement had, according to the German Kaiser, ‘become complete fact;’</w:t>
      </w:r>
      <w:r w:rsidR="000D080D" w:rsidRPr="008C2652">
        <w:rPr>
          <w:rStyle w:val="FootnoteReference"/>
          <w:rFonts w:cstheme="minorHAnsi"/>
          <w:sz w:val="24"/>
          <w:szCs w:val="24"/>
        </w:rPr>
        <w:footnoteReference w:id="20"/>
      </w:r>
      <w:r w:rsidR="000D080D" w:rsidRPr="008C2652">
        <w:rPr>
          <w:rFonts w:cstheme="minorHAnsi"/>
          <w:sz w:val="24"/>
          <w:szCs w:val="24"/>
        </w:rPr>
        <w:t xml:space="preserve"> as such, marching through Belgium was considered necessary for its survival and so unavoidable. That this brought Britain into war was unintended, but according to Taylor it was this that escalated the war beyond a European war into a truly global World War.</w:t>
      </w:r>
      <w:r w:rsidR="000D080D" w:rsidRPr="008C2652">
        <w:rPr>
          <w:rStyle w:val="FootnoteReference"/>
          <w:rFonts w:cstheme="minorHAnsi"/>
          <w:sz w:val="24"/>
          <w:szCs w:val="24"/>
        </w:rPr>
        <w:footnoteReference w:id="21"/>
      </w:r>
    </w:p>
    <w:p w:rsidR="00C51AAA" w:rsidRPr="008C2652" w:rsidRDefault="00D56900" w:rsidP="008C2652">
      <w:pPr>
        <w:spacing w:line="360" w:lineRule="auto"/>
        <w:ind w:firstLine="720"/>
        <w:rPr>
          <w:rFonts w:cstheme="minorHAnsi"/>
          <w:sz w:val="24"/>
          <w:szCs w:val="24"/>
        </w:rPr>
      </w:pPr>
      <w:r w:rsidRPr="008C2652">
        <w:rPr>
          <w:rFonts w:cstheme="minorHAnsi"/>
          <w:sz w:val="24"/>
          <w:szCs w:val="24"/>
        </w:rPr>
        <w:t xml:space="preserve">Taylor’s final consideration in his monograph is of a perceived popular demand for war. He notes that most nations had no public demonstrations in support of war before its outbreak, </w:t>
      </w:r>
      <w:proofErr w:type="gramStart"/>
      <w:r w:rsidRPr="008C2652">
        <w:rPr>
          <w:rFonts w:cstheme="minorHAnsi"/>
          <w:sz w:val="24"/>
          <w:szCs w:val="24"/>
        </w:rPr>
        <w:t>with the exception of</w:t>
      </w:r>
      <w:proofErr w:type="gramEnd"/>
      <w:r w:rsidRPr="008C2652">
        <w:rPr>
          <w:rFonts w:cstheme="minorHAnsi"/>
          <w:sz w:val="24"/>
          <w:szCs w:val="24"/>
        </w:rPr>
        <w:t xml:space="preserve"> Britain.</w:t>
      </w:r>
      <w:r w:rsidRPr="008C2652">
        <w:rPr>
          <w:rStyle w:val="FootnoteReference"/>
          <w:rFonts w:cstheme="minorHAnsi"/>
          <w:sz w:val="24"/>
          <w:szCs w:val="24"/>
        </w:rPr>
        <w:footnoteReference w:id="22"/>
      </w:r>
      <w:r w:rsidRPr="008C2652">
        <w:rPr>
          <w:rFonts w:cstheme="minorHAnsi"/>
          <w:sz w:val="24"/>
          <w:szCs w:val="24"/>
        </w:rPr>
        <w:t xml:space="preserve"> </w:t>
      </w:r>
      <w:r w:rsidR="0065213D" w:rsidRPr="008C2652">
        <w:rPr>
          <w:rFonts w:cstheme="minorHAnsi"/>
          <w:sz w:val="24"/>
          <w:szCs w:val="24"/>
        </w:rPr>
        <w:t>Taylor casts doubt over the idea that this suggests great support for war in Britain, suggesting that crowds would naturally form on a Bank Holiday.</w:t>
      </w:r>
      <w:r w:rsidR="0065213D" w:rsidRPr="008C2652">
        <w:rPr>
          <w:rStyle w:val="FootnoteReference"/>
          <w:rFonts w:cstheme="minorHAnsi"/>
          <w:sz w:val="24"/>
          <w:szCs w:val="24"/>
        </w:rPr>
        <w:footnoteReference w:id="23"/>
      </w:r>
      <w:r w:rsidR="0065213D" w:rsidRPr="008C2652">
        <w:rPr>
          <w:rFonts w:cstheme="minorHAnsi"/>
          <w:sz w:val="24"/>
          <w:szCs w:val="24"/>
        </w:rPr>
        <w:t xml:space="preserve"> This is</w:t>
      </w:r>
      <w:r w:rsidR="00550DDF" w:rsidRPr="008C2652">
        <w:rPr>
          <w:rFonts w:cstheme="minorHAnsi"/>
          <w:sz w:val="24"/>
          <w:szCs w:val="24"/>
        </w:rPr>
        <w:t xml:space="preserve"> remarkably prescient point, appearing almost fifty years before </w:t>
      </w:r>
      <w:r w:rsidR="002D5523" w:rsidRPr="008C2652">
        <w:rPr>
          <w:rFonts w:cstheme="minorHAnsi"/>
          <w:sz w:val="24"/>
          <w:szCs w:val="24"/>
        </w:rPr>
        <w:t xml:space="preserve">Adrian </w:t>
      </w:r>
      <w:r w:rsidR="002D5523" w:rsidRPr="008C2652">
        <w:rPr>
          <w:rFonts w:cstheme="minorHAnsi"/>
          <w:sz w:val="24"/>
          <w:szCs w:val="24"/>
        </w:rPr>
        <w:lastRenderedPageBreak/>
        <w:t xml:space="preserve">Gregory’s revisionist exploration of British war enthusiasm in </w:t>
      </w:r>
      <w:r w:rsidR="002D5523" w:rsidRPr="008C2652">
        <w:rPr>
          <w:rFonts w:cstheme="minorHAnsi"/>
          <w:i/>
          <w:sz w:val="24"/>
          <w:szCs w:val="24"/>
        </w:rPr>
        <w:t xml:space="preserve">The Last Great </w:t>
      </w:r>
      <w:r w:rsidR="002D5523" w:rsidRPr="008C2652">
        <w:rPr>
          <w:rFonts w:cstheme="minorHAnsi"/>
          <w:sz w:val="24"/>
          <w:szCs w:val="24"/>
        </w:rPr>
        <w:t>War. For Taylor, however, public attitudes had by this point become irrelevant to the decision to go to war; nations were already operating by timetable.</w:t>
      </w:r>
      <w:r w:rsidR="002D5523" w:rsidRPr="008C2652">
        <w:rPr>
          <w:rStyle w:val="FootnoteReference"/>
          <w:rFonts w:cstheme="minorHAnsi"/>
          <w:sz w:val="24"/>
          <w:szCs w:val="24"/>
        </w:rPr>
        <w:footnoteReference w:id="24"/>
      </w:r>
    </w:p>
    <w:p w:rsidR="002D5523" w:rsidRPr="008C2652" w:rsidRDefault="002D5523" w:rsidP="008C2652">
      <w:pPr>
        <w:spacing w:line="360" w:lineRule="auto"/>
        <w:ind w:firstLine="720"/>
        <w:rPr>
          <w:rFonts w:cstheme="minorHAnsi"/>
          <w:color w:val="222222"/>
          <w:sz w:val="24"/>
          <w:szCs w:val="24"/>
          <w:shd w:val="clear" w:color="auto" w:fill="FFFFFF"/>
        </w:rPr>
      </w:pPr>
      <w:r w:rsidRPr="008C2652">
        <w:rPr>
          <w:rFonts w:cstheme="minorHAnsi"/>
          <w:i/>
          <w:sz w:val="24"/>
          <w:szCs w:val="24"/>
        </w:rPr>
        <w:t>War by Time-table</w:t>
      </w:r>
      <w:r w:rsidRPr="008C2652">
        <w:rPr>
          <w:rFonts w:cstheme="minorHAnsi"/>
          <w:sz w:val="24"/>
          <w:szCs w:val="24"/>
        </w:rPr>
        <w:t xml:space="preserve"> is very much a product of its time. Indeed, the final words of the book</w:t>
      </w:r>
      <w:r w:rsidRPr="008C2652">
        <w:rPr>
          <w:rFonts w:cstheme="minorHAnsi"/>
          <w:color w:val="222222"/>
          <w:sz w:val="24"/>
          <w:szCs w:val="24"/>
          <w:shd w:val="clear" w:color="auto" w:fill="FFFFFF"/>
        </w:rPr>
        <w:t xml:space="preserve"> are:</w:t>
      </w:r>
    </w:p>
    <w:p w:rsidR="002D5523" w:rsidRDefault="002D5523" w:rsidP="008C2652">
      <w:pPr>
        <w:pStyle w:val="Quote"/>
        <w:rPr>
          <w:shd w:val="clear" w:color="auto" w:fill="FFFFFF"/>
        </w:rPr>
      </w:pPr>
      <w:r w:rsidRPr="008C2652">
        <w:rPr>
          <w:shd w:val="clear" w:color="auto" w:fill="FFFFFF"/>
        </w:rPr>
        <w:t xml:space="preserve">‘A </w:t>
      </w:r>
      <w:proofErr w:type="spellStart"/>
      <w:r w:rsidRPr="008C2652">
        <w:rPr>
          <w:shd w:val="clear" w:color="auto" w:fill="FFFFFF"/>
        </w:rPr>
        <w:t>deterrant</w:t>
      </w:r>
      <w:proofErr w:type="spellEnd"/>
      <w:r w:rsidRPr="008C2652">
        <w:rPr>
          <w:shd w:val="clear" w:color="auto" w:fill="FFFFFF"/>
        </w:rPr>
        <w:t xml:space="preserve"> may work ninety-nine times out of a hundred. On the hundredth occasion it produces catastrophe. There is a contemporary moral here for those who like to find one.’</w:t>
      </w:r>
      <w:r w:rsidRPr="008C2652">
        <w:rPr>
          <w:rStyle w:val="FootnoteReference"/>
          <w:rFonts w:cstheme="minorHAnsi"/>
          <w:color w:val="222222"/>
          <w:sz w:val="24"/>
          <w:szCs w:val="24"/>
          <w:shd w:val="clear" w:color="auto" w:fill="FFFFFF"/>
        </w:rPr>
        <w:footnoteReference w:id="25"/>
      </w:r>
    </w:p>
    <w:p w:rsidR="008C2652" w:rsidRPr="008C2652" w:rsidRDefault="008C2652" w:rsidP="008C2652"/>
    <w:p w:rsidR="002D5523" w:rsidRPr="008C2652" w:rsidRDefault="002D5523" w:rsidP="008C2652">
      <w:pPr>
        <w:spacing w:line="360" w:lineRule="auto"/>
        <w:rPr>
          <w:rFonts w:cstheme="minorHAnsi"/>
          <w:sz w:val="24"/>
          <w:szCs w:val="24"/>
        </w:rPr>
      </w:pPr>
      <w:r w:rsidRPr="008C2652">
        <w:rPr>
          <w:rFonts w:cstheme="minorHAnsi"/>
          <w:color w:val="222222"/>
          <w:sz w:val="24"/>
          <w:szCs w:val="24"/>
          <w:shd w:val="clear" w:color="auto" w:fill="FFFFFF"/>
        </w:rPr>
        <w:t xml:space="preserve">Writing in the age of nuclear proliferation, one can </w:t>
      </w:r>
      <w:r w:rsidR="001F4A73" w:rsidRPr="008C2652">
        <w:rPr>
          <w:rFonts w:cstheme="minorHAnsi"/>
          <w:color w:val="222222"/>
          <w:sz w:val="24"/>
          <w:szCs w:val="24"/>
          <w:shd w:val="clear" w:color="auto" w:fill="FFFFFF"/>
        </w:rPr>
        <w:t>see the considerations Taylor may have had in writing the book—Taylor was, after all, a founding member of the Campaign for Nuclear Disarmament.</w:t>
      </w:r>
      <w:r w:rsidR="001F4A73" w:rsidRPr="008C2652">
        <w:rPr>
          <w:rStyle w:val="FootnoteReference"/>
          <w:rFonts w:cstheme="minorHAnsi"/>
          <w:color w:val="222222"/>
          <w:sz w:val="24"/>
          <w:szCs w:val="24"/>
          <w:shd w:val="clear" w:color="auto" w:fill="FFFFFF"/>
        </w:rPr>
        <w:footnoteReference w:id="26"/>
      </w:r>
      <w:r w:rsidR="001F4A73" w:rsidRPr="008C2652">
        <w:rPr>
          <w:rFonts w:cstheme="minorHAnsi"/>
          <w:color w:val="222222"/>
          <w:sz w:val="24"/>
          <w:szCs w:val="24"/>
          <w:shd w:val="clear" w:color="auto" w:fill="FFFFFF"/>
        </w:rPr>
        <w:t xml:space="preserve"> </w:t>
      </w:r>
      <w:r w:rsidR="006C62D0" w:rsidRPr="008C2652">
        <w:rPr>
          <w:rFonts w:cstheme="minorHAnsi"/>
          <w:color w:val="222222"/>
          <w:sz w:val="24"/>
          <w:szCs w:val="24"/>
          <w:shd w:val="clear" w:color="auto" w:fill="FFFFFF"/>
        </w:rPr>
        <w:t xml:space="preserve">Despite this, the image of nations dragged into war by railway timetable has endured: Niall Ferguson would make use of it in his </w:t>
      </w:r>
      <w:r w:rsidR="006C62D0" w:rsidRPr="008C2652">
        <w:rPr>
          <w:rFonts w:cstheme="minorHAnsi"/>
          <w:i/>
          <w:color w:val="222222"/>
          <w:sz w:val="24"/>
          <w:szCs w:val="24"/>
          <w:shd w:val="clear" w:color="auto" w:fill="FFFFFF"/>
        </w:rPr>
        <w:t>The War of the World</w:t>
      </w:r>
      <w:r w:rsidR="006C62D0" w:rsidRPr="008C2652">
        <w:rPr>
          <w:rFonts w:cstheme="minorHAnsi"/>
          <w:color w:val="222222"/>
          <w:sz w:val="24"/>
          <w:szCs w:val="24"/>
          <w:shd w:val="clear" w:color="auto" w:fill="FFFFFF"/>
        </w:rPr>
        <w:t>, though he argues that the leaders of the nations were knowingly driving towards war.</w:t>
      </w:r>
      <w:r w:rsidR="006C62D0" w:rsidRPr="008C2652">
        <w:rPr>
          <w:rStyle w:val="FootnoteReference"/>
          <w:rFonts w:cstheme="minorHAnsi"/>
          <w:color w:val="222222"/>
          <w:sz w:val="24"/>
          <w:szCs w:val="24"/>
          <w:shd w:val="clear" w:color="auto" w:fill="FFFFFF"/>
        </w:rPr>
        <w:footnoteReference w:id="27"/>
      </w:r>
      <w:r w:rsidR="006C62D0" w:rsidRPr="008C2652">
        <w:rPr>
          <w:rFonts w:cstheme="minorHAnsi"/>
          <w:color w:val="222222"/>
          <w:sz w:val="24"/>
          <w:szCs w:val="24"/>
          <w:shd w:val="clear" w:color="auto" w:fill="FFFFFF"/>
        </w:rPr>
        <w:t xml:space="preserve"> </w:t>
      </w:r>
      <w:r w:rsidR="008277EA" w:rsidRPr="008C2652">
        <w:rPr>
          <w:rFonts w:cstheme="minorHAnsi"/>
          <w:color w:val="222222"/>
          <w:sz w:val="24"/>
          <w:szCs w:val="24"/>
          <w:shd w:val="clear" w:color="auto" w:fill="FFFFFF"/>
        </w:rPr>
        <w:t xml:space="preserve">Though its academic use would have been aided by a more extensive bibliography, Taylor’s monograph is still a highly readable, well-argued account of the outbreak of the First World War.  </w:t>
      </w:r>
    </w:p>
    <w:p w:rsidR="0006334A" w:rsidRPr="008C2652" w:rsidRDefault="00D56900" w:rsidP="008C2652">
      <w:pPr>
        <w:spacing w:line="360" w:lineRule="auto"/>
        <w:rPr>
          <w:rFonts w:cstheme="minorHAnsi"/>
          <w:sz w:val="24"/>
          <w:szCs w:val="24"/>
        </w:rPr>
      </w:pPr>
      <w:r w:rsidRPr="008C2652">
        <w:rPr>
          <w:rFonts w:cstheme="minorHAnsi"/>
          <w:sz w:val="24"/>
          <w:szCs w:val="24"/>
        </w:rPr>
        <w:tab/>
      </w:r>
    </w:p>
    <w:p w:rsidR="0006334A" w:rsidRPr="008C2652" w:rsidRDefault="0006334A" w:rsidP="008C2652">
      <w:pPr>
        <w:spacing w:line="360" w:lineRule="auto"/>
        <w:rPr>
          <w:rFonts w:cstheme="minorHAnsi"/>
          <w:sz w:val="24"/>
          <w:szCs w:val="24"/>
        </w:rPr>
      </w:pPr>
      <w:r w:rsidRPr="008C2652">
        <w:rPr>
          <w:rFonts w:cstheme="minorHAnsi"/>
          <w:sz w:val="24"/>
          <w:szCs w:val="24"/>
        </w:rPr>
        <w:br w:type="page"/>
      </w:r>
    </w:p>
    <w:p w:rsidR="00D56900" w:rsidRPr="008C2652" w:rsidRDefault="0006334A" w:rsidP="008C2652">
      <w:pPr>
        <w:spacing w:line="360" w:lineRule="auto"/>
        <w:jc w:val="center"/>
        <w:rPr>
          <w:rFonts w:cstheme="minorHAnsi"/>
          <w:b/>
          <w:sz w:val="24"/>
          <w:szCs w:val="24"/>
        </w:rPr>
      </w:pPr>
      <w:r w:rsidRPr="008C2652">
        <w:rPr>
          <w:rFonts w:cstheme="minorHAnsi"/>
          <w:b/>
          <w:sz w:val="24"/>
          <w:szCs w:val="24"/>
        </w:rPr>
        <w:lastRenderedPageBreak/>
        <w:t>Bibliography</w:t>
      </w:r>
    </w:p>
    <w:p w:rsidR="0006334A" w:rsidRPr="008C2652" w:rsidRDefault="0006334A" w:rsidP="008C2652">
      <w:pPr>
        <w:spacing w:line="360" w:lineRule="auto"/>
        <w:rPr>
          <w:rFonts w:cstheme="minorHAnsi"/>
          <w:sz w:val="24"/>
          <w:szCs w:val="24"/>
        </w:rPr>
      </w:pPr>
    </w:p>
    <w:p w:rsidR="0006334A" w:rsidRPr="008C2652" w:rsidRDefault="0006334A" w:rsidP="008C2652">
      <w:pPr>
        <w:spacing w:line="360" w:lineRule="auto"/>
        <w:rPr>
          <w:rFonts w:cstheme="minorHAnsi"/>
          <w:b/>
          <w:sz w:val="24"/>
          <w:szCs w:val="24"/>
        </w:rPr>
      </w:pPr>
      <w:r w:rsidRPr="008C2652">
        <w:rPr>
          <w:rFonts w:cstheme="minorHAnsi"/>
          <w:b/>
          <w:sz w:val="24"/>
          <w:szCs w:val="24"/>
        </w:rPr>
        <w:t>Primary Sources</w:t>
      </w:r>
    </w:p>
    <w:p w:rsidR="007B12F4" w:rsidRPr="008C2652" w:rsidRDefault="007B12F4" w:rsidP="008C2652">
      <w:pPr>
        <w:spacing w:line="360" w:lineRule="auto"/>
        <w:ind w:left="567" w:hanging="567"/>
        <w:rPr>
          <w:rFonts w:cstheme="minorHAnsi"/>
          <w:sz w:val="24"/>
          <w:szCs w:val="24"/>
        </w:rPr>
      </w:pPr>
      <w:r w:rsidRPr="008C2652">
        <w:rPr>
          <w:rFonts w:cstheme="minorHAnsi"/>
          <w:sz w:val="24"/>
          <w:szCs w:val="24"/>
        </w:rPr>
        <w:t xml:space="preserve">George, D., L., </w:t>
      </w:r>
      <w:r w:rsidRPr="008C2652">
        <w:rPr>
          <w:rFonts w:cstheme="minorHAnsi"/>
          <w:i/>
          <w:sz w:val="24"/>
          <w:szCs w:val="24"/>
        </w:rPr>
        <w:t xml:space="preserve">War Memoirs of David Lloyd George: Volume 1 </w:t>
      </w:r>
      <w:r w:rsidRPr="008C2652">
        <w:rPr>
          <w:rFonts w:cstheme="minorHAnsi"/>
          <w:sz w:val="24"/>
          <w:szCs w:val="24"/>
        </w:rPr>
        <w:t xml:space="preserve">(London: </w:t>
      </w:r>
      <w:proofErr w:type="spellStart"/>
      <w:r w:rsidRPr="008C2652">
        <w:rPr>
          <w:rFonts w:cstheme="minorHAnsi"/>
          <w:sz w:val="24"/>
          <w:szCs w:val="24"/>
        </w:rPr>
        <w:t>Odhams</w:t>
      </w:r>
      <w:proofErr w:type="spellEnd"/>
      <w:r w:rsidRPr="008C2652">
        <w:rPr>
          <w:rFonts w:cstheme="minorHAnsi"/>
          <w:sz w:val="24"/>
          <w:szCs w:val="24"/>
        </w:rPr>
        <w:t xml:space="preserve"> Press Limited, 1936).</w:t>
      </w:r>
    </w:p>
    <w:p w:rsidR="0006334A" w:rsidRPr="008C2652" w:rsidRDefault="0006334A" w:rsidP="008C2652">
      <w:pPr>
        <w:spacing w:line="360" w:lineRule="auto"/>
        <w:rPr>
          <w:rFonts w:cstheme="minorHAnsi"/>
          <w:sz w:val="24"/>
          <w:szCs w:val="24"/>
        </w:rPr>
      </w:pPr>
    </w:p>
    <w:p w:rsidR="0006334A" w:rsidRPr="008C2652" w:rsidRDefault="0006334A" w:rsidP="008C2652">
      <w:pPr>
        <w:spacing w:line="360" w:lineRule="auto"/>
        <w:rPr>
          <w:rFonts w:cstheme="minorHAnsi"/>
          <w:b/>
          <w:sz w:val="24"/>
          <w:szCs w:val="24"/>
        </w:rPr>
      </w:pPr>
      <w:r w:rsidRPr="008C2652">
        <w:rPr>
          <w:rFonts w:cstheme="minorHAnsi"/>
          <w:b/>
          <w:sz w:val="24"/>
          <w:szCs w:val="24"/>
        </w:rPr>
        <w:t>Secondary Sources</w:t>
      </w:r>
    </w:p>
    <w:p w:rsidR="007B12F4" w:rsidRPr="008C2652" w:rsidRDefault="007B12F4" w:rsidP="008C2652">
      <w:pPr>
        <w:spacing w:line="360" w:lineRule="auto"/>
        <w:ind w:left="567" w:hanging="567"/>
        <w:rPr>
          <w:rFonts w:cstheme="minorHAnsi"/>
          <w:sz w:val="24"/>
          <w:szCs w:val="24"/>
        </w:rPr>
      </w:pPr>
      <w:r w:rsidRPr="008C2652">
        <w:rPr>
          <w:rFonts w:cstheme="minorHAnsi"/>
          <w:sz w:val="24"/>
          <w:szCs w:val="24"/>
        </w:rPr>
        <w:t xml:space="preserve">Ferguson, N., ‘Germany and the Origins of the First World War: New Perspectives’, </w:t>
      </w:r>
      <w:r w:rsidRPr="008C2652">
        <w:rPr>
          <w:rFonts w:cstheme="minorHAnsi"/>
          <w:i/>
          <w:sz w:val="24"/>
          <w:szCs w:val="24"/>
        </w:rPr>
        <w:t>The Historical Journal</w:t>
      </w:r>
      <w:r w:rsidRPr="008C2652">
        <w:rPr>
          <w:rFonts w:cstheme="minorHAnsi"/>
          <w:sz w:val="24"/>
          <w:szCs w:val="24"/>
        </w:rPr>
        <w:t xml:space="preserve">, vol. 35, no. 3 (1992), 725-752. [Online]. Available: </w:t>
      </w:r>
      <w:hyperlink r:id="rId8" w:history="1">
        <w:r w:rsidRPr="008C2652">
          <w:rPr>
            <w:rStyle w:val="Hyperlink"/>
            <w:rFonts w:cstheme="minorHAnsi"/>
            <w:sz w:val="24"/>
            <w:szCs w:val="24"/>
          </w:rPr>
          <w:t>http://www.jstor.org/stable/2639641?origin=JSTOR-pdf</w:t>
        </w:r>
      </w:hyperlink>
      <w:r w:rsidRPr="008C2652">
        <w:rPr>
          <w:rFonts w:cstheme="minorHAnsi"/>
          <w:sz w:val="24"/>
          <w:szCs w:val="24"/>
        </w:rPr>
        <w:t xml:space="preserve"> [Accessed on 17 November 2017].</w:t>
      </w:r>
    </w:p>
    <w:p w:rsidR="007B12F4" w:rsidRPr="008C2652" w:rsidRDefault="007B12F4" w:rsidP="008C2652">
      <w:pPr>
        <w:spacing w:line="360" w:lineRule="auto"/>
        <w:ind w:left="567" w:hanging="567"/>
        <w:rPr>
          <w:rFonts w:cstheme="minorHAnsi"/>
          <w:sz w:val="24"/>
          <w:szCs w:val="24"/>
        </w:rPr>
      </w:pPr>
      <w:r w:rsidRPr="008C2652">
        <w:rPr>
          <w:rFonts w:cstheme="minorHAnsi"/>
          <w:sz w:val="24"/>
          <w:szCs w:val="24"/>
        </w:rPr>
        <w:t xml:space="preserve">Ferguson, N., </w:t>
      </w:r>
      <w:r w:rsidRPr="008C2652">
        <w:rPr>
          <w:rFonts w:cstheme="minorHAnsi"/>
          <w:i/>
          <w:sz w:val="24"/>
          <w:szCs w:val="24"/>
        </w:rPr>
        <w:t>The War of the World: History’s Age of Hatred</w:t>
      </w:r>
      <w:r w:rsidRPr="008C2652">
        <w:rPr>
          <w:rFonts w:cstheme="minorHAnsi"/>
          <w:sz w:val="24"/>
          <w:szCs w:val="24"/>
        </w:rPr>
        <w:t xml:space="preserve"> (London: Penguin Books, 2006).</w:t>
      </w:r>
    </w:p>
    <w:p w:rsidR="007B12F4" w:rsidRPr="008C2652" w:rsidRDefault="007B12F4" w:rsidP="008C2652">
      <w:pPr>
        <w:spacing w:line="360" w:lineRule="auto"/>
        <w:ind w:left="567" w:hanging="567"/>
        <w:rPr>
          <w:rFonts w:cstheme="minorHAnsi"/>
          <w:sz w:val="24"/>
          <w:szCs w:val="24"/>
        </w:rPr>
      </w:pPr>
      <w:r w:rsidRPr="008C2652">
        <w:rPr>
          <w:rFonts w:cstheme="minorHAnsi"/>
          <w:sz w:val="24"/>
          <w:szCs w:val="24"/>
        </w:rPr>
        <w:t xml:space="preserve">Fischer, F., </w:t>
      </w:r>
      <w:r w:rsidRPr="008C2652">
        <w:rPr>
          <w:rFonts w:cstheme="minorHAnsi"/>
          <w:i/>
          <w:sz w:val="24"/>
          <w:szCs w:val="24"/>
        </w:rPr>
        <w:t>Germany’s Aims in the First World War</w:t>
      </w:r>
      <w:r w:rsidRPr="008C2652">
        <w:rPr>
          <w:rFonts w:cstheme="minorHAnsi"/>
          <w:sz w:val="24"/>
          <w:szCs w:val="24"/>
        </w:rPr>
        <w:t xml:space="preserve"> (London: </w:t>
      </w:r>
      <w:proofErr w:type="spellStart"/>
      <w:r w:rsidRPr="008C2652">
        <w:rPr>
          <w:rFonts w:cstheme="minorHAnsi"/>
          <w:sz w:val="24"/>
          <w:szCs w:val="24"/>
        </w:rPr>
        <w:t>Chatto</w:t>
      </w:r>
      <w:proofErr w:type="spellEnd"/>
      <w:r w:rsidRPr="008C2652">
        <w:rPr>
          <w:rFonts w:cstheme="minorHAnsi"/>
          <w:sz w:val="24"/>
          <w:szCs w:val="24"/>
        </w:rPr>
        <w:t xml:space="preserve"> and </w:t>
      </w:r>
      <w:proofErr w:type="spellStart"/>
      <w:r w:rsidRPr="008C2652">
        <w:rPr>
          <w:rFonts w:cstheme="minorHAnsi"/>
          <w:sz w:val="24"/>
          <w:szCs w:val="24"/>
        </w:rPr>
        <w:t>Windus</w:t>
      </w:r>
      <w:proofErr w:type="spellEnd"/>
      <w:r w:rsidRPr="008C2652">
        <w:rPr>
          <w:rFonts w:cstheme="minorHAnsi"/>
          <w:sz w:val="24"/>
          <w:szCs w:val="24"/>
        </w:rPr>
        <w:t>, 1967).</w:t>
      </w:r>
    </w:p>
    <w:p w:rsidR="007B12F4" w:rsidRPr="008C2652" w:rsidRDefault="007B12F4" w:rsidP="008C2652">
      <w:pPr>
        <w:spacing w:line="360" w:lineRule="auto"/>
        <w:ind w:left="567" w:hanging="567"/>
        <w:rPr>
          <w:rFonts w:cstheme="minorHAnsi"/>
          <w:sz w:val="24"/>
          <w:szCs w:val="24"/>
        </w:rPr>
      </w:pPr>
      <w:proofErr w:type="spellStart"/>
      <w:r w:rsidRPr="008C2652">
        <w:rPr>
          <w:rFonts w:cstheme="minorHAnsi"/>
          <w:sz w:val="24"/>
          <w:szCs w:val="24"/>
        </w:rPr>
        <w:t>Joll</w:t>
      </w:r>
      <w:proofErr w:type="spellEnd"/>
      <w:r w:rsidRPr="008C2652">
        <w:rPr>
          <w:rFonts w:cstheme="minorHAnsi"/>
          <w:sz w:val="24"/>
          <w:szCs w:val="24"/>
        </w:rPr>
        <w:t xml:space="preserve">, J., </w:t>
      </w:r>
      <w:r w:rsidRPr="008C2652">
        <w:rPr>
          <w:rFonts w:cstheme="minorHAnsi"/>
          <w:i/>
          <w:sz w:val="24"/>
          <w:szCs w:val="24"/>
        </w:rPr>
        <w:t>The Origins of the First World War</w:t>
      </w:r>
      <w:r w:rsidRPr="008C2652">
        <w:rPr>
          <w:rFonts w:cstheme="minorHAnsi"/>
          <w:sz w:val="24"/>
          <w:szCs w:val="24"/>
        </w:rPr>
        <w:t xml:space="preserve"> (Harlow: Longman, 1984).</w:t>
      </w:r>
    </w:p>
    <w:p w:rsidR="007B12F4" w:rsidRPr="008C2652" w:rsidRDefault="007B12F4" w:rsidP="008C2652">
      <w:pPr>
        <w:spacing w:line="360" w:lineRule="auto"/>
        <w:ind w:left="567" w:hanging="567"/>
        <w:rPr>
          <w:rFonts w:cstheme="minorHAnsi"/>
          <w:sz w:val="24"/>
          <w:szCs w:val="24"/>
        </w:rPr>
      </w:pPr>
      <w:r w:rsidRPr="008C2652">
        <w:rPr>
          <w:rFonts w:cstheme="minorHAnsi"/>
          <w:sz w:val="24"/>
          <w:szCs w:val="24"/>
        </w:rPr>
        <w:t xml:space="preserve">Shute, J., ‘The Trains that Took Us to War’, </w:t>
      </w:r>
      <w:r w:rsidRPr="008C2652">
        <w:rPr>
          <w:rFonts w:cstheme="minorHAnsi"/>
          <w:i/>
          <w:sz w:val="24"/>
          <w:szCs w:val="24"/>
        </w:rPr>
        <w:t>The Telegraph</w:t>
      </w:r>
      <w:r w:rsidRPr="008C2652">
        <w:rPr>
          <w:rFonts w:cstheme="minorHAnsi"/>
          <w:sz w:val="24"/>
          <w:szCs w:val="24"/>
        </w:rPr>
        <w:t xml:space="preserve">, 27 July 2014. [Online]. Available: </w:t>
      </w:r>
      <w:hyperlink r:id="rId9" w:history="1">
        <w:r w:rsidRPr="008C2652">
          <w:rPr>
            <w:rStyle w:val="Hyperlink"/>
            <w:rFonts w:cstheme="minorHAnsi"/>
            <w:sz w:val="24"/>
            <w:szCs w:val="24"/>
          </w:rPr>
          <w:t>http://www.telegraph.co.uk/history/world-war-one/10992624/The-trains-that-took-us-to-war.html</w:t>
        </w:r>
      </w:hyperlink>
      <w:r w:rsidRPr="008C2652">
        <w:rPr>
          <w:rFonts w:cstheme="minorHAnsi"/>
          <w:sz w:val="24"/>
          <w:szCs w:val="24"/>
        </w:rPr>
        <w:t xml:space="preserve"> [Accessed on 17 November 2017].</w:t>
      </w:r>
    </w:p>
    <w:p w:rsidR="007B12F4" w:rsidRPr="008C2652" w:rsidRDefault="007B12F4" w:rsidP="008C2652">
      <w:pPr>
        <w:spacing w:line="360" w:lineRule="auto"/>
        <w:ind w:left="567" w:hanging="567"/>
        <w:rPr>
          <w:rFonts w:cstheme="minorHAnsi"/>
          <w:sz w:val="24"/>
          <w:szCs w:val="24"/>
        </w:rPr>
      </w:pPr>
      <w:r w:rsidRPr="008C2652">
        <w:rPr>
          <w:rFonts w:cstheme="minorHAnsi"/>
          <w:sz w:val="24"/>
          <w:szCs w:val="24"/>
        </w:rPr>
        <w:t xml:space="preserve">Stevenson, D., ‘War by Timetable? The Railway Race before 1914’, </w:t>
      </w:r>
      <w:r w:rsidRPr="008C2652">
        <w:rPr>
          <w:rFonts w:cstheme="minorHAnsi"/>
          <w:i/>
          <w:sz w:val="24"/>
          <w:szCs w:val="24"/>
        </w:rPr>
        <w:t>Past &amp; Present</w:t>
      </w:r>
      <w:r w:rsidRPr="008C2652">
        <w:rPr>
          <w:rFonts w:cstheme="minorHAnsi"/>
          <w:sz w:val="24"/>
          <w:szCs w:val="24"/>
        </w:rPr>
        <w:t>, no. 162 (</w:t>
      </w:r>
      <w:proofErr w:type="gramStart"/>
      <w:r w:rsidRPr="008C2652">
        <w:rPr>
          <w:rFonts w:cstheme="minorHAnsi"/>
          <w:sz w:val="24"/>
          <w:szCs w:val="24"/>
        </w:rPr>
        <w:t>Feb.,</w:t>
      </w:r>
      <w:proofErr w:type="gramEnd"/>
      <w:r w:rsidRPr="008C2652">
        <w:rPr>
          <w:rFonts w:cstheme="minorHAnsi"/>
          <w:sz w:val="24"/>
          <w:szCs w:val="24"/>
        </w:rPr>
        <w:t xml:space="preserve"> 1999), 163-194. [Online]. </w:t>
      </w:r>
      <w:proofErr w:type="spellStart"/>
      <w:r w:rsidRPr="008C2652">
        <w:rPr>
          <w:rFonts w:cstheme="minorHAnsi"/>
          <w:sz w:val="24"/>
          <w:szCs w:val="24"/>
        </w:rPr>
        <w:t>Avalailable</w:t>
      </w:r>
      <w:proofErr w:type="spellEnd"/>
      <w:r w:rsidRPr="008C2652">
        <w:rPr>
          <w:rFonts w:cstheme="minorHAnsi"/>
          <w:sz w:val="24"/>
          <w:szCs w:val="24"/>
        </w:rPr>
        <w:t xml:space="preserve">: </w:t>
      </w:r>
      <w:hyperlink r:id="rId10" w:history="1">
        <w:r w:rsidRPr="008C2652">
          <w:rPr>
            <w:rStyle w:val="Hyperlink"/>
            <w:rFonts w:cstheme="minorHAnsi"/>
            <w:sz w:val="24"/>
            <w:szCs w:val="24"/>
          </w:rPr>
          <w:t>http://www.jstor.org/stable/651067?origin=JSTOR-pdf</w:t>
        </w:r>
      </w:hyperlink>
      <w:r w:rsidRPr="008C2652">
        <w:rPr>
          <w:rFonts w:cstheme="minorHAnsi"/>
          <w:sz w:val="24"/>
          <w:szCs w:val="24"/>
        </w:rPr>
        <w:t xml:space="preserve"> [Accessed on 17 November 2017].</w:t>
      </w:r>
    </w:p>
    <w:p w:rsidR="007B12F4" w:rsidRPr="008C2652" w:rsidRDefault="007B12F4" w:rsidP="008C2652">
      <w:pPr>
        <w:spacing w:line="360" w:lineRule="auto"/>
        <w:ind w:left="567" w:hanging="567"/>
        <w:rPr>
          <w:rFonts w:cstheme="minorHAnsi"/>
          <w:sz w:val="24"/>
          <w:szCs w:val="24"/>
        </w:rPr>
      </w:pPr>
      <w:r w:rsidRPr="008C2652">
        <w:rPr>
          <w:rFonts w:cstheme="minorHAnsi"/>
          <w:sz w:val="24"/>
          <w:szCs w:val="24"/>
        </w:rPr>
        <w:t xml:space="preserve">Taylor, A., J., P., </w:t>
      </w:r>
      <w:r w:rsidRPr="008C2652">
        <w:rPr>
          <w:rFonts w:cstheme="minorHAnsi"/>
          <w:i/>
          <w:sz w:val="24"/>
          <w:szCs w:val="24"/>
        </w:rPr>
        <w:t>The First World War: An Illustrated History</w:t>
      </w:r>
      <w:r w:rsidRPr="008C2652">
        <w:rPr>
          <w:rFonts w:cstheme="minorHAnsi"/>
          <w:sz w:val="24"/>
          <w:szCs w:val="24"/>
        </w:rPr>
        <w:t xml:space="preserve"> (London: Penguin, 1966).</w:t>
      </w:r>
    </w:p>
    <w:p w:rsidR="007B12F4" w:rsidRPr="008C2652" w:rsidRDefault="007B12F4" w:rsidP="008C2652">
      <w:pPr>
        <w:spacing w:line="360" w:lineRule="auto"/>
        <w:ind w:left="567" w:hanging="567"/>
        <w:rPr>
          <w:rFonts w:cstheme="minorHAnsi"/>
          <w:sz w:val="24"/>
          <w:szCs w:val="24"/>
        </w:rPr>
      </w:pPr>
      <w:r w:rsidRPr="008C2652">
        <w:rPr>
          <w:rFonts w:cstheme="minorHAnsi"/>
          <w:sz w:val="24"/>
          <w:szCs w:val="24"/>
        </w:rPr>
        <w:t xml:space="preserve">Taylor, A., J., P., </w:t>
      </w:r>
      <w:r w:rsidRPr="008C2652">
        <w:rPr>
          <w:rFonts w:cstheme="minorHAnsi"/>
          <w:i/>
          <w:sz w:val="24"/>
          <w:szCs w:val="24"/>
        </w:rPr>
        <w:t>War by Time-table: How the First World War Began</w:t>
      </w:r>
      <w:r w:rsidRPr="008C2652">
        <w:rPr>
          <w:rFonts w:cstheme="minorHAnsi"/>
          <w:sz w:val="24"/>
          <w:szCs w:val="24"/>
        </w:rPr>
        <w:t xml:space="preserve"> (London: Macdonald &amp; Co Ltd, 1969).</w:t>
      </w:r>
    </w:p>
    <w:p w:rsidR="0015395C" w:rsidRDefault="007B12F4" w:rsidP="008C2652">
      <w:pPr>
        <w:spacing w:line="360" w:lineRule="auto"/>
        <w:ind w:left="567" w:hanging="567"/>
        <w:rPr>
          <w:rFonts w:cstheme="minorHAnsi"/>
          <w:sz w:val="24"/>
          <w:szCs w:val="24"/>
        </w:rPr>
      </w:pPr>
      <w:r w:rsidRPr="008C2652">
        <w:rPr>
          <w:rFonts w:cstheme="minorHAnsi"/>
          <w:sz w:val="24"/>
          <w:szCs w:val="24"/>
        </w:rPr>
        <w:t xml:space="preserve">Woodward, L., </w:t>
      </w:r>
      <w:r w:rsidRPr="008C2652">
        <w:rPr>
          <w:rFonts w:cstheme="minorHAnsi"/>
          <w:i/>
          <w:sz w:val="24"/>
          <w:szCs w:val="24"/>
        </w:rPr>
        <w:t xml:space="preserve">Great Britain and the War of 1914-1918 </w:t>
      </w:r>
      <w:r w:rsidRPr="008C2652">
        <w:rPr>
          <w:rFonts w:cstheme="minorHAnsi"/>
          <w:sz w:val="24"/>
          <w:szCs w:val="24"/>
        </w:rPr>
        <w:t>(London: Methuen &amp; Co Ltd, 1967).</w:t>
      </w:r>
    </w:p>
    <w:p w:rsidR="0015395C" w:rsidRDefault="0015395C">
      <w:pPr>
        <w:rPr>
          <w:rFonts w:cstheme="minorHAnsi"/>
          <w:sz w:val="24"/>
          <w:szCs w:val="24"/>
        </w:rPr>
      </w:pPr>
      <w:r>
        <w:rPr>
          <w:rFonts w:cstheme="minorHAnsi"/>
          <w:sz w:val="24"/>
          <w:szCs w:val="24"/>
        </w:rPr>
        <w:br w:type="page"/>
      </w:r>
    </w:p>
    <w:p w:rsidR="007B12F4" w:rsidRDefault="0015395C" w:rsidP="00A05F81">
      <w:pPr>
        <w:spacing w:line="360" w:lineRule="auto"/>
        <w:ind w:left="567" w:hanging="567"/>
        <w:jc w:val="center"/>
        <w:rPr>
          <w:rFonts w:cstheme="minorHAnsi"/>
          <w:b/>
          <w:sz w:val="28"/>
          <w:szCs w:val="28"/>
        </w:rPr>
      </w:pPr>
      <w:r w:rsidRPr="00A05F81">
        <w:rPr>
          <w:rFonts w:cstheme="minorHAnsi"/>
          <w:b/>
          <w:sz w:val="28"/>
          <w:szCs w:val="28"/>
        </w:rPr>
        <w:lastRenderedPageBreak/>
        <w:t>Document Report</w:t>
      </w:r>
    </w:p>
    <w:p w:rsidR="00A05F81" w:rsidRPr="00A05F81" w:rsidRDefault="00A05F81" w:rsidP="00A05F81">
      <w:pPr>
        <w:spacing w:line="360" w:lineRule="auto"/>
        <w:ind w:left="567" w:hanging="567"/>
        <w:jc w:val="center"/>
        <w:rPr>
          <w:rFonts w:cstheme="minorHAnsi"/>
          <w:b/>
          <w:sz w:val="28"/>
          <w:szCs w:val="28"/>
        </w:rPr>
      </w:pPr>
    </w:p>
    <w:p w:rsidR="0015395C" w:rsidRPr="00A05F81" w:rsidRDefault="0015395C" w:rsidP="00A05F81">
      <w:pPr>
        <w:spacing w:line="360" w:lineRule="auto"/>
        <w:rPr>
          <w:rFonts w:cstheme="minorHAnsi"/>
          <w:b/>
          <w:sz w:val="24"/>
          <w:szCs w:val="24"/>
        </w:rPr>
      </w:pPr>
      <w:r w:rsidRPr="00A05F81">
        <w:rPr>
          <w:rFonts w:cstheme="minorHAnsi"/>
          <w:b/>
          <w:sz w:val="24"/>
          <w:szCs w:val="24"/>
        </w:rPr>
        <w:t xml:space="preserve">D. L. George, </w:t>
      </w:r>
      <w:r w:rsidRPr="00A05F81">
        <w:rPr>
          <w:rFonts w:cstheme="minorHAnsi"/>
          <w:b/>
          <w:i/>
          <w:sz w:val="24"/>
          <w:szCs w:val="24"/>
        </w:rPr>
        <w:t xml:space="preserve">The Great War: Speech </w:t>
      </w:r>
      <w:bookmarkStart w:id="0" w:name="_GoBack"/>
      <w:bookmarkEnd w:id="0"/>
      <w:r w:rsidRPr="00A05F81">
        <w:rPr>
          <w:rFonts w:cstheme="minorHAnsi"/>
          <w:b/>
          <w:i/>
          <w:sz w:val="24"/>
          <w:szCs w:val="24"/>
        </w:rPr>
        <w:t>Delivered by the Rt</w:t>
      </w:r>
      <w:r w:rsidR="00A05F81" w:rsidRPr="00A05F81">
        <w:rPr>
          <w:rFonts w:cstheme="minorHAnsi"/>
          <w:b/>
          <w:i/>
          <w:sz w:val="24"/>
          <w:szCs w:val="24"/>
        </w:rPr>
        <w:t xml:space="preserve">. Hon. David Lloyd George, M.P. </w:t>
      </w:r>
      <w:r w:rsidRPr="00A05F81">
        <w:rPr>
          <w:rFonts w:cstheme="minorHAnsi"/>
          <w:b/>
          <w:i/>
          <w:sz w:val="24"/>
          <w:szCs w:val="24"/>
        </w:rPr>
        <w:t>(Chancellor of the Exchequer</w:t>
      </w:r>
      <w:r w:rsidR="00A05F81" w:rsidRPr="00A05F81">
        <w:rPr>
          <w:rFonts w:cstheme="minorHAnsi"/>
          <w:b/>
          <w:i/>
          <w:sz w:val="24"/>
          <w:szCs w:val="24"/>
        </w:rPr>
        <w:t>) at the Queen’s Hall, London, on September 19</w:t>
      </w:r>
      <w:r w:rsidR="00A05F81" w:rsidRPr="00A05F81">
        <w:rPr>
          <w:rFonts w:cstheme="minorHAnsi"/>
          <w:b/>
          <w:i/>
          <w:sz w:val="24"/>
          <w:szCs w:val="24"/>
          <w:vertAlign w:val="superscript"/>
        </w:rPr>
        <w:t>th</w:t>
      </w:r>
      <w:r w:rsidR="00A05F81" w:rsidRPr="00A05F81">
        <w:rPr>
          <w:rFonts w:cstheme="minorHAnsi"/>
          <w:b/>
          <w:i/>
          <w:sz w:val="24"/>
          <w:szCs w:val="24"/>
        </w:rPr>
        <w:t xml:space="preserve">, 1914 </w:t>
      </w:r>
      <w:r w:rsidR="00A05F81" w:rsidRPr="00A05F81">
        <w:rPr>
          <w:rFonts w:cstheme="minorHAnsi"/>
          <w:b/>
          <w:sz w:val="24"/>
          <w:szCs w:val="24"/>
        </w:rPr>
        <w:t xml:space="preserve">(Toronto: Hodder and Stoughton, 1914). [Online]. Available: </w:t>
      </w:r>
      <w:hyperlink r:id="rId11" w:history="1">
        <w:r w:rsidR="00A05F81" w:rsidRPr="00A05F81">
          <w:rPr>
            <w:rStyle w:val="Hyperlink"/>
            <w:rFonts w:cstheme="minorHAnsi"/>
            <w:b/>
            <w:sz w:val="24"/>
            <w:szCs w:val="24"/>
          </w:rPr>
          <w:t>https://archive.org/details/greatwarspeechde00lloyuoft</w:t>
        </w:r>
      </w:hyperlink>
      <w:r w:rsidR="00A05F81" w:rsidRPr="00A05F81">
        <w:rPr>
          <w:rFonts w:cstheme="minorHAnsi"/>
          <w:b/>
          <w:sz w:val="24"/>
          <w:szCs w:val="24"/>
        </w:rPr>
        <w:t xml:space="preserve"> [Accessed on 17 November 2017].</w:t>
      </w:r>
    </w:p>
    <w:p w:rsidR="00DE77C7" w:rsidRDefault="00425989" w:rsidP="008C2652">
      <w:pPr>
        <w:spacing w:line="360" w:lineRule="auto"/>
        <w:rPr>
          <w:rFonts w:cstheme="minorHAnsi"/>
          <w:color w:val="222222"/>
          <w:sz w:val="24"/>
          <w:szCs w:val="24"/>
          <w:shd w:val="clear" w:color="auto" w:fill="FFFFFF"/>
        </w:rPr>
      </w:pPr>
      <w:r>
        <w:rPr>
          <w:rFonts w:cstheme="minorHAnsi"/>
          <w:sz w:val="24"/>
          <w:szCs w:val="24"/>
        </w:rPr>
        <w:t xml:space="preserve">On 19 September 1914, soon after the outbreak of war, then Chancellor David Lloyd George made a recruitment speech to gathered London Welshmen. </w:t>
      </w:r>
      <w:r w:rsidR="009B76DA">
        <w:rPr>
          <w:rFonts w:cstheme="minorHAnsi"/>
          <w:sz w:val="24"/>
          <w:szCs w:val="24"/>
        </w:rPr>
        <w:t>A letter to his family dated this same day suggests that he was pleased, stating simply: ‘The meeting is over. Great meeting. You can judge of the speech’</w:t>
      </w:r>
      <w:r w:rsidR="00B801EE">
        <w:rPr>
          <w:rFonts w:cstheme="minorHAnsi"/>
          <w:sz w:val="24"/>
          <w:szCs w:val="24"/>
        </w:rPr>
        <w:t>;</w:t>
      </w:r>
      <w:r w:rsidR="009B76DA">
        <w:rPr>
          <w:rStyle w:val="FootnoteReference"/>
          <w:rFonts w:cstheme="minorHAnsi"/>
          <w:sz w:val="24"/>
          <w:szCs w:val="24"/>
        </w:rPr>
        <w:footnoteReference w:id="28"/>
      </w:r>
      <w:r w:rsidR="00B801EE">
        <w:rPr>
          <w:rFonts w:cstheme="minorHAnsi"/>
          <w:sz w:val="24"/>
          <w:szCs w:val="24"/>
        </w:rPr>
        <w:t xml:space="preserve"> h</w:t>
      </w:r>
      <w:r w:rsidR="009B76DA">
        <w:rPr>
          <w:rFonts w:cstheme="minorHAnsi"/>
          <w:sz w:val="24"/>
          <w:szCs w:val="24"/>
        </w:rPr>
        <w:t xml:space="preserve">owever, a </w:t>
      </w:r>
      <w:r w:rsidR="00D86951">
        <w:rPr>
          <w:rFonts w:cstheme="minorHAnsi"/>
          <w:sz w:val="24"/>
          <w:szCs w:val="24"/>
        </w:rPr>
        <w:t xml:space="preserve">diary entry by Lloyd George’s mistress, Frances Stevenson, on the </w:t>
      </w:r>
      <w:r w:rsidR="009B76DA">
        <w:rPr>
          <w:rFonts w:cstheme="minorHAnsi"/>
          <w:sz w:val="24"/>
          <w:szCs w:val="24"/>
        </w:rPr>
        <w:t>twenty-first suggests</w:t>
      </w:r>
      <w:r w:rsidR="009B76DA" w:rsidRPr="008C2652">
        <w:rPr>
          <w:rFonts w:cstheme="minorHAnsi"/>
          <w:color w:val="222222"/>
          <w:sz w:val="24"/>
          <w:szCs w:val="24"/>
          <w:shd w:val="clear" w:color="auto" w:fill="FFFFFF"/>
        </w:rPr>
        <w:t>—</w:t>
      </w:r>
      <w:r w:rsidR="009B76DA">
        <w:rPr>
          <w:rFonts w:cstheme="minorHAnsi"/>
          <w:color w:val="222222"/>
          <w:sz w:val="24"/>
          <w:szCs w:val="24"/>
          <w:shd w:val="clear" w:color="auto" w:fill="FFFFFF"/>
        </w:rPr>
        <w:t>amid very effusive praise</w:t>
      </w:r>
      <w:r w:rsidR="00B801EE">
        <w:rPr>
          <w:rFonts w:cstheme="minorHAnsi"/>
          <w:color w:val="222222"/>
          <w:sz w:val="24"/>
          <w:szCs w:val="24"/>
          <w:shd w:val="clear" w:color="auto" w:fill="FFFFFF"/>
        </w:rPr>
        <w:t xml:space="preserve"> of the man</w:t>
      </w:r>
      <w:r w:rsidR="009B76DA" w:rsidRPr="008C2652">
        <w:rPr>
          <w:rFonts w:cstheme="minorHAnsi"/>
          <w:color w:val="222222"/>
          <w:sz w:val="24"/>
          <w:szCs w:val="24"/>
          <w:shd w:val="clear" w:color="auto" w:fill="FFFFFF"/>
        </w:rPr>
        <w:t>—</w:t>
      </w:r>
      <w:r w:rsidR="009B76DA">
        <w:rPr>
          <w:rFonts w:cstheme="minorHAnsi"/>
          <w:color w:val="222222"/>
          <w:sz w:val="24"/>
          <w:szCs w:val="24"/>
          <w:shd w:val="clear" w:color="auto" w:fill="FFFFFF"/>
        </w:rPr>
        <w:t>that he had found the event rather depressing immediately afterwards, and had to be reassured of its success.</w:t>
      </w:r>
      <w:r w:rsidR="00B801EE">
        <w:rPr>
          <w:rStyle w:val="FootnoteReference"/>
          <w:rFonts w:cstheme="minorHAnsi"/>
          <w:color w:val="222222"/>
          <w:sz w:val="24"/>
          <w:szCs w:val="24"/>
          <w:shd w:val="clear" w:color="auto" w:fill="FFFFFF"/>
        </w:rPr>
        <w:footnoteReference w:id="29"/>
      </w:r>
      <w:r w:rsidR="00B801EE">
        <w:rPr>
          <w:rFonts w:cstheme="minorHAnsi"/>
          <w:color w:val="222222"/>
          <w:sz w:val="24"/>
          <w:szCs w:val="24"/>
          <w:shd w:val="clear" w:color="auto" w:fill="FFFFFF"/>
        </w:rPr>
        <w:t xml:space="preserve"> Certainly, the speech was well-received, and has since been pointed to as the moment that his potential for leadership of the nation was revealed, albeit unwittingly.</w:t>
      </w:r>
      <w:r w:rsidR="00B801EE">
        <w:rPr>
          <w:rStyle w:val="FootnoteReference"/>
          <w:rFonts w:cstheme="minorHAnsi"/>
          <w:color w:val="222222"/>
          <w:sz w:val="24"/>
          <w:szCs w:val="24"/>
          <w:shd w:val="clear" w:color="auto" w:fill="FFFFFF"/>
        </w:rPr>
        <w:footnoteReference w:id="30"/>
      </w:r>
    </w:p>
    <w:p w:rsidR="00C568AD" w:rsidRDefault="00210E77" w:rsidP="008C2652">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ab/>
      </w:r>
      <w:r w:rsidR="001B1779">
        <w:rPr>
          <w:rFonts w:cstheme="minorHAnsi"/>
          <w:color w:val="222222"/>
          <w:sz w:val="24"/>
          <w:szCs w:val="24"/>
          <w:shd w:val="clear" w:color="auto" w:fill="FFFFFF"/>
        </w:rPr>
        <w:t xml:space="preserve">Lloyd George begins the speech by asserting </w:t>
      </w:r>
      <w:r w:rsidR="00810186">
        <w:rPr>
          <w:rFonts w:cstheme="minorHAnsi"/>
          <w:color w:val="222222"/>
          <w:sz w:val="24"/>
          <w:szCs w:val="24"/>
          <w:shd w:val="clear" w:color="auto" w:fill="FFFFFF"/>
        </w:rPr>
        <w:t>the just nature of the war: Britain is duty-bound to protect its ‘small neighbour’, Belgium, by ‘solemn treaty’</w:t>
      </w:r>
      <w:r w:rsidR="003619A4">
        <w:rPr>
          <w:rFonts w:cstheme="minorHAnsi"/>
          <w:color w:val="222222"/>
          <w:sz w:val="24"/>
          <w:szCs w:val="24"/>
          <w:shd w:val="clear" w:color="auto" w:fill="FFFFFF"/>
        </w:rPr>
        <w:t>;</w:t>
      </w:r>
      <w:r w:rsidR="00810186" w:rsidRPr="00810186">
        <w:rPr>
          <w:rStyle w:val="FootnoteReference"/>
          <w:rFonts w:cstheme="minorHAnsi"/>
          <w:color w:val="222222"/>
          <w:sz w:val="24"/>
          <w:szCs w:val="24"/>
          <w:shd w:val="clear" w:color="auto" w:fill="FFFFFF"/>
        </w:rPr>
        <w:t xml:space="preserve"> </w:t>
      </w:r>
      <w:r w:rsidR="00810186">
        <w:rPr>
          <w:rStyle w:val="FootnoteReference"/>
          <w:rFonts w:cstheme="minorHAnsi"/>
          <w:color w:val="222222"/>
          <w:sz w:val="24"/>
          <w:szCs w:val="24"/>
          <w:shd w:val="clear" w:color="auto" w:fill="FFFFFF"/>
        </w:rPr>
        <w:footnoteReference w:id="31"/>
      </w:r>
      <w:r w:rsidR="00810186">
        <w:rPr>
          <w:rFonts w:cstheme="minorHAnsi"/>
          <w:color w:val="222222"/>
          <w:sz w:val="24"/>
          <w:szCs w:val="24"/>
          <w:shd w:val="clear" w:color="auto" w:fill="FFFFFF"/>
        </w:rPr>
        <w:t xml:space="preserve"> </w:t>
      </w:r>
      <w:r w:rsidR="003619A4">
        <w:rPr>
          <w:rFonts w:cstheme="minorHAnsi"/>
          <w:color w:val="222222"/>
          <w:sz w:val="24"/>
          <w:szCs w:val="24"/>
          <w:shd w:val="clear" w:color="auto" w:fill="FFFFFF"/>
        </w:rPr>
        <w:t xml:space="preserve">in contrast, Germany and </w:t>
      </w:r>
      <w:r w:rsidR="00571A37">
        <w:rPr>
          <w:rFonts w:cstheme="minorHAnsi"/>
          <w:color w:val="222222"/>
          <w:sz w:val="24"/>
          <w:szCs w:val="24"/>
          <w:shd w:val="clear" w:color="auto" w:fill="FFFFFF"/>
        </w:rPr>
        <w:t>Austria had abandoned this duty, seeing this treaty a mere ‘scrap of paper’.</w:t>
      </w:r>
      <w:r w:rsidR="00571A37">
        <w:rPr>
          <w:rStyle w:val="FootnoteReference"/>
          <w:rFonts w:cstheme="minorHAnsi"/>
          <w:color w:val="222222"/>
          <w:sz w:val="24"/>
          <w:szCs w:val="24"/>
          <w:shd w:val="clear" w:color="auto" w:fill="FFFFFF"/>
        </w:rPr>
        <w:footnoteReference w:id="32"/>
      </w:r>
      <w:r w:rsidR="00C63039">
        <w:rPr>
          <w:rFonts w:cstheme="minorHAnsi"/>
          <w:color w:val="222222"/>
          <w:sz w:val="24"/>
          <w:szCs w:val="24"/>
          <w:shd w:val="clear" w:color="auto" w:fill="FFFFFF"/>
        </w:rPr>
        <w:t xml:space="preserve"> He derides this view, arguing that </w:t>
      </w:r>
      <w:r w:rsidR="005302AA">
        <w:rPr>
          <w:rFonts w:cstheme="minorHAnsi"/>
          <w:color w:val="222222"/>
          <w:sz w:val="24"/>
          <w:szCs w:val="24"/>
          <w:shd w:val="clear" w:color="auto" w:fill="FFFFFF"/>
        </w:rPr>
        <w:t>the functioning of all commerce rests on such agreements, and that rejecting them amounts to ‘barbarism’.</w:t>
      </w:r>
      <w:r w:rsidR="005302AA">
        <w:rPr>
          <w:rStyle w:val="FootnoteReference"/>
          <w:rFonts w:cstheme="minorHAnsi"/>
          <w:color w:val="222222"/>
          <w:sz w:val="24"/>
          <w:szCs w:val="24"/>
          <w:shd w:val="clear" w:color="auto" w:fill="FFFFFF"/>
        </w:rPr>
        <w:footnoteReference w:id="33"/>
      </w:r>
      <w:r w:rsidR="0067041E">
        <w:rPr>
          <w:rFonts w:cstheme="minorHAnsi"/>
          <w:color w:val="222222"/>
          <w:sz w:val="24"/>
          <w:szCs w:val="24"/>
          <w:shd w:val="clear" w:color="auto" w:fill="FFFFFF"/>
        </w:rPr>
        <w:t xml:space="preserve"> As such, he suggests that the British motive for war is to act as a means of discipline towards Germany, in forcing it both to respect its obligations and to </w:t>
      </w:r>
      <w:r w:rsidR="00A6444B">
        <w:rPr>
          <w:rFonts w:cstheme="minorHAnsi"/>
          <w:color w:val="222222"/>
          <w:sz w:val="24"/>
          <w:szCs w:val="24"/>
          <w:shd w:val="clear" w:color="auto" w:fill="FFFFFF"/>
        </w:rPr>
        <w:t xml:space="preserve">refrain from </w:t>
      </w:r>
      <w:r w:rsidR="0067041E">
        <w:rPr>
          <w:rFonts w:cstheme="minorHAnsi"/>
          <w:color w:val="222222"/>
          <w:sz w:val="24"/>
          <w:szCs w:val="24"/>
          <w:shd w:val="clear" w:color="auto" w:fill="FFFFFF"/>
        </w:rPr>
        <w:t>any brutalit</w:t>
      </w:r>
      <w:r w:rsidR="00577CA8">
        <w:rPr>
          <w:rFonts w:cstheme="minorHAnsi"/>
          <w:color w:val="222222"/>
          <w:sz w:val="24"/>
          <w:szCs w:val="24"/>
          <w:shd w:val="clear" w:color="auto" w:fill="FFFFFF"/>
        </w:rPr>
        <w:t xml:space="preserve">y towards its neighbours, the ‘little </w:t>
      </w:r>
      <w:r w:rsidR="00577CA8">
        <w:rPr>
          <w:rFonts w:cstheme="minorHAnsi"/>
          <w:color w:val="222222"/>
          <w:sz w:val="24"/>
          <w:szCs w:val="24"/>
          <w:shd w:val="clear" w:color="auto" w:fill="FFFFFF"/>
        </w:rPr>
        <w:lastRenderedPageBreak/>
        <w:t>nations’.</w:t>
      </w:r>
      <w:r w:rsidR="00577CA8">
        <w:rPr>
          <w:rStyle w:val="FootnoteReference"/>
          <w:rFonts w:cstheme="minorHAnsi"/>
          <w:color w:val="222222"/>
          <w:sz w:val="24"/>
          <w:szCs w:val="24"/>
          <w:shd w:val="clear" w:color="auto" w:fill="FFFFFF"/>
        </w:rPr>
        <w:footnoteReference w:id="34"/>
      </w:r>
      <w:r w:rsidR="007E28E2">
        <w:rPr>
          <w:rFonts w:cstheme="minorHAnsi"/>
          <w:color w:val="222222"/>
          <w:sz w:val="24"/>
          <w:szCs w:val="24"/>
          <w:shd w:val="clear" w:color="auto" w:fill="FFFFFF"/>
        </w:rPr>
        <w:t xml:space="preserve"> However, Lloyd George is careful not to </w:t>
      </w:r>
      <w:r w:rsidR="00841901">
        <w:rPr>
          <w:rFonts w:cstheme="minorHAnsi"/>
          <w:color w:val="222222"/>
          <w:sz w:val="24"/>
          <w:szCs w:val="24"/>
          <w:shd w:val="clear" w:color="auto" w:fill="FFFFFF"/>
        </w:rPr>
        <w:t>exaggerate</w:t>
      </w:r>
      <w:r w:rsidR="007E28E2">
        <w:rPr>
          <w:rFonts w:cstheme="minorHAnsi"/>
          <w:color w:val="222222"/>
          <w:sz w:val="24"/>
          <w:szCs w:val="24"/>
          <w:shd w:val="clear" w:color="auto" w:fill="FFFFFF"/>
        </w:rPr>
        <w:t xml:space="preserve"> claims of German brutality in Belgium</w:t>
      </w:r>
      <w:r w:rsidR="00841901">
        <w:rPr>
          <w:rFonts w:cstheme="minorHAnsi"/>
          <w:color w:val="222222"/>
          <w:sz w:val="24"/>
          <w:szCs w:val="24"/>
          <w:shd w:val="clear" w:color="auto" w:fill="FFFFFF"/>
        </w:rPr>
        <w:t>, noting a lack of truth in some accounts, and the brutal nature of all wars;</w:t>
      </w:r>
      <w:r w:rsidR="00F07D57">
        <w:rPr>
          <w:rStyle w:val="FootnoteReference"/>
          <w:rFonts w:cstheme="minorHAnsi"/>
          <w:color w:val="222222"/>
          <w:sz w:val="24"/>
          <w:szCs w:val="24"/>
          <w:shd w:val="clear" w:color="auto" w:fill="FFFFFF"/>
        </w:rPr>
        <w:footnoteReference w:id="35"/>
      </w:r>
      <w:r w:rsidR="00F07D57">
        <w:rPr>
          <w:rFonts w:cstheme="minorHAnsi"/>
          <w:color w:val="222222"/>
          <w:sz w:val="24"/>
          <w:szCs w:val="24"/>
          <w:shd w:val="clear" w:color="auto" w:fill="FFFFFF"/>
        </w:rPr>
        <w:t xml:space="preserve"> John Grigg has suggested that this caution arose from criticism he had made publicly of British brutality in South Africa.</w:t>
      </w:r>
      <w:r w:rsidR="00F07D57">
        <w:rPr>
          <w:rStyle w:val="FootnoteReference"/>
          <w:rFonts w:cstheme="minorHAnsi"/>
          <w:color w:val="222222"/>
          <w:sz w:val="24"/>
          <w:szCs w:val="24"/>
          <w:shd w:val="clear" w:color="auto" w:fill="FFFFFF"/>
        </w:rPr>
        <w:footnoteReference w:id="36"/>
      </w:r>
    </w:p>
    <w:p w:rsidR="002543E4" w:rsidRDefault="002543E4" w:rsidP="008C2652">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ab/>
      </w:r>
      <w:r w:rsidR="00C85D4A">
        <w:rPr>
          <w:rFonts w:cstheme="minorHAnsi"/>
          <w:color w:val="222222"/>
          <w:sz w:val="24"/>
          <w:szCs w:val="24"/>
          <w:shd w:val="clear" w:color="auto" w:fill="FFFFFF"/>
        </w:rPr>
        <w:t>D</w:t>
      </w:r>
      <w:r>
        <w:rPr>
          <w:rFonts w:cstheme="minorHAnsi"/>
          <w:color w:val="222222"/>
          <w:sz w:val="24"/>
          <w:szCs w:val="24"/>
          <w:shd w:val="clear" w:color="auto" w:fill="FFFFFF"/>
        </w:rPr>
        <w:t xml:space="preserve">espite this claim of German ‘barbarism’, Lloyd George is keen to stress that he does not see this as endemic among the German people; the fault, he argues, rests with </w:t>
      </w:r>
      <w:r w:rsidR="007608CC">
        <w:rPr>
          <w:rFonts w:cstheme="minorHAnsi"/>
          <w:color w:val="222222"/>
          <w:sz w:val="24"/>
          <w:szCs w:val="24"/>
          <w:shd w:val="clear" w:color="auto" w:fill="FFFFFF"/>
        </w:rPr>
        <w:t>German militarism, fed ‘with a diet of blood and iron’.</w:t>
      </w:r>
      <w:r>
        <w:rPr>
          <w:rStyle w:val="FootnoteReference"/>
          <w:rFonts w:cstheme="minorHAnsi"/>
          <w:color w:val="222222"/>
          <w:sz w:val="24"/>
          <w:szCs w:val="24"/>
          <w:shd w:val="clear" w:color="auto" w:fill="FFFFFF"/>
        </w:rPr>
        <w:footnoteReference w:id="37"/>
      </w:r>
      <w:r w:rsidR="00D62379">
        <w:rPr>
          <w:rFonts w:cstheme="minorHAnsi"/>
          <w:color w:val="222222"/>
          <w:sz w:val="24"/>
          <w:szCs w:val="24"/>
          <w:shd w:val="clear" w:color="auto" w:fill="FFFFFF"/>
        </w:rPr>
        <w:t xml:space="preserve"> </w:t>
      </w:r>
      <w:r w:rsidR="00C84EA4">
        <w:rPr>
          <w:rFonts w:cstheme="minorHAnsi"/>
          <w:color w:val="222222"/>
          <w:sz w:val="24"/>
          <w:szCs w:val="24"/>
          <w:shd w:val="clear" w:color="auto" w:fill="FFFFFF"/>
        </w:rPr>
        <w:t xml:space="preserve">Such militarism, he proclaims, is something to which he has felt ‘repugnance’ throughout his </w:t>
      </w:r>
      <w:r w:rsidR="00C97750">
        <w:rPr>
          <w:rFonts w:cstheme="minorHAnsi"/>
          <w:color w:val="222222"/>
          <w:sz w:val="24"/>
          <w:szCs w:val="24"/>
          <w:shd w:val="clear" w:color="auto" w:fill="FFFFFF"/>
        </w:rPr>
        <w:t>political career, but it is imperative that Britain must face.</w:t>
      </w:r>
      <w:r w:rsidR="00C84EA4">
        <w:rPr>
          <w:rStyle w:val="FootnoteReference"/>
          <w:rFonts w:cstheme="minorHAnsi"/>
          <w:color w:val="222222"/>
          <w:sz w:val="24"/>
          <w:szCs w:val="24"/>
          <w:shd w:val="clear" w:color="auto" w:fill="FFFFFF"/>
        </w:rPr>
        <w:footnoteReference w:id="38"/>
      </w:r>
      <w:r w:rsidR="00C84EA4">
        <w:rPr>
          <w:rFonts w:cstheme="minorHAnsi"/>
          <w:color w:val="222222"/>
          <w:sz w:val="24"/>
          <w:szCs w:val="24"/>
          <w:shd w:val="clear" w:color="auto" w:fill="FFFFFF"/>
        </w:rPr>
        <w:t xml:space="preserve"> This is certainly supported by a letter dated 3 August 1914, on the eve of the war, </w:t>
      </w:r>
      <w:r w:rsidR="00C97750">
        <w:rPr>
          <w:rFonts w:cstheme="minorHAnsi"/>
          <w:color w:val="222222"/>
          <w:sz w:val="24"/>
          <w:szCs w:val="24"/>
          <w:shd w:val="clear" w:color="auto" w:fill="FFFFFF"/>
        </w:rPr>
        <w:t>in which he expresses horror at the thought that he will have to commit himself to supporting the war should Germany invade Belgium.</w:t>
      </w:r>
      <w:r w:rsidR="00C97750">
        <w:rPr>
          <w:rStyle w:val="FootnoteReference"/>
          <w:rFonts w:cstheme="minorHAnsi"/>
          <w:color w:val="222222"/>
          <w:sz w:val="24"/>
          <w:szCs w:val="24"/>
          <w:shd w:val="clear" w:color="auto" w:fill="FFFFFF"/>
        </w:rPr>
        <w:footnoteReference w:id="39"/>
      </w:r>
      <w:r w:rsidR="00C85D4A">
        <w:rPr>
          <w:rFonts w:cstheme="minorHAnsi"/>
          <w:color w:val="222222"/>
          <w:sz w:val="24"/>
          <w:szCs w:val="24"/>
          <w:shd w:val="clear" w:color="auto" w:fill="FFFFFF"/>
        </w:rPr>
        <w:t xml:space="preserve"> As such, Lloyd George’s adroit argument in this speech that Britain’s war </w:t>
      </w:r>
      <w:r w:rsidR="003555E7">
        <w:rPr>
          <w:rFonts w:cstheme="minorHAnsi"/>
          <w:color w:val="222222"/>
          <w:sz w:val="24"/>
          <w:szCs w:val="24"/>
          <w:shd w:val="clear" w:color="auto" w:fill="FFFFFF"/>
        </w:rPr>
        <w:t xml:space="preserve">was ultimately a defensive one, motivated by German aggression, would seem to be </w:t>
      </w:r>
      <w:r w:rsidR="00136B8C">
        <w:rPr>
          <w:rFonts w:cstheme="minorHAnsi"/>
          <w:color w:val="222222"/>
          <w:sz w:val="24"/>
          <w:szCs w:val="24"/>
          <w:shd w:val="clear" w:color="auto" w:fill="FFFFFF"/>
        </w:rPr>
        <w:t>something he earnestly believed. He would later suggest in his memoir that this approach was characteristic of the Liberal Party, of reluctantly accepting the necessity of war in contrast to Conservative enthusiasm.</w:t>
      </w:r>
      <w:r w:rsidR="00136B8C">
        <w:rPr>
          <w:rStyle w:val="FootnoteReference"/>
          <w:rFonts w:cstheme="minorHAnsi"/>
          <w:color w:val="222222"/>
          <w:sz w:val="24"/>
          <w:szCs w:val="24"/>
          <w:shd w:val="clear" w:color="auto" w:fill="FFFFFF"/>
        </w:rPr>
        <w:footnoteReference w:id="40"/>
      </w:r>
      <w:r w:rsidR="00136B8C">
        <w:rPr>
          <w:rFonts w:cstheme="minorHAnsi"/>
          <w:color w:val="222222"/>
          <w:sz w:val="24"/>
          <w:szCs w:val="24"/>
          <w:shd w:val="clear" w:color="auto" w:fill="FFFFFF"/>
        </w:rPr>
        <w:t xml:space="preserve"> Whether this was or was not reflective of the mood around him, it did appear to be something Lloyd George felt personally: to</w:t>
      </w:r>
      <w:r w:rsidR="003555E7">
        <w:rPr>
          <w:rFonts w:cstheme="minorHAnsi"/>
          <w:color w:val="222222"/>
          <w:sz w:val="24"/>
          <w:szCs w:val="24"/>
          <w:shd w:val="clear" w:color="auto" w:fill="FFFFFF"/>
        </w:rPr>
        <w:t xml:space="preserve"> him, the war was d</w:t>
      </w:r>
      <w:r w:rsidR="00C047CB">
        <w:rPr>
          <w:rFonts w:cstheme="minorHAnsi"/>
          <w:color w:val="222222"/>
          <w:sz w:val="24"/>
          <w:szCs w:val="24"/>
          <w:shd w:val="clear" w:color="auto" w:fill="FFFFFF"/>
        </w:rPr>
        <w:t>isciplinary but not retributive, and a war against a nation but not a people.</w:t>
      </w:r>
    </w:p>
    <w:p w:rsidR="00D62ED3" w:rsidRDefault="00FB2BD1" w:rsidP="008C2652">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ab/>
      </w:r>
      <w:r w:rsidR="00D62ED3">
        <w:rPr>
          <w:rFonts w:cstheme="minorHAnsi"/>
          <w:color w:val="222222"/>
          <w:sz w:val="24"/>
          <w:szCs w:val="24"/>
          <w:shd w:val="clear" w:color="auto" w:fill="FFFFFF"/>
        </w:rPr>
        <w:t>This brings Lloyd George to his purpose in giving the speech</w:t>
      </w:r>
      <w:r w:rsidR="00E47D51">
        <w:rPr>
          <w:rFonts w:cstheme="minorHAnsi"/>
          <w:color w:val="222222"/>
          <w:sz w:val="24"/>
          <w:szCs w:val="24"/>
          <w:shd w:val="clear" w:color="auto" w:fill="FFFFFF"/>
        </w:rPr>
        <w:t>: recruitment; this was the first of a series of speeches aimed at driving up recruits for Kitchener’s volunteer army, particularly among Lloyd George’s fellow Welshmen.</w:t>
      </w:r>
      <w:r w:rsidR="00E47D51">
        <w:rPr>
          <w:rStyle w:val="FootnoteReference"/>
          <w:rFonts w:cstheme="minorHAnsi"/>
          <w:color w:val="222222"/>
          <w:sz w:val="24"/>
          <w:szCs w:val="24"/>
          <w:shd w:val="clear" w:color="auto" w:fill="FFFFFF"/>
        </w:rPr>
        <w:footnoteReference w:id="41"/>
      </w:r>
      <w:r w:rsidR="00E47D51">
        <w:rPr>
          <w:rFonts w:cstheme="minorHAnsi"/>
          <w:color w:val="222222"/>
          <w:sz w:val="24"/>
          <w:szCs w:val="24"/>
          <w:shd w:val="clear" w:color="auto" w:fill="FFFFFF"/>
        </w:rPr>
        <w:t xml:space="preserve"> As such, he would tell the assembled countrymen of his desire for </w:t>
      </w:r>
      <w:r w:rsidR="00D62ED3">
        <w:rPr>
          <w:rFonts w:cstheme="minorHAnsi"/>
          <w:color w:val="222222"/>
          <w:sz w:val="24"/>
          <w:szCs w:val="24"/>
          <w:shd w:val="clear" w:color="auto" w:fill="FFFFFF"/>
        </w:rPr>
        <w:t>‘a Welsh Army in the field’</w:t>
      </w:r>
      <w:r w:rsidR="00E47D51">
        <w:rPr>
          <w:rFonts w:cstheme="minorHAnsi"/>
          <w:color w:val="222222"/>
          <w:sz w:val="24"/>
          <w:szCs w:val="24"/>
          <w:shd w:val="clear" w:color="auto" w:fill="FFFFFF"/>
        </w:rPr>
        <w:t>, and argue that Britain had been sheltered too long as though in a valley, much like one from his childhood in North Wales.</w:t>
      </w:r>
      <w:r w:rsidR="00D62ED3">
        <w:rPr>
          <w:rStyle w:val="FootnoteReference"/>
          <w:rFonts w:cstheme="minorHAnsi"/>
          <w:color w:val="222222"/>
          <w:sz w:val="24"/>
          <w:szCs w:val="24"/>
          <w:shd w:val="clear" w:color="auto" w:fill="FFFFFF"/>
        </w:rPr>
        <w:footnoteReference w:id="42"/>
      </w:r>
    </w:p>
    <w:p w:rsidR="002463AF" w:rsidRDefault="00D62ED3" w:rsidP="00BB559B">
      <w:pPr>
        <w:spacing w:line="360" w:lineRule="auto"/>
        <w:ind w:firstLine="720"/>
        <w:rPr>
          <w:rFonts w:cstheme="minorHAnsi"/>
          <w:color w:val="222222"/>
          <w:sz w:val="24"/>
          <w:szCs w:val="24"/>
          <w:shd w:val="clear" w:color="auto" w:fill="FFFFFF"/>
        </w:rPr>
      </w:pPr>
      <w:r>
        <w:rPr>
          <w:rFonts w:cstheme="minorHAnsi"/>
          <w:color w:val="222222"/>
          <w:sz w:val="24"/>
          <w:szCs w:val="24"/>
          <w:shd w:val="clear" w:color="auto" w:fill="FFFFFF"/>
        </w:rPr>
        <w:t xml:space="preserve"> </w:t>
      </w:r>
      <w:r w:rsidR="00E47D51">
        <w:rPr>
          <w:rFonts w:cstheme="minorHAnsi"/>
          <w:color w:val="222222"/>
          <w:sz w:val="24"/>
          <w:szCs w:val="24"/>
          <w:shd w:val="clear" w:color="auto" w:fill="FFFFFF"/>
        </w:rPr>
        <w:t>By this point, however, Lloyd George had abandoned any belief that the war might be over soon.</w:t>
      </w:r>
      <w:r w:rsidR="00A222DD">
        <w:rPr>
          <w:rFonts w:cstheme="minorHAnsi"/>
          <w:color w:val="222222"/>
          <w:sz w:val="24"/>
          <w:szCs w:val="24"/>
          <w:shd w:val="clear" w:color="auto" w:fill="FFFFFF"/>
        </w:rPr>
        <w:t xml:space="preserve"> Echoing remarks he had made to the press earlier in September, he here </w:t>
      </w:r>
      <w:r w:rsidR="00A222DD">
        <w:rPr>
          <w:rFonts w:cstheme="minorHAnsi"/>
          <w:color w:val="222222"/>
          <w:sz w:val="24"/>
          <w:szCs w:val="24"/>
          <w:shd w:val="clear" w:color="auto" w:fill="FFFFFF"/>
        </w:rPr>
        <w:lastRenderedPageBreak/>
        <w:t>states plainly:</w:t>
      </w:r>
      <w:r w:rsidR="00E47D51">
        <w:rPr>
          <w:rFonts w:cstheme="minorHAnsi"/>
          <w:color w:val="222222"/>
          <w:sz w:val="24"/>
          <w:szCs w:val="24"/>
          <w:shd w:val="clear" w:color="auto" w:fill="FFFFFF"/>
        </w:rPr>
        <w:t xml:space="preserve"> </w:t>
      </w:r>
      <w:r w:rsidR="00711099">
        <w:rPr>
          <w:rFonts w:cstheme="minorHAnsi"/>
          <w:color w:val="222222"/>
          <w:sz w:val="24"/>
          <w:szCs w:val="24"/>
          <w:shd w:val="clear" w:color="auto" w:fill="FFFFFF"/>
        </w:rPr>
        <w:t>‘It will be a long job; it will be a terrible war’</w:t>
      </w:r>
      <w:r w:rsidR="00A222DD">
        <w:rPr>
          <w:rFonts w:cstheme="minorHAnsi"/>
          <w:color w:val="222222"/>
          <w:sz w:val="24"/>
          <w:szCs w:val="24"/>
          <w:shd w:val="clear" w:color="auto" w:fill="FFFFFF"/>
        </w:rPr>
        <w:t>.</w:t>
      </w:r>
      <w:r w:rsidR="00711099">
        <w:rPr>
          <w:rStyle w:val="FootnoteReference"/>
          <w:rFonts w:cstheme="minorHAnsi"/>
          <w:color w:val="222222"/>
          <w:sz w:val="24"/>
          <w:szCs w:val="24"/>
          <w:shd w:val="clear" w:color="auto" w:fill="FFFFFF"/>
        </w:rPr>
        <w:footnoteReference w:id="43"/>
      </w:r>
      <w:r w:rsidR="00A222DD">
        <w:rPr>
          <w:rFonts w:cstheme="minorHAnsi"/>
          <w:color w:val="222222"/>
          <w:sz w:val="24"/>
          <w:szCs w:val="24"/>
          <w:shd w:val="clear" w:color="auto" w:fill="FFFFFF"/>
        </w:rPr>
        <w:t xml:space="preserve"> As such, he emphasises not the adventure of war, but the sacrifice. Invoking the language of chivalry that would come to be associated with memorialisation of the war, he calls for ‘Honour. Duty. Patriotism’.</w:t>
      </w:r>
      <w:r w:rsidR="00A222DD">
        <w:rPr>
          <w:rStyle w:val="FootnoteReference"/>
          <w:rFonts w:cstheme="minorHAnsi"/>
          <w:color w:val="222222"/>
          <w:sz w:val="24"/>
          <w:szCs w:val="24"/>
          <w:shd w:val="clear" w:color="auto" w:fill="FFFFFF"/>
        </w:rPr>
        <w:footnoteReference w:id="44"/>
      </w:r>
      <w:r w:rsidR="00A222DD">
        <w:rPr>
          <w:rFonts w:cstheme="minorHAnsi"/>
          <w:color w:val="222222"/>
          <w:sz w:val="24"/>
          <w:szCs w:val="24"/>
          <w:shd w:val="clear" w:color="auto" w:fill="FFFFFF"/>
        </w:rPr>
        <w:t xml:space="preserve"> </w:t>
      </w:r>
      <w:r w:rsidR="00BB559B">
        <w:rPr>
          <w:rFonts w:cstheme="minorHAnsi"/>
          <w:color w:val="222222"/>
          <w:sz w:val="24"/>
          <w:szCs w:val="24"/>
          <w:shd w:val="clear" w:color="auto" w:fill="FFFFFF"/>
        </w:rPr>
        <w:t>He claims to believe this sacrifice is redemptive for both the dead and their nation, calling their deaths ‘consecrated’ and suggesting that they are undoing the damage of ‘luxury and sloth’.</w:t>
      </w:r>
      <w:r w:rsidR="00BB559B">
        <w:rPr>
          <w:rStyle w:val="FootnoteReference"/>
          <w:rFonts w:cstheme="minorHAnsi"/>
          <w:color w:val="222222"/>
          <w:sz w:val="24"/>
          <w:szCs w:val="24"/>
          <w:shd w:val="clear" w:color="auto" w:fill="FFFFFF"/>
        </w:rPr>
        <w:footnoteReference w:id="45"/>
      </w:r>
      <w:r w:rsidR="00B54EDA">
        <w:rPr>
          <w:rFonts w:cstheme="minorHAnsi"/>
          <w:color w:val="222222"/>
          <w:sz w:val="24"/>
          <w:szCs w:val="24"/>
          <w:shd w:val="clear" w:color="auto" w:fill="FFFFFF"/>
        </w:rPr>
        <w:t xml:space="preserve"> </w:t>
      </w:r>
      <w:r w:rsidR="00BB559B">
        <w:rPr>
          <w:rFonts w:cstheme="minorHAnsi"/>
          <w:color w:val="222222"/>
          <w:sz w:val="24"/>
          <w:szCs w:val="24"/>
          <w:shd w:val="clear" w:color="auto" w:fill="FFFFFF"/>
        </w:rPr>
        <w:t>However, Lloyd George oversteps his bounds at this point, claiming to envy the young for their ability to go to war.</w:t>
      </w:r>
      <w:r w:rsidR="00BB559B">
        <w:rPr>
          <w:rStyle w:val="FootnoteReference"/>
          <w:rFonts w:cstheme="minorHAnsi"/>
          <w:color w:val="222222"/>
          <w:sz w:val="24"/>
          <w:szCs w:val="24"/>
          <w:shd w:val="clear" w:color="auto" w:fill="FFFFFF"/>
        </w:rPr>
        <w:footnoteReference w:id="46"/>
      </w:r>
      <w:r w:rsidR="00BB559B">
        <w:rPr>
          <w:rFonts w:cstheme="minorHAnsi"/>
          <w:color w:val="222222"/>
          <w:sz w:val="24"/>
          <w:szCs w:val="24"/>
          <w:shd w:val="clear" w:color="auto" w:fill="FFFFFF"/>
        </w:rPr>
        <w:t xml:space="preserve"> Grigg has noted, in particular, the hypocrisy of exalting sacrifice in this way while attempting to keep his sons away from danger </w:t>
      </w:r>
      <w:r w:rsidR="00136B8C">
        <w:rPr>
          <w:rFonts w:cstheme="minorHAnsi"/>
          <w:color w:val="222222"/>
          <w:sz w:val="24"/>
          <w:szCs w:val="24"/>
          <w:shd w:val="clear" w:color="auto" w:fill="FFFFFF"/>
        </w:rPr>
        <w:t xml:space="preserve">for part of </w:t>
      </w:r>
      <w:r w:rsidR="00BB559B">
        <w:rPr>
          <w:rFonts w:cstheme="minorHAnsi"/>
          <w:color w:val="222222"/>
          <w:sz w:val="24"/>
          <w:szCs w:val="24"/>
          <w:shd w:val="clear" w:color="auto" w:fill="FFFFFF"/>
        </w:rPr>
        <w:t>the war.</w:t>
      </w:r>
      <w:r w:rsidR="00BB559B">
        <w:rPr>
          <w:rStyle w:val="FootnoteReference"/>
          <w:rFonts w:cstheme="minorHAnsi"/>
          <w:color w:val="222222"/>
          <w:sz w:val="24"/>
          <w:szCs w:val="24"/>
          <w:shd w:val="clear" w:color="auto" w:fill="FFFFFF"/>
        </w:rPr>
        <w:footnoteReference w:id="47"/>
      </w:r>
      <w:r w:rsidR="00136B8C">
        <w:rPr>
          <w:rFonts w:cstheme="minorHAnsi"/>
          <w:color w:val="222222"/>
          <w:sz w:val="24"/>
          <w:szCs w:val="24"/>
          <w:shd w:val="clear" w:color="auto" w:fill="FFFFFF"/>
        </w:rPr>
        <w:t xml:space="preserve"> </w:t>
      </w:r>
      <w:r w:rsidR="002463AF">
        <w:rPr>
          <w:rFonts w:cstheme="minorHAnsi"/>
          <w:color w:val="222222"/>
          <w:sz w:val="24"/>
          <w:szCs w:val="24"/>
          <w:shd w:val="clear" w:color="auto" w:fill="FFFFFF"/>
        </w:rPr>
        <w:t>Here, Lloyd George’s speech would seem to falter quite severely at the last hurdle.</w:t>
      </w:r>
    </w:p>
    <w:p w:rsidR="00C63039" w:rsidRPr="00BB559B" w:rsidRDefault="002463AF" w:rsidP="00BB559B">
      <w:pPr>
        <w:spacing w:line="360" w:lineRule="auto"/>
        <w:ind w:firstLine="720"/>
        <w:rPr>
          <w:rFonts w:cstheme="minorHAnsi"/>
          <w:color w:val="222222"/>
          <w:sz w:val="24"/>
          <w:szCs w:val="24"/>
          <w:shd w:val="clear" w:color="auto" w:fill="FFFFFF"/>
        </w:rPr>
      </w:pPr>
      <w:r>
        <w:rPr>
          <w:rFonts w:cstheme="minorHAnsi"/>
          <w:color w:val="222222"/>
          <w:sz w:val="24"/>
          <w:szCs w:val="24"/>
          <w:shd w:val="clear" w:color="auto" w:fill="FFFFFF"/>
        </w:rPr>
        <w:tab/>
        <w:t xml:space="preserve">Despite this, the speech was very </w:t>
      </w:r>
      <w:r w:rsidR="00B54EDA">
        <w:rPr>
          <w:rFonts w:cstheme="minorHAnsi"/>
          <w:color w:val="222222"/>
          <w:sz w:val="24"/>
          <w:szCs w:val="24"/>
          <w:shd w:val="clear" w:color="auto" w:fill="FFFFFF"/>
        </w:rPr>
        <w:t>well-received. Frances Stevenson relates in her diary that Lloyd George would laugh at ‘the exuberance of The Times’, which printed the speech the following day.</w:t>
      </w:r>
      <w:r w:rsidR="00B54EDA">
        <w:rPr>
          <w:rStyle w:val="FootnoteReference"/>
          <w:rFonts w:cstheme="minorHAnsi"/>
          <w:color w:val="222222"/>
          <w:sz w:val="24"/>
          <w:szCs w:val="24"/>
          <w:shd w:val="clear" w:color="auto" w:fill="FFFFFF"/>
        </w:rPr>
        <w:footnoteReference w:id="48"/>
      </w:r>
      <w:r w:rsidR="00B54EDA">
        <w:rPr>
          <w:rFonts w:cstheme="minorHAnsi"/>
          <w:color w:val="222222"/>
          <w:sz w:val="24"/>
          <w:szCs w:val="24"/>
          <w:shd w:val="clear" w:color="auto" w:fill="FFFFFF"/>
        </w:rPr>
        <w:t xml:space="preserve"> The speech would become widely circulated and applauded.</w:t>
      </w:r>
      <w:r w:rsidR="00B54EDA">
        <w:rPr>
          <w:rStyle w:val="FootnoteReference"/>
          <w:rFonts w:cstheme="minorHAnsi"/>
          <w:color w:val="222222"/>
          <w:sz w:val="24"/>
          <w:szCs w:val="24"/>
          <w:shd w:val="clear" w:color="auto" w:fill="FFFFFF"/>
        </w:rPr>
        <w:footnoteReference w:id="49"/>
      </w:r>
      <w:r w:rsidR="00B54EDA">
        <w:rPr>
          <w:rFonts w:cstheme="minorHAnsi"/>
          <w:color w:val="222222"/>
          <w:sz w:val="24"/>
          <w:szCs w:val="24"/>
          <w:shd w:val="clear" w:color="auto" w:fill="FFFFFF"/>
        </w:rPr>
        <w:t xml:space="preserve"> </w:t>
      </w:r>
      <w:r w:rsidR="00E524C3">
        <w:rPr>
          <w:rFonts w:cstheme="minorHAnsi"/>
          <w:color w:val="222222"/>
          <w:sz w:val="24"/>
          <w:szCs w:val="24"/>
          <w:shd w:val="clear" w:color="auto" w:fill="FFFFFF"/>
        </w:rPr>
        <w:t xml:space="preserve">Criticism of the speech’s failings would come later, after the war, but the contemporary view was one of </w:t>
      </w:r>
      <w:proofErr w:type="gramStart"/>
      <w:r w:rsidR="00E524C3">
        <w:rPr>
          <w:rFonts w:cstheme="minorHAnsi"/>
          <w:color w:val="222222"/>
          <w:sz w:val="24"/>
          <w:szCs w:val="24"/>
          <w:shd w:val="clear" w:color="auto" w:fill="FFFFFF"/>
        </w:rPr>
        <w:t>great success</w:t>
      </w:r>
      <w:proofErr w:type="gramEnd"/>
      <w:r w:rsidR="00E524C3">
        <w:rPr>
          <w:rFonts w:cstheme="minorHAnsi"/>
          <w:color w:val="222222"/>
          <w:sz w:val="24"/>
          <w:szCs w:val="24"/>
          <w:shd w:val="clear" w:color="auto" w:fill="FFFFFF"/>
        </w:rPr>
        <w:t>. Lloyd George had been revealed as a far more inspiring wartime leader than Asquith, and would spend the next two years as a Prime Minister-in-waiting.</w:t>
      </w:r>
      <w:r w:rsidR="00C63039">
        <w:rPr>
          <w:rFonts w:cstheme="minorHAnsi"/>
          <w:sz w:val="24"/>
          <w:szCs w:val="24"/>
        </w:rPr>
        <w:br w:type="page"/>
      </w:r>
    </w:p>
    <w:p w:rsidR="00DE77C7" w:rsidRDefault="00DE77C7">
      <w:pPr>
        <w:rPr>
          <w:rFonts w:cstheme="minorHAnsi"/>
          <w:sz w:val="24"/>
          <w:szCs w:val="24"/>
        </w:rPr>
      </w:pPr>
    </w:p>
    <w:p w:rsidR="007B12F4" w:rsidRPr="00DE77C7" w:rsidRDefault="00DE77C7" w:rsidP="00DE77C7">
      <w:pPr>
        <w:spacing w:line="360" w:lineRule="auto"/>
        <w:jc w:val="center"/>
        <w:rPr>
          <w:rFonts w:cstheme="minorHAnsi"/>
          <w:b/>
          <w:sz w:val="28"/>
          <w:szCs w:val="28"/>
        </w:rPr>
      </w:pPr>
      <w:r w:rsidRPr="00DE77C7">
        <w:rPr>
          <w:rFonts w:cstheme="minorHAnsi"/>
          <w:b/>
          <w:sz w:val="28"/>
          <w:szCs w:val="28"/>
        </w:rPr>
        <w:t>Bibliography</w:t>
      </w:r>
    </w:p>
    <w:p w:rsidR="00DE77C7" w:rsidRDefault="00DE77C7" w:rsidP="008C2652">
      <w:pPr>
        <w:spacing w:line="360" w:lineRule="auto"/>
        <w:rPr>
          <w:rFonts w:cstheme="minorHAnsi"/>
          <w:sz w:val="24"/>
          <w:szCs w:val="24"/>
        </w:rPr>
      </w:pPr>
    </w:p>
    <w:p w:rsidR="00DE77C7" w:rsidRPr="00DE77C7" w:rsidRDefault="00DE77C7" w:rsidP="008C2652">
      <w:pPr>
        <w:spacing w:line="360" w:lineRule="auto"/>
        <w:ind w:left="567" w:hanging="567"/>
        <w:rPr>
          <w:rFonts w:cstheme="minorHAnsi"/>
          <w:b/>
          <w:sz w:val="24"/>
          <w:szCs w:val="24"/>
        </w:rPr>
      </w:pPr>
      <w:r w:rsidRPr="00DE77C7">
        <w:rPr>
          <w:rFonts w:cstheme="minorHAnsi"/>
          <w:b/>
          <w:sz w:val="24"/>
          <w:szCs w:val="24"/>
        </w:rPr>
        <w:t>Primary Sources</w:t>
      </w:r>
    </w:p>
    <w:p w:rsidR="00DE77C7" w:rsidRPr="00DE77C7" w:rsidRDefault="00DE77C7" w:rsidP="00DE77C7">
      <w:pPr>
        <w:spacing w:line="360" w:lineRule="auto"/>
        <w:ind w:left="567" w:hanging="567"/>
        <w:rPr>
          <w:rFonts w:cstheme="minorHAnsi"/>
          <w:sz w:val="24"/>
          <w:szCs w:val="24"/>
        </w:rPr>
      </w:pPr>
      <w:r>
        <w:rPr>
          <w:rFonts w:cstheme="minorHAnsi"/>
          <w:sz w:val="24"/>
          <w:szCs w:val="24"/>
        </w:rPr>
        <w:t xml:space="preserve">George, D., L., </w:t>
      </w:r>
      <w:r>
        <w:rPr>
          <w:rFonts w:cstheme="minorHAnsi"/>
          <w:i/>
          <w:sz w:val="24"/>
          <w:szCs w:val="24"/>
        </w:rPr>
        <w:t>Lloyd George: Family Letters 1885-1936</w:t>
      </w:r>
      <w:r>
        <w:rPr>
          <w:rFonts w:cstheme="minorHAnsi"/>
          <w:sz w:val="24"/>
          <w:szCs w:val="24"/>
        </w:rPr>
        <w:t>, (</w:t>
      </w:r>
      <w:proofErr w:type="spellStart"/>
      <w:r>
        <w:rPr>
          <w:rFonts w:cstheme="minorHAnsi"/>
          <w:sz w:val="24"/>
          <w:szCs w:val="24"/>
        </w:rPr>
        <w:t>ed</w:t>
      </w:r>
      <w:proofErr w:type="spellEnd"/>
      <w:r>
        <w:rPr>
          <w:rFonts w:cstheme="minorHAnsi"/>
          <w:sz w:val="24"/>
          <w:szCs w:val="24"/>
        </w:rPr>
        <w:t xml:space="preserve"> by K. O. Morgan) (Cardiff: University of Wales Press, 1973).</w:t>
      </w:r>
    </w:p>
    <w:p w:rsidR="00DE77C7" w:rsidRDefault="00DE77C7" w:rsidP="00DE77C7">
      <w:pPr>
        <w:spacing w:line="360" w:lineRule="auto"/>
        <w:ind w:left="567" w:hanging="567"/>
        <w:rPr>
          <w:rFonts w:cstheme="minorHAnsi"/>
          <w:sz w:val="24"/>
          <w:szCs w:val="24"/>
        </w:rPr>
      </w:pPr>
      <w:r w:rsidRPr="00DE77C7">
        <w:rPr>
          <w:rFonts w:cstheme="minorHAnsi"/>
          <w:sz w:val="24"/>
          <w:szCs w:val="24"/>
        </w:rPr>
        <w:t xml:space="preserve">George, D., L., </w:t>
      </w:r>
      <w:r w:rsidRPr="00DE77C7">
        <w:rPr>
          <w:rFonts w:cstheme="minorHAnsi"/>
          <w:i/>
          <w:sz w:val="24"/>
          <w:szCs w:val="24"/>
        </w:rPr>
        <w:t>The Great War: Speech Delivered by the Rt. Hon. David Lloyd George, M.P. (Chancellor of the Exchequer) at the Queen’s Hall, London, on September 19</w:t>
      </w:r>
      <w:r w:rsidRPr="00DE77C7">
        <w:rPr>
          <w:rFonts w:cstheme="minorHAnsi"/>
          <w:i/>
          <w:sz w:val="24"/>
          <w:szCs w:val="24"/>
          <w:vertAlign w:val="superscript"/>
        </w:rPr>
        <w:t>th</w:t>
      </w:r>
      <w:r w:rsidRPr="00DE77C7">
        <w:rPr>
          <w:rFonts w:cstheme="minorHAnsi"/>
          <w:i/>
          <w:sz w:val="24"/>
          <w:szCs w:val="24"/>
        </w:rPr>
        <w:t xml:space="preserve">, 1914 </w:t>
      </w:r>
      <w:r w:rsidRPr="00DE77C7">
        <w:rPr>
          <w:rFonts w:cstheme="minorHAnsi"/>
          <w:sz w:val="24"/>
          <w:szCs w:val="24"/>
        </w:rPr>
        <w:t xml:space="preserve">(Toronto: Hodder and Stoughton, 1914). [Online]. Available: </w:t>
      </w:r>
      <w:hyperlink r:id="rId12" w:history="1">
        <w:r w:rsidRPr="00DE77C7">
          <w:rPr>
            <w:rStyle w:val="Hyperlink"/>
            <w:rFonts w:cstheme="minorHAnsi"/>
            <w:sz w:val="24"/>
            <w:szCs w:val="24"/>
          </w:rPr>
          <w:t>https://archive.org/details/greatwarspeechde00lloyuoft</w:t>
        </w:r>
      </w:hyperlink>
      <w:r w:rsidRPr="00DE77C7">
        <w:rPr>
          <w:rFonts w:cstheme="minorHAnsi"/>
          <w:sz w:val="24"/>
          <w:szCs w:val="24"/>
        </w:rPr>
        <w:t xml:space="preserve"> [Accessed on 17 November 2017].</w:t>
      </w:r>
    </w:p>
    <w:p w:rsidR="00DE77C7" w:rsidRPr="008C2652" w:rsidRDefault="00DE77C7" w:rsidP="00DE77C7">
      <w:pPr>
        <w:spacing w:line="360" w:lineRule="auto"/>
        <w:ind w:left="567" w:hanging="567"/>
        <w:rPr>
          <w:rFonts w:cstheme="minorHAnsi"/>
          <w:sz w:val="24"/>
          <w:szCs w:val="24"/>
        </w:rPr>
      </w:pPr>
      <w:r w:rsidRPr="008C2652">
        <w:rPr>
          <w:rFonts w:cstheme="minorHAnsi"/>
          <w:sz w:val="24"/>
          <w:szCs w:val="24"/>
        </w:rPr>
        <w:t xml:space="preserve">George, D., L., </w:t>
      </w:r>
      <w:r w:rsidRPr="008C2652">
        <w:rPr>
          <w:rFonts w:cstheme="minorHAnsi"/>
          <w:i/>
          <w:sz w:val="24"/>
          <w:szCs w:val="24"/>
        </w:rPr>
        <w:t xml:space="preserve">War Memoirs of David Lloyd George: Volume 1 </w:t>
      </w:r>
      <w:r w:rsidRPr="008C2652">
        <w:rPr>
          <w:rFonts w:cstheme="minorHAnsi"/>
          <w:sz w:val="24"/>
          <w:szCs w:val="24"/>
        </w:rPr>
        <w:t xml:space="preserve">(London: </w:t>
      </w:r>
      <w:proofErr w:type="spellStart"/>
      <w:r w:rsidRPr="008C2652">
        <w:rPr>
          <w:rFonts w:cstheme="minorHAnsi"/>
          <w:sz w:val="24"/>
          <w:szCs w:val="24"/>
        </w:rPr>
        <w:t>Odhams</w:t>
      </w:r>
      <w:proofErr w:type="spellEnd"/>
      <w:r w:rsidRPr="008C2652">
        <w:rPr>
          <w:rFonts w:cstheme="minorHAnsi"/>
          <w:sz w:val="24"/>
          <w:szCs w:val="24"/>
        </w:rPr>
        <w:t xml:space="preserve"> Press Limited, 1936).</w:t>
      </w:r>
    </w:p>
    <w:p w:rsidR="00DE77C7" w:rsidRDefault="00DE77C7" w:rsidP="008C2652">
      <w:pPr>
        <w:spacing w:line="360" w:lineRule="auto"/>
        <w:ind w:left="567" w:hanging="567"/>
        <w:rPr>
          <w:rFonts w:cstheme="minorHAnsi"/>
          <w:sz w:val="24"/>
          <w:szCs w:val="24"/>
        </w:rPr>
      </w:pPr>
      <w:r>
        <w:rPr>
          <w:rFonts w:cstheme="minorHAnsi"/>
          <w:sz w:val="24"/>
          <w:szCs w:val="24"/>
        </w:rPr>
        <w:t xml:space="preserve">Stevenson, F., </w:t>
      </w:r>
      <w:r>
        <w:rPr>
          <w:rFonts w:cstheme="minorHAnsi"/>
          <w:i/>
          <w:sz w:val="24"/>
          <w:szCs w:val="24"/>
        </w:rPr>
        <w:t>Lloyd George: A Diary by Frances Stevenson,</w:t>
      </w:r>
      <w:r>
        <w:rPr>
          <w:rFonts w:cstheme="minorHAnsi"/>
          <w:sz w:val="24"/>
          <w:szCs w:val="24"/>
        </w:rPr>
        <w:t xml:space="preserve"> (ed. by A. J. P. Taylor) (Essex: The First Beaverbrook Foundation, 1971).</w:t>
      </w:r>
    </w:p>
    <w:p w:rsidR="00DE77C7" w:rsidRPr="00DE77C7" w:rsidRDefault="00DE77C7" w:rsidP="008C2652">
      <w:pPr>
        <w:spacing w:line="360" w:lineRule="auto"/>
        <w:ind w:left="567" w:hanging="567"/>
        <w:rPr>
          <w:rFonts w:cstheme="minorHAnsi"/>
          <w:sz w:val="24"/>
          <w:szCs w:val="24"/>
        </w:rPr>
      </w:pPr>
    </w:p>
    <w:p w:rsidR="00DE77C7" w:rsidRDefault="00DE77C7" w:rsidP="008C2652">
      <w:pPr>
        <w:spacing w:line="360" w:lineRule="auto"/>
        <w:ind w:left="567" w:hanging="567"/>
        <w:rPr>
          <w:rFonts w:cstheme="minorHAnsi"/>
          <w:sz w:val="24"/>
          <w:szCs w:val="24"/>
        </w:rPr>
      </w:pPr>
      <w:r w:rsidRPr="00DE77C7">
        <w:rPr>
          <w:rFonts w:cstheme="minorHAnsi"/>
          <w:b/>
          <w:sz w:val="24"/>
          <w:szCs w:val="24"/>
        </w:rPr>
        <w:t>Secondary Sources</w:t>
      </w:r>
    </w:p>
    <w:p w:rsidR="004932B3" w:rsidRDefault="004932B3" w:rsidP="008C2652">
      <w:pPr>
        <w:spacing w:line="360" w:lineRule="auto"/>
        <w:ind w:left="567" w:hanging="567"/>
        <w:rPr>
          <w:rFonts w:cstheme="minorHAnsi"/>
          <w:sz w:val="24"/>
          <w:szCs w:val="24"/>
        </w:rPr>
      </w:pPr>
      <w:r>
        <w:rPr>
          <w:rFonts w:cstheme="minorHAnsi"/>
          <w:sz w:val="24"/>
          <w:szCs w:val="24"/>
        </w:rPr>
        <w:t xml:space="preserve">Grigg, J., </w:t>
      </w:r>
      <w:r>
        <w:rPr>
          <w:rFonts w:cstheme="minorHAnsi"/>
          <w:i/>
          <w:sz w:val="24"/>
          <w:szCs w:val="24"/>
        </w:rPr>
        <w:t>Lloyd George: From Peace to War 1912-1916</w:t>
      </w:r>
      <w:r>
        <w:rPr>
          <w:rFonts w:cstheme="minorHAnsi"/>
          <w:sz w:val="24"/>
          <w:szCs w:val="24"/>
        </w:rPr>
        <w:t xml:space="preserve"> (London: Harper Collins Publishers, 1997).</w:t>
      </w:r>
    </w:p>
    <w:p w:rsidR="004932B3" w:rsidRPr="004932B3" w:rsidRDefault="004932B3" w:rsidP="008C2652">
      <w:pPr>
        <w:spacing w:line="360" w:lineRule="auto"/>
        <w:ind w:left="567" w:hanging="567"/>
        <w:rPr>
          <w:rFonts w:cstheme="minorHAnsi"/>
          <w:sz w:val="24"/>
          <w:szCs w:val="24"/>
        </w:rPr>
      </w:pPr>
      <w:r>
        <w:rPr>
          <w:rFonts w:cstheme="minorHAnsi"/>
          <w:sz w:val="24"/>
          <w:szCs w:val="24"/>
        </w:rPr>
        <w:t xml:space="preserve">Pugh, M., </w:t>
      </w:r>
      <w:r>
        <w:rPr>
          <w:rFonts w:cstheme="minorHAnsi"/>
          <w:i/>
          <w:sz w:val="24"/>
          <w:szCs w:val="24"/>
        </w:rPr>
        <w:t>Lloyd George</w:t>
      </w:r>
      <w:r>
        <w:rPr>
          <w:rFonts w:cstheme="minorHAnsi"/>
          <w:sz w:val="24"/>
          <w:szCs w:val="24"/>
        </w:rPr>
        <w:t xml:space="preserve"> (Essex: Longman Group UK Ltd, 1988).</w:t>
      </w:r>
    </w:p>
    <w:sectPr w:rsidR="004932B3" w:rsidRPr="004932B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7333" w:rsidRDefault="00DF7333" w:rsidP="00636AD9">
      <w:pPr>
        <w:spacing w:after="0" w:line="240" w:lineRule="auto"/>
      </w:pPr>
      <w:r>
        <w:separator/>
      </w:r>
    </w:p>
  </w:endnote>
  <w:endnote w:type="continuationSeparator" w:id="0">
    <w:p w:rsidR="00DF7333" w:rsidRDefault="00DF7333" w:rsidP="00636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7333" w:rsidRDefault="00DF7333" w:rsidP="00636AD9">
      <w:pPr>
        <w:spacing w:after="0" w:line="240" w:lineRule="auto"/>
      </w:pPr>
      <w:r>
        <w:separator/>
      </w:r>
    </w:p>
  </w:footnote>
  <w:footnote w:type="continuationSeparator" w:id="0">
    <w:p w:rsidR="00DF7333" w:rsidRDefault="00DF7333" w:rsidP="00636AD9">
      <w:pPr>
        <w:spacing w:after="0" w:line="240" w:lineRule="auto"/>
      </w:pPr>
      <w:r>
        <w:continuationSeparator/>
      </w:r>
    </w:p>
  </w:footnote>
  <w:footnote w:id="1">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D. Stevenson, ‘War by Timetable? The Railway Race before 1914’, </w:t>
      </w:r>
      <w:r w:rsidRPr="008C2652">
        <w:rPr>
          <w:i/>
          <w:sz w:val="20"/>
          <w:szCs w:val="20"/>
        </w:rPr>
        <w:t>Past &amp; Present</w:t>
      </w:r>
      <w:r w:rsidRPr="008C2652">
        <w:rPr>
          <w:sz w:val="20"/>
          <w:szCs w:val="20"/>
        </w:rPr>
        <w:t>, no. 162 (</w:t>
      </w:r>
      <w:proofErr w:type="gramStart"/>
      <w:r w:rsidRPr="008C2652">
        <w:rPr>
          <w:sz w:val="20"/>
          <w:szCs w:val="20"/>
        </w:rPr>
        <w:t>Feb.,</w:t>
      </w:r>
      <w:proofErr w:type="gramEnd"/>
      <w:r w:rsidRPr="008C2652">
        <w:rPr>
          <w:sz w:val="20"/>
          <w:szCs w:val="20"/>
        </w:rPr>
        <w:t xml:space="preserve"> 1999), 163. [Online]. </w:t>
      </w:r>
      <w:proofErr w:type="spellStart"/>
      <w:r w:rsidRPr="008C2652">
        <w:rPr>
          <w:sz w:val="20"/>
          <w:szCs w:val="20"/>
        </w:rPr>
        <w:t>Avalailable</w:t>
      </w:r>
      <w:proofErr w:type="spellEnd"/>
      <w:r w:rsidRPr="008C2652">
        <w:rPr>
          <w:sz w:val="20"/>
          <w:szCs w:val="20"/>
        </w:rPr>
        <w:t xml:space="preserve">: </w:t>
      </w:r>
      <w:hyperlink r:id="rId1" w:history="1">
        <w:r w:rsidRPr="008C2652">
          <w:rPr>
            <w:rStyle w:val="Hyperlink"/>
            <w:sz w:val="20"/>
            <w:szCs w:val="20"/>
          </w:rPr>
          <w:t>http://www.jstor.org/stable/651067?origin=JSTOR-pdf</w:t>
        </w:r>
      </w:hyperlink>
      <w:r w:rsidRPr="008C2652">
        <w:rPr>
          <w:sz w:val="20"/>
          <w:szCs w:val="20"/>
        </w:rPr>
        <w:t xml:space="preserve"> [Accessed on 17 November 2017].</w:t>
      </w:r>
    </w:p>
  </w:footnote>
  <w:footnote w:id="2">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Taylor, </w:t>
      </w:r>
      <w:r w:rsidRPr="008C2652">
        <w:rPr>
          <w:i/>
          <w:sz w:val="20"/>
          <w:szCs w:val="20"/>
        </w:rPr>
        <w:t>The First World War: An Illustrated History</w:t>
      </w:r>
      <w:r w:rsidRPr="008C2652">
        <w:rPr>
          <w:sz w:val="20"/>
          <w:szCs w:val="20"/>
        </w:rPr>
        <w:t xml:space="preserve"> (London: Penguin, 1966).</w:t>
      </w:r>
    </w:p>
  </w:footnote>
  <w:footnote w:id="3">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J. Shute, ‘The Trains that Took Us to War’, </w:t>
      </w:r>
      <w:r w:rsidRPr="008C2652">
        <w:rPr>
          <w:i/>
          <w:sz w:val="20"/>
          <w:szCs w:val="20"/>
        </w:rPr>
        <w:t>The Telegraph</w:t>
      </w:r>
      <w:r w:rsidRPr="008C2652">
        <w:rPr>
          <w:sz w:val="20"/>
          <w:szCs w:val="20"/>
        </w:rPr>
        <w:t xml:space="preserve">, 27 July 2014. [Online]. Available: </w:t>
      </w:r>
      <w:hyperlink r:id="rId2" w:history="1">
        <w:r w:rsidRPr="008C2652">
          <w:rPr>
            <w:rStyle w:val="Hyperlink"/>
            <w:sz w:val="20"/>
            <w:szCs w:val="20"/>
          </w:rPr>
          <w:t>http://www.telegraph.co.uk/history/world-war-one/10992624/The-trains-that-took-us-to-war.html</w:t>
        </w:r>
      </w:hyperlink>
      <w:r w:rsidRPr="008C2652">
        <w:rPr>
          <w:sz w:val="20"/>
          <w:szCs w:val="20"/>
        </w:rPr>
        <w:t xml:space="preserve"> [Accessed on 17 November 2017].</w:t>
      </w:r>
    </w:p>
  </w:footnote>
  <w:footnote w:id="4">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A. J. P. Taylor, </w:t>
      </w:r>
      <w:r w:rsidRPr="008C2652">
        <w:rPr>
          <w:i/>
          <w:sz w:val="20"/>
          <w:szCs w:val="20"/>
        </w:rPr>
        <w:t>War by Time-table: How the First World War Began</w:t>
      </w:r>
      <w:r w:rsidRPr="008C2652">
        <w:rPr>
          <w:sz w:val="20"/>
          <w:szCs w:val="20"/>
        </w:rPr>
        <w:t xml:space="preserve"> (London: Macdonald &amp; Co Ltd, 1969), 5.</w:t>
      </w:r>
    </w:p>
  </w:footnote>
  <w:footnote w:id="5">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r w:rsidRPr="008C2652">
        <w:rPr>
          <w:sz w:val="20"/>
          <w:szCs w:val="20"/>
        </w:rPr>
        <w:t>, 6-7.</w:t>
      </w:r>
    </w:p>
  </w:footnote>
  <w:footnote w:id="6">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p>
  </w:footnote>
  <w:footnote w:id="7">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r w:rsidRPr="008C2652">
        <w:rPr>
          <w:sz w:val="20"/>
          <w:szCs w:val="20"/>
        </w:rPr>
        <w:t xml:space="preserve"> 18-19, 23.</w:t>
      </w:r>
    </w:p>
  </w:footnote>
  <w:footnote w:id="8">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r w:rsidRPr="008C2652">
        <w:rPr>
          <w:sz w:val="20"/>
          <w:szCs w:val="20"/>
        </w:rPr>
        <w:t xml:space="preserve"> 18-19.</w:t>
      </w:r>
    </w:p>
  </w:footnote>
  <w:footnote w:id="9">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r w:rsidRPr="008C2652">
        <w:rPr>
          <w:sz w:val="20"/>
          <w:szCs w:val="20"/>
        </w:rPr>
        <w:t xml:space="preserve"> 32.</w:t>
      </w:r>
    </w:p>
  </w:footnote>
  <w:footnote w:id="10">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r w:rsidRPr="008C2652">
        <w:rPr>
          <w:sz w:val="20"/>
          <w:szCs w:val="20"/>
        </w:rPr>
        <w:t xml:space="preserve"> 15.</w:t>
      </w:r>
    </w:p>
  </w:footnote>
  <w:footnote w:id="11">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L. Woodward, </w:t>
      </w:r>
      <w:r w:rsidRPr="008C2652">
        <w:rPr>
          <w:i/>
          <w:sz w:val="20"/>
          <w:szCs w:val="20"/>
        </w:rPr>
        <w:t xml:space="preserve">Great Britain and the War of 1914-1918 </w:t>
      </w:r>
      <w:r w:rsidRPr="008C2652">
        <w:rPr>
          <w:sz w:val="20"/>
          <w:szCs w:val="20"/>
        </w:rPr>
        <w:t xml:space="preserve">(London: Methuen &amp; Co Ltd, 1967), 160-161; D. L. George, </w:t>
      </w:r>
      <w:r w:rsidRPr="008C2652">
        <w:rPr>
          <w:i/>
          <w:sz w:val="20"/>
          <w:szCs w:val="20"/>
        </w:rPr>
        <w:t xml:space="preserve">War Memoirs of David Lloyd George: Volume 1 </w:t>
      </w:r>
      <w:r w:rsidRPr="008C2652">
        <w:rPr>
          <w:sz w:val="20"/>
          <w:szCs w:val="20"/>
        </w:rPr>
        <w:t xml:space="preserve">(London: </w:t>
      </w:r>
      <w:proofErr w:type="spellStart"/>
      <w:r w:rsidRPr="008C2652">
        <w:rPr>
          <w:sz w:val="20"/>
          <w:szCs w:val="20"/>
        </w:rPr>
        <w:t>Odhams</w:t>
      </w:r>
      <w:proofErr w:type="spellEnd"/>
      <w:r w:rsidRPr="008C2652">
        <w:rPr>
          <w:sz w:val="20"/>
          <w:szCs w:val="20"/>
        </w:rPr>
        <w:t xml:space="preserve"> Press Limited, 1936), 444.</w:t>
      </w:r>
    </w:p>
  </w:footnote>
  <w:footnote w:id="12">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Taylor, </w:t>
      </w:r>
      <w:r w:rsidRPr="008C2652">
        <w:rPr>
          <w:i/>
          <w:sz w:val="20"/>
          <w:szCs w:val="20"/>
        </w:rPr>
        <w:t>War by Time-table</w:t>
      </w:r>
      <w:r w:rsidRPr="008C2652">
        <w:rPr>
          <w:sz w:val="20"/>
          <w:szCs w:val="20"/>
        </w:rPr>
        <w:t>, 31.</w:t>
      </w:r>
    </w:p>
  </w:footnote>
  <w:footnote w:id="13">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J. </w:t>
      </w:r>
      <w:proofErr w:type="spellStart"/>
      <w:r w:rsidRPr="008C2652">
        <w:rPr>
          <w:sz w:val="20"/>
          <w:szCs w:val="20"/>
        </w:rPr>
        <w:t>Joll</w:t>
      </w:r>
      <w:proofErr w:type="spellEnd"/>
      <w:r w:rsidRPr="008C2652">
        <w:rPr>
          <w:sz w:val="20"/>
          <w:szCs w:val="20"/>
        </w:rPr>
        <w:t xml:space="preserve">, </w:t>
      </w:r>
      <w:r w:rsidRPr="008C2652">
        <w:rPr>
          <w:i/>
          <w:sz w:val="20"/>
          <w:szCs w:val="20"/>
        </w:rPr>
        <w:t>The Origins of the First World War</w:t>
      </w:r>
      <w:r w:rsidRPr="008C2652">
        <w:rPr>
          <w:sz w:val="20"/>
          <w:szCs w:val="20"/>
        </w:rPr>
        <w:t xml:space="preserve"> (Harlow: Longman, 1984), 63-5.</w:t>
      </w:r>
    </w:p>
  </w:footnote>
  <w:footnote w:id="14">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Taylor, </w:t>
      </w:r>
      <w:r w:rsidRPr="008C2652">
        <w:rPr>
          <w:i/>
          <w:sz w:val="20"/>
          <w:szCs w:val="20"/>
        </w:rPr>
        <w:t>War by Time-table,</w:t>
      </w:r>
      <w:r w:rsidRPr="008C2652">
        <w:rPr>
          <w:sz w:val="20"/>
          <w:szCs w:val="20"/>
        </w:rPr>
        <w:t xml:space="preserve"> 116.</w:t>
      </w:r>
    </w:p>
  </w:footnote>
  <w:footnote w:id="15">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L. L. Farrar Jr, </w:t>
      </w:r>
      <w:r w:rsidRPr="008C2652">
        <w:rPr>
          <w:i/>
          <w:sz w:val="20"/>
          <w:szCs w:val="20"/>
        </w:rPr>
        <w:t>The Short War Illusion</w:t>
      </w:r>
      <w:r w:rsidRPr="008C2652">
        <w:rPr>
          <w:sz w:val="20"/>
          <w:szCs w:val="20"/>
        </w:rPr>
        <w:t xml:space="preserve"> (Santa Barbara: ABC Clio, 1973), cited in </w:t>
      </w:r>
      <w:proofErr w:type="spellStart"/>
      <w:r w:rsidRPr="008C2652">
        <w:rPr>
          <w:sz w:val="20"/>
          <w:szCs w:val="20"/>
        </w:rPr>
        <w:t>Joll</w:t>
      </w:r>
      <w:proofErr w:type="spellEnd"/>
      <w:r w:rsidRPr="008C2652">
        <w:rPr>
          <w:sz w:val="20"/>
          <w:szCs w:val="20"/>
        </w:rPr>
        <w:t xml:space="preserve">, </w:t>
      </w:r>
      <w:r w:rsidRPr="008C2652">
        <w:rPr>
          <w:i/>
          <w:sz w:val="20"/>
          <w:szCs w:val="20"/>
        </w:rPr>
        <w:t>Origins</w:t>
      </w:r>
      <w:r w:rsidRPr="008C2652">
        <w:rPr>
          <w:sz w:val="20"/>
          <w:szCs w:val="20"/>
        </w:rPr>
        <w:t>, 88-89.</w:t>
      </w:r>
    </w:p>
  </w:footnote>
  <w:footnote w:id="16">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 xml:space="preserve">ibid, </w:t>
      </w:r>
      <w:r w:rsidRPr="008C2652">
        <w:rPr>
          <w:sz w:val="20"/>
          <w:szCs w:val="20"/>
        </w:rPr>
        <w:t xml:space="preserve">126; F. Fischer, </w:t>
      </w:r>
      <w:r w:rsidRPr="008C2652">
        <w:rPr>
          <w:i/>
          <w:sz w:val="20"/>
          <w:szCs w:val="20"/>
        </w:rPr>
        <w:t>Germany’s Aims in the First World War</w:t>
      </w:r>
      <w:r w:rsidRPr="008C2652">
        <w:rPr>
          <w:sz w:val="20"/>
          <w:szCs w:val="20"/>
        </w:rPr>
        <w:t xml:space="preserve"> (London: </w:t>
      </w:r>
      <w:proofErr w:type="spellStart"/>
      <w:r w:rsidRPr="008C2652">
        <w:rPr>
          <w:sz w:val="20"/>
          <w:szCs w:val="20"/>
        </w:rPr>
        <w:t>Chatto</w:t>
      </w:r>
      <w:proofErr w:type="spellEnd"/>
      <w:r w:rsidRPr="008C2652">
        <w:rPr>
          <w:sz w:val="20"/>
          <w:szCs w:val="20"/>
        </w:rPr>
        <w:t xml:space="preserve"> and </w:t>
      </w:r>
      <w:proofErr w:type="spellStart"/>
      <w:r w:rsidRPr="008C2652">
        <w:rPr>
          <w:sz w:val="20"/>
          <w:szCs w:val="20"/>
        </w:rPr>
        <w:t>Windus</w:t>
      </w:r>
      <w:proofErr w:type="spellEnd"/>
      <w:r w:rsidRPr="008C2652">
        <w:rPr>
          <w:sz w:val="20"/>
          <w:szCs w:val="20"/>
        </w:rPr>
        <w:t>, 1967), 34.</w:t>
      </w:r>
    </w:p>
  </w:footnote>
  <w:footnote w:id="17">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Taylor, </w:t>
      </w:r>
      <w:r w:rsidRPr="008C2652">
        <w:rPr>
          <w:i/>
          <w:sz w:val="20"/>
          <w:szCs w:val="20"/>
        </w:rPr>
        <w:t>War by Time-table</w:t>
      </w:r>
      <w:r w:rsidRPr="008C2652">
        <w:rPr>
          <w:sz w:val="20"/>
          <w:szCs w:val="20"/>
        </w:rPr>
        <w:t xml:space="preserve">, 126; I. </w:t>
      </w:r>
      <w:proofErr w:type="spellStart"/>
      <w:r w:rsidRPr="008C2652">
        <w:rPr>
          <w:sz w:val="20"/>
          <w:szCs w:val="20"/>
        </w:rPr>
        <w:t>Geiss</w:t>
      </w:r>
      <w:proofErr w:type="spellEnd"/>
      <w:r w:rsidRPr="008C2652">
        <w:rPr>
          <w:sz w:val="20"/>
          <w:szCs w:val="20"/>
        </w:rPr>
        <w:t xml:space="preserve">, </w:t>
      </w:r>
      <w:r w:rsidRPr="008C2652">
        <w:rPr>
          <w:i/>
          <w:sz w:val="20"/>
          <w:szCs w:val="20"/>
        </w:rPr>
        <w:t>July 1914</w:t>
      </w:r>
      <w:r w:rsidRPr="008C2652">
        <w:rPr>
          <w:sz w:val="20"/>
          <w:szCs w:val="20"/>
        </w:rPr>
        <w:t xml:space="preserve">, Doc. 135, p.295, cited in N. Ferguson, ‘Germany and the Origins of the First World War: New Perspectives’, </w:t>
      </w:r>
      <w:r w:rsidRPr="008C2652">
        <w:rPr>
          <w:i/>
          <w:sz w:val="20"/>
          <w:szCs w:val="20"/>
        </w:rPr>
        <w:t>The Historical Journal</w:t>
      </w:r>
      <w:r w:rsidRPr="008C2652">
        <w:rPr>
          <w:sz w:val="20"/>
          <w:szCs w:val="20"/>
        </w:rPr>
        <w:t xml:space="preserve">, vol. 35, no. 3 (1992), 740. [Online]. Available: </w:t>
      </w:r>
      <w:hyperlink r:id="rId3" w:history="1">
        <w:r w:rsidRPr="008C2652">
          <w:rPr>
            <w:rStyle w:val="Hyperlink"/>
            <w:sz w:val="20"/>
            <w:szCs w:val="20"/>
          </w:rPr>
          <w:t>http://www.jstor.org/stable/2639641?origin=JSTOR-pdf</w:t>
        </w:r>
      </w:hyperlink>
      <w:r w:rsidRPr="008C2652">
        <w:rPr>
          <w:sz w:val="20"/>
          <w:szCs w:val="20"/>
        </w:rPr>
        <w:t xml:space="preserve"> [Accessed on 17 November 2017].</w:t>
      </w:r>
    </w:p>
  </w:footnote>
  <w:footnote w:id="18">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Taylor,</w:t>
      </w:r>
      <w:r w:rsidRPr="008C2652">
        <w:rPr>
          <w:i/>
          <w:sz w:val="20"/>
          <w:szCs w:val="20"/>
        </w:rPr>
        <w:t xml:space="preserve"> War by Time-table,</w:t>
      </w:r>
      <w:r w:rsidRPr="008C2652">
        <w:rPr>
          <w:sz w:val="20"/>
          <w:szCs w:val="20"/>
        </w:rPr>
        <w:t xml:space="preserve"> 110.</w:t>
      </w:r>
    </w:p>
  </w:footnote>
  <w:footnote w:id="19">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p>
  </w:footnote>
  <w:footnote w:id="20">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proofErr w:type="spellStart"/>
      <w:r w:rsidRPr="008C2652">
        <w:rPr>
          <w:sz w:val="20"/>
          <w:szCs w:val="20"/>
        </w:rPr>
        <w:t>Geiss</w:t>
      </w:r>
      <w:proofErr w:type="spellEnd"/>
      <w:r w:rsidRPr="008C2652">
        <w:rPr>
          <w:sz w:val="20"/>
          <w:szCs w:val="20"/>
        </w:rPr>
        <w:t xml:space="preserve">, </w:t>
      </w:r>
      <w:r w:rsidRPr="008C2652">
        <w:rPr>
          <w:i/>
          <w:sz w:val="20"/>
          <w:szCs w:val="20"/>
        </w:rPr>
        <w:t>July 1914</w:t>
      </w:r>
      <w:r w:rsidRPr="008C2652">
        <w:rPr>
          <w:sz w:val="20"/>
          <w:szCs w:val="20"/>
        </w:rPr>
        <w:t>, in Ferguson, ‘Germany and the Origins’, 740.</w:t>
      </w:r>
    </w:p>
  </w:footnote>
  <w:footnote w:id="21">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Taylor, </w:t>
      </w:r>
      <w:r w:rsidRPr="008C2652">
        <w:rPr>
          <w:i/>
          <w:sz w:val="20"/>
          <w:szCs w:val="20"/>
        </w:rPr>
        <w:t>War by Time-table</w:t>
      </w:r>
      <w:r w:rsidRPr="008C2652">
        <w:rPr>
          <w:sz w:val="20"/>
          <w:szCs w:val="20"/>
        </w:rPr>
        <w:t>, 101.</w:t>
      </w:r>
    </w:p>
  </w:footnote>
  <w:footnote w:id="22">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 xml:space="preserve">ibid, </w:t>
      </w:r>
      <w:r w:rsidRPr="008C2652">
        <w:rPr>
          <w:sz w:val="20"/>
          <w:szCs w:val="20"/>
        </w:rPr>
        <w:t>119.</w:t>
      </w:r>
    </w:p>
  </w:footnote>
  <w:footnote w:id="23">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p>
  </w:footnote>
  <w:footnote w:id="24">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r w:rsidRPr="008C2652">
        <w:rPr>
          <w:sz w:val="20"/>
          <w:szCs w:val="20"/>
        </w:rPr>
        <w:t xml:space="preserve"> 121.</w:t>
      </w:r>
    </w:p>
  </w:footnote>
  <w:footnote w:id="25">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w:t>
      </w:r>
      <w:r w:rsidRPr="008C2652">
        <w:rPr>
          <w:i/>
          <w:sz w:val="20"/>
          <w:szCs w:val="20"/>
        </w:rPr>
        <w:t>ibid.</w:t>
      </w:r>
    </w:p>
  </w:footnote>
  <w:footnote w:id="26">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A. </w:t>
      </w:r>
      <w:proofErr w:type="spellStart"/>
      <w:r w:rsidRPr="008C2652">
        <w:rPr>
          <w:sz w:val="20"/>
          <w:szCs w:val="20"/>
        </w:rPr>
        <w:t>Sisman</w:t>
      </w:r>
      <w:proofErr w:type="spellEnd"/>
      <w:r w:rsidRPr="008C2652">
        <w:rPr>
          <w:sz w:val="20"/>
          <w:szCs w:val="20"/>
        </w:rPr>
        <w:t>, A. J. P. Taylor: A Biography (London: Sinclair-Stevenson Ltd, 1994), cited in Stevenson, ‘War by Timetable?’, 163.</w:t>
      </w:r>
    </w:p>
  </w:footnote>
  <w:footnote w:id="27">
    <w:p w:rsidR="00BB559B" w:rsidRPr="008C2652" w:rsidRDefault="00BB559B" w:rsidP="00E524C3">
      <w:pPr>
        <w:pStyle w:val="NoSpacing"/>
        <w:ind w:left="142" w:hanging="142"/>
        <w:rPr>
          <w:sz w:val="20"/>
          <w:szCs w:val="20"/>
        </w:rPr>
      </w:pPr>
      <w:r w:rsidRPr="008C2652">
        <w:rPr>
          <w:rStyle w:val="FootnoteReference"/>
          <w:sz w:val="20"/>
          <w:szCs w:val="20"/>
        </w:rPr>
        <w:footnoteRef/>
      </w:r>
      <w:r w:rsidRPr="008C2652">
        <w:rPr>
          <w:sz w:val="20"/>
          <w:szCs w:val="20"/>
        </w:rPr>
        <w:t xml:space="preserve"> Ferguson, </w:t>
      </w:r>
      <w:r w:rsidRPr="008C2652">
        <w:rPr>
          <w:i/>
          <w:sz w:val="20"/>
          <w:szCs w:val="20"/>
        </w:rPr>
        <w:t>The War of the World: History’s Age of Hatred</w:t>
      </w:r>
      <w:r w:rsidRPr="008C2652">
        <w:rPr>
          <w:sz w:val="20"/>
          <w:szCs w:val="20"/>
        </w:rPr>
        <w:t xml:space="preserve"> (London: Penguin Books, 2006), 184. Ferguson also titles this entire section ‘The Great Train Crash’.</w:t>
      </w:r>
    </w:p>
  </w:footnote>
  <w:footnote w:id="28">
    <w:p w:rsidR="00BB559B" w:rsidRPr="001B1779" w:rsidRDefault="00BB559B" w:rsidP="00E524C3">
      <w:pPr>
        <w:pStyle w:val="NoSpacing"/>
        <w:ind w:left="142" w:hanging="142"/>
        <w:rPr>
          <w:sz w:val="20"/>
          <w:szCs w:val="20"/>
        </w:rPr>
      </w:pPr>
      <w:r w:rsidRPr="001B1779">
        <w:rPr>
          <w:rStyle w:val="FootnoteReference"/>
          <w:sz w:val="20"/>
          <w:szCs w:val="20"/>
        </w:rPr>
        <w:footnoteRef/>
      </w:r>
      <w:r w:rsidRPr="001B1779">
        <w:rPr>
          <w:sz w:val="20"/>
          <w:szCs w:val="20"/>
        </w:rPr>
        <w:t xml:space="preserve"> D. L. George, </w:t>
      </w:r>
      <w:r w:rsidRPr="001B1779">
        <w:rPr>
          <w:i/>
          <w:sz w:val="20"/>
          <w:szCs w:val="20"/>
        </w:rPr>
        <w:t>Lloyd George: Family Letters 1885-1936</w:t>
      </w:r>
      <w:r w:rsidRPr="001B1779">
        <w:rPr>
          <w:sz w:val="20"/>
          <w:szCs w:val="20"/>
        </w:rPr>
        <w:t>, (</w:t>
      </w:r>
      <w:proofErr w:type="spellStart"/>
      <w:r w:rsidRPr="001B1779">
        <w:rPr>
          <w:sz w:val="20"/>
          <w:szCs w:val="20"/>
        </w:rPr>
        <w:t>ed</w:t>
      </w:r>
      <w:proofErr w:type="spellEnd"/>
      <w:r w:rsidRPr="001B1779">
        <w:rPr>
          <w:sz w:val="20"/>
          <w:szCs w:val="20"/>
        </w:rPr>
        <w:t xml:space="preserve"> by K. O. Morgan) (Cardiff: University of Wales Press, 1973), 173.</w:t>
      </w:r>
    </w:p>
  </w:footnote>
  <w:footnote w:id="29">
    <w:p w:rsidR="00BB559B" w:rsidRPr="00AB0A43" w:rsidRDefault="00BB559B" w:rsidP="00E524C3">
      <w:pPr>
        <w:pStyle w:val="NoSpacing"/>
        <w:ind w:left="142" w:hanging="142"/>
        <w:rPr>
          <w:sz w:val="20"/>
          <w:szCs w:val="20"/>
        </w:rPr>
      </w:pPr>
      <w:r w:rsidRPr="00AB0A43">
        <w:rPr>
          <w:rStyle w:val="FootnoteReference"/>
          <w:sz w:val="20"/>
          <w:szCs w:val="20"/>
        </w:rPr>
        <w:footnoteRef/>
      </w:r>
      <w:r w:rsidRPr="00AB0A43">
        <w:rPr>
          <w:sz w:val="20"/>
          <w:szCs w:val="20"/>
        </w:rPr>
        <w:t xml:space="preserve"> Stevenson, F., </w:t>
      </w:r>
      <w:r w:rsidRPr="00AB0A43">
        <w:rPr>
          <w:i/>
          <w:sz w:val="20"/>
          <w:szCs w:val="20"/>
        </w:rPr>
        <w:t>Lloyd George: A Diary by Frances Stevenson,</w:t>
      </w:r>
      <w:r w:rsidRPr="00AB0A43">
        <w:rPr>
          <w:sz w:val="20"/>
          <w:szCs w:val="20"/>
        </w:rPr>
        <w:t xml:space="preserve"> (ed. by A. J. P. Taylor) (Essex: The First Beaverbrook Foundation, 1971), 2.</w:t>
      </w:r>
    </w:p>
  </w:footnote>
  <w:footnote w:id="30">
    <w:p w:rsidR="00BB559B" w:rsidRPr="00AB0A43" w:rsidRDefault="00BB559B" w:rsidP="00E524C3">
      <w:pPr>
        <w:pStyle w:val="NoSpacing"/>
        <w:ind w:left="142" w:hanging="142"/>
        <w:rPr>
          <w:rFonts w:cstheme="minorHAnsi"/>
          <w:sz w:val="24"/>
          <w:szCs w:val="24"/>
        </w:rPr>
      </w:pPr>
      <w:r w:rsidRPr="00AB0A43">
        <w:rPr>
          <w:rStyle w:val="FootnoteReference"/>
          <w:sz w:val="20"/>
          <w:szCs w:val="20"/>
        </w:rPr>
        <w:footnoteRef/>
      </w:r>
      <w:r w:rsidRPr="00AB0A43">
        <w:rPr>
          <w:sz w:val="20"/>
          <w:szCs w:val="20"/>
        </w:rPr>
        <w:t xml:space="preserve"> M. Pugh, </w:t>
      </w:r>
      <w:r w:rsidRPr="00AB0A43">
        <w:rPr>
          <w:i/>
          <w:sz w:val="20"/>
          <w:szCs w:val="20"/>
        </w:rPr>
        <w:t>Lloyd George</w:t>
      </w:r>
      <w:r w:rsidRPr="00AB0A43">
        <w:rPr>
          <w:sz w:val="20"/>
          <w:szCs w:val="20"/>
        </w:rPr>
        <w:t xml:space="preserve"> (Essex: Longman Group UK Ltd, 1988), 79; </w:t>
      </w:r>
      <w:r w:rsidRPr="00AB0A43">
        <w:rPr>
          <w:rFonts w:cstheme="minorHAnsi"/>
          <w:sz w:val="20"/>
          <w:szCs w:val="20"/>
        </w:rPr>
        <w:t xml:space="preserve">Grigg, J., </w:t>
      </w:r>
      <w:r w:rsidRPr="00AB0A43">
        <w:rPr>
          <w:rFonts w:cstheme="minorHAnsi"/>
          <w:i/>
          <w:sz w:val="20"/>
          <w:szCs w:val="20"/>
        </w:rPr>
        <w:t>Lloyd George: From Peace to War 1912-1916</w:t>
      </w:r>
      <w:r w:rsidRPr="00AB0A43">
        <w:rPr>
          <w:rFonts w:cstheme="minorHAnsi"/>
          <w:sz w:val="20"/>
          <w:szCs w:val="20"/>
        </w:rPr>
        <w:t xml:space="preserve"> (London: Harper Collins Publishers, 1997), 174.</w:t>
      </w:r>
    </w:p>
  </w:footnote>
  <w:footnote w:id="31">
    <w:p w:rsidR="00BB559B" w:rsidRPr="001B1779" w:rsidRDefault="00BB559B" w:rsidP="00E524C3">
      <w:pPr>
        <w:pStyle w:val="NoSpacing"/>
        <w:ind w:left="142" w:hanging="142"/>
        <w:rPr>
          <w:rFonts w:cstheme="minorHAnsi"/>
          <w:sz w:val="24"/>
          <w:szCs w:val="24"/>
        </w:rPr>
      </w:pPr>
      <w:r w:rsidRPr="001B1779">
        <w:rPr>
          <w:rStyle w:val="FootnoteReference"/>
          <w:sz w:val="20"/>
          <w:szCs w:val="20"/>
        </w:rPr>
        <w:footnoteRef/>
      </w:r>
      <w:r w:rsidRPr="001B1779">
        <w:rPr>
          <w:sz w:val="20"/>
          <w:szCs w:val="20"/>
        </w:rPr>
        <w:t xml:space="preserve"> </w:t>
      </w:r>
      <w:r w:rsidRPr="001B1779">
        <w:rPr>
          <w:rFonts w:cstheme="minorHAnsi"/>
          <w:sz w:val="20"/>
          <w:szCs w:val="20"/>
        </w:rPr>
        <w:t xml:space="preserve">George, D., L., </w:t>
      </w:r>
      <w:r w:rsidRPr="001B1779">
        <w:rPr>
          <w:rFonts w:cstheme="minorHAnsi"/>
          <w:i/>
          <w:sz w:val="20"/>
          <w:szCs w:val="20"/>
        </w:rPr>
        <w:t>The Great War: Speech Delivered by the Rt. Hon. David Lloyd George, M.P. (Chancellor of the Exchequer) at the Queen’s Hall, London, on September 19</w:t>
      </w:r>
      <w:r w:rsidRPr="001B1779">
        <w:rPr>
          <w:rFonts w:cstheme="minorHAnsi"/>
          <w:i/>
          <w:sz w:val="20"/>
          <w:szCs w:val="20"/>
          <w:vertAlign w:val="superscript"/>
        </w:rPr>
        <w:t>th</w:t>
      </w:r>
      <w:r w:rsidRPr="001B1779">
        <w:rPr>
          <w:rFonts w:cstheme="minorHAnsi"/>
          <w:i/>
          <w:sz w:val="20"/>
          <w:szCs w:val="20"/>
        </w:rPr>
        <w:t xml:space="preserve">, 1914 </w:t>
      </w:r>
      <w:r w:rsidRPr="001B1779">
        <w:rPr>
          <w:rFonts w:cstheme="minorHAnsi"/>
          <w:sz w:val="20"/>
          <w:szCs w:val="20"/>
        </w:rPr>
        <w:t xml:space="preserve">(Toronto: Hodder and Stoughton, 1914). [Online]. Available: </w:t>
      </w:r>
      <w:hyperlink r:id="rId4" w:history="1">
        <w:r w:rsidRPr="001B1779">
          <w:rPr>
            <w:rStyle w:val="Hyperlink"/>
            <w:rFonts w:cstheme="minorHAnsi"/>
            <w:sz w:val="20"/>
            <w:szCs w:val="20"/>
          </w:rPr>
          <w:t>https://archive.org/details/greatwarspeechde00lloyuoft</w:t>
        </w:r>
      </w:hyperlink>
      <w:r w:rsidRPr="001B1779">
        <w:rPr>
          <w:rFonts w:cstheme="minorHAnsi"/>
          <w:sz w:val="20"/>
          <w:szCs w:val="20"/>
        </w:rPr>
        <w:t xml:space="preserve"> [Accessed on 17 November 2017], 3.</w:t>
      </w:r>
    </w:p>
  </w:footnote>
  <w:footnote w:id="32">
    <w:p w:rsidR="00BB559B" w:rsidRDefault="00BB559B" w:rsidP="00E524C3">
      <w:pPr>
        <w:pStyle w:val="FootnoteText"/>
        <w:ind w:left="142" w:hanging="142"/>
      </w:pPr>
      <w:r>
        <w:rPr>
          <w:rStyle w:val="FootnoteReference"/>
        </w:rPr>
        <w:footnoteRef/>
      </w:r>
      <w:r>
        <w:t xml:space="preserve"> </w:t>
      </w:r>
      <w:r w:rsidRPr="00571A37">
        <w:rPr>
          <w:i/>
        </w:rPr>
        <w:t>ibid</w:t>
      </w:r>
      <w:r>
        <w:t>, 5.</w:t>
      </w:r>
    </w:p>
  </w:footnote>
  <w:footnote w:id="33">
    <w:p w:rsidR="00BB559B" w:rsidRPr="005302AA" w:rsidRDefault="00BB559B" w:rsidP="00E524C3">
      <w:pPr>
        <w:pStyle w:val="FootnoteText"/>
        <w:ind w:left="142" w:hanging="142"/>
      </w:pPr>
      <w:r>
        <w:rPr>
          <w:rStyle w:val="FootnoteReference"/>
        </w:rPr>
        <w:footnoteRef/>
      </w:r>
      <w:r>
        <w:t xml:space="preserve"> </w:t>
      </w:r>
      <w:r>
        <w:rPr>
          <w:i/>
        </w:rPr>
        <w:t>ibid</w:t>
      </w:r>
      <w:r>
        <w:t>, 5-6.</w:t>
      </w:r>
    </w:p>
  </w:footnote>
  <w:footnote w:id="34">
    <w:p w:rsidR="00BB559B" w:rsidRPr="00577CA8" w:rsidRDefault="00BB559B" w:rsidP="00E524C3">
      <w:pPr>
        <w:pStyle w:val="FootnoteText"/>
        <w:ind w:left="142" w:hanging="142"/>
        <w:rPr>
          <w:i/>
        </w:rPr>
      </w:pPr>
      <w:r>
        <w:rPr>
          <w:rStyle w:val="FootnoteReference"/>
        </w:rPr>
        <w:footnoteRef/>
      </w:r>
      <w:r>
        <w:t xml:space="preserve"> </w:t>
      </w:r>
      <w:r>
        <w:rPr>
          <w:i/>
        </w:rPr>
        <w:t>ibid</w:t>
      </w:r>
      <w:r w:rsidRPr="00577CA8">
        <w:t>,</w:t>
      </w:r>
      <w:r>
        <w:t xml:space="preserve"> 8, 10.</w:t>
      </w:r>
    </w:p>
  </w:footnote>
  <w:footnote w:id="35">
    <w:p w:rsidR="00BB559B" w:rsidRPr="00F07D57" w:rsidRDefault="00BB559B" w:rsidP="00E524C3">
      <w:pPr>
        <w:pStyle w:val="FootnoteText"/>
        <w:ind w:left="142" w:hanging="142"/>
      </w:pPr>
      <w:r>
        <w:rPr>
          <w:rStyle w:val="FootnoteReference"/>
        </w:rPr>
        <w:footnoteRef/>
      </w:r>
      <w:r>
        <w:t xml:space="preserve"> </w:t>
      </w:r>
      <w:r>
        <w:rPr>
          <w:i/>
        </w:rPr>
        <w:t>ibid, 7.</w:t>
      </w:r>
    </w:p>
  </w:footnote>
  <w:footnote w:id="36">
    <w:p w:rsidR="00BB559B" w:rsidRPr="00F07D57" w:rsidRDefault="00BB559B" w:rsidP="00E524C3">
      <w:pPr>
        <w:pStyle w:val="FootnoteText"/>
        <w:ind w:left="142" w:hanging="142"/>
        <w:jc w:val="both"/>
      </w:pPr>
      <w:r>
        <w:rPr>
          <w:rStyle w:val="FootnoteReference"/>
        </w:rPr>
        <w:footnoteRef/>
      </w:r>
      <w:r>
        <w:t xml:space="preserve"> Grigg, </w:t>
      </w:r>
      <w:r>
        <w:rPr>
          <w:i/>
        </w:rPr>
        <w:t>Lloyd George</w:t>
      </w:r>
      <w:r>
        <w:t>, 170.</w:t>
      </w:r>
    </w:p>
  </w:footnote>
  <w:footnote w:id="37">
    <w:p w:rsidR="00BB559B" w:rsidRPr="002543E4" w:rsidRDefault="00BB559B" w:rsidP="00E524C3">
      <w:pPr>
        <w:pStyle w:val="FootnoteText"/>
        <w:ind w:left="142" w:hanging="142"/>
      </w:pPr>
      <w:r>
        <w:rPr>
          <w:rStyle w:val="FootnoteReference"/>
        </w:rPr>
        <w:footnoteRef/>
      </w:r>
      <w:r>
        <w:t xml:space="preserve"> </w:t>
      </w:r>
      <w:r>
        <w:rPr>
          <w:i/>
        </w:rPr>
        <w:t>ibid</w:t>
      </w:r>
      <w:r>
        <w:t>, 12-13.</w:t>
      </w:r>
    </w:p>
  </w:footnote>
  <w:footnote w:id="38">
    <w:p w:rsidR="00BB559B" w:rsidRPr="00C84EA4" w:rsidRDefault="00BB559B" w:rsidP="00E524C3">
      <w:pPr>
        <w:pStyle w:val="FootnoteText"/>
        <w:ind w:left="142" w:hanging="142"/>
      </w:pPr>
      <w:r>
        <w:rPr>
          <w:rStyle w:val="FootnoteReference"/>
        </w:rPr>
        <w:footnoteRef/>
      </w:r>
      <w:r>
        <w:t xml:space="preserve"> </w:t>
      </w:r>
      <w:r>
        <w:rPr>
          <w:i/>
        </w:rPr>
        <w:t>ibid</w:t>
      </w:r>
      <w:r w:rsidRPr="00C84EA4">
        <w:t>,</w:t>
      </w:r>
      <w:r>
        <w:rPr>
          <w:i/>
        </w:rPr>
        <w:t xml:space="preserve"> </w:t>
      </w:r>
      <w:r>
        <w:t>3.</w:t>
      </w:r>
    </w:p>
  </w:footnote>
  <w:footnote w:id="39">
    <w:p w:rsidR="00BB559B" w:rsidRPr="00C97750" w:rsidRDefault="00BB559B" w:rsidP="00E524C3">
      <w:pPr>
        <w:pStyle w:val="FootnoteText"/>
        <w:ind w:left="142" w:hanging="142"/>
      </w:pPr>
      <w:r>
        <w:rPr>
          <w:rStyle w:val="FootnoteReference"/>
        </w:rPr>
        <w:footnoteRef/>
      </w:r>
      <w:r>
        <w:t xml:space="preserve"> </w:t>
      </w:r>
      <w:r w:rsidRPr="00C97750">
        <w:t>Lloyd George</w:t>
      </w:r>
      <w:r>
        <w:t xml:space="preserve">, </w:t>
      </w:r>
      <w:r>
        <w:rPr>
          <w:i/>
        </w:rPr>
        <w:t>Family Letters</w:t>
      </w:r>
      <w:r>
        <w:t>, 167.</w:t>
      </w:r>
    </w:p>
  </w:footnote>
  <w:footnote w:id="40">
    <w:p w:rsidR="00136B8C" w:rsidRPr="00136B8C" w:rsidRDefault="00136B8C" w:rsidP="00E524C3">
      <w:pPr>
        <w:pStyle w:val="NoSpacing"/>
        <w:ind w:left="142" w:hanging="142"/>
        <w:rPr>
          <w:sz w:val="20"/>
          <w:szCs w:val="20"/>
        </w:rPr>
      </w:pPr>
      <w:r w:rsidRPr="00136B8C">
        <w:rPr>
          <w:rStyle w:val="FootnoteReference"/>
          <w:sz w:val="20"/>
          <w:szCs w:val="20"/>
        </w:rPr>
        <w:footnoteRef/>
      </w:r>
      <w:r w:rsidRPr="00136B8C">
        <w:rPr>
          <w:sz w:val="20"/>
          <w:szCs w:val="20"/>
        </w:rPr>
        <w:t xml:space="preserve"> </w:t>
      </w:r>
      <w:r w:rsidRPr="00136B8C">
        <w:rPr>
          <w:sz w:val="20"/>
          <w:szCs w:val="20"/>
        </w:rPr>
        <w:t xml:space="preserve">George, D., L., </w:t>
      </w:r>
      <w:r w:rsidRPr="00136B8C">
        <w:rPr>
          <w:i/>
          <w:sz w:val="20"/>
          <w:szCs w:val="20"/>
        </w:rPr>
        <w:t xml:space="preserve">War Memoirs of David Lloyd George: Volume 1 </w:t>
      </w:r>
      <w:r w:rsidRPr="00136B8C">
        <w:rPr>
          <w:sz w:val="20"/>
          <w:szCs w:val="20"/>
        </w:rPr>
        <w:t>(Londo</w:t>
      </w:r>
      <w:r w:rsidRPr="00136B8C">
        <w:rPr>
          <w:sz w:val="20"/>
          <w:szCs w:val="20"/>
        </w:rPr>
        <w:t xml:space="preserve">n: </w:t>
      </w:r>
      <w:proofErr w:type="spellStart"/>
      <w:r w:rsidRPr="00136B8C">
        <w:rPr>
          <w:sz w:val="20"/>
          <w:szCs w:val="20"/>
        </w:rPr>
        <w:t>Odhams</w:t>
      </w:r>
      <w:proofErr w:type="spellEnd"/>
      <w:r w:rsidRPr="00136B8C">
        <w:rPr>
          <w:sz w:val="20"/>
          <w:szCs w:val="20"/>
        </w:rPr>
        <w:t xml:space="preserve"> Press Limited, 1936), 130.</w:t>
      </w:r>
    </w:p>
  </w:footnote>
  <w:footnote w:id="41">
    <w:p w:rsidR="00BB559B" w:rsidRPr="00E47D51" w:rsidRDefault="00BB559B" w:rsidP="00E524C3">
      <w:pPr>
        <w:pStyle w:val="FootnoteText"/>
        <w:ind w:left="142" w:hanging="142"/>
      </w:pPr>
      <w:r>
        <w:rPr>
          <w:rStyle w:val="FootnoteReference"/>
        </w:rPr>
        <w:footnoteRef/>
      </w:r>
      <w:r>
        <w:t xml:space="preserve"> Grigg, </w:t>
      </w:r>
      <w:r>
        <w:rPr>
          <w:i/>
        </w:rPr>
        <w:t>Lloyd George</w:t>
      </w:r>
      <w:r>
        <w:t>, 161.</w:t>
      </w:r>
    </w:p>
  </w:footnote>
  <w:footnote w:id="42">
    <w:p w:rsidR="00BB559B" w:rsidRPr="00711099" w:rsidRDefault="00BB559B" w:rsidP="00E524C3">
      <w:pPr>
        <w:pStyle w:val="FootnoteText"/>
        <w:ind w:left="142" w:hanging="142"/>
      </w:pPr>
      <w:r>
        <w:rPr>
          <w:rStyle w:val="FootnoteReference"/>
        </w:rPr>
        <w:footnoteRef/>
      </w:r>
      <w:r>
        <w:t xml:space="preserve"> </w:t>
      </w:r>
      <w:r>
        <w:rPr>
          <w:i/>
        </w:rPr>
        <w:t>ibid</w:t>
      </w:r>
      <w:r>
        <w:t>, 15.</w:t>
      </w:r>
    </w:p>
  </w:footnote>
  <w:footnote w:id="43">
    <w:p w:rsidR="00BB559B" w:rsidRPr="00711099" w:rsidRDefault="00BB559B" w:rsidP="00E524C3">
      <w:pPr>
        <w:pStyle w:val="FootnoteText"/>
        <w:ind w:left="142" w:hanging="142"/>
      </w:pPr>
      <w:r>
        <w:rPr>
          <w:rStyle w:val="FootnoteReference"/>
        </w:rPr>
        <w:footnoteRef/>
      </w:r>
      <w:r>
        <w:t xml:space="preserve"> Grigg, </w:t>
      </w:r>
      <w:r w:rsidRPr="00A222DD">
        <w:rPr>
          <w:i/>
        </w:rPr>
        <w:t>Lloyd George</w:t>
      </w:r>
      <w:r>
        <w:t xml:space="preserve">, 161; Lloyd George, </w:t>
      </w:r>
      <w:r>
        <w:rPr>
          <w:i/>
        </w:rPr>
        <w:t>Queen’s Hall Speech</w:t>
      </w:r>
      <w:r>
        <w:t>, 14.</w:t>
      </w:r>
    </w:p>
  </w:footnote>
  <w:footnote w:id="44">
    <w:p w:rsidR="00BB559B" w:rsidRPr="00A222DD" w:rsidRDefault="00BB559B" w:rsidP="00E524C3">
      <w:pPr>
        <w:pStyle w:val="FootnoteText"/>
        <w:ind w:left="142" w:hanging="142"/>
      </w:pPr>
      <w:r>
        <w:rPr>
          <w:rStyle w:val="FootnoteReference"/>
        </w:rPr>
        <w:footnoteRef/>
      </w:r>
      <w:r>
        <w:t xml:space="preserve"> Lloyd George, </w:t>
      </w:r>
      <w:r>
        <w:rPr>
          <w:i/>
        </w:rPr>
        <w:t>Queen’s Hall Speech</w:t>
      </w:r>
      <w:r>
        <w:t>, 16.</w:t>
      </w:r>
    </w:p>
  </w:footnote>
  <w:footnote w:id="45">
    <w:p w:rsidR="00BB559B" w:rsidRPr="00BB559B" w:rsidRDefault="00BB559B" w:rsidP="00E524C3">
      <w:pPr>
        <w:pStyle w:val="FootnoteText"/>
        <w:ind w:left="142" w:hanging="142"/>
      </w:pPr>
      <w:r>
        <w:rPr>
          <w:rStyle w:val="FootnoteReference"/>
        </w:rPr>
        <w:footnoteRef/>
      </w:r>
      <w:r>
        <w:t xml:space="preserve"> </w:t>
      </w:r>
      <w:r>
        <w:rPr>
          <w:i/>
        </w:rPr>
        <w:t>ibid</w:t>
      </w:r>
      <w:r>
        <w:t>, 15-16.</w:t>
      </w:r>
    </w:p>
  </w:footnote>
  <w:footnote w:id="46">
    <w:p w:rsidR="00BB559B" w:rsidRPr="00BB559B" w:rsidRDefault="00BB559B" w:rsidP="00E524C3">
      <w:pPr>
        <w:pStyle w:val="FootnoteText"/>
        <w:ind w:left="142" w:hanging="142"/>
        <w:rPr>
          <w:i/>
        </w:rPr>
      </w:pPr>
      <w:r>
        <w:rPr>
          <w:rStyle w:val="FootnoteReference"/>
        </w:rPr>
        <w:footnoteRef/>
      </w:r>
      <w:r>
        <w:t xml:space="preserve"> </w:t>
      </w:r>
      <w:r>
        <w:rPr>
          <w:i/>
        </w:rPr>
        <w:t xml:space="preserve">ibid, </w:t>
      </w:r>
      <w:r w:rsidRPr="00BB559B">
        <w:t>15.</w:t>
      </w:r>
    </w:p>
  </w:footnote>
  <w:footnote w:id="47">
    <w:p w:rsidR="00BB559B" w:rsidRPr="00BB559B" w:rsidRDefault="00BB559B" w:rsidP="00E524C3">
      <w:pPr>
        <w:pStyle w:val="FootnoteText"/>
        <w:ind w:left="142" w:hanging="142"/>
        <w:jc w:val="both"/>
      </w:pPr>
      <w:r>
        <w:rPr>
          <w:rStyle w:val="FootnoteReference"/>
        </w:rPr>
        <w:footnoteRef/>
      </w:r>
      <w:r>
        <w:t xml:space="preserve"> Grigg, </w:t>
      </w:r>
      <w:r>
        <w:rPr>
          <w:i/>
        </w:rPr>
        <w:t>Lloyd George</w:t>
      </w:r>
      <w:r>
        <w:t>, 171.</w:t>
      </w:r>
    </w:p>
  </w:footnote>
  <w:footnote w:id="48">
    <w:p w:rsidR="00B54EDA" w:rsidRPr="00B54EDA" w:rsidRDefault="00B54EDA" w:rsidP="00E524C3">
      <w:pPr>
        <w:pStyle w:val="FootnoteText"/>
        <w:ind w:left="142" w:hanging="142"/>
      </w:pPr>
      <w:r>
        <w:rPr>
          <w:rStyle w:val="FootnoteReference"/>
        </w:rPr>
        <w:footnoteRef/>
      </w:r>
      <w:r>
        <w:t xml:space="preserve"> Stevenson, </w:t>
      </w:r>
      <w:r>
        <w:rPr>
          <w:i/>
        </w:rPr>
        <w:t>Diary</w:t>
      </w:r>
      <w:r>
        <w:t>, 2.</w:t>
      </w:r>
    </w:p>
  </w:footnote>
  <w:footnote w:id="49">
    <w:p w:rsidR="00B54EDA" w:rsidRDefault="00B54EDA" w:rsidP="00E524C3">
      <w:pPr>
        <w:pStyle w:val="FootnoteText"/>
        <w:ind w:left="142" w:hanging="142"/>
      </w:pPr>
      <w:r>
        <w:rPr>
          <w:rStyle w:val="FootnoteReference"/>
        </w:rPr>
        <w:footnoteRef/>
      </w:r>
      <w:r>
        <w:t xml:space="preserve"> Pugh, </w:t>
      </w:r>
      <w:r>
        <w:rPr>
          <w:i/>
        </w:rPr>
        <w:t>Lloyd George</w:t>
      </w:r>
      <w:r>
        <w:t xml:space="preserve">, 79; Grigg, </w:t>
      </w:r>
      <w:r>
        <w:rPr>
          <w:i/>
        </w:rPr>
        <w:t>Lloyd George</w:t>
      </w:r>
      <w:r>
        <w:t>, 167.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70F09" w:rsidRPr="00E70F09" w:rsidRDefault="00E70F09" w:rsidP="00E70F09">
    <w:pPr>
      <w:pStyle w:val="Header"/>
      <w:jc w:val="right"/>
      <w:rPr>
        <w:sz w:val="16"/>
        <w:szCs w:val="16"/>
      </w:rPr>
    </w:pPr>
    <w:r w:rsidRPr="00E70F09">
      <w:rPr>
        <w:sz w:val="16"/>
        <w:szCs w:val="16"/>
      </w:rPr>
      <w:t>Steven Goodwin</w:t>
    </w:r>
  </w:p>
  <w:p w:rsidR="00E70F09" w:rsidRPr="00E70F09" w:rsidRDefault="00E70F09">
    <w:pPr>
      <w:pStyle w:val="Header"/>
      <w:rPr>
        <w:sz w:val="16"/>
        <w:szCs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16E9E"/>
    <w:multiLevelType w:val="hybridMultilevel"/>
    <w:tmpl w:val="AE543E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7144C3"/>
    <w:multiLevelType w:val="hybridMultilevel"/>
    <w:tmpl w:val="BC7ED4F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763908"/>
    <w:multiLevelType w:val="hybridMultilevel"/>
    <w:tmpl w:val="09624090"/>
    <w:lvl w:ilvl="0" w:tplc="2EE212D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F7B1F8F"/>
    <w:multiLevelType w:val="hybridMultilevel"/>
    <w:tmpl w:val="2842B93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AD9"/>
    <w:rsid w:val="000626D7"/>
    <w:rsid w:val="0006334A"/>
    <w:rsid w:val="000B4EB1"/>
    <w:rsid w:val="000D080D"/>
    <w:rsid w:val="00136B8C"/>
    <w:rsid w:val="0015395C"/>
    <w:rsid w:val="001B1779"/>
    <w:rsid w:val="001E7F26"/>
    <w:rsid w:val="001F4A73"/>
    <w:rsid w:val="00210E77"/>
    <w:rsid w:val="002463AF"/>
    <w:rsid w:val="00247676"/>
    <w:rsid w:val="002543E4"/>
    <w:rsid w:val="002D5523"/>
    <w:rsid w:val="002E44E1"/>
    <w:rsid w:val="00300A30"/>
    <w:rsid w:val="00345746"/>
    <w:rsid w:val="003555E7"/>
    <w:rsid w:val="003619A4"/>
    <w:rsid w:val="00425989"/>
    <w:rsid w:val="004932B3"/>
    <w:rsid w:val="005302AA"/>
    <w:rsid w:val="0054679C"/>
    <w:rsid w:val="00550DDF"/>
    <w:rsid w:val="00571A37"/>
    <w:rsid w:val="00572CEF"/>
    <w:rsid w:val="00577CA8"/>
    <w:rsid w:val="00636AD9"/>
    <w:rsid w:val="0065213D"/>
    <w:rsid w:val="0067041E"/>
    <w:rsid w:val="006C62D0"/>
    <w:rsid w:val="00711099"/>
    <w:rsid w:val="007179F1"/>
    <w:rsid w:val="007608CC"/>
    <w:rsid w:val="007B12F4"/>
    <w:rsid w:val="007E28E2"/>
    <w:rsid w:val="00810186"/>
    <w:rsid w:val="008277EA"/>
    <w:rsid w:val="00841901"/>
    <w:rsid w:val="008C2652"/>
    <w:rsid w:val="009124EA"/>
    <w:rsid w:val="00967A0C"/>
    <w:rsid w:val="009A041A"/>
    <w:rsid w:val="009B76DA"/>
    <w:rsid w:val="00A05F81"/>
    <w:rsid w:val="00A222DD"/>
    <w:rsid w:val="00A376F8"/>
    <w:rsid w:val="00A6444B"/>
    <w:rsid w:val="00A70365"/>
    <w:rsid w:val="00AB0A43"/>
    <w:rsid w:val="00B54EDA"/>
    <w:rsid w:val="00B801EE"/>
    <w:rsid w:val="00BB3AE5"/>
    <w:rsid w:val="00BB559B"/>
    <w:rsid w:val="00BE3404"/>
    <w:rsid w:val="00C047CB"/>
    <w:rsid w:val="00C51AAA"/>
    <w:rsid w:val="00C568AD"/>
    <w:rsid w:val="00C63039"/>
    <w:rsid w:val="00C84EA4"/>
    <w:rsid w:val="00C85D4A"/>
    <w:rsid w:val="00C97750"/>
    <w:rsid w:val="00CD5E8C"/>
    <w:rsid w:val="00D01006"/>
    <w:rsid w:val="00D35848"/>
    <w:rsid w:val="00D56900"/>
    <w:rsid w:val="00D62379"/>
    <w:rsid w:val="00D62ED3"/>
    <w:rsid w:val="00D71A9E"/>
    <w:rsid w:val="00D80124"/>
    <w:rsid w:val="00D86951"/>
    <w:rsid w:val="00DC6E99"/>
    <w:rsid w:val="00DE77C7"/>
    <w:rsid w:val="00DF22BC"/>
    <w:rsid w:val="00DF7333"/>
    <w:rsid w:val="00E10E93"/>
    <w:rsid w:val="00E47D51"/>
    <w:rsid w:val="00E524C3"/>
    <w:rsid w:val="00E70F09"/>
    <w:rsid w:val="00F07D57"/>
    <w:rsid w:val="00FB2BD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AC42A4"/>
  <w15:chartTrackingRefBased/>
  <w15:docId w15:val="{1349FB25-1A63-49C6-9005-7786F31FC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6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6A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6AD9"/>
    <w:rPr>
      <w:sz w:val="20"/>
      <w:szCs w:val="20"/>
    </w:rPr>
  </w:style>
  <w:style w:type="character" w:styleId="FootnoteReference">
    <w:name w:val="footnote reference"/>
    <w:basedOn w:val="DefaultParagraphFont"/>
    <w:uiPriority w:val="99"/>
    <w:semiHidden/>
    <w:unhideWhenUsed/>
    <w:rsid w:val="00636AD9"/>
    <w:rPr>
      <w:vertAlign w:val="superscript"/>
    </w:rPr>
  </w:style>
  <w:style w:type="paragraph" w:styleId="ListParagraph">
    <w:name w:val="List Paragraph"/>
    <w:basedOn w:val="Normal"/>
    <w:uiPriority w:val="34"/>
    <w:qFormat/>
    <w:rsid w:val="007179F1"/>
    <w:pPr>
      <w:ind w:left="720"/>
      <w:contextualSpacing/>
    </w:pPr>
  </w:style>
  <w:style w:type="character" w:styleId="Hyperlink">
    <w:name w:val="Hyperlink"/>
    <w:basedOn w:val="DefaultParagraphFont"/>
    <w:uiPriority w:val="99"/>
    <w:unhideWhenUsed/>
    <w:rsid w:val="009124EA"/>
    <w:rPr>
      <w:color w:val="0563C1" w:themeColor="hyperlink"/>
      <w:u w:val="single"/>
    </w:rPr>
  </w:style>
  <w:style w:type="character" w:styleId="UnresolvedMention">
    <w:name w:val="Unresolved Mention"/>
    <w:basedOn w:val="DefaultParagraphFont"/>
    <w:uiPriority w:val="99"/>
    <w:semiHidden/>
    <w:unhideWhenUsed/>
    <w:rsid w:val="009124EA"/>
    <w:rPr>
      <w:color w:val="808080"/>
      <w:shd w:val="clear" w:color="auto" w:fill="E6E6E6"/>
    </w:rPr>
  </w:style>
  <w:style w:type="paragraph" w:styleId="Quote">
    <w:name w:val="Quote"/>
    <w:basedOn w:val="Normal"/>
    <w:next w:val="Normal"/>
    <w:link w:val="QuoteChar"/>
    <w:uiPriority w:val="29"/>
    <w:qFormat/>
    <w:rsid w:val="008C265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C2652"/>
    <w:rPr>
      <w:i/>
      <w:iCs/>
      <w:color w:val="404040" w:themeColor="text1" w:themeTint="BF"/>
    </w:rPr>
  </w:style>
  <w:style w:type="character" w:customStyle="1" w:styleId="Heading1Char">
    <w:name w:val="Heading 1 Char"/>
    <w:basedOn w:val="DefaultParagraphFont"/>
    <w:link w:val="Heading1"/>
    <w:uiPriority w:val="9"/>
    <w:rsid w:val="008C265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C2652"/>
    <w:pPr>
      <w:spacing w:after="0" w:line="240" w:lineRule="auto"/>
    </w:pPr>
  </w:style>
  <w:style w:type="paragraph" w:styleId="Header">
    <w:name w:val="header"/>
    <w:basedOn w:val="Normal"/>
    <w:link w:val="HeaderChar"/>
    <w:uiPriority w:val="99"/>
    <w:unhideWhenUsed/>
    <w:rsid w:val="00E70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F09"/>
  </w:style>
  <w:style w:type="paragraph" w:styleId="Footer">
    <w:name w:val="footer"/>
    <w:basedOn w:val="Normal"/>
    <w:link w:val="FooterChar"/>
    <w:uiPriority w:val="99"/>
    <w:unhideWhenUsed/>
    <w:rsid w:val="00E70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F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639641?origin=JSTOR-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rchive.org/details/greatwarspeechde00lloyuof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org/details/greatwarspeechde00lloyuof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jstor.org/stable/651067?origin=JSTOR-pdf" TargetMode="External"/><Relationship Id="rId4" Type="http://schemas.openxmlformats.org/officeDocument/2006/relationships/settings" Target="settings.xml"/><Relationship Id="rId9" Type="http://schemas.openxmlformats.org/officeDocument/2006/relationships/hyperlink" Target="http://www.telegraph.co.uk/history/world-war-one/10992624/The-trains-that-took-us-to-war.htm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2639641?origin=JSTOR-pdf" TargetMode="External"/><Relationship Id="rId2" Type="http://schemas.openxmlformats.org/officeDocument/2006/relationships/hyperlink" Target="http://www.telegraph.co.uk/history/world-war-one/10992624/The-trains-that-took-us-to-war.html" TargetMode="External"/><Relationship Id="rId1" Type="http://schemas.openxmlformats.org/officeDocument/2006/relationships/hyperlink" Target="http://www.jstor.org/stable/651067?origin=JSTOR-pdf" TargetMode="External"/><Relationship Id="rId4" Type="http://schemas.openxmlformats.org/officeDocument/2006/relationships/hyperlink" Target="https://archive.org/details/greatwarspeechde00lloyuof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0CEBCD-7F1C-4568-B487-5ADCD4A0C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9</Pages>
  <Words>2322</Words>
  <Characters>12452</Characters>
  <Application>Microsoft Office Word</Application>
  <DocSecurity>0</DocSecurity>
  <Lines>218</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dc:creator>
  <cp:keywords/>
  <dc:description/>
  <cp:lastModifiedBy>Steven -</cp:lastModifiedBy>
  <cp:revision>32</cp:revision>
  <dcterms:created xsi:type="dcterms:W3CDTF">2017-11-17T18:35:00Z</dcterms:created>
  <dcterms:modified xsi:type="dcterms:W3CDTF">2017-11-17T23:39:00Z</dcterms:modified>
</cp:coreProperties>
</file>