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id w:val="-16313137"/>
        <w:docPartObj>
          <w:docPartGallery w:val="Cover Pages"/>
          <w:docPartUnique/>
        </w:docPartObj>
      </w:sdtPr>
      <w:sdtContent>
        <w:p w14:paraId="0284B84F" w14:textId="77777777" w:rsidR="00146F41" w:rsidRDefault="00146F41">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46F41">
            <w:rPr>
              <w:rFonts w:ascii="Arial Black" w:hAnsi="Arial Black"/>
              <w:b/>
              <w:noProof/>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mc:AlternateContent>
              <mc:Choice Requires="wps">
                <w:drawing>
                  <wp:anchor distT="0" distB="0" distL="114300" distR="114300" simplePos="0" relativeHeight="251659264" behindDoc="0" locked="0" layoutInCell="1" allowOverlap="1" wp14:anchorId="5296D31B" wp14:editId="6C7DE3C8">
                    <wp:simplePos x="0" y="0"/>
                    <wp:positionH relativeFrom="page">
                      <wp:posOffset>273685</wp:posOffset>
                    </wp:positionH>
                    <wp:positionV relativeFrom="page">
                      <wp:posOffset>133985</wp:posOffset>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46F41" w14:paraId="1BD21012" w14:textId="77777777" w:rsidTr="00B67F02">
                                  <w:trPr>
                                    <w:trHeight w:val="8612"/>
                                    <w:jc w:val="center"/>
                                  </w:trPr>
                                  <w:tc>
                                    <w:tcPr>
                                      <w:tcW w:w="2568" w:type="pct"/>
                                      <w:vAlign w:val="center"/>
                                    </w:tcPr>
                                    <w:p w14:paraId="7E4B594E" w14:textId="67B09EBF" w:rsidR="00146F41" w:rsidRDefault="00274942">
                                      <w:pPr>
                                        <w:jc w:val="right"/>
                                      </w:pPr>
                                      <w:r>
                                        <w:rPr>
                                          <w:noProof/>
                                        </w:rPr>
                                        <w:drawing>
                                          <wp:inline distT="0" distB="0" distL="0" distR="0" wp14:anchorId="71CE1CCD" wp14:editId="1DE7CABC">
                                            <wp:extent cx="3022599" cy="2387600"/>
                                            <wp:effectExtent l="0" t="0" r="6985" b="0"/>
                                            <wp:docPr id="240842701" name="Picture 1" descr="Accenture Business Management Industry Organization, accenture logo, angle,  text, logo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nture Business Management Industry Organization, accenture logo, angle,  text, logo png | PNG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517" cy="2389905"/>
                                                    </a:xfrm>
                                                    <a:prstGeom prst="rect">
                                                      <a:avLst/>
                                                    </a:prstGeom>
                                                    <a:noFill/>
                                                    <a:ln>
                                                      <a:noFill/>
                                                    </a:ln>
                                                  </pic:spPr>
                                                </pic:pic>
                                              </a:graphicData>
                                            </a:graphic>
                                          </wp:inline>
                                        </w:drawing>
                                      </w:r>
                                    </w:p>
                                    <w:p w14:paraId="22ED99AA" w14:textId="102CDC16" w:rsidR="00EC615D" w:rsidRDefault="00EC615D">
                                      <w:pPr>
                                        <w:jc w:val="right"/>
                                      </w:pPr>
                                      <w:r w:rsidRPr="00FE3F97">
                                        <w:rPr>
                                          <w:rFonts w:ascii="Arial Black" w:hAnsi="Arial Black"/>
                                          <w:caps/>
                                          <w:color w:val="191919" w:themeColor="text1" w:themeTint="E6"/>
                                          <w:sz w:val="32"/>
                                          <w:szCs w:val="32"/>
                                        </w:rPr>
                                        <w:t>Accenture</w:t>
                                      </w:r>
                                    </w:p>
                                    <w:sdt>
                                      <w:sdtPr>
                                        <w:rPr>
                                          <w:rFonts w:ascii="Arial Black" w:hAnsi="Arial Black"/>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BADF368" w14:textId="34A84562" w:rsidR="00146F41" w:rsidRDefault="00FE3F97">
                                          <w:pPr>
                                            <w:pStyle w:val="NoSpacing"/>
                                            <w:spacing w:line="312" w:lineRule="auto"/>
                                            <w:jc w:val="right"/>
                                            <w:rPr>
                                              <w:caps/>
                                              <w:color w:val="191919" w:themeColor="text1" w:themeTint="E6"/>
                                              <w:sz w:val="72"/>
                                              <w:szCs w:val="72"/>
                                            </w:rPr>
                                          </w:pPr>
                                          <w:r>
                                            <w:rPr>
                                              <w:rFonts w:ascii="Arial Black" w:hAnsi="Arial Black"/>
                                              <w:caps/>
                                              <w:color w:val="191919" w:themeColor="text1" w:themeTint="E6"/>
                                              <w:sz w:val="32"/>
                                              <w:szCs w:val="32"/>
                                            </w:rPr>
                                            <w:t>C</w:t>
                                          </w:r>
                                          <w:r w:rsidR="00146F41" w:rsidRPr="00FE3F97">
                                            <w:rPr>
                                              <w:rFonts w:ascii="Arial Black" w:hAnsi="Arial Black"/>
                                              <w:caps/>
                                              <w:color w:val="191919" w:themeColor="text1" w:themeTint="E6"/>
                                              <w:sz w:val="32"/>
                                              <w:szCs w:val="32"/>
                                            </w:rPr>
                                            <w:t>hange</w:t>
                                          </w:r>
                                          <w:r w:rsidRPr="00FE3F97">
                                            <w:rPr>
                                              <w:rFonts w:ascii="Arial Black" w:hAnsi="Arial Black"/>
                                              <w:caps/>
                                              <w:color w:val="191919" w:themeColor="text1" w:themeTint="E6"/>
                                              <w:sz w:val="32"/>
                                              <w:szCs w:val="32"/>
                                            </w:rPr>
                                            <w:t xml:space="preserve"> &amp;STABILITY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B5FB02D" w14:textId="2C12678C" w:rsidR="00146F41" w:rsidRDefault="00504211">
                                          <w:pPr>
                                            <w:jc w:val="right"/>
                                            <w:rPr>
                                              <w:sz w:val="24"/>
                                              <w:szCs w:val="24"/>
                                            </w:rPr>
                                          </w:pPr>
                                          <w:r>
                                            <w:rPr>
                                              <w:color w:val="000000" w:themeColor="text1"/>
                                              <w:sz w:val="24"/>
                                              <w:szCs w:val="24"/>
                                            </w:rPr>
                                            <w:t xml:space="preserve">     </w:t>
                                          </w:r>
                                        </w:p>
                                      </w:sdtContent>
                                    </w:sdt>
                                  </w:tc>
                                  <w:tc>
                                    <w:tcPr>
                                      <w:tcW w:w="2432" w:type="pct"/>
                                      <w:vAlign w:val="center"/>
                                    </w:tcPr>
                                    <w:p w14:paraId="30F68E8F" w14:textId="77777777" w:rsidR="00146F41" w:rsidRDefault="00146F4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DC7C01D" w14:textId="1D17EA04" w:rsidR="00146F41" w:rsidRDefault="00EC615D">
                                          <w:pPr>
                                            <w:rPr>
                                              <w:color w:val="000000" w:themeColor="text1"/>
                                            </w:rPr>
                                          </w:pPr>
                                          <w:r>
                                            <w:rPr>
                                              <w:color w:val="000000" w:themeColor="text1"/>
                                            </w:rPr>
                                            <w:t xml:space="preserve">A brief overview of the Accenture company and the changes occurred in the 2020 &amp; 2021. </w:t>
                                          </w:r>
                                          <w:r w:rsidR="0058364A">
                                            <w:rPr>
                                              <w:color w:val="000000" w:themeColor="text1"/>
                                            </w:rPr>
                                            <w:t xml:space="preserve">By covering all the related contents of the change management, </w:t>
                                          </w:r>
                                          <w:r w:rsidR="0034292E">
                                            <w:rPr>
                                              <w:color w:val="000000" w:themeColor="text1"/>
                                            </w:rPr>
                                            <w:t>Resistance factors of change</w:t>
                                          </w:r>
                                          <w:r w:rsidR="00BA6A2E">
                                            <w:rPr>
                                              <w:color w:val="000000" w:themeColor="text1"/>
                                            </w:rPr>
                                            <w:t>,</w:t>
                                          </w:r>
                                          <w:r w:rsidR="0034292E">
                                            <w:rPr>
                                              <w:color w:val="000000" w:themeColor="text1"/>
                                            </w:rPr>
                                            <w:t xml:space="preserve"> </w:t>
                                          </w:r>
                                          <w:r w:rsidR="00B67F02">
                                            <w:rPr>
                                              <w:color w:val="000000" w:themeColor="text1"/>
                                            </w:rPr>
                                            <w:t>topologies,</w:t>
                                          </w:r>
                                          <w:r w:rsidR="006F55C6">
                                            <w:rPr>
                                              <w:color w:val="000000" w:themeColor="text1"/>
                                            </w:rPr>
                                            <w:t xml:space="preserve"> </w:t>
                                          </w:r>
                                          <w:r w:rsidR="00BA6A2E">
                                            <w:rPr>
                                              <w:color w:val="000000" w:themeColor="text1"/>
                                            </w:rPr>
                                            <w:t>Lewin’s model and Pestel analysis</w:t>
                                          </w:r>
                                        </w:p>
                                      </w:sdtContent>
                                    </w:sdt>
                                    <w:p w14:paraId="7D4A05EB" w14:textId="5124A2E1" w:rsidR="00146F41" w:rsidRDefault="00146F4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04211">
                                            <w:rPr>
                                              <w:color w:val="44546A" w:themeColor="text2"/>
                                            </w:rPr>
                                            <w:t xml:space="preserve">     </w:t>
                                          </w:r>
                                        </w:sdtContent>
                                      </w:sdt>
                                      <w:r w:rsidR="002A4EAC">
                                        <w:t xml:space="preserve"> </w:t>
                                      </w:r>
                                      <w:r w:rsidR="002A4EAC">
                                        <w:rPr>
                                          <w:noProof/>
                                        </w:rPr>
                                        <w:drawing>
                                          <wp:inline distT="0" distB="0" distL="0" distR="0" wp14:anchorId="2F4C0C10" wp14:editId="48318652">
                                            <wp:extent cx="2012950" cy="1517650"/>
                                            <wp:effectExtent l="0" t="0" r="6350" b="6350"/>
                                            <wp:docPr id="1875583808" name="Picture 2" descr="Brand New: New Logo and Identity for Accenture | Identity logo, ? logo,  Ident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d New: New Logo and Identity for Accenture | Identity logo, ? logo,  Ident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8784" cy="1522049"/>
                                                    </a:xfrm>
                                                    <a:prstGeom prst="rect">
                                                      <a:avLst/>
                                                    </a:prstGeom>
                                                    <a:noFill/>
                                                    <a:ln>
                                                      <a:noFill/>
                                                    </a:ln>
                                                  </pic:spPr>
                                                </pic:pic>
                                              </a:graphicData>
                                            </a:graphic>
                                          </wp:inline>
                                        </w:drawing>
                                      </w:r>
                                    </w:p>
                                  </w:tc>
                                </w:tr>
                              </w:tbl>
                              <w:p w14:paraId="64BF3437" w14:textId="432C145C" w:rsidR="00146F41" w:rsidRDefault="00B67F02">
                                <w:r>
                                  <w:t xml:space="preserve">                                                                                                                               NAME: NAGA SAI RISHITHA UPPALA</w:t>
                                </w:r>
                              </w:p>
                              <w:p w14:paraId="1D8C390C" w14:textId="5AAF8021" w:rsidR="00B67F02" w:rsidRDefault="00B67F02">
                                <w:r>
                                  <w:t xml:space="preserve">                                                                                                                                STUDENT ID:2227272</w:t>
                                </w:r>
                              </w:p>
                              <w:p w14:paraId="5E6383E5" w14:textId="202BE0ED" w:rsidR="00B67F02" w:rsidRDefault="00B67F02">
                                <w:r>
                                  <w:t xml:space="preserve">                                                                                                                                 MAIL ID:2227272@student.uwtsd.ac.uk</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296D31B" id="_x0000_t202" coordsize="21600,21600" o:spt="202" path="m,l,21600r21600,l21600,xe">
                    <v:stroke joinstyle="miter"/>
                    <v:path gradientshapeok="t" o:connecttype="rect"/>
                  </v:shapetype>
                  <v:shape id="Text Box 40" o:spid="_x0000_s1026" type="#_x0000_t202" style="position:absolute;margin-left:21.55pt;margin-top:10.5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46F41" w14:paraId="1BD21012" w14:textId="77777777" w:rsidTr="00B67F02">
                            <w:trPr>
                              <w:trHeight w:val="8612"/>
                              <w:jc w:val="center"/>
                            </w:trPr>
                            <w:tc>
                              <w:tcPr>
                                <w:tcW w:w="2568" w:type="pct"/>
                                <w:vAlign w:val="center"/>
                              </w:tcPr>
                              <w:p w14:paraId="7E4B594E" w14:textId="67B09EBF" w:rsidR="00146F41" w:rsidRDefault="00274942">
                                <w:pPr>
                                  <w:jc w:val="right"/>
                                </w:pPr>
                                <w:r>
                                  <w:rPr>
                                    <w:noProof/>
                                  </w:rPr>
                                  <w:drawing>
                                    <wp:inline distT="0" distB="0" distL="0" distR="0" wp14:anchorId="71CE1CCD" wp14:editId="1DE7CABC">
                                      <wp:extent cx="3022599" cy="2387600"/>
                                      <wp:effectExtent l="0" t="0" r="6985" b="0"/>
                                      <wp:docPr id="240842701" name="Picture 1" descr="Accenture Business Management Industry Organization, accenture logo, angle,  text, logo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nture Business Management Industry Organization, accenture logo, angle,  text, logo png | PNGW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517" cy="2389905"/>
                                              </a:xfrm>
                                              <a:prstGeom prst="rect">
                                                <a:avLst/>
                                              </a:prstGeom>
                                              <a:noFill/>
                                              <a:ln>
                                                <a:noFill/>
                                              </a:ln>
                                            </pic:spPr>
                                          </pic:pic>
                                        </a:graphicData>
                                      </a:graphic>
                                    </wp:inline>
                                  </w:drawing>
                                </w:r>
                              </w:p>
                              <w:p w14:paraId="22ED99AA" w14:textId="102CDC16" w:rsidR="00EC615D" w:rsidRDefault="00EC615D">
                                <w:pPr>
                                  <w:jc w:val="right"/>
                                </w:pPr>
                                <w:r w:rsidRPr="00FE3F97">
                                  <w:rPr>
                                    <w:rFonts w:ascii="Arial Black" w:hAnsi="Arial Black"/>
                                    <w:caps/>
                                    <w:color w:val="191919" w:themeColor="text1" w:themeTint="E6"/>
                                    <w:sz w:val="32"/>
                                    <w:szCs w:val="32"/>
                                  </w:rPr>
                                  <w:t>Accenture</w:t>
                                </w:r>
                              </w:p>
                              <w:sdt>
                                <w:sdtPr>
                                  <w:rPr>
                                    <w:rFonts w:ascii="Arial Black" w:hAnsi="Arial Black"/>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BADF368" w14:textId="34A84562" w:rsidR="00146F41" w:rsidRDefault="00FE3F97">
                                    <w:pPr>
                                      <w:pStyle w:val="NoSpacing"/>
                                      <w:spacing w:line="312" w:lineRule="auto"/>
                                      <w:jc w:val="right"/>
                                      <w:rPr>
                                        <w:caps/>
                                        <w:color w:val="191919" w:themeColor="text1" w:themeTint="E6"/>
                                        <w:sz w:val="72"/>
                                        <w:szCs w:val="72"/>
                                      </w:rPr>
                                    </w:pPr>
                                    <w:r>
                                      <w:rPr>
                                        <w:rFonts w:ascii="Arial Black" w:hAnsi="Arial Black"/>
                                        <w:caps/>
                                        <w:color w:val="191919" w:themeColor="text1" w:themeTint="E6"/>
                                        <w:sz w:val="32"/>
                                        <w:szCs w:val="32"/>
                                      </w:rPr>
                                      <w:t>C</w:t>
                                    </w:r>
                                    <w:r w:rsidR="00146F41" w:rsidRPr="00FE3F97">
                                      <w:rPr>
                                        <w:rFonts w:ascii="Arial Black" w:hAnsi="Arial Black"/>
                                        <w:caps/>
                                        <w:color w:val="191919" w:themeColor="text1" w:themeTint="E6"/>
                                        <w:sz w:val="32"/>
                                        <w:szCs w:val="32"/>
                                      </w:rPr>
                                      <w:t>hange</w:t>
                                    </w:r>
                                    <w:r w:rsidRPr="00FE3F97">
                                      <w:rPr>
                                        <w:rFonts w:ascii="Arial Black" w:hAnsi="Arial Black"/>
                                        <w:caps/>
                                        <w:color w:val="191919" w:themeColor="text1" w:themeTint="E6"/>
                                        <w:sz w:val="32"/>
                                        <w:szCs w:val="32"/>
                                      </w:rPr>
                                      <w:t xml:space="preserve"> &amp;STABILITY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B5FB02D" w14:textId="2C12678C" w:rsidR="00146F41" w:rsidRDefault="00504211">
                                    <w:pPr>
                                      <w:jc w:val="right"/>
                                      <w:rPr>
                                        <w:sz w:val="24"/>
                                        <w:szCs w:val="24"/>
                                      </w:rPr>
                                    </w:pPr>
                                    <w:r>
                                      <w:rPr>
                                        <w:color w:val="000000" w:themeColor="text1"/>
                                        <w:sz w:val="24"/>
                                        <w:szCs w:val="24"/>
                                      </w:rPr>
                                      <w:t xml:space="preserve">     </w:t>
                                    </w:r>
                                  </w:p>
                                </w:sdtContent>
                              </w:sdt>
                            </w:tc>
                            <w:tc>
                              <w:tcPr>
                                <w:tcW w:w="2432" w:type="pct"/>
                                <w:vAlign w:val="center"/>
                              </w:tcPr>
                              <w:p w14:paraId="30F68E8F" w14:textId="77777777" w:rsidR="00146F41" w:rsidRDefault="00146F41">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DC7C01D" w14:textId="1D17EA04" w:rsidR="00146F41" w:rsidRDefault="00EC615D">
                                    <w:pPr>
                                      <w:rPr>
                                        <w:color w:val="000000" w:themeColor="text1"/>
                                      </w:rPr>
                                    </w:pPr>
                                    <w:r>
                                      <w:rPr>
                                        <w:color w:val="000000" w:themeColor="text1"/>
                                      </w:rPr>
                                      <w:t xml:space="preserve">A brief overview of the Accenture company and the changes occurred in the 2020 &amp; 2021. </w:t>
                                    </w:r>
                                    <w:r w:rsidR="0058364A">
                                      <w:rPr>
                                        <w:color w:val="000000" w:themeColor="text1"/>
                                      </w:rPr>
                                      <w:t xml:space="preserve">By covering all the related contents of the change management, </w:t>
                                    </w:r>
                                    <w:r w:rsidR="0034292E">
                                      <w:rPr>
                                        <w:color w:val="000000" w:themeColor="text1"/>
                                      </w:rPr>
                                      <w:t>Resistance factors of change</w:t>
                                    </w:r>
                                    <w:r w:rsidR="00BA6A2E">
                                      <w:rPr>
                                        <w:color w:val="000000" w:themeColor="text1"/>
                                      </w:rPr>
                                      <w:t>,</w:t>
                                    </w:r>
                                    <w:r w:rsidR="0034292E">
                                      <w:rPr>
                                        <w:color w:val="000000" w:themeColor="text1"/>
                                      </w:rPr>
                                      <w:t xml:space="preserve"> </w:t>
                                    </w:r>
                                    <w:r w:rsidR="00B67F02">
                                      <w:rPr>
                                        <w:color w:val="000000" w:themeColor="text1"/>
                                      </w:rPr>
                                      <w:t>topologies,</w:t>
                                    </w:r>
                                    <w:r w:rsidR="006F55C6">
                                      <w:rPr>
                                        <w:color w:val="000000" w:themeColor="text1"/>
                                      </w:rPr>
                                      <w:t xml:space="preserve"> </w:t>
                                    </w:r>
                                    <w:r w:rsidR="00BA6A2E">
                                      <w:rPr>
                                        <w:color w:val="000000" w:themeColor="text1"/>
                                      </w:rPr>
                                      <w:t>Lewin’s model and Pestel analysis</w:t>
                                    </w:r>
                                  </w:p>
                                </w:sdtContent>
                              </w:sdt>
                              <w:p w14:paraId="7D4A05EB" w14:textId="5124A2E1" w:rsidR="00146F41" w:rsidRDefault="00146F4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04211">
                                      <w:rPr>
                                        <w:color w:val="44546A" w:themeColor="text2"/>
                                      </w:rPr>
                                      <w:t xml:space="preserve">     </w:t>
                                    </w:r>
                                  </w:sdtContent>
                                </w:sdt>
                                <w:r w:rsidR="002A4EAC">
                                  <w:t xml:space="preserve"> </w:t>
                                </w:r>
                                <w:r w:rsidR="002A4EAC">
                                  <w:rPr>
                                    <w:noProof/>
                                  </w:rPr>
                                  <w:drawing>
                                    <wp:inline distT="0" distB="0" distL="0" distR="0" wp14:anchorId="2F4C0C10" wp14:editId="48318652">
                                      <wp:extent cx="2012950" cy="1517650"/>
                                      <wp:effectExtent l="0" t="0" r="6350" b="6350"/>
                                      <wp:docPr id="1875583808" name="Picture 2" descr="Brand New: New Logo and Identity for Accenture | Identity logo, ? logo,  Ident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nd New: New Logo and Identity for Accenture | Identity logo, ? logo,  Ident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8784" cy="1522049"/>
                                              </a:xfrm>
                                              <a:prstGeom prst="rect">
                                                <a:avLst/>
                                              </a:prstGeom>
                                              <a:noFill/>
                                              <a:ln>
                                                <a:noFill/>
                                              </a:ln>
                                            </pic:spPr>
                                          </pic:pic>
                                        </a:graphicData>
                                      </a:graphic>
                                    </wp:inline>
                                  </w:drawing>
                                </w:r>
                              </w:p>
                            </w:tc>
                          </w:tr>
                        </w:tbl>
                        <w:p w14:paraId="64BF3437" w14:textId="432C145C" w:rsidR="00146F41" w:rsidRDefault="00B67F02">
                          <w:r>
                            <w:t xml:space="preserve">                                                                                                                               NAME: NAGA SAI RISHITHA UPPALA</w:t>
                          </w:r>
                        </w:p>
                        <w:p w14:paraId="1D8C390C" w14:textId="5AAF8021" w:rsidR="00B67F02" w:rsidRDefault="00B67F02">
                          <w:r>
                            <w:t xml:space="preserve">                                                                                                                                STUDENT ID:2227272</w:t>
                          </w:r>
                        </w:p>
                        <w:p w14:paraId="5E6383E5" w14:textId="202BE0ED" w:rsidR="00B67F02" w:rsidRDefault="00B67F02">
                          <w:r>
                            <w:t xml:space="preserve">                                                                                                                                 MAIL ID:2227272@student.uwtsd.ac.uk</w:t>
                          </w:r>
                        </w:p>
                      </w:txbxContent>
                    </v:textbox>
                    <w10:wrap anchorx="page" anchory="page"/>
                  </v:shape>
                </w:pict>
              </mc:Fallback>
            </mc:AlternateContent>
          </w:r>
          <w: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ype="page"/>
          </w:r>
        </w:p>
        <w:p w14:paraId="37BE9DD9" w14:textId="77777777" w:rsidR="00943C48" w:rsidRDefault="00943C48" w:rsidP="00943C48">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Executive Summary:</w:t>
          </w:r>
        </w:p>
        <w:p w14:paraId="567EBBC7" w14:textId="282E6002" w:rsidR="003D1A18" w:rsidRPr="003D1A18" w:rsidRDefault="003D1A18"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A18">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provides consultancy, technology, and outsourcing to numerous industries. Accenture serves over 120 countries in communications, media, technology, financial services, health and public service, and commodities.</w:t>
          </w:r>
        </w:p>
        <w:p w14:paraId="4F31276F" w14:textId="6724626B" w:rsidR="003D1A18" w:rsidRPr="003D1A18" w:rsidRDefault="003D1A18"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A18">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 blockchain, and the cloud enhance client operations and customer experiences. Accenture fosters equality, diversity, and sustainability.</w:t>
          </w:r>
        </w:p>
        <w:p w14:paraId="67C16ED7" w14:textId="42668C6A" w:rsidR="003D1A18" w:rsidRPr="003D1A18" w:rsidRDefault="003D1A18"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A18">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has continuously expanded through smart acquisitions. In fiscal year 2021, the company earned $50.5 billion and employed over 500,000 people.</w:t>
          </w:r>
        </w:p>
        <w:p w14:paraId="02C60DA5" w14:textId="77777777" w:rsidR="003D1A18" w:rsidRDefault="003D1A18"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1A18">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innovation and talent development will keep Accenture generating value to clients. Post-pandemic, the company can help clients thrive.</w:t>
          </w:r>
        </w:p>
        <w:p w14:paraId="03584B42" w14:textId="323EEDBA" w:rsidR="00380BC9" w:rsidRDefault="00180497"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049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2020 and 2021, Accenture placed a strong focus on change management to help its clients navigate the challenges posed by the COVID-19 pandemic. The company helped clients adapt to remote work environments and accelerated digital transformation initiatives to enhance agility and resilience. Accenture also leveraged its expertise in change management to help clients address broader societal issues such as racial equity and environmental sustainability. The company prioritized employee well-being and provided resources and support to help employees manage change and uncertainty. Through its change management efforts, Accenture demonstrated its commitment to delivering value to clients and driving positive social impact.</w:t>
          </w:r>
        </w:p>
        <w:p w14:paraId="47A0A6E0" w14:textId="6351653C" w:rsidR="00180497" w:rsidRDefault="00180497" w:rsidP="00153FDF">
          <w:pPr>
            <w:spacing w:line="240" w:lineRule="auto"/>
            <w:jc w:val="both"/>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049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is a global professional services firm that offers consulting, technology, and outsourcing services. A PESTLE analysis reveals that Accenture is affected by macro-environmental factors such as economic fluctuations, political instability, and regulatory changes. However, the company has demonstrated resilience by leveraging digital innovation and investing in sustainability and corporate responsibility. The Lewin's change management model was applied by Accenture to adapt to the challenges posed by the COVID-19 pandemic. The company rapidly shifted to remote work environments, accelerated digital transformation initiatives, and prioritized employee well-being. Through its change management efforts, Accenture has demonstrated agility and the ability to drive positive social impact while navigating a rapidly changing business landscape.</w:t>
          </w:r>
        </w:p>
        <w:p w14:paraId="6E3A78D2" w14:textId="77777777" w:rsidR="00180497" w:rsidRPr="003D1A18" w:rsidRDefault="00180497" w:rsidP="00153FDF">
          <w:pPr>
            <w:spacing w:line="24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0616C3" w14:textId="77777777" w:rsidR="003D1A18" w:rsidRPr="003D1A18" w:rsidRDefault="003D1A18"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A3E394" w14:textId="77777777" w:rsidR="003D1A18" w:rsidRPr="003D1A18" w:rsidRDefault="003D1A18"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95E59BB" w14:textId="77777777" w:rsidR="003D1A18" w:rsidRPr="003D1A18" w:rsidRDefault="003D1A18"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3A5639B" w14:textId="77777777" w:rsidR="003D1A18" w:rsidRPr="003D1A18" w:rsidRDefault="003D1A18"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AEAF0C5" w14:textId="77777777" w:rsidR="003D1A18" w:rsidRPr="00B062EC" w:rsidRDefault="003D1A18" w:rsidP="00153FDF">
          <w:pPr>
            <w:rPr>
              <w:rFonts w:ascii="Times New Roman" w:hAnsi="Times New Roman" w:cs="Times New Roman"/>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CF6B312" w14:textId="77777777" w:rsidR="00153FDF" w:rsidRDefault="00153FDF" w:rsidP="00153FDF">
          <w:pP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23B000" w14:textId="42E8EDC7" w:rsidR="003D1A18" w:rsidRDefault="00100AF2" w:rsidP="00153FDF">
          <w:pP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0AF2">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Contents:</w:t>
          </w:r>
        </w:p>
        <w:p w14:paraId="0E82707B" w14:textId="542A1AFF" w:rsidR="00100AF2" w:rsidRDefault="00100AF2" w:rsidP="00153FDF">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861DB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06E1">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3232C72E" w14:textId="21E78D03" w:rsidR="00100AF2" w:rsidRDefault="00100AF2" w:rsidP="00153FDF">
          <w:p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861DB2" w:rsidRPr="00861DB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Change and Stability introduction</w:t>
          </w:r>
          <w:r w:rsidR="00861DB2">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06E1">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0344EFF6" w14:textId="288802EF" w:rsidR="00861DB2" w:rsidRDefault="00861DB2"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B062E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062EC" w:rsidRPr="00B062E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062EC" w:rsidRPr="00B062E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of Management Models</w:t>
          </w:r>
          <w:r w:rsidR="00B062EC">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2303944" w14:textId="6D7674E5" w:rsidR="00B062EC" w:rsidRDefault="006A2DD8"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F0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6369">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that effect the change in organization………………………………….</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3004D2E8" w14:textId="03A97CFE" w:rsidR="008B6369" w:rsidRDefault="008B6369"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F0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9316F">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Resistance factors for a change………………………………………………..</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2DC55170" w14:textId="4006AF10" w:rsidR="00F9316F" w:rsidRDefault="00F9316F"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F0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94AF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Assets i</w:t>
          </w:r>
          <w:r w:rsidR="00084989">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ts effectiveness…………………………………………….</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51405EC4" w14:textId="049D9EA4" w:rsidR="00084989" w:rsidRDefault="00084989"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F0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B37E03">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Topologies of Accenture……………………………………………………</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479E6839" w14:textId="636C7B14" w:rsidR="00084989" w:rsidRDefault="00B37E03"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2F0E">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how they occurred in organization…………………………………</w:t>
          </w:r>
          <w:r w:rsidR="00611A3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806E1">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E73C0">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108C659F" w14:textId="403CE6D2" w:rsidR="002C2F0E" w:rsidRDefault="002C2F0E"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24">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35E23">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r w:rsidR="00E733F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2016E">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E73C0">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0EB8F299" w14:textId="44F6603B" w:rsidR="00E733F2" w:rsidRDefault="00E733F2"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24">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.Lewins Model………………………………………………………………</w:t>
          </w:r>
          <w:r w:rsidR="0042016E">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68722C82" w14:textId="22F498CB" w:rsidR="00E733F2" w:rsidRDefault="00CF055D"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24">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&amp; Overcoming………………………………………………………</w:t>
          </w:r>
          <w:r w:rsidR="0042016E">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4FD8172D" w14:textId="783566FD" w:rsidR="00CF055D" w:rsidRDefault="00CF055D"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24">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Conclusion…………………………………………………………………</w:t>
          </w:r>
          <w:r w:rsidR="002019C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2FDAAA70" w14:textId="0136615A" w:rsidR="00CF055D" w:rsidRDefault="00966824"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824">
            <w:rPr>
              <w:rFonts w:ascii="Times New Roman" w:hAnsi="Times New Roman" w:cs="Times New Roman"/>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4A6F4B">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p w14:paraId="688F8483" w14:textId="77777777" w:rsidR="00B37E03" w:rsidRPr="00B062EC" w:rsidRDefault="00B37E03" w:rsidP="00153FDF">
          <w:pP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AFC2CC" w14:textId="77777777" w:rsidR="00100AF2" w:rsidRPr="003D1A18" w:rsidRDefault="00100AF2"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80FCCCB" w14:textId="45FCCDFB" w:rsidR="00146F41" w:rsidRDefault="00146F41"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ype="page"/>
          </w:r>
        </w:p>
        <w:p w14:paraId="1A8869B1" w14:textId="389F731C" w:rsidR="00146F41" w:rsidRDefault="00146F41" w:rsidP="00153FDF">
          <w:pPr>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dtContent>
    </w:sdt>
    <w:p w14:paraId="5CCEDD69" w14:textId="670DE148" w:rsidR="00474A01" w:rsidRPr="00474A01" w:rsidRDefault="00D3784A" w:rsidP="00153FDF">
      <w:pPr>
        <w:spacing w:after="100" w:afterAutospacing="1"/>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4A01">
        <w:rPr>
          <w:rFonts w:ascii="Arial Black" w:hAnsi="Arial Black"/>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p>
    <w:p w14:paraId="65002B31" w14:textId="766B54A3" w:rsidR="005418AE" w:rsidRPr="005418AE" w:rsidRDefault="00C214CA"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5418AE"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ccenture provides consulting, technology, and outsourcing services to clients in several industries. Accenture understands global business issues and opportunities with over 500,000 people in 120 countries.</w:t>
      </w:r>
    </w:p>
    <w:p w14:paraId="74905F01" w14:textId="14A1D689" w:rsidR="005418AE" w:rsidRPr="005418AE" w:rsidRDefault="005418A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excels at helping businesses adapt to change and find stability. Consulting, technology, and operations achieve this.</w:t>
      </w:r>
    </w:p>
    <w:p w14:paraId="5C3C51C1" w14:textId="3582B0A7" w:rsidR="005418AE" w:rsidRPr="005418AE" w:rsidRDefault="005418A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consulting services help clients identify and prioritise improvement areas, design change strategies, and deliver results-driven solutions. This involves organisational design, change management, technology implementation, and process optimisation.</w:t>
      </w:r>
    </w:p>
    <w:p w14:paraId="0EE9EAA2" w14:textId="3B51AD93" w:rsidR="005418AE" w:rsidRPr="005418AE" w:rsidRDefault="005418A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technological solutions also help clients work better. AI, blockchain, and the Internet of Things, as well as SAP and Oracle, are included.</w:t>
      </w:r>
    </w:p>
    <w:p w14:paraId="7575ED00" w14:textId="673A45B0" w:rsidR="005418AE" w:rsidRPr="005418AE" w:rsidRDefault="005418A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Finally, Accenture's operational expertise ensures clients' stability and reliability. This covers supply chain optimisation and regulatory compliance.</w:t>
      </w:r>
    </w:p>
    <w:p w14:paraId="3EEF1350" w14:textId="481203B3" w:rsidR="00474A01" w:rsidRDefault="005418A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18A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consulting, technology, and operational excellence make it a useful partner for organisations seeking stability in a quickly changing business environment.</w:t>
      </w:r>
    </w:p>
    <w:p w14:paraId="6141F216" w14:textId="27B31518" w:rsidR="00474A01" w:rsidRPr="00474A01" w:rsidRDefault="00474A01" w:rsidP="00153FDF">
      <w:pPr>
        <w:rPr>
          <w:rFonts w:ascii="Arial Black" w:hAnsi="Arial Black" w:cs="Times New Roman"/>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4A01">
        <w:rPr>
          <w:rFonts w:ascii="Arial Black" w:hAnsi="Arial Black" w:cs="Times New Roman"/>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Accenture Change and stability introduction:</w:t>
      </w:r>
    </w:p>
    <w:p w14:paraId="295213AD" w14:textId="6212F1AE" w:rsidR="00474A01" w:rsidRDefault="00474A01" w:rsidP="00153FDF">
      <w:pPr>
        <w:rPr>
          <w:rFonts w:ascii="Arial Black" w:hAnsi="Arial Black"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4A01">
        <w:rPr>
          <w:rFonts w:ascii="Arial Black" w:hAnsi="Arial Black"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p>
    <w:p w14:paraId="3AB9C2B8" w14:textId="7D276FCD" w:rsidR="00807C05" w:rsidRPr="00861DB2" w:rsidRDefault="00861DB2"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1D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change refers to the process of transforming the company's operations, strategies, and culture in response to internal or external factors. Accenture has a strong focus on change management and uses various models and methodologies to help its clients navigate change. The company's change initiatives are designed to enhance agility, resilience, and innovation while minimizing disruption to operations and maintaining a focus on delivering value to clients. Accenture change may involve the adoption of new technologies, business processes, or organizational structures, as well as efforts to promote sustainability, diversity, equity, and inclusion. Ultimately, Accenture change aims to drive positive social impact and help clients succeed in a rapidly evolving business environment.</w:t>
      </w:r>
    </w:p>
    <w:p w14:paraId="4CC98D3E" w14:textId="77777777" w:rsidR="00474A01" w:rsidRPr="00474A01" w:rsidRDefault="00474A0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1DB2">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strengthen its technical support</w:t>
      </w:r>
      <w:r w:rsidRPr="00474A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acquired umlaut in 2021.</w:t>
      </w:r>
    </w:p>
    <w:p w14:paraId="6B3C629B" w14:textId="77777777" w:rsidR="00474A01" w:rsidRPr="00474A01" w:rsidRDefault="00474A0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4A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Cloud First, released in 2020, helps businesses speed cloud transformations.</w:t>
      </w:r>
    </w:p>
    <w:p w14:paraId="069FC168" w14:textId="77777777" w:rsidR="00474A01" w:rsidRPr="00474A01" w:rsidRDefault="00474A0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4A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 its B2B marketing, Accenture acquire Yesler in 2019.</w:t>
      </w:r>
    </w:p>
    <w:p w14:paraId="4DD0A49C" w14:textId="57B27ABE" w:rsidR="00474A01" w:rsidRPr="000772D3" w:rsidRDefault="00474A01" w:rsidP="00153FDF">
      <w:pP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2D3">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Stability:</w:t>
      </w:r>
    </w:p>
    <w:p w14:paraId="17186E5A" w14:textId="77777777" w:rsidR="00474A01" w:rsidRPr="00474A01" w:rsidRDefault="00474A01" w:rsidP="00153FD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4A0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has survived the COVID-19   epidemic for three years. The company's sales have grown from $41.6 billion in 2018 to $50.7 billion in 2020.</w:t>
      </w:r>
    </w:p>
    <w:p w14:paraId="75CB14DC" w14:textId="09502AA7" w:rsidR="00474A01" w:rsidRDefault="00474A01" w:rsidP="00153FD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03FB3D" w14:textId="45210242" w:rsidR="002236FD" w:rsidRPr="002B0565" w:rsidRDefault="0088029B" w:rsidP="00153FDF">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2EC">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of Management Models</w:t>
      </w:r>
      <w:r w:rsidRPr="002B0565">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9C4DA5" w14:textId="0ECB710D" w:rsidR="000772D3" w:rsidRPr="000772D3" w:rsidRDefault="000772D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has been adopting agile methods and decentralising decision-making in recent years. This change will enable the organisation adapt to fast-changing market conditions and provide more value to customers.</w:t>
      </w:r>
    </w:p>
    <w:p w14:paraId="553528DB" w14:textId="5EA05B61" w:rsidR="000772D3" w:rsidRPr="000772D3" w:rsidRDefault="000772D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change includes adopting agile approaches across the organisation. Agile teams, software development, product management, and project management are all part of this.</w:t>
      </w:r>
    </w:p>
    <w:p w14:paraId="4333955E" w14:textId="70CFD0FB" w:rsidR="000772D3" w:rsidRPr="000772D3" w:rsidRDefault="000772D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uses agile methods and decentralised decision-making. This includes enabling employees at all levels to make decisions and own projects and fostering team cooperation and knowledge sharing.</w:t>
      </w:r>
    </w:p>
    <w:p w14:paraId="763CF142" w14:textId="21B8C6C2" w:rsidR="000772D3" w:rsidRDefault="000772D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recognised the need to adapt to shifting market conditions and client needs, resulting in this management model shift. Accenture is using agile methods and decentralised decision-making to better serve clients and deliver value in a fast</w:t>
      </w:r>
      <w:r w:rsidR="00F018B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772D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changing business environment.</w:t>
      </w:r>
    </w:p>
    <w:p w14:paraId="6A2DDAA8" w14:textId="618575B6" w:rsidR="00B1101C" w:rsidRPr="00B1101C" w:rsidRDefault="00B1101C"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10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is a massive corporation. Accenture is a global professional services firm with over 500,000 workers in 120 countries. Accenture's global footprint allows it to provide consulting, technology, and outsourcing services to clients in a wide range of industries and nations.</w:t>
      </w:r>
    </w:p>
    <w:p w14:paraId="7D3E98E0" w14:textId="1A2A108A" w:rsidR="00B1101C" w:rsidRPr="00B1101C" w:rsidRDefault="00B1101C"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10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Given its scale, Accenture is a recognised corporate leader. For its consulting, technology, and outsourcing services, the company has received numerous awards, including Fortune's "World's Most Admired Companies" and Forbes' "America's Best Management Consulting Firms."</w:t>
      </w:r>
    </w:p>
    <w:p w14:paraId="4CBA6725" w14:textId="657BC587" w:rsidR="00B66787" w:rsidRDefault="00B1101C"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101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size and reputation as an industry leader reflect its ability to provide clients with large-scale value and innovative solutions to difficult business challenges.</w:t>
      </w:r>
    </w:p>
    <w:p w14:paraId="77C54E32" w14:textId="77777777" w:rsidR="005C10A7" w:rsidRDefault="005C10A7" w:rsidP="00153FD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7B0DB5" w14:textId="4AA7957E" w:rsidR="006C03A7" w:rsidRDefault="00FD0366" w:rsidP="00153FD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2DD8">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that effect the change in an organization</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EB86A5" w14:textId="5BCA3C10"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numerous and complicated causes driving changes in culture, leadership, competitiveness, power, and digitalization, but here are some plausible explanations:</w:t>
      </w:r>
    </w:p>
    <w:p w14:paraId="5E993C03" w14:textId="77777777"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 in social conventions and beliefs that affect how people interact with one another and what they expect from their job are referred to as cultural shifts.</w:t>
      </w:r>
    </w:p>
    <w:p w14:paraId="37A01CC0" w14:textId="4B774F76"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Demographic shifts, such as the emergence of younger generations in the </w:t>
      </w:r>
      <w:r w:rsidR="0032295A"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labour</w:t>
      </w: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market with different attitudes and expectations than prior generations.</w:t>
      </w:r>
    </w:p>
    <w:p w14:paraId="6C88EE2A" w14:textId="4E5F3506"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Changes in the nature of work, such as the increase of virtual employment and the growing relevance of soft skills and emotional intelligence.</w:t>
      </w:r>
    </w:p>
    <w:p w14:paraId="436E43EF" w14:textId="77777777" w:rsidR="00710C3F" w:rsidRDefault="00710C3F" w:rsidP="00FE604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A0B059" w14:textId="52D4A943" w:rsidR="00FE6041" w:rsidRDefault="00710C3F" w:rsidP="00FE604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w:t>
      </w:r>
      <w:r w:rsidR="00FE6041"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eadership: -</w:t>
      </w:r>
    </w:p>
    <w:p w14:paraId="5C25A297" w14:textId="358215A0"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requirement for leaders who can handle complicated and fast changing company contexts - The shift towards more collaborative and inclusive leadership styles that empower employees and drive creativity</w:t>
      </w:r>
    </w:p>
    <w:p w14:paraId="3B080571" w14:textId="691EB622"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growing significance of ethical leadership that considers the impact of corporate actions on stakeholders and society as a whole.</w:t>
      </w:r>
    </w:p>
    <w:p w14:paraId="209BA5FE" w14:textId="77777777" w:rsid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Competition: - </w:t>
      </w:r>
    </w:p>
    <w:p w14:paraId="5E2F6E35" w14:textId="5ADDEDB0" w:rsidR="00FD0366" w:rsidRPr="00FD0366" w:rsidRDefault="00FD036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rise of new competitors, particularly in the technology and digital sectors, who are disrupting traditional business models; - The increasing importance of customer experience as a key differentiator in many industries; - The trend towards consolidation and mergers and acquisitions as a means of achieving scale and competitiveness; - The trend towards consolidation and mergers and acquisitions as a means of achieving scale and competitiveness; - The trend towards consolidation and mergers</w:t>
      </w:r>
    </w:p>
    <w:p w14:paraId="6BBEB73B" w14:textId="77777777" w:rsidR="0032295A" w:rsidRDefault="00FD0366" w:rsidP="00153FDF">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Power: - </w:t>
      </w:r>
    </w:p>
    <w:p w14:paraId="5CA3E129" w14:textId="0BD7AAC3" w:rsidR="00FD0366" w:rsidRPr="00FD0366" w:rsidRDefault="00FD0366" w:rsidP="00FE6041">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shift towards more decentralised decision-making and flatter organisational structures, which empower employees and allow for faster decision-making.</w:t>
      </w:r>
    </w:p>
    <w:p w14:paraId="1601D00B" w14:textId="77777777" w:rsidR="00FD0366" w:rsidRPr="00FD0366" w:rsidRDefault="00FD0366" w:rsidP="00FE6041">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growing role of data and analytics in business decision-making and strategy</w:t>
      </w:r>
    </w:p>
    <w:p w14:paraId="5E98D7DA" w14:textId="1624893E" w:rsidR="00FD0366" w:rsidRPr="00FD0366" w:rsidRDefault="00FD0366" w:rsidP="00FE6041">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emergence of digital platforms and ecosystems, which are undermining old power structures and allowing for new kinds of collaboration and innovation.</w:t>
      </w:r>
    </w:p>
    <w:p w14:paraId="1B67708A" w14:textId="77777777" w:rsidR="0032295A" w:rsidRDefault="00FD0366" w:rsidP="00FE604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Digitalization: - </w:t>
      </w:r>
    </w:p>
    <w:p w14:paraId="440B342E" w14:textId="704772DA" w:rsidR="00FD0366" w:rsidRPr="00FD0366" w:rsidRDefault="00FD0366" w:rsidP="00FE604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accelerating pace of technological change and the growing importance of digital technologies in all aspects of business; - The need for organizations to adopt new technologies and business models in order to remain competitive and relevant; - The potential for digital technologies to enable formerly unattainable forms of collaboration, innovation, and customer engagement.</w:t>
      </w:r>
    </w:p>
    <w:p w14:paraId="2F07AD6E" w14:textId="7CDDA5B2" w:rsidR="00FD0366" w:rsidRDefault="00FD0366" w:rsidP="00FE604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036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these driving components are inextricably linked and complement one another, causing substantial changes in how organization's function and compete in today's quickly changing business environment.</w:t>
      </w:r>
    </w:p>
    <w:p w14:paraId="57B2BC4E" w14:textId="0F2F7B6F" w:rsidR="0009762F" w:rsidRPr="00F9316F" w:rsidRDefault="00D63943" w:rsidP="00153FDF">
      <w:pPr>
        <w:jc w:val="both"/>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16F">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Resistance factors for a change:</w:t>
      </w:r>
    </w:p>
    <w:p w14:paraId="42988CDB" w14:textId="7E3F67E3"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Resistance to change is a typical issue for every organization, including Accenture. While the company has an innovative and agile culture, it is not immune to employee or other stakeholder opposition when it comes to implementing change. Some probable elements that could contribute to Accenture's aversion to change include:</w:t>
      </w:r>
    </w:p>
    <w:p w14:paraId="216D6C40" w14:textId="665FB54B"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Fear of the unknown: Some employees may oppose change because they are unsure what it will entail for their job or their future with the organization.</w:t>
      </w:r>
    </w:p>
    <w:p w14:paraId="61A62868" w14:textId="2C57AF7A"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Communication breakdown: When employees believe they are not being sufficiently informed about the reasons for a change or the impact it will have, they are more inclined to oppose it.</w:t>
      </w:r>
    </w:p>
    <w:p w14:paraId="5E7FC2F2" w14:textId="2CF3A043"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Loss of control: When employees believe that an alteration threatens their autonomy or decision-making ability, they are more inclined to fight it.</w:t>
      </w:r>
    </w:p>
    <w:p w14:paraId="0BB2B7F1" w14:textId="3429209C"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Inertia: Some employees may be reluctant to adjust simply because they are content with the way things are and do not see the need for change.</w:t>
      </w:r>
    </w:p>
    <w:p w14:paraId="62878DDF" w14:textId="34A44EE7" w:rsid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Previous bad experiences with change: Employees who have had difficult encounters with change in the past may be more prone to oppose it in the future.</w:t>
      </w:r>
    </w:p>
    <w:p w14:paraId="76D6F5E8" w14:textId="77777777" w:rsidR="000B6278" w:rsidRPr="00D63943" w:rsidRDefault="000B6278"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6C90EA" w14:textId="66286EC8"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may need to take the following steps to address these potential problems and overcome opposition to change:</w:t>
      </w:r>
    </w:p>
    <w:p w14:paraId="2C3CC1C8" w14:textId="6A615D33"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Communicating the reasons for the change and the benefits it will bring in a clear and consistent manner.</w:t>
      </w:r>
    </w:p>
    <w:p w14:paraId="69B7508F" w14:textId="7C68CD1D"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Including employees in the transformation process and providing opportunities for participation and feedback.</w:t>
      </w:r>
    </w:p>
    <w:p w14:paraId="14BF0B34" w14:textId="060FBD6B"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Providing training and support to staff to assist them in adapting to the change.</w:t>
      </w:r>
    </w:p>
    <w:p w14:paraId="08115D4C" w14:textId="46C3D269" w:rsidR="00D63943" w:rsidRPr="00D63943" w:rsidRDefault="00D63943"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Creating a culture that promotes creativity and agility while rewarding individuals for their ability to adapt to change.</w:t>
      </w:r>
    </w:p>
    <w:p w14:paraId="2E751359" w14:textId="446CAA34" w:rsidR="003B5A4F" w:rsidRPr="00FF5460" w:rsidRDefault="00D63943" w:rsidP="00FF5460">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94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while resistance to change is a challenge for any organization, Accenture's culture of innovation and agility, combined with effective communication and support, can assist the company in overcoming resistance and successfully implementing change.</w:t>
      </w:r>
    </w:p>
    <w:p w14:paraId="6B0057CB" w14:textId="77777777" w:rsidR="003B5A4F" w:rsidRDefault="003B5A4F" w:rsidP="00D63943">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4AE0EB" w14:textId="5C740C15" w:rsidR="003136F8" w:rsidRPr="003B5A4F" w:rsidRDefault="002C7377" w:rsidP="00D63943">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A4F">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 the programme </w:t>
      </w:r>
      <w:r w:rsidR="0099436F" w:rsidRPr="003B5A4F">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completely and assets its </w:t>
      </w:r>
      <w:r w:rsidR="003136F8" w:rsidRPr="003B5A4F">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w:t>
      </w:r>
      <w:r w:rsidR="0099436F" w:rsidRPr="003B5A4F">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5BFB75" w14:textId="71881864"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in an organisation can take various forms, including changes in strategy, structure, culture, leadership, processes, and technology. Shifts in the company environment, technological disruption, changing client expectations, and internal pressures for innovation and agility can all drive change.</w:t>
      </w:r>
    </w:p>
    <w:p w14:paraId="77D9A3CF" w14:textId="191CAAE4"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Depending on the goals and objectives of the change, the successful implementation of organizational change will be measured in an assortment of ways. Some examples of possible effectiveness indicators are:</w:t>
      </w:r>
    </w:p>
    <w:p w14:paraId="637B21E2" w14:textId="16F44AE2"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Financial performance: Changes that improve financial performance, such as more revenue, lower costs, or higher profitability, are regarded as effective.</w:t>
      </w:r>
    </w:p>
    <w:p w14:paraId="0DB083F7" w14:textId="00A9D00E"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Employee engagement and satisfaction: Changes that promote employee engagement, satisfaction, and retention can lead to increased productivity and performance.</w:t>
      </w:r>
    </w:p>
    <w:p w14:paraId="2C68043C" w14:textId="018A4E90"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Improved customer satisfaction and loyalty: Changes that improve customer happiness and loyalty can lead to higher revenue and profitability.</w:t>
      </w:r>
    </w:p>
    <w:p w14:paraId="53784B14" w14:textId="03640674" w:rsidR="008536D5" w:rsidRP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Innovation and agility: Changes that allow the organisation to be more inventive and agile might be regarded effective because they allow the organisation to respond to changing market conditions and consumer needs more swiftly.</w:t>
      </w:r>
    </w:p>
    <w:p w14:paraId="6DF0D958" w14:textId="4CFB0A13" w:rsidR="008536D5" w:rsidRDefault="008536D5"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Overall, the effectiveness of organisational change is strongly dependent on the context of the change as well as the aims and objectives that drive it. It is critical to have a clear understanding of the aims and objectives, engage stakeholders in the change process, communicate effectively, and monitor and measure the results over time to ensure the </w:t>
      </w:r>
      <w:r w:rsidR="00E24B92"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efficiency</w:t>
      </w:r>
      <w:r w:rsidRPr="008536D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organisational change.</w:t>
      </w:r>
    </w:p>
    <w:p w14:paraId="67A9CC2A" w14:textId="7DC18AD5" w:rsidR="009B0BA6" w:rsidRPr="009B0BA6" w:rsidRDefault="009B0BA6" w:rsidP="008536D5">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0BA6">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ACCENTURE TOPOLOGIES </w:t>
      </w:r>
    </w:p>
    <w:p w14:paraId="3B61F696" w14:textId="0C1544DA" w:rsidR="00045481" w:rsidRPr="00045481"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Depending on circumstances and targets, a corporation might use different change topologies. Common change topologies include:</w:t>
      </w:r>
    </w:p>
    <w:p w14:paraId="2ECA5CC3" w14:textId="69BE0487" w:rsidR="00045481" w:rsidRPr="00045481"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Incremental Change: Small, progressive enhancements to current processes or systems. It often aims to boost efficiency, cut expenses, or boost quality. Incremental change is less disruptive and easier to implement and maintain.</w:t>
      </w:r>
    </w:p>
    <w:p w14:paraId="7F4B667B" w14:textId="6A80A856" w:rsidR="00045481" w:rsidRPr="00045481"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Transitional Change: This form of change involves a more significant change in processes or systems, generally due to business or market conditions. Transitional transformation may entail reorganization, leadership, culture, or technology. This shift may be more disruptive than gradual modifications and requires longer planning and preparation.</w:t>
      </w:r>
    </w:p>
    <w:p w14:paraId="585D4BF7" w14:textId="71427653" w:rsidR="00045481" w:rsidRPr="00045481"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Transformational Change: The organization's business model, culture, or strategy undergoes a significant change. It may require entering new markets, embracing new technologies, or reconsidering the company's fundamental business. Transformational change may need major investment and long-term planning to adapt to technological advances or market situations.</w:t>
      </w:r>
    </w:p>
    <w:p w14:paraId="26C2708F" w14:textId="77777777" w:rsidR="00B00998"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Developmental Change: Responding to market constraints or consumer demands via the development of new products, offerings, or company models. Research, experimentation, and collaboration might be involved. Staying ahead of the competition and meeting customer needs often drives development.</w:t>
      </w:r>
    </w:p>
    <w:p w14:paraId="34785C5E" w14:textId="14D0BBD4" w:rsidR="00045481" w:rsidRDefault="0004548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548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Revolutionary Change: A crisis or major change drives a full reorganise of the organization's structure, culture, and strategy. Revolutionary change may need major expenditure and long-term planning.</w:t>
      </w:r>
    </w:p>
    <w:p w14:paraId="1729E194" w14:textId="56B16942" w:rsidR="00B00998" w:rsidRDefault="00561A4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1A4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Change topology depends on the context, goals, organization's capacity for change, and acceptable disturbance. Change management needs careful planning, good communication, stakeholder engagement, and constant monitoring and evaluation of results.</w:t>
      </w:r>
    </w:p>
    <w:p w14:paraId="2BEF9538" w14:textId="37E88033" w:rsidR="00364BBA" w:rsidRPr="00070419" w:rsidRDefault="00FA3C4A" w:rsidP="00045481">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0419">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070419">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0419" w:rsidRPr="00070419">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 OF STRATEGIC, OPERATIONAL</w:t>
      </w:r>
      <w:r w:rsidR="00070419">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4A381A" w14:textId="33463F35" w:rsidR="00364BBA" w:rsidRPr="00364BBA" w:rsidRDefault="00364BBA"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BB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acquisition of Umlaut, release of Accenture Cloud First, and acquisition of Yesler all appear to reflect planned shifts in the company's strategy, rather than emergent or situational changes.</w:t>
      </w:r>
    </w:p>
    <w:p w14:paraId="6A9ACC60" w14:textId="52AEE326" w:rsidR="00364BBA" w:rsidRPr="00364BBA" w:rsidRDefault="00364BBA"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BB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planned change is a purposeful and intentional change implemented by an organization to improve its performance or achieve its goals. Accenture's purchases of Umlaut and Yesler, as well as the launch of Accenture Cloud First, we're all strategic initiatives aimed at improving the business's capabilities in critical areas such as technical assistance, cloud computing, and B2B marketing.</w:t>
      </w:r>
    </w:p>
    <w:p w14:paraId="34FD7263" w14:textId="38D28790" w:rsidR="00364BBA" w:rsidRPr="00364BBA" w:rsidRDefault="00364BBA"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BB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emergent change, on the other hand, is one that occurs in reaction to unforeseen events or situations. While unforeseeable events can have an impact on Accenture's operations and strategy, the changes mentioned above appear to be part of a deliberate and planned effort to improve the company's performance.</w:t>
      </w:r>
    </w:p>
    <w:p w14:paraId="401DF79F" w14:textId="2E4D0388" w:rsidR="00153FDF" w:rsidRPr="00FF5460" w:rsidRDefault="00364BBA" w:rsidP="00FF5460">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BBA">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Finally, a contingency change is one that is implemented as a result of a specific scenario or contingency. While Accenture may make contingency changes in response to unexpected events or changing market conditions, the aforementioned acquisitions and releases appear to have been part of a larger strategic plan rather than a response to a specific contingency.</w:t>
      </w:r>
    </w:p>
    <w:p w14:paraId="3B7095BC" w14:textId="5B8D401C" w:rsidR="002E420A" w:rsidRDefault="00C45CD9" w:rsidP="008536D5">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3C4A">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PESTLE ANALYSIS:</w:t>
      </w:r>
    </w:p>
    <w:p w14:paraId="72F6CCF5" w14:textId="20191833" w:rsidR="0024210D" w:rsidRPr="00FA3C4A" w:rsidRDefault="0024210D" w:rsidP="008536D5">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DC21F36" wp14:editId="5D619F11">
            <wp:extent cx="5731510" cy="3385185"/>
            <wp:effectExtent l="0" t="0" r="0" b="0"/>
            <wp:docPr id="172751953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132254E" w14:textId="5AA2A6E8" w:rsidR="003C5097" w:rsidRP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Political:</w:t>
      </w:r>
    </w:p>
    <w:p w14:paraId="7BCDE24C" w14:textId="77777777" w:rsidR="003C5097" w:rsidRP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Government regulations and policies regarding acquisitions and mergers may impact Accenture's ability to acquire other companies. For example, changes in antitrust regulations may limit the size or scope of acquisitions that Accenture can make.</w:t>
      </w:r>
    </w:p>
    <w:p w14:paraId="6140B40B" w14:textId="5C10812E" w:rsidR="003C5097" w:rsidRP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p>
    <w:p w14:paraId="2F612968" w14:textId="027CD791" w:rsidR="00090BBF"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COVID-19 pandemic has affected the global economy and may impact Accenture's financial performance. However, the shift to remote work and digital transformation has also created new opportunities for Accenture to help businesses with their cloud computing and technical support needs. This has likely influenced the company's focus on digital transformation and technical support.</w:t>
      </w:r>
    </w:p>
    <w:p w14:paraId="7C6203F3" w14:textId="143E26BF" w:rsidR="003C5097" w:rsidRP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p>
    <w:p w14:paraId="1308A84C" w14:textId="181777C7" w:rsidR="003C5097" w:rsidRP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pandemic has accelerated the trend towards remote work and digitalization, which may drive demand for Accenture's services. As businesses adapt to these changes, they may require more support from companies like Accenture to manage their IT infrastructure and implement digital solutions. The acquisition of Umlaut reflects the importance of technical support in today's business landscape.</w:t>
      </w:r>
    </w:p>
    <w:p w14:paraId="4E2D2681" w14:textId="77777777" w:rsidR="003C5097" w:rsidRDefault="003C5097"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509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acquisition of Yesler reflects the growing importance of B2B marketing. As businesses become more reliant on digital channels to reach customers, they may require more support from companies like Accenture to develop and execute effective marketing strategies.</w:t>
      </w:r>
    </w:p>
    <w:p w14:paraId="768713C4" w14:textId="77777777" w:rsidR="00983F28" w:rsidRDefault="00983F28"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E96D69" w14:textId="4B55255D"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p>
    <w:p w14:paraId="4FEDE5A8" w14:textId="64A8A930"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acquisition of Umlaut reflects Accenture's focus on strengthening its technical support capabilities. Umlaut specializes in engineering and consulting services in areas such as automotive and aerospace, which may complement Accenture's existing offerings. This acquisition can help Accenture provide a more comprehensive suite of technical support services to its clients.</w:t>
      </w:r>
    </w:p>
    <w:p w14:paraId="5DDE5F1C" w14:textId="3738408B"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release of Accenture Cloud First reflects the company's commitment to helping businesses with their cloud transformations. As businesses increasingly adopt cloud computing, Accenture is positioning itself as a leader in this space. The release of Accenture Cloud First can help businesses accelerate their cloud transformations while leveraging Accenture's expertise.</w:t>
      </w:r>
    </w:p>
    <w:p w14:paraId="3C15117B" w14:textId="40CFB5AF"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w:t>
      </w:r>
    </w:p>
    <w:p w14:paraId="0F4C7CDE" w14:textId="77777777"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Antitrust regulations and intellectual property laws may impact Accenture's ability to acquire other companies or develop new technologies. Accenture must be mindful of these regulations when pursuing acquisitions or developing new technologies.</w:t>
      </w:r>
    </w:p>
    <w:p w14:paraId="462035D6" w14:textId="77777777" w:rsidR="00FF5460" w:rsidRDefault="00FF5460"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8F4A5E" w14:textId="27FA3DC3"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Environmental:</w:t>
      </w:r>
    </w:p>
    <w:p w14:paraId="4724EB17" w14:textId="77777777" w:rsidR="004472C4" w:rsidRPr="004472C4" w:rsidRDefault="004472C4"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has set environmental sustainability goals, including a commitment to achieving net-zero emissions by 2025. This reflects the growing importance of sustainability in the business world and can help position Accenture as a leader in this area.</w:t>
      </w:r>
    </w:p>
    <w:p w14:paraId="674359D2" w14:textId="2098018B" w:rsidR="001F7328" w:rsidRPr="00FF5460" w:rsidRDefault="004472C4" w:rsidP="00FF5460">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Overall, the changes that occurred at Accenture over the last two years appear to be driven by a combination of economic, social, technological, legal, and environme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ntal </w:t>
      </w:r>
      <w:r w:rsidRPr="004472C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factors. The COVID-19 pandemic and the shift to remote work and digitalization have created new opportunities for Accenture to provide technical support and cloud computing services. The growing importance of B2B marketing and sustainability have also influenced the company's strategic focus. These changes reflect Accenture's commitment to staying ahead of the curve and providing comprehensive solutions to its clients.</w:t>
      </w:r>
    </w:p>
    <w:p w14:paraId="439412A7" w14:textId="77777777" w:rsidR="001F7328" w:rsidRDefault="001F7328" w:rsidP="004472C4">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94DED1" w14:textId="1DD9B226" w:rsidR="006A75F9" w:rsidRDefault="00CB535C" w:rsidP="004472C4">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35C">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Lewin’s</w:t>
      </w:r>
      <w:r w:rsidR="00E77D3B" w:rsidRPr="00CB535C">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Model:</w:t>
      </w:r>
    </w:p>
    <w:p w14:paraId="39946693" w14:textId="1D7FEFEB" w:rsidR="00C8499A" w:rsidRDefault="00C8499A" w:rsidP="004472C4">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7CB405" w14:textId="4D370F91" w:rsidR="00E4519A" w:rsidRPr="00CB535C" w:rsidRDefault="00E4519A" w:rsidP="004472C4">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52EF22AF" wp14:editId="733038DB">
            <wp:extent cx="4476750" cy="3568700"/>
            <wp:effectExtent l="0" t="0" r="0" b="0"/>
            <wp:docPr id="1070447578" name="Picture 4" descr="Lewin's Model of Change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win's Model of Change | Art of change mak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6750" cy="3568700"/>
                    </a:xfrm>
                    <a:prstGeom prst="rect">
                      <a:avLst/>
                    </a:prstGeom>
                    <a:noFill/>
                    <a:ln>
                      <a:noFill/>
                    </a:ln>
                  </pic:spPr>
                </pic:pic>
              </a:graphicData>
            </a:graphic>
          </wp:inline>
        </w:drawing>
      </w:r>
    </w:p>
    <w:p w14:paraId="7EE58BC2" w14:textId="444F00A4" w:rsidR="0026209F" w:rsidRP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Change Management Model developed by Lewin is a framework that is frequently utilized for the purpose of understanding and managing organizational transitions. Unfreezing, undergoing the change, and then refreezing are the processes that make up this process. Accenture's use of the Lewin Model can be summarised as follows:</w:t>
      </w:r>
    </w:p>
    <w:p w14:paraId="1A324C2A" w14:textId="25D87F8D" w:rsidR="00E77D3B" w:rsidRPr="00E77D3B" w:rsidRDefault="008F7E8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08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UNFREEZE: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7D3B"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Accenture needs to generate a sense of urgency and overcome opposition to change so that the company can unfreeze. This could entail explaining the necessity for </w:t>
      </w:r>
      <w:r w:rsidR="00E77D3B"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transformation to all stages of the organization as well as including employees in the process of change.</w:t>
      </w:r>
    </w:p>
    <w:p w14:paraId="16A0A60D" w14:textId="77777777" w:rsidR="00E77D3B" w:rsidRP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may use methods such as surveys, interviews, and focus groups in order to identify areas that are in need of change and to collect feedback from employees in order to advance to this level. This might be helpful in assessing the existing condition and identifying the areas that need changes to be made.</w:t>
      </w:r>
    </w:p>
    <w:p w14:paraId="2C0EFC71" w14:textId="4FA1CFDA" w:rsidR="00E77D3B" w:rsidRPr="00E77D3B" w:rsidRDefault="00EA3D26"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Freeze</w:t>
      </w:r>
      <w:r w:rsidR="00E77D3B" w:rsidRPr="008F7E8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7D3B"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this point, Accenture will alter whatever has to be altered, which may include modifications to procedures, computer systems, organizational structures, and individual employees. In order to ensure that the modifications are successfully implemented, this stage calls for a significant amount of planning, communication, and teamwork.</w:t>
      </w:r>
    </w:p>
    <w:p w14:paraId="55F74BF9" w14:textId="77777777" w:rsidR="00E77D3B" w:rsidRP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for Accenture to get to this the mark, the company has to devise a detailed plan, establish a series of milestones, assign personnel, and form a team of change administrators to oversee the process.</w:t>
      </w:r>
    </w:p>
    <w:p w14:paraId="0B2A6FE5" w14:textId="77777777" w:rsidR="00E77D3B" w:rsidRP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08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Refreezing:</w:t>
      </w: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stage, Accenture integrates the changes that were made in the initial phase into the culture of the organization in order to make the changes more permanent. At this point, the focus turns to ensuring that the improvements can be managed over time and that they are incorporated into Accenture's business operations moving ahead.</w:t>
      </w:r>
    </w:p>
    <w:p w14:paraId="76134EE6" w14:textId="77777777" w:rsidR="00E77D3B" w:rsidRP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employees need to be treated with training, support, and feedback in order for the company to reach this stage. This will guarantee that the employees fully grasp the changes that have been made and are prepared to function in the new environment. This may be of assistance in integrating the newly implemented procedures and practices into the culture of the organization.</w:t>
      </w:r>
    </w:p>
    <w:p w14:paraId="33E34570" w14:textId="5DC6BBEC" w:rsidR="00E77D3B" w:rsidRDefault="00E77D3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D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general, Lewin's transformation Management Model offers Accenture a helpful framework for managing organizational transformation. Accenture is able to generate a sense company urgency, put into action the adjustments that are essential, and then ensure that the changes have taken hold by following these processes.</w:t>
      </w:r>
    </w:p>
    <w:p w14:paraId="622C6470" w14:textId="5C30D70B" w:rsidR="002B735B" w:rsidRPr="002B735B" w:rsidRDefault="002B735B" w:rsidP="00E77D3B">
      <w:pPr>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735B">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CHANGE AND OVERCOMINGS:</w:t>
      </w:r>
    </w:p>
    <w:p w14:paraId="24B31D33" w14:textId="37E46BF8"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Accenture has undergone several changes and </w:t>
      </w:r>
      <w:r w:rsidR="002B735B"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overcoming’s</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over the years to remain competitive in a rapidly changing business environment. Some of the notable changes and </w:t>
      </w:r>
      <w:r w:rsidR="00FA4B10"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overcoming</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Accenture include:</w:t>
      </w:r>
    </w:p>
    <w:p w14:paraId="27942924" w14:textId="3675A7A6"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2B735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transformation</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has transformed itself into a digital company by investing in emerging technologies such as AI, cloud, and blockchain. This has helped the company to offer innovative solutions to clients, increase efficiency, and improve customer experience.</w:t>
      </w:r>
    </w:p>
    <w:p w14:paraId="2D793B47" w14:textId="2F8B3C6F"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 </w:t>
      </w:r>
      <w:r w:rsidRPr="002B735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Mergers and acquisitions</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has made several strategic acquisitions in recent years to expand its capabilities and offerings. For example, in 2021, Accenture acquired umlaut, a German engineering and consulting services firm, to enhance its Industry X services.</w:t>
      </w:r>
    </w:p>
    <w:p w14:paraId="244E0A53" w14:textId="395A0208"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2B735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Diversity and inclusion</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has placed a strong emphasis on diversity and inclusion in recent years. The company has set ambitious targets to increase the representation of underrepresented groups in its workforce, implemented training programs, and developed employee resource groups.</w:t>
      </w:r>
    </w:p>
    <w:p w14:paraId="4703166A" w14:textId="5A5BF7E2"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Pr="002B735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 sustainability</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is committed to reducing its environmental impact and has set a target to achieve net-zero emissions by 2025. The company has invested in renewable energy, energy-efficient technologies, and circular economy models to achieve this goal.</w:t>
      </w:r>
    </w:p>
    <w:p w14:paraId="2A1445E7" w14:textId="6E83DF34" w:rsidR="00F9629E" w:rsidRPr="00F9629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2B735B">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 pandemic</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Accenture successfully navigated the challenges posed by the COVID-19 pandemic by quickly transitioning to remote work, implementing safety measures, and providing support to employees and clients. The company also adapted its services to help clients respond to the pandemic.</w:t>
      </w:r>
    </w:p>
    <w:p w14:paraId="7A3DCBE3" w14:textId="01000602" w:rsidR="006959EE" w:rsidRDefault="00F9629E"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Overall, these changes and </w:t>
      </w:r>
      <w:r w:rsidR="00FA4B10"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overcoming</w:t>
      </w:r>
      <w:r w:rsidRPr="00F9629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enabled Accenture to remain a leading global professional services company and to continue delivering value to its clients and stakeholders.</w:t>
      </w:r>
    </w:p>
    <w:p w14:paraId="0A5C3F4E" w14:textId="77777777" w:rsidR="002B735B" w:rsidRDefault="002B735B"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E108C7" w14:textId="4CCE081C" w:rsidR="002B735B" w:rsidRDefault="00A95699"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4230F5C5" w14:textId="5CC8D067" w:rsidR="002A3921" w:rsidRPr="002A3921" w:rsidRDefault="002A392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392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Accenture is a global professional services company that has undergone significant changes and overcomings in recent years to remain competitive and relevant in a rapidly changing business environment. The company has embraced digital transformation, made strategic acquisitions, emphasized diversity and inclusion, committed to environmental sustainability, and successfully navigated the challenges posed by the COVID-19 pandemic.</w:t>
      </w:r>
    </w:p>
    <w:p w14:paraId="2CE93C13" w14:textId="7FE52622" w:rsidR="002A3921" w:rsidRPr="002A3921" w:rsidRDefault="002A392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392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focus on emerging technologies such as AI, cloud, and blockchain has allowed the company to offer innovative solutions to clients and improve efficiency. Its commitment to diversity and inclusion has helped create an inclusive work environment and attract and retain talent from diverse backgrounds. The company's environmental sustainability efforts have helped reduce its carbon footprint and promote sustainable business practices.</w:t>
      </w:r>
    </w:p>
    <w:p w14:paraId="5C310C0D" w14:textId="0AB26D10" w:rsidR="00A95699" w:rsidRDefault="002A3921" w:rsidP="00153FD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392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Accenture's successful navigation of the COVID-19 pandemic highlights its resilience and agility in responding to external challenges. Overall, Accenture's ability to adapt to changing market conditions, invest in emerging technologies, and prioritize sustainability and inclusivity has enabled it to remain a leading player in the professional services industry.</w:t>
      </w:r>
    </w:p>
    <w:p w14:paraId="39544082" w14:textId="77777777" w:rsidR="006959EE" w:rsidRPr="006B23B8" w:rsidRDefault="006959EE" w:rsidP="00153FDF">
      <w:pPr>
        <w:jc w:val="both"/>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9A3ED5" w14:textId="77777777" w:rsidR="006265B6" w:rsidRDefault="006265B6" w:rsidP="004472C4">
      <w:pP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5B8FDC" w14:textId="77777777" w:rsidR="006265B6" w:rsidRDefault="006265B6" w:rsidP="004472C4">
      <w:pP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ADB83F" w14:textId="29692921" w:rsidR="006B23B8" w:rsidRDefault="004925D0" w:rsidP="004472C4">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23B8">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9670FC" w14:textId="7FE455B1" w:rsidR="007F0C4C" w:rsidRPr="00342D29" w:rsidRDefault="00CB6A59" w:rsidP="004472C4">
      <w:pPr>
        <w:rPr>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2D29">
        <w:rPr>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Accenture (ACN). (n.d.). Forbes. https://www.forbes.com/companies/accenture/</w:t>
      </w:r>
      <w:r w:rsidRPr="00342D29">
        <w:rPr>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42D29">
        <w:rPr>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42D29">
        <w:rPr>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Sinha, M., &amp; Sheth, J. (2018). Growing the pie in emerging markets: Marketing strategies for increasing the ratio of non-users to users. Journal of Business Research, 86, 217–224. </w:t>
      </w:r>
      <w:hyperlink r:id="rId16" w:history="1">
        <w:r w:rsidRPr="00342D29">
          <w:rPr>
            <w:rStyle w:val="Hyperlink"/>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https://doi.org/10.1016/j.jbusres.2017.05.007</w:t>
        </w:r>
      </w:hyperlink>
      <w:r w:rsidRPr="00342D29">
        <w:rPr>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42D29">
        <w:rPr>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hyperlink r:id="rId17" w:history="1">
        <w:r w:rsidR="007F0C4C" w:rsidRPr="00342D29">
          <w:rPr>
            <w:rStyle w:val="Hyperlink"/>
            <w:rFonts w:ascii="Times New Roman" w:hAnsi="Times New Roman" w:cs="Times New Roman"/>
            <w:color w:val="2F5496" w:themeColor="accent1" w:themeShade="BF"/>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https://www.googleadservices.com/pagead/aclk</w:t>
        </w:r>
      </w:hyperlink>
    </w:p>
    <w:p w14:paraId="65975734" w14:textId="79406811" w:rsidR="00BA214A" w:rsidRPr="00342D29" w:rsidRDefault="007F0C4C" w:rsidP="004472C4">
      <w:pPr>
        <w:rPr>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8" w:history="1">
        <w:r w:rsidRPr="00342D29">
          <w:rPr>
            <w:rStyle w:val="Hyperlink"/>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https://en.wikipedia.org/wiki/Accenture</w:t>
        </w:r>
      </w:hyperlink>
    </w:p>
    <w:p w14:paraId="6AEDF385" w14:textId="17416A3D" w:rsidR="003C5097" w:rsidRPr="00342D29" w:rsidRDefault="00594D3B" w:rsidP="008536D5">
      <w:pPr>
        <w:rPr>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9" w:history="1">
        <w:r w:rsidRPr="00342D29">
          <w:rPr>
            <w:rStyle w:val="Hyperlink"/>
            <w:rFonts w:ascii="Times New Roman" w:hAnsi="Times New Roman" w:cs="Times New Roman"/>
            <w:color w:val="2F5496" w:themeColor="accent1"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https://en.wikipedia.org/wiki/Accenture</w:t>
        </w:r>
      </w:hyperlink>
    </w:p>
    <w:p w14:paraId="1B8E9792"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A. Biju Kumar, Rajendran, P.G., Peethambaran, C.K., Ajitkumar, K.G. and Pradeep, N.S. (2014). Perspectives on Biodiversity of India.</w:t>
      </w:r>
    </w:p>
    <w:p w14:paraId="48597D74"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Chen, F., William, S., Voon Hsien Lee and Chooi Yi Wei (2023). Proceedings of the 10th International Conference on Business, Accounting, Finance and Economics (BAFE 2022). Springer Nature.</w:t>
      </w:r>
    </w:p>
    <w:p w14:paraId="2C2E9492"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Lacy, P., Haines, A. and Hayward, R. (2012). Developing strategies and leaders to succeed in a new era of sustainability. Journal of Management Development, 31(4), pp.346–357. doi:https://doi.org/10.1108/02621711211218997.</w:t>
      </w:r>
    </w:p>
    <w:p w14:paraId="12067F2E"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MacCallum, K. and Parsons, D. (2022). Industry Practices, Processes and Techniques Adopted in Education. Springer Nature.</w:t>
      </w:r>
    </w:p>
    <w:p w14:paraId="1E49CEE5"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Nawer, K.F. (2017). Maintaining operational excellence of Accenture accounts receivable outsourcing. dspace.bracu.ac.bd. [online] Available at: https://dspace.bracu.ac.bd/xmlui/handle/10361/8748 [Accessed 5 May 2023].</w:t>
      </w:r>
    </w:p>
    <w:p w14:paraId="749A0310" w14:textId="506A038C"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Rizzo, P. (2016). Philips Healthcare Launches Blockchain Lab in R&amp;D Push. [online] www.coindesk.com. Available at: https://www.coindesk.com/markets/2016/03/03/philips-healthcare-launches-blockchain-lab-in-rd-push/ [Accessed 5 May 2023].</w:t>
      </w:r>
    </w:p>
    <w:p w14:paraId="7011BECE"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Singh, P.K., Polkowski, Z., Tanwar, S., Pandey, S.K., Matei, G. and Pirvu, D. (2021). Innovations in information and communication technologies (IICT-2020) : proceedings of international conference on ICRIHE - 2020, Delhi, India : IICT-2020. Cham: Springer.</w:t>
      </w:r>
    </w:p>
    <w:p w14:paraId="73D1C8DD" w14:textId="77777777"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lastRenderedPageBreak/>
        <w:t>Weber, W.G., Thomas Faurholt Jønsson and Unterrainer, C. (2023). Organizational democracy, organizational participation, and employee ownership: Individual, organizational and societal outcomes. Frontiers Media SA.</w:t>
      </w:r>
    </w:p>
    <w:p w14:paraId="5213B301" w14:textId="6DE5649C" w:rsidR="008A1D6B" w:rsidRPr="00342D29" w:rsidRDefault="008A1D6B" w:rsidP="008A1D6B">
      <w:pPr>
        <w:pStyle w:val="NormalWeb"/>
        <w:spacing w:before="0" w:beforeAutospacing="0" w:after="240" w:afterAutospacing="0" w:line="360" w:lineRule="auto"/>
        <w:rPr>
          <w:color w:val="2F5496" w:themeColor="accent1" w:themeShade="BF"/>
        </w:rPr>
      </w:pPr>
      <w:r w:rsidRPr="00342D29">
        <w:rPr>
          <w:color w:val="2F5496" w:themeColor="accent1" w:themeShade="BF"/>
        </w:rPr>
        <w:t xml:space="preserve">Williams, E., Rodrigues, P. and Novak, V. (2020). Accenture at CheckThat! 2020: If you say so: Post-hoc fact-checking of claims using transformer-based models. arXiv:2009.02431 [cs]. [online] Available at: </w:t>
      </w:r>
      <w:hyperlink r:id="rId20" w:history="1">
        <w:r w:rsidRPr="00342D29">
          <w:rPr>
            <w:rStyle w:val="Hyperlink"/>
            <w:color w:val="2F5496" w:themeColor="accent1" w:themeShade="BF"/>
          </w:rPr>
          <w:t>https://arxiv.org/abs/2009.02431</w:t>
        </w:r>
      </w:hyperlink>
      <w:r w:rsidRPr="00342D29">
        <w:rPr>
          <w:color w:val="2F5496" w:themeColor="accent1" w:themeShade="BF"/>
        </w:rPr>
        <w:t>.</w:t>
      </w:r>
    </w:p>
    <w:p w14:paraId="22512D33" w14:textId="3AA7681F" w:rsidR="008A1D6B" w:rsidRDefault="00C921F9" w:rsidP="008A1D6B">
      <w:pPr>
        <w:pStyle w:val="NormalWeb"/>
        <w:spacing w:before="0" w:beforeAutospacing="0" w:after="240" w:afterAutospacing="0" w:line="360" w:lineRule="auto"/>
        <w:rPr>
          <w:color w:val="2F5496" w:themeColor="accent1" w:themeShade="BF"/>
        </w:rPr>
      </w:pPr>
      <w:hyperlink r:id="rId21" w:history="1">
        <w:r w:rsidRPr="00342D29">
          <w:rPr>
            <w:rStyle w:val="Hyperlink"/>
            <w:color w:val="2F5496" w:themeColor="accent1" w:themeShade="BF"/>
          </w:rPr>
          <w:t>http://www.truevaluemetrics.org/DBpdfs/Technology/Blockchain/2-49-accenture_onc_blockchain_challenge_response_august8_final.pdf</w:t>
        </w:r>
      </w:hyperlink>
    </w:p>
    <w:p w14:paraId="3100EF79"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International Economic Association (1986). </w:t>
      </w:r>
      <w:r w:rsidRPr="009B3D0D">
        <w:rPr>
          <w:i/>
          <w:iCs/>
          <w:color w:val="0070C0"/>
        </w:rPr>
        <w:t>New Developments in the Analysis of Market Structure</w:t>
      </w:r>
      <w:r w:rsidRPr="009B3D0D">
        <w:rPr>
          <w:color w:val="0070C0"/>
        </w:rPr>
        <w:t>. MIT Press.</w:t>
      </w:r>
    </w:p>
    <w:p w14:paraId="0BEFC43C"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José Pla-Barber and AlegreJ. (2010). </w:t>
      </w:r>
      <w:r w:rsidRPr="009B3D0D">
        <w:rPr>
          <w:i/>
          <w:iCs/>
          <w:color w:val="0070C0"/>
        </w:rPr>
        <w:t>Reshaping the Boundaries of the Firm : Progress in International Business Research Vol 5</w:t>
      </w:r>
      <w:r w:rsidRPr="009B3D0D">
        <w:rPr>
          <w:color w:val="0070C0"/>
        </w:rPr>
        <w:t>. Emerald Publishing Limited.</w:t>
      </w:r>
    </w:p>
    <w:p w14:paraId="0847EC05"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Mahoney, J.T. (2005). </w:t>
      </w:r>
      <w:r w:rsidRPr="009B3D0D">
        <w:rPr>
          <w:i/>
          <w:iCs/>
          <w:color w:val="0070C0"/>
        </w:rPr>
        <w:t>Economic foundations of strategy</w:t>
      </w:r>
      <w:r w:rsidRPr="009B3D0D">
        <w:rPr>
          <w:color w:val="0070C0"/>
        </w:rPr>
        <w:t>. Thousand Oaks, Ca: Sage.</w:t>
      </w:r>
    </w:p>
    <w:p w14:paraId="4A363476"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Massini, S., Perm-Ajchariyawong, N. and Lewin, A.Y. (2010). Role of Corporate-Wide Offshoring Strategy on Offshoring Drivers, Risks and Performance. </w:t>
      </w:r>
      <w:r w:rsidRPr="009B3D0D">
        <w:rPr>
          <w:i/>
          <w:iCs/>
          <w:color w:val="0070C0"/>
        </w:rPr>
        <w:t>Industry &amp; Innovation</w:t>
      </w:r>
      <w:r w:rsidRPr="009B3D0D">
        <w:rPr>
          <w:color w:val="0070C0"/>
        </w:rPr>
        <w:t>, 17(4), pp.337–371. doi:https://doi.org/10.1080/13662716.2010.496242.</w:t>
      </w:r>
    </w:p>
    <w:p w14:paraId="1C8778FF"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Ofori, G. (2022). </w:t>
      </w:r>
      <w:r w:rsidRPr="009B3D0D">
        <w:rPr>
          <w:i/>
          <w:iCs/>
          <w:color w:val="0070C0"/>
        </w:rPr>
        <w:t>Research Companion to Construction Economics</w:t>
      </w:r>
      <w:r w:rsidRPr="009B3D0D">
        <w:rPr>
          <w:color w:val="0070C0"/>
        </w:rPr>
        <w:t>. Edward Elgar Publishing.</w:t>
      </w:r>
    </w:p>
    <w:p w14:paraId="14399838"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Razin, A. and Zichner, H. (1987). </w:t>
      </w:r>
      <w:r w:rsidRPr="009B3D0D">
        <w:rPr>
          <w:i/>
          <w:iCs/>
          <w:color w:val="0070C0"/>
        </w:rPr>
        <w:t>Economic Policy in Theory and Practice</w:t>
      </w:r>
      <w:r w:rsidRPr="009B3D0D">
        <w:rPr>
          <w:color w:val="0070C0"/>
        </w:rPr>
        <w:t>. Springer.</w:t>
      </w:r>
    </w:p>
    <w:p w14:paraId="00915E0F"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Stringfellow, A., Teagarden, M.B. and Nie, W. (2007). Invisible costs in offshoring services work. </w:t>
      </w:r>
      <w:r w:rsidRPr="009B3D0D">
        <w:rPr>
          <w:i/>
          <w:iCs/>
          <w:color w:val="0070C0"/>
        </w:rPr>
        <w:t>Journal of Operations Management</w:t>
      </w:r>
      <w:r w:rsidRPr="009B3D0D">
        <w:rPr>
          <w:color w:val="0070C0"/>
        </w:rPr>
        <w:t>, 26(2), pp.164–179. doi:https://doi.org/10.1016/j.jom.2007.02.009.</w:t>
      </w:r>
    </w:p>
    <w:p w14:paraId="63D22463" w14:textId="77777777" w:rsidR="009B3D0D" w:rsidRPr="009B3D0D" w:rsidRDefault="009B3D0D" w:rsidP="009B3D0D">
      <w:pPr>
        <w:pStyle w:val="NormalWeb"/>
        <w:spacing w:before="0" w:beforeAutospacing="0" w:after="240" w:afterAutospacing="0" w:line="360" w:lineRule="auto"/>
        <w:rPr>
          <w:color w:val="0070C0"/>
        </w:rPr>
      </w:pPr>
      <w:r w:rsidRPr="009B3D0D">
        <w:rPr>
          <w:color w:val="0070C0"/>
        </w:rPr>
        <w:t xml:space="preserve">Torben Pedersen, Bals, L., Ørberg, P.D. and Larsen, M.M. (2013). </w:t>
      </w:r>
      <w:r w:rsidRPr="009B3D0D">
        <w:rPr>
          <w:i/>
          <w:iCs/>
          <w:color w:val="0070C0"/>
        </w:rPr>
        <w:t>The Offshoring Challenge Strategic Design and Innovation for Tomorrow’s Organization</w:t>
      </w:r>
      <w:r w:rsidRPr="009B3D0D">
        <w:rPr>
          <w:color w:val="0070C0"/>
        </w:rPr>
        <w:t>. London Springer.</w:t>
      </w:r>
    </w:p>
    <w:p w14:paraId="7710EF7D" w14:textId="77777777" w:rsidR="009B3D0D" w:rsidRPr="00342D29" w:rsidRDefault="009B3D0D" w:rsidP="008A1D6B">
      <w:pPr>
        <w:pStyle w:val="NormalWeb"/>
        <w:spacing w:before="0" w:beforeAutospacing="0" w:after="240" w:afterAutospacing="0" w:line="360" w:lineRule="auto"/>
        <w:rPr>
          <w:color w:val="2F5496" w:themeColor="accent1" w:themeShade="BF"/>
        </w:rPr>
      </w:pPr>
    </w:p>
    <w:p w14:paraId="1B338270" w14:textId="1DFCAE8E" w:rsidR="004A6F4B" w:rsidRDefault="004A6F4B" w:rsidP="008A1D6B">
      <w:pPr>
        <w:pStyle w:val="NormalWeb"/>
        <w:spacing w:before="0" w:beforeAutospacing="0" w:after="240" w:afterAutospacing="0" w:line="360" w:lineRule="auto"/>
      </w:pPr>
    </w:p>
    <w:p w14:paraId="6797BE38" w14:textId="539A9C17" w:rsidR="005F43D4" w:rsidRDefault="005F43D4" w:rsidP="005F43D4">
      <w:pPr>
        <w:pStyle w:val="NormalWeb"/>
        <w:spacing w:before="0" w:beforeAutospacing="0" w:after="240" w:afterAutospacing="0" w:line="360" w:lineRule="auto"/>
      </w:pPr>
    </w:p>
    <w:p w14:paraId="1E60C268" w14:textId="77777777" w:rsidR="007E08E0" w:rsidRDefault="007E08E0" w:rsidP="008536D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21EAE0"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849C2F"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00070F"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91FE0D"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DCFC66"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1C4B0"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0A6DB4"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53D07E"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F4DAF5"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DF743B" w14:textId="77777777" w:rsidR="00350BC3" w:rsidRDefault="00350BC3" w:rsidP="00474A0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1061C" w14:textId="77777777" w:rsidR="00545296" w:rsidRDefault="00545296" w:rsidP="00474A01">
      <w:pPr>
        <w:rPr>
          <w:noProof/>
        </w:rPr>
      </w:pPr>
    </w:p>
    <w:p w14:paraId="1AFBF852" w14:textId="2EDF0FEC" w:rsidR="00341835" w:rsidRDefault="002E0B24" w:rsidP="00474A01">
      <w:pPr>
        <w:rPr>
          <w:noProof/>
        </w:rPr>
      </w:pPr>
      <w:r>
        <w:rPr>
          <w:noProof/>
        </w:rPr>
        <mc:AlternateContent>
          <mc:Choice Requires="wps">
            <w:drawing>
              <wp:inline distT="0" distB="0" distL="0" distR="0" wp14:anchorId="73477602" wp14:editId="5951B6CF">
                <wp:extent cx="304800" cy="304800"/>
                <wp:effectExtent l="0" t="0" r="0" b="0"/>
                <wp:docPr id="790607596" name="Rectangle 3" descr="PESTLE Analysis Example for Busin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AB368D" id="Rectangle 3" o:spid="_x0000_s1026" alt="PESTLE Analysis Example for Busin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AC1CDF" w14:textId="75D67B6B" w:rsidR="004B6B24" w:rsidRDefault="00341835" w:rsidP="00D004BF">
      <w:pPr>
        <w:jc w:val="both"/>
      </w:pPr>
      <w:r>
        <w:rPr>
          <w:noProof/>
        </w:rPr>
        <mc:AlternateContent>
          <mc:Choice Requires="wps">
            <w:drawing>
              <wp:inline distT="0" distB="0" distL="0" distR="0" wp14:anchorId="09D7C09A" wp14:editId="389AE034">
                <wp:extent cx="304800" cy="304800"/>
                <wp:effectExtent l="0" t="0" r="0" b="0"/>
                <wp:docPr id="184786417" name="Rectangle 2" descr="PESTLE Analysis Example for Busin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A90CAD" id="Rectangle 2" o:spid="_x0000_s1026" alt="PESTLE Analysis Example for Busin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F16A7" w:rsidRPr="00DF16A7">
        <w:t xml:space="preserve"> </w:t>
      </w:r>
      <w:r w:rsidR="00D004BF" w:rsidRPr="00D004BF">
        <w:t xml:space="preserve"> </w:t>
      </w:r>
    </w:p>
    <w:p w14:paraId="22B15A01" w14:textId="5DFE450E" w:rsidR="00350BC3" w:rsidRPr="00474A01" w:rsidRDefault="00D004BF" w:rsidP="00D004BF">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inline distT="0" distB="0" distL="0" distR="0" wp14:anchorId="73CD1106" wp14:editId="5DA1187D">
                <wp:extent cx="304800" cy="304800"/>
                <wp:effectExtent l="0" t="0" r="0" b="0"/>
                <wp:docPr id="464804499" name="Rectangle 4" descr="PESTLE Analysis Example for Busin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D712FF" id="Rectangle 4" o:spid="_x0000_s1026" alt="PESTLE Analysis Example for Busin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4BF">
        <w:rPr>
          <w:noProof/>
        </w:rPr>
        <w:t xml:space="preserve"> </w:t>
      </w:r>
      <w:r>
        <w:rPr>
          <w:noProof/>
        </w:rPr>
        <mc:AlternateContent>
          <mc:Choice Requires="wps">
            <w:drawing>
              <wp:inline distT="0" distB="0" distL="0" distR="0" wp14:anchorId="12918E48" wp14:editId="750C09AA">
                <wp:extent cx="304800" cy="304800"/>
                <wp:effectExtent l="0" t="0" r="0" b="0"/>
                <wp:docPr id="1691164330" name="AutoShape 8" descr="PESTLE Analysis Example for Busin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974C8D" id="AutoShape 8" o:spid="_x0000_s1026" alt="PESTLE Analysis Example for Busin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350BC3" w:rsidRPr="00474A01" w:rsidSect="007E39B2">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03449" w14:textId="77777777" w:rsidR="001365C1" w:rsidRDefault="001365C1" w:rsidP="00943C48">
      <w:pPr>
        <w:spacing w:after="0" w:line="240" w:lineRule="auto"/>
      </w:pPr>
      <w:r>
        <w:separator/>
      </w:r>
    </w:p>
  </w:endnote>
  <w:endnote w:type="continuationSeparator" w:id="0">
    <w:p w14:paraId="1CEC2C41" w14:textId="77777777" w:rsidR="001365C1" w:rsidRDefault="001365C1" w:rsidP="00943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14018"/>
      <w:docPartObj>
        <w:docPartGallery w:val="Page Numbers (Bottom of Page)"/>
        <w:docPartUnique/>
      </w:docPartObj>
    </w:sdtPr>
    <w:sdtEndPr>
      <w:rPr>
        <w:noProof/>
      </w:rPr>
    </w:sdtEndPr>
    <w:sdtContent>
      <w:p w14:paraId="47C8CDCE" w14:textId="07DE9A10" w:rsidR="003146D0" w:rsidRDefault="003146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B3C25E" w14:textId="77777777" w:rsidR="00972AAE" w:rsidRDefault="00972AAE" w:rsidP="003146D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0BE3E" w14:textId="77777777" w:rsidR="001365C1" w:rsidRDefault="001365C1" w:rsidP="00943C48">
      <w:pPr>
        <w:spacing w:after="0" w:line="240" w:lineRule="auto"/>
      </w:pPr>
      <w:r>
        <w:separator/>
      </w:r>
    </w:p>
  </w:footnote>
  <w:footnote w:type="continuationSeparator" w:id="0">
    <w:p w14:paraId="213D883A" w14:textId="77777777" w:rsidR="001365C1" w:rsidRDefault="001365C1" w:rsidP="00943C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84A"/>
    <w:rsid w:val="00016D68"/>
    <w:rsid w:val="00045481"/>
    <w:rsid w:val="00070419"/>
    <w:rsid w:val="00071DD5"/>
    <w:rsid w:val="000772D3"/>
    <w:rsid w:val="00081F04"/>
    <w:rsid w:val="00084989"/>
    <w:rsid w:val="00090BBF"/>
    <w:rsid w:val="0009762F"/>
    <w:rsid w:val="000B433A"/>
    <w:rsid w:val="000B6278"/>
    <w:rsid w:val="00100AF2"/>
    <w:rsid w:val="00115AD9"/>
    <w:rsid w:val="00124435"/>
    <w:rsid w:val="001365C1"/>
    <w:rsid w:val="00146F41"/>
    <w:rsid w:val="00153FDF"/>
    <w:rsid w:val="00180497"/>
    <w:rsid w:val="00194AF2"/>
    <w:rsid w:val="001C62B3"/>
    <w:rsid w:val="001F7328"/>
    <w:rsid w:val="002019C2"/>
    <w:rsid w:val="002236FD"/>
    <w:rsid w:val="0024210D"/>
    <w:rsid w:val="0026209F"/>
    <w:rsid w:val="00264DEC"/>
    <w:rsid w:val="0026747F"/>
    <w:rsid w:val="002743CD"/>
    <w:rsid w:val="00274942"/>
    <w:rsid w:val="002A3921"/>
    <w:rsid w:val="002A4EAC"/>
    <w:rsid w:val="002B0565"/>
    <w:rsid w:val="002B735B"/>
    <w:rsid w:val="002C2F0E"/>
    <w:rsid w:val="002C7377"/>
    <w:rsid w:val="002E0B24"/>
    <w:rsid w:val="002E420A"/>
    <w:rsid w:val="002E73C0"/>
    <w:rsid w:val="002F751B"/>
    <w:rsid w:val="003136F8"/>
    <w:rsid w:val="003146D0"/>
    <w:rsid w:val="0032295A"/>
    <w:rsid w:val="00341835"/>
    <w:rsid w:val="0034292E"/>
    <w:rsid w:val="00342D29"/>
    <w:rsid w:val="00350BC3"/>
    <w:rsid w:val="00364BBA"/>
    <w:rsid w:val="003779C5"/>
    <w:rsid w:val="00380BC9"/>
    <w:rsid w:val="003A47F7"/>
    <w:rsid w:val="003B3E10"/>
    <w:rsid w:val="003B5A4F"/>
    <w:rsid w:val="003B64FF"/>
    <w:rsid w:val="003C14C2"/>
    <w:rsid w:val="003C5097"/>
    <w:rsid w:val="003D1A18"/>
    <w:rsid w:val="0042016E"/>
    <w:rsid w:val="00435E23"/>
    <w:rsid w:val="004472C4"/>
    <w:rsid w:val="00447CE7"/>
    <w:rsid w:val="00474A01"/>
    <w:rsid w:val="004806E1"/>
    <w:rsid w:val="004925D0"/>
    <w:rsid w:val="00494FA9"/>
    <w:rsid w:val="004A41F3"/>
    <w:rsid w:val="004A6F4B"/>
    <w:rsid w:val="004B6B24"/>
    <w:rsid w:val="004B77CA"/>
    <w:rsid w:val="004E2C0A"/>
    <w:rsid w:val="00504211"/>
    <w:rsid w:val="005418AE"/>
    <w:rsid w:val="00545296"/>
    <w:rsid w:val="0054620D"/>
    <w:rsid w:val="00561A4B"/>
    <w:rsid w:val="0058364A"/>
    <w:rsid w:val="00594D3B"/>
    <w:rsid w:val="005C10A7"/>
    <w:rsid w:val="005C7B7E"/>
    <w:rsid w:val="005F43D4"/>
    <w:rsid w:val="00611A31"/>
    <w:rsid w:val="006265B6"/>
    <w:rsid w:val="0066039A"/>
    <w:rsid w:val="006959EE"/>
    <w:rsid w:val="006A2DD8"/>
    <w:rsid w:val="006A75F9"/>
    <w:rsid w:val="006B23B8"/>
    <w:rsid w:val="006C03A7"/>
    <w:rsid w:val="006F55C6"/>
    <w:rsid w:val="00710C3F"/>
    <w:rsid w:val="007D2F45"/>
    <w:rsid w:val="007E08E0"/>
    <w:rsid w:val="007E39B2"/>
    <w:rsid w:val="007E5D98"/>
    <w:rsid w:val="007F0C4C"/>
    <w:rsid w:val="00807C05"/>
    <w:rsid w:val="00850957"/>
    <w:rsid w:val="008536D5"/>
    <w:rsid w:val="00861DB2"/>
    <w:rsid w:val="00867B0B"/>
    <w:rsid w:val="008701C5"/>
    <w:rsid w:val="0088029B"/>
    <w:rsid w:val="0088616B"/>
    <w:rsid w:val="008948EC"/>
    <w:rsid w:val="008A1D6B"/>
    <w:rsid w:val="008B6369"/>
    <w:rsid w:val="008D5738"/>
    <w:rsid w:val="008F7E8B"/>
    <w:rsid w:val="00943C48"/>
    <w:rsid w:val="009441E9"/>
    <w:rsid w:val="00966824"/>
    <w:rsid w:val="00972AAE"/>
    <w:rsid w:val="00983F28"/>
    <w:rsid w:val="009862F7"/>
    <w:rsid w:val="0099436F"/>
    <w:rsid w:val="009B0BA6"/>
    <w:rsid w:val="009B3D0D"/>
    <w:rsid w:val="00A366E6"/>
    <w:rsid w:val="00A95699"/>
    <w:rsid w:val="00A95D82"/>
    <w:rsid w:val="00B00998"/>
    <w:rsid w:val="00B01220"/>
    <w:rsid w:val="00B062EC"/>
    <w:rsid w:val="00B1101C"/>
    <w:rsid w:val="00B37E03"/>
    <w:rsid w:val="00B6413C"/>
    <w:rsid w:val="00B66787"/>
    <w:rsid w:val="00B67F02"/>
    <w:rsid w:val="00BA214A"/>
    <w:rsid w:val="00BA6A2E"/>
    <w:rsid w:val="00C01C38"/>
    <w:rsid w:val="00C214CA"/>
    <w:rsid w:val="00C45CD9"/>
    <w:rsid w:val="00C8499A"/>
    <w:rsid w:val="00C921F9"/>
    <w:rsid w:val="00CA0F52"/>
    <w:rsid w:val="00CB535C"/>
    <w:rsid w:val="00CB6A59"/>
    <w:rsid w:val="00CE13CB"/>
    <w:rsid w:val="00CF055D"/>
    <w:rsid w:val="00D004BF"/>
    <w:rsid w:val="00D33F9E"/>
    <w:rsid w:val="00D3784A"/>
    <w:rsid w:val="00D40F22"/>
    <w:rsid w:val="00D63943"/>
    <w:rsid w:val="00D76914"/>
    <w:rsid w:val="00D833A0"/>
    <w:rsid w:val="00DF16A7"/>
    <w:rsid w:val="00E24B92"/>
    <w:rsid w:val="00E4519A"/>
    <w:rsid w:val="00E60A2C"/>
    <w:rsid w:val="00E67554"/>
    <w:rsid w:val="00E733F2"/>
    <w:rsid w:val="00E7655E"/>
    <w:rsid w:val="00E77D3B"/>
    <w:rsid w:val="00EA3D26"/>
    <w:rsid w:val="00EA708B"/>
    <w:rsid w:val="00EC615D"/>
    <w:rsid w:val="00EF7281"/>
    <w:rsid w:val="00F018B6"/>
    <w:rsid w:val="00F13636"/>
    <w:rsid w:val="00F21CFA"/>
    <w:rsid w:val="00F51551"/>
    <w:rsid w:val="00F9316F"/>
    <w:rsid w:val="00F9629E"/>
    <w:rsid w:val="00FA3C4A"/>
    <w:rsid w:val="00FA4B10"/>
    <w:rsid w:val="00FB78AA"/>
    <w:rsid w:val="00FD0366"/>
    <w:rsid w:val="00FD064F"/>
    <w:rsid w:val="00FE3F97"/>
    <w:rsid w:val="00FE413C"/>
    <w:rsid w:val="00FE6041"/>
    <w:rsid w:val="00FF54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A700"/>
  <w15:chartTrackingRefBased/>
  <w15:docId w15:val="{8B7B1EEF-BDE4-4AF5-A5C6-64C4D9B6B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3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39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39B2"/>
    <w:rPr>
      <w:rFonts w:eastAsiaTheme="minorEastAsia"/>
      <w:lang w:val="en-US"/>
    </w:rPr>
  </w:style>
  <w:style w:type="character" w:styleId="Hyperlink">
    <w:name w:val="Hyperlink"/>
    <w:basedOn w:val="DefaultParagraphFont"/>
    <w:uiPriority w:val="99"/>
    <w:unhideWhenUsed/>
    <w:rsid w:val="0026747F"/>
    <w:rPr>
      <w:color w:val="0563C1" w:themeColor="hyperlink"/>
      <w:u w:val="single"/>
    </w:rPr>
  </w:style>
  <w:style w:type="character" w:styleId="UnresolvedMention">
    <w:name w:val="Unresolved Mention"/>
    <w:basedOn w:val="DefaultParagraphFont"/>
    <w:uiPriority w:val="99"/>
    <w:semiHidden/>
    <w:unhideWhenUsed/>
    <w:rsid w:val="0026747F"/>
    <w:rPr>
      <w:color w:val="605E5C"/>
      <w:shd w:val="clear" w:color="auto" w:fill="E1DFDD"/>
    </w:rPr>
  </w:style>
  <w:style w:type="character" w:customStyle="1" w:styleId="Heading1Char">
    <w:name w:val="Heading 1 Char"/>
    <w:basedOn w:val="DefaultParagraphFont"/>
    <w:link w:val="Heading1"/>
    <w:uiPriority w:val="9"/>
    <w:rsid w:val="006603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039A"/>
    <w:pPr>
      <w:outlineLvl w:val="9"/>
    </w:pPr>
    <w:rPr>
      <w:lang w:val="en-US"/>
    </w:rPr>
  </w:style>
  <w:style w:type="paragraph" w:styleId="TOC1">
    <w:name w:val="toc 1"/>
    <w:basedOn w:val="Normal"/>
    <w:next w:val="Normal"/>
    <w:autoRedefine/>
    <w:uiPriority w:val="39"/>
    <w:unhideWhenUsed/>
    <w:rsid w:val="0066039A"/>
    <w:pPr>
      <w:spacing w:after="100"/>
    </w:pPr>
    <w:rPr>
      <w:lang w:val="en-US"/>
    </w:rPr>
  </w:style>
  <w:style w:type="paragraph" w:styleId="TOC2">
    <w:name w:val="toc 2"/>
    <w:basedOn w:val="Normal"/>
    <w:next w:val="Normal"/>
    <w:autoRedefine/>
    <w:uiPriority w:val="39"/>
    <w:unhideWhenUsed/>
    <w:rsid w:val="0066039A"/>
    <w:pPr>
      <w:tabs>
        <w:tab w:val="right" w:leader="dot" w:pos="9350"/>
      </w:tabs>
      <w:spacing w:after="100"/>
      <w:ind w:left="630"/>
    </w:pPr>
    <w:rPr>
      <w:lang w:val="en-US"/>
    </w:rPr>
  </w:style>
  <w:style w:type="paragraph" w:styleId="Header">
    <w:name w:val="header"/>
    <w:basedOn w:val="Normal"/>
    <w:link w:val="HeaderChar"/>
    <w:uiPriority w:val="99"/>
    <w:unhideWhenUsed/>
    <w:rsid w:val="00943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C48"/>
  </w:style>
  <w:style w:type="paragraph" w:styleId="Footer">
    <w:name w:val="footer"/>
    <w:basedOn w:val="Normal"/>
    <w:link w:val="FooterChar"/>
    <w:uiPriority w:val="99"/>
    <w:unhideWhenUsed/>
    <w:rsid w:val="00943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C48"/>
  </w:style>
  <w:style w:type="paragraph" w:styleId="NormalWeb">
    <w:name w:val="Normal (Web)"/>
    <w:basedOn w:val="Normal"/>
    <w:uiPriority w:val="99"/>
    <w:semiHidden/>
    <w:unhideWhenUsed/>
    <w:rsid w:val="005F43D4"/>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42945">
      <w:bodyDiv w:val="1"/>
      <w:marLeft w:val="0"/>
      <w:marRight w:val="0"/>
      <w:marTop w:val="0"/>
      <w:marBottom w:val="0"/>
      <w:divBdr>
        <w:top w:val="none" w:sz="0" w:space="0" w:color="auto"/>
        <w:left w:val="none" w:sz="0" w:space="0" w:color="auto"/>
        <w:bottom w:val="none" w:sz="0" w:space="0" w:color="auto"/>
        <w:right w:val="none" w:sz="0" w:space="0" w:color="auto"/>
      </w:divBdr>
      <w:divsChild>
        <w:div w:id="1556621412">
          <w:marLeft w:val="0"/>
          <w:marRight w:val="0"/>
          <w:marTop w:val="0"/>
          <w:marBottom w:val="0"/>
          <w:divBdr>
            <w:top w:val="none" w:sz="0" w:space="0" w:color="auto"/>
            <w:left w:val="none" w:sz="0" w:space="0" w:color="auto"/>
            <w:bottom w:val="none" w:sz="0" w:space="0" w:color="auto"/>
            <w:right w:val="none" w:sz="0" w:space="0" w:color="auto"/>
          </w:divBdr>
        </w:div>
      </w:divsChild>
    </w:div>
    <w:div w:id="1893879166">
      <w:bodyDiv w:val="1"/>
      <w:marLeft w:val="0"/>
      <w:marRight w:val="0"/>
      <w:marTop w:val="0"/>
      <w:marBottom w:val="0"/>
      <w:divBdr>
        <w:top w:val="none" w:sz="0" w:space="0" w:color="auto"/>
        <w:left w:val="none" w:sz="0" w:space="0" w:color="auto"/>
        <w:bottom w:val="none" w:sz="0" w:space="0" w:color="auto"/>
        <w:right w:val="none" w:sz="0" w:space="0" w:color="auto"/>
      </w:divBdr>
      <w:divsChild>
        <w:div w:id="1377584813">
          <w:marLeft w:val="0"/>
          <w:marRight w:val="0"/>
          <w:marTop w:val="0"/>
          <w:marBottom w:val="0"/>
          <w:divBdr>
            <w:top w:val="none" w:sz="0" w:space="0" w:color="auto"/>
            <w:left w:val="none" w:sz="0" w:space="0" w:color="auto"/>
            <w:bottom w:val="none" w:sz="0" w:space="0" w:color="auto"/>
            <w:right w:val="none" w:sz="0" w:space="0" w:color="auto"/>
          </w:divBdr>
        </w:div>
      </w:divsChild>
    </w:div>
    <w:div w:id="2067681145">
      <w:bodyDiv w:val="1"/>
      <w:marLeft w:val="0"/>
      <w:marRight w:val="0"/>
      <w:marTop w:val="0"/>
      <w:marBottom w:val="0"/>
      <w:divBdr>
        <w:top w:val="none" w:sz="0" w:space="0" w:color="auto"/>
        <w:left w:val="none" w:sz="0" w:space="0" w:color="auto"/>
        <w:bottom w:val="none" w:sz="0" w:space="0" w:color="auto"/>
        <w:right w:val="none" w:sz="0" w:space="0" w:color="auto"/>
      </w:divBdr>
      <w:divsChild>
        <w:div w:id="962885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en.wikipedia.org/wiki/Accenture" TargetMode="External"/><Relationship Id="rId3" Type="http://schemas.openxmlformats.org/officeDocument/2006/relationships/styles" Target="styles.xml"/><Relationship Id="rId21" Type="http://schemas.openxmlformats.org/officeDocument/2006/relationships/hyperlink" Target="http://www.truevaluemetrics.org/DBpdfs/Technology/Blockchain/2-49-accenture_onc_blockchain_challenge_response_august8_final.pdf"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googleadservices.com/pagead/aclk" TargetMode="External"/><Relationship Id="rId2" Type="http://schemas.openxmlformats.org/officeDocument/2006/relationships/customXml" Target="../customXml/item2.xml"/><Relationship Id="rId16" Type="http://schemas.openxmlformats.org/officeDocument/2006/relationships/hyperlink" Target="https://doi.org/10.1016/j.jbusres.2017.05.007" TargetMode="External"/><Relationship Id="rId20" Type="http://schemas.openxmlformats.org/officeDocument/2006/relationships/hyperlink" Target="https://arxiv.org/abs/2009.024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en.wikipedia.org/wiki/Accenture"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D106E4-1BDF-464C-AAE3-AA634BDF52B9}" type="doc">
      <dgm:prSet loTypeId="urn:microsoft.com/office/officeart/2005/8/layout/radial1" loCatId="cycle" qsTypeId="urn:microsoft.com/office/officeart/2009/2/quickstyle/3d8" qsCatId="3D" csTypeId="urn:microsoft.com/office/officeart/2005/8/colors/colorful4" csCatId="colorful" phldr="1"/>
      <dgm:spPr/>
      <dgm:t>
        <a:bodyPr/>
        <a:lstStyle/>
        <a:p>
          <a:endParaRPr lang="en-IN"/>
        </a:p>
      </dgm:t>
    </dgm:pt>
    <dgm:pt modelId="{005A4B12-330F-4743-AEBA-46724A470E5D}">
      <dgm:prSet phldrT="[Text]"/>
      <dgm:spPr/>
      <dgm:t>
        <a:bodyPr/>
        <a:lstStyle/>
        <a:p>
          <a:r>
            <a:rPr lang="en-IN" b="1" i="1" u="none" baseline="0"/>
            <a:t>PESTEL</a:t>
          </a:r>
        </a:p>
      </dgm:t>
    </dgm:pt>
    <dgm:pt modelId="{94DC71CE-C7E8-4B8E-9600-C7B9B705EFD2}" type="parTrans" cxnId="{BFBC4E2A-0D1E-46C9-B437-48FCE60E5404}">
      <dgm:prSet/>
      <dgm:spPr/>
      <dgm:t>
        <a:bodyPr/>
        <a:lstStyle/>
        <a:p>
          <a:endParaRPr lang="en-IN"/>
        </a:p>
      </dgm:t>
    </dgm:pt>
    <dgm:pt modelId="{F1EF3E2D-E143-4105-9AD4-049125802117}" type="sibTrans" cxnId="{BFBC4E2A-0D1E-46C9-B437-48FCE60E5404}">
      <dgm:prSet/>
      <dgm:spPr/>
      <dgm:t>
        <a:bodyPr/>
        <a:lstStyle/>
        <a:p>
          <a:endParaRPr lang="en-IN"/>
        </a:p>
      </dgm:t>
    </dgm:pt>
    <dgm:pt modelId="{AB034F74-4FCA-460A-B2EA-8DEDC24EBCD7}">
      <dgm:prSet phldrT="[Text]" custT="1"/>
      <dgm:spPr/>
      <dgm:t>
        <a:bodyPr/>
        <a:lstStyle/>
        <a:p>
          <a:r>
            <a:rPr lang="en-IN" sz="950" baseline="0"/>
            <a:t>Political</a:t>
          </a:r>
        </a:p>
      </dgm:t>
    </dgm:pt>
    <dgm:pt modelId="{2E887347-816D-4067-9D2F-DD512BCA5F34}" type="parTrans" cxnId="{37F9F5A8-DE5A-4061-AB6C-1F47875110EF}">
      <dgm:prSet/>
      <dgm:spPr/>
      <dgm:t>
        <a:bodyPr/>
        <a:lstStyle/>
        <a:p>
          <a:endParaRPr lang="en-IN"/>
        </a:p>
      </dgm:t>
    </dgm:pt>
    <dgm:pt modelId="{FEFEF71D-EBA9-4346-8366-B7697A02E3D8}" type="sibTrans" cxnId="{37F9F5A8-DE5A-4061-AB6C-1F47875110EF}">
      <dgm:prSet/>
      <dgm:spPr/>
      <dgm:t>
        <a:bodyPr/>
        <a:lstStyle/>
        <a:p>
          <a:endParaRPr lang="en-IN"/>
        </a:p>
      </dgm:t>
    </dgm:pt>
    <dgm:pt modelId="{C2D7C0C6-FCEB-409E-82F6-AD039F391F16}">
      <dgm:prSet phldrT="[Text]" custT="1"/>
      <dgm:spPr/>
      <dgm:t>
        <a:bodyPr/>
        <a:lstStyle/>
        <a:p>
          <a:r>
            <a:rPr lang="en-IN" sz="950" baseline="0"/>
            <a:t>Economical</a:t>
          </a:r>
        </a:p>
      </dgm:t>
    </dgm:pt>
    <dgm:pt modelId="{CA624CFA-161C-4BB7-A66D-C3816B61FEB1}" type="parTrans" cxnId="{6D85A242-C6F5-4F8F-B628-775E5334E818}">
      <dgm:prSet/>
      <dgm:spPr/>
      <dgm:t>
        <a:bodyPr/>
        <a:lstStyle/>
        <a:p>
          <a:endParaRPr lang="en-IN"/>
        </a:p>
      </dgm:t>
    </dgm:pt>
    <dgm:pt modelId="{C79EE736-3F4D-4FC4-8E5E-3A1CF25BF92C}" type="sibTrans" cxnId="{6D85A242-C6F5-4F8F-B628-775E5334E818}">
      <dgm:prSet/>
      <dgm:spPr/>
      <dgm:t>
        <a:bodyPr/>
        <a:lstStyle/>
        <a:p>
          <a:endParaRPr lang="en-IN"/>
        </a:p>
      </dgm:t>
    </dgm:pt>
    <dgm:pt modelId="{3CC5D0A2-BECB-444A-8FB9-54F85CC09093}">
      <dgm:prSet phldrT="[Text]" custT="1"/>
      <dgm:spPr/>
      <dgm:t>
        <a:bodyPr/>
        <a:lstStyle/>
        <a:p>
          <a:r>
            <a:rPr lang="en-IN" sz="950" baseline="0"/>
            <a:t>  Socialogical</a:t>
          </a:r>
        </a:p>
      </dgm:t>
    </dgm:pt>
    <dgm:pt modelId="{FDF3116B-CE13-4F66-80A5-EF0B97302375}" type="parTrans" cxnId="{C46BA886-E29F-4443-9635-F65A3D733A41}">
      <dgm:prSet/>
      <dgm:spPr/>
      <dgm:t>
        <a:bodyPr/>
        <a:lstStyle/>
        <a:p>
          <a:endParaRPr lang="en-IN"/>
        </a:p>
      </dgm:t>
    </dgm:pt>
    <dgm:pt modelId="{71C07806-0823-4016-8BB7-3B37FB60C02B}" type="sibTrans" cxnId="{C46BA886-E29F-4443-9635-F65A3D733A41}">
      <dgm:prSet/>
      <dgm:spPr/>
      <dgm:t>
        <a:bodyPr/>
        <a:lstStyle/>
        <a:p>
          <a:endParaRPr lang="en-IN"/>
        </a:p>
      </dgm:t>
    </dgm:pt>
    <dgm:pt modelId="{AF8D0BBB-6492-41C9-8926-A86B5659AA3F}">
      <dgm:prSet phldrT="[Text]" custT="1"/>
      <dgm:spPr/>
      <dgm:t>
        <a:bodyPr/>
        <a:lstStyle/>
        <a:p>
          <a:r>
            <a:rPr lang="en-IN" sz="1000"/>
            <a:t>  </a:t>
          </a:r>
          <a:r>
            <a:rPr lang="en-IN" sz="1000" baseline="0"/>
            <a:t>Technological</a:t>
          </a:r>
        </a:p>
      </dgm:t>
    </dgm:pt>
    <dgm:pt modelId="{7616EFC4-7B19-470C-A061-C33438C2AB8E}" type="parTrans" cxnId="{F5320402-2FC8-470D-A8E6-5FA4D582A6A2}">
      <dgm:prSet/>
      <dgm:spPr/>
      <dgm:t>
        <a:bodyPr/>
        <a:lstStyle/>
        <a:p>
          <a:endParaRPr lang="en-IN"/>
        </a:p>
      </dgm:t>
    </dgm:pt>
    <dgm:pt modelId="{6466D9C3-90B3-4346-BEDF-4100262ACDB8}" type="sibTrans" cxnId="{F5320402-2FC8-470D-A8E6-5FA4D582A6A2}">
      <dgm:prSet/>
      <dgm:spPr/>
      <dgm:t>
        <a:bodyPr/>
        <a:lstStyle/>
        <a:p>
          <a:endParaRPr lang="en-IN"/>
        </a:p>
      </dgm:t>
    </dgm:pt>
    <dgm:pt modelId="{DC525A80-2A3A-410B-AAEF-269195527490}">
      <dgm:prSet phldrT="[Text]" custT="1"/>
      <dgm:spPr/>
      <dgm:t>
        <a:bodyPr/>
        <a:lstStyle/>
        <a:p>
          <a:r>
            <a:rPr lang="en-IN" sz="900" baseline="0"/>
            <a:t>Environmental</a:t>
          </a:r>
        </a:p>
      </dgm:t>
    </dgm:pt>
    <dgm:pt modelId="{02F4EEE3-34C1-469B-8B00-9B416D58538F}" type="parTrans" cxnId="{6D448693-66AA-462F-9007-B06A5F3A606E}">
      <dgm:prSet/>
      <dgm:spPr/>
      <dgm:t>
        <a:bodyPr/>
        <a:lstStyle/>
        <a:p>
          <a:endParaRPr lang="en-IN"/>
        </a:p>
      </dgm:t>
    </dgm:pt>
    <dgm:pt modelId="{7BBA1FBF-5AB8-4ED9-8F35-ECEC844D739A}" type="sibTrans" cxnId="{6D448693-66AA-462F-9007-B06A5F3A606E}">
      <dgm:prSet/>
      <dgm:spPr/>
      <dgm:t>
        <a:bodyPr/>
        <a:lstStyle/>
        <a:p>
          <a:endParaRPr lang="en-IN"/>
        </a:p>
      </dgm:t>
    </dgm:pt>
    <dgm:pt modelId="{06BB7FDD-0451-4FB5-BB44-023BCAC4F59C}">
      <dgm:prSet phldrT="[Text]" custT="1"/>
      <dgm:spPr/>
      <dgm:t>
        <a:bodyPr/>
        <a:lstStyle/>
        <a:p>
          <a:r>
            <a:rPr lang="en-IN" sz="950" baseline="0"/>
            <a:t>Legal</a:t>
          </a:r>
        </a:p>
      </dgm:t>
    </dgm:pt>
    <dgm:pt modelId="{544ACA7B-E8DC-462D-92A3-4D5D64EAE894}" type="parTrans" cxnId="{247A4420-D602-496F-BE38-25725F757B09}">
      <dgm:prSet/>
      <dgm:spPr/>
      <dgm:t>
        <a:bodyPr/>
        <a:lstStyle/>
        <a:p>
          <a:endParaRPr lang="en-IN"/>
        </a:p>
      </dgm:t>
    </dgm:pt>
    <dgm:pt modelId="{6F70A7FC-5127-457F-A62E-B77B78D31E16}" type="sibTrans" cxnId="{247A4420-D602-496F-BE38-25725F757B09}">
      <dgm:prSet/>
      <dgm:spPr/>
      <dgm:t>
        <a:bodyPr/>
        <a:lstStyle/>
        <a:p>
          <a:endParaRPr lang="en-IN"/>
        </a:p>
      </dgm:t>
    </dgm:pt>
    <dgm:pt modelId="{FF9B6B8D-2448-4CF9-A6C4-C24FC04972CE}" type="pres">
      <dgm:prSet presAssocID="{A7D106E4-1BDF-464C-AAE3-AA634BDF52B9}" presName="cycle" presStyleCnt="0">
        <dgm:presLayoutVars>
          <dgm:chMax val="1"/>
          <dgm:dir/>
          <dgm:animLvl val="ctr"/>
          <dgm:resizeHandles val="exact"/>
        </dgm:presLayoutVars>
      </dgm:prSet>
      <dgm:spPr/>
    </dgm:pt>
    <dgm:pt modelId="{1A63E1F7-84DC-45B9-BC9D-463AE3E5B865}" type="pres">
      <dgm:prSet presAssocID="{005A4B12-330F-4743-AEBA-46724A470E5D}" presName="centerShape" presStyleLbl="node0" presStyleIdx="0" presStyleCnt="1"/>
      <dgm:spPr>
        <a:prstGeom prst="roundRect">
          <a:avLst/>
        </a:prstGeom>
      </dgm:spPr>
    </dgm:pt>
    <dgm:pt modelId="{41FDA075-95E0-491D-934A-3A1450097187}" type="pres">
      <dgm:prSet presAssocID="{CA624CFA-161C-4BB7-A66D-C3816B61FEB1}" presName="Name9" presStyleLbl="parChTrans1D2" presStyleIdx="0" presStyleCnt="6"/>
      <dgm:spPr/>
    </dgm:pt>
    <dgm:pt modelId="{59815BD2-62D6-4C93-A15F-22D5C58B5E54}" type="pres">
      <dgm:prSet presAssocID="{CA624CFA-161C-4BB7-A66D-C3816B61FEB1}" presName="connTx" presStyleLbl="parChTrans1D2" presStyleIdx="0" presStyleCnt="6"/>
      <dgm:spPr/>
    </dgm:pt>
    <dgm:pt modelId="{16EE9B59-CD64-422D-9030-82407A61A2E1}" type="pres">
      <dgm:prSet presAssocID="{C2D7C0C6-FCEB-409E-82F6-AD039F391F16}" presName="node" presStyleLbl="node1" presStyleIdx="0" presStyleCnt="6">
        <dgm:presLayoutVars>
          <dgm:bulletEnabled val="1"/>
        </dgm:presLayoutVars>
      </dgm:prSet>
      <dgm:spPr>
        <a:prstGeom prst="roundRect">
          <a:avLst/>
        </a:prstGeom>
      </dgm:spPr>
    </dgm:pt>
    <dgm:pt modelId="{7C9456A1-9DE7-4895-B298-2471DD4CC04E}" type="pres">
      <dgm:prSet presAssocID="{2E887347-816D-4067-9D2F-DD512BCA5F34}" presName="Name9" presStyleLbl="parChTrans1D2" presStyleIdx="1" presStyleCnt="6"/>
      <dgm:spPr/>
    </dgm:pt>
    <dgm:pt modelId="{37B09B02-7D1D-4CD8-BE38-A291E4CF26CC}" type="pres">
      <dgm:prSet presAssocID="{2E887347-816D-4067-9D2F-DD512BCA5F34}" presName="connTx" presStyleLbl="parChTrans1D2" presStyleIdx="1" presStyleCnt="6"/>
      <dgm:spPr/>
    </dgm:pt>
    <dgm:pt modelId="{873F6D74-693D-4279-9180-B0671F35136F}" type="pres">
      <dgm:prSet presAssocID="{AB034F74-4FCA-460A-B2EA-8DEDC24EBCD7}" presName="node" presStyleLbl="node1" presStyleIdx="1" presStyleCnt="6">
        <dgm:presLayoutVars>
          <dgm:bulletEnabled val="1"/>
        </dgm:presLayoutVars>
      </dgm:prSet>
      <dgm:spPr>
        <a:prstGeom prst="roundRect">
          <a:avLst/>
        </a:prstGeom>
      </dgm:spPr>
    </dgm:pt>
    <dgm:pt modelId="{01A39230-DA92-46C5-8F2F-8A8A13C165EF}" type="pres">
      <dgm:prSet presAssocID="{FDF3116B-CE13-4F66-80A5-EF0B97302375}" presName="Name9" presStyleLbl="parChTrans1D2" presStyleIdx="2" presStyleCnt="6"/>
      <dgm:spPr/>
    </dgm:pt>
    <dgm:pt modelId="{0A821A6B-F066-46E8-8B1C-D1B2FA3EBC74}" type="pres">
      <dgm:prSet presAssocID="{FDF3116B-CE13-4F66-80A5-EF0B97302375}" presName="connTx" presStyleLbl="parChTrans1D2" presStyleIdx="2" presStyleCnt="6"/>
      <dgm:spPr/>
    </dgm:pt>
    <dgm:pt modelId="{A38C5384-2904-433F-9B42-2D39359B2B65}" type="pres">
      <dgm:prSet presAssocID="{3CC5D0A2-BECB-444A-8FB9-54F85CC09093}" presName="node" presStyleLbl="node1" presStyleIdx="2" presStyleCnt="6">
        <dgm:presLayoutVars>
          <dgm:bulletEnabled val="1"/>
        </dgm:presLayoutVars>
      </dgm:prSet>
      <dgm:spPr>
        <a:prstGeom prst="roundRect">
          <a:avLst/>
        </a:prstGeom>
      </dgm:spPr>
    </dgm:pt>
    <dgm:pt modelId="{6F8BAF11-CD2A-44AE-BDE7-70C7908F32B8}" type="pres">
      <dgm:prSet presAssocID="{7616EFC4-7B19-470C-A061-C33438C2AB8E}" presName="Name9" presStyleLbl="parChTrans1D2" presStyleIdx="3" presStyleCnt="6"/>
      <dgm:spPr/>
    </dgm:pt>
    <dgm:pt modelId="{302F5966-DB3E-422D-8D62-7D46F1376B2F}" type="pres">
      <dgm:prSet presAssocID="{7616EFC4-7B19-470C-A061-C33438C2AB8E}" presName="connTx" presStyleLbl="parChTrans1D2" presStyleIdx="3" presStyleCnt="6"/>
      <dgm:spPr/>
    </dgm:pt>
    <dgm:pt modelId="{48360473-43BC-4795-ABE2-0A5830BF0E76}" type="pres">
      <dgm:prSet presAssocID="{AF8D0BBB-6492-41C9-8926-A86B5659AA3F}" presName="node" presStyleLbl="node1" presStyleIdx="3" presStyleCnt="6">
        <dgm:presLayoutVars>
          <dgm:bulletEnabled val="1"/>
        </dgm:presLayoutVars>
      </dgm:prSet>
      <dgm:spPr>
        <a:prstGeom prst="roundRect">
          <a:avLst/>
        </a:prstGeom>
      </dgm:spPr>
    </dgm:pt>
    <dgm:pt modelId="{AAB16B34-3BD0-416D-881C-AAED60DBE1C4}" type="pres">
      <dgm:prSet presAssocID="{02F4EEE3-34C1-469B-8B00-9B416D58538F}" presName="Name9" presStyleLbl="parChTrans1D2" presStyleIdx="4" presStyleCnt="6"/>
      <dgm:spPr/>
    </dgm:pt>
    <dgm:pt modelId="{9D1E9C7B-A4DD-4600-A08B-34CFD254453A}" type="pres">
      <dgm:prSet presAssocID="{02F4EEE3-34C1-469B-8B00-9B416D58538F}" presName="connTx" presStyleLbl="parChTrans1D2" presStyleIdx="4" presStyleCnt="6"/>
      <dgm:spPr/>
    </dgm:pt>
    <dgm:pt modelId="{AC32E524-352E-48FA-9926-95208D83770E}" type="pres">
      <dgm:prSet presAssocID="{DC525A80-2A3A-410B-AAEF-269195527490}" presName="node" presStyleLbl="node1" presStyleIdx="4" presStyleCnt="6">
        <dgm:presLayoutVars>
          <dgm:bulletEnabled val="1"/>
        </dgm:presLayoutVars>
      </dgm:prSet>
      <dgm:spPr>
        <a:prstGeom prst="roundRect">
          <a:avLst/>
        </a:prstGeom>
      </dgm:spPr>
    </dgm:pt>
    <dgm:pt modelId="{3A54F75F-144B-42C0-AC8A-DDA21C1B8487}" type="pres">
      <dgm:prSet presAssocID="{544ACA7B-E8DC-462D-92A3-4D5D64EAE894}" presName="Name9" presStyleLbl="parChTrans1D2" presStyleIdx="5" presStyleCnt="6"/>
      <dgm:spPr/>
    </dgm:pt>
    <dgm:pt modelId="{F47F2CD2-1BF4-462F-AF28-8B1FB35E6CD8}" type="pres">
      <dgm:prSet presAssocID="{544ACA7B-E8DC-462D-92A3-4D5D64EAE894}" presName="connTx" presStyleLbl="parChTrans1D2" presStyleIdx="5" presStyleCnt="6"/>
      <dgm:spPr/>
    </dgm:pt>
    <dgm:pt modelId="{C300FD01-3772-4620-B039-38208032D5C4}" type="pres">
      <dgm:prSet presAssocID="{06BB7FDD-0451-4FB5-BB44-023BCAC4F59C}" presName="node" presStyleLbl="node1" presStyleIdx="5" presStyleCnt="6">
        <dgm:presLayoutVars>
          <dgm:bulletEnabled val="1"/>
        </dgm:presLayoutVars>
      </dgm:prSet>
      <dgm:spPr>
        <a:prstGeom prst="roundRect">
          <a:avLst/>
        </a:prstGeom>
      </dgm:spPr>
    </dgm:pt>
  </dgm:ptLst>
  <dgm:cxnLst>
    <dgm:cxn modelId="{F5320402-2FC8-470D-A8E6-5FA4D582A6A2}" srcId="{005A4B12-330F-4743-AEBA-46724A470E5D}" destId="{AF8D0BBB-6492-41C9-8926-A86B5659AA3F}" srcOrd="3" destOrd="0" parTransId="{7616EFC4-7B19-470C-A061-C33438C2AB8E}" sibTransId="{6466D9C3-90B3-4346-BEDF-4100262ACDB8}"/>
    <dgm:cxn modelId="{6B84C31A-12B0-4700-BD06-01D8FF15CE1E}" type="presOf" srcId="{CA624CFA-161C-4BB7-A66D-C3816B61FEB1}" destId="{41FDA075-95E0-491D-934A-3A1450097187}" srcOrd="0" destOrd="0" presId="urn:microsoft.com/office/officeart/2005/8/layout/radial1"/>
    <dgm:cxn modelId="{247A4420-D602-496F-BE38-25725F757B09}" srcId="{005A4B12-330F-4743-AEBA-46724A470E5D}" destId="{06BB7FDD-0451-4FB5-BB44-023BCAC4F59C}" srcOrd="5" destOrd="0" parTransId="{544ACA7B-E8DC-462D-92A3-4D5D64EAE894}" sibTransId="{6F70A7FC-5127-457F-A62E-B77B78D31E16}"/>
    <dgm:cxn modelId="{BFBC4E2A-0D1E-46C9-B437-48FCE60E5404}" srcId="{A7D106E4-1BDF-464C-AAE3-AA634BDF52B9}" destId="{005A4B12-330F-4743-AEBA-46724A470E5D}" srcOrd="0" destOrd="0" parTransId="{94DC71CE-C7E8-4B8E-9600-C7B9B705EFD2}" sibTransId="{F1EF3E2D-E143-4105-9AD4-049125802117}"/>
    <dgm:cxn modelId="{FCC2F52D-F413-4D7A-A5AD-682C794F1E39}" type="presOf" srcId="{DC525A80-2A3A-410B-AAEF-269195527490}" destId="{AC32E524-352E-48FA-9926-95208D83770E}" srcOrd="0" destOrd="0" presId="urn:microsoft.com/office/officeart/2005/8/layout/radial1"/>
    <dgm:cxn modelId="{3955EA3F-B7F4-497D-A7A0-6AD4EE96E14E}" type="presOf" srcId="{AB034F74-4FCA-460A-B2EA-8DEDC24EBCD7}" destId="{873F6D74-693D-4279-9180-B0671F35136F}" srcOrd="0" destOrd="0" presId="urn:microsoft.com/office/officeart/2005/8/layout/radial1"/>
    <dgm:cxn modelId="{2304895F-4437-4790-8362-493F3C838B96}" type="presOf" srcId="{02F4EEE3-34C1-469B-8B00-9B416D58538F}" destId="{AAB16B34-3BD0-416D-881C-AAED60DBE1C4}" srcOrd="0" destOrd="0" presId="urn:microsoft.com/office/officeart/2005/8/layout/radial1"/>
    <dgm:cxn modelId="{D96F8A5F-E3F4-47A8-B457-1ABA18EB8A64}" type="presOf" srcId="{A7D106E4-1BDF-464C-AAE3-AA634BDF52B9}" destId="{FF9B6B8D-2448-4CF9-A6C4-C24FC04972CE}" srcOrd="0" destOrd="0" presId="urn:microsoft.com/office/officeart/2005/8/layout/radial1"/>
    <dgm:cxn modelId="{5D446E60-4A87-49E5-A7F7-E8C35F39DEA5}" type="presOf" srcId="{02F4EEE3-34C1-469B-8B00-9B416D58538F}" destId="{9D1E9C7B-A4DD-4600-A08B-34CFD254453A}" srcOrd="1" destOrd="0" presId="urn:microsoft.com/office/officeart/2005/8/layout/radial1"/>
    <dgm:cxn modelId="{CE2E8560-1115-4D6C-B0AB-BF0A0CF796F2}" type="presOf" srcId="{2E887347-816D-4067-9D2F-DD512BCA5F34}" destId="{37B09B02-7D1D-4CD8-BE38-A291E4CF26CC}" srcOrd="1" destOrd="0" presId="urn:microsoft.com/office/officeart/2005/8/layout/radial1"/>
    <dgm:cxn modelId="{6D85A242-C6F5-4F8F-B628-775E5334E818}" srcId="{005A4B12-330F-4743-AEBA-46724A470E5D}" destId="{C2D7C0C6-FCEB-409E-82F6-AD039F391F16}" srcOrd="0" destOrd="0" parTransId="{CA624CFA-161C-4BB7-A66D-C3816B61FEB1}" sibTransId="{C79EE736-3F4D-4FC4-8E5E-3A1CF25BF92C}"/>
    <dgm:cxn modelId="{D4E63749-CD8F-4EBC-996D-8B60AC465E8A}" type="presOf" srcId="{C2D7C0C6-FCEB-409E-82F6-AD039F391F16}" destId="{16EE9B59-CD64-422D-9030-82407A61A2E1}" srcOrd="0" destOrd="0" presId="urn:microsoft.com/office/officeart/2005/8/layout/radial1"/>
    <dgm:cxn modelId="{85E53152-FECE-4288-8034-04047237AD89}" type="presOf" srcId="{FDF3116B-CE13-4F66-80A5-EF0B97302375}" destId="{01A39230-DA92-46C5-8F2F-8A8A13C165EF}" srcOrd="0" destOrd="0" presId="urn:microsoft.com/office/officeart/2005/8/layout/radial1"/>
    <dgm:cxn modelId="{C46BA886-E29F-4443-9635-F65A3D733A41}" srcId="{005A4B12-330F-4743-AEBA-46724A470E5D}" destId="{3CC5D0A2-BECB-444A-8FB9-54F85CC09093}" srcOrd="2" destOrd="0" parTransId="{FDF3116B-CE13-4F66-80A5-EF0B97302375}" sibTransId="{71C07806-0823-4016-8BB7-3B37FB60C02B}"/>
    <dgm:cxn modelId="{6D448693-66AA-462F-9007-B06A5F3A606E}" srcId="{005A4B12-330F-4743-AEBA-46724A470E5D}" destId="{DC525A80-2A3A-410B-AAEF-269195527490}" srcOrd="4" destOrd="0" parTransId="{02F4EEE3-34C1-469B-8B00-9B416D58538F}" sibTransId="{7BBA1FBF-5AB8-4ED9-8F35-ECEC844D739A}"/>
    <dgm:cxn modelId="{AF09B095-7067-46DF-A6D8-10E2C387952C}" type="presOf" srcId="{544ACA7B-E8DC-462D-92A3-4D5D64EAE894}" destId="{F47F2CD2-1BF4-462F-AF28-8B1FB35E6CD8}" srcOrd="1" destOrd="0" presId="urn:microsoft.com/office/officeart/2005/8/layout/radial1"/>
    <dgm:cxn modelId="{C32BDE95-64A9-4D5E-9DF3-DE82F057A2D7}" type="presOf" srcId="{7616EFC4-7B19-470C-A061-C33438C2AB8E}" destId="{6F8BAF11-CD2A-44AE-BDE7-70C7908F32B8}" srcOrd="0" destOrd="0" presId="urn:microsoft.com/office/officeart/2005/8/layout/radial1"/>
    <dgm:cxn modelId="{12E7F89E-1B36-4CA4-A98C-F870F1EE2556}" type="presOf" srcId="{06BB7FDD-0451-4FB5-BB44-023BCAC4F59C}" destId="{C300FD01-3772-4620-B039-38208032D5C4}" srcOrd="0" destOrd="0" presId="urn:microsoft.com/office/officeart/2005/8/layout/radial1"/>
    <dgm:cxn modelId="{900233A0-8841-40C2-B2E9-14E624E9D49F}" type="presOf" srcId="{7616EFC4-7B19-470C-A061-C33438C2AB8E}" destId="{302F5966-DB3E-422D-8D62-7D46F1376B2F}" srcOrd="1" destOrd="0" presId="urn:microsoft.com/office/officeart/2005/8/layout/radial1"/>
    <dgm:cxn modelId="{37F9F5A8-DE5A-4061-AB6C-1F47875110EF}" srcId="{005A4B12-330F-4743-AEBA-46724A470E5D}" destId="{AB034F74-4FCA-460A-B2EA-8DEDC24EBCD7}" srcOrd="1" destOrd="0" parTransId="{2E887347-816D-4067-9D2F-DD512BCA5F34}" sibTransId="{FEFEF71D-EBA9-4346-8366-B7697A02E3D8}"/>
    <dgm:cxn modelId="{30EB3ABA-4EEA-4281-9903-38A43BB6C9E5}" type="presOf" srcId="{FDF3116B-CE13-4F66-80A5-EF0B97302375}" destId="{0A821A6B-F066-46E8-8B1C-D1B2FA3EBC74}" srcOrd="1" destOrd="0" presId="urn:microsoft.com/office/officeart/2005/8/layout/radial1"/>
    <dgm:cxn modelId="{C1FABBC2-3802-4C66-8AAF-136AD962FC2C}" type="presOf" srcId="{2E887347-816D-4067-9D2F-DD512BCA5F34}" destId="{7C9456A1-9DE7-4895-B298-2471DD4CC04E}" srcOrd="0" destOrd="0" presId="urn:microsoft.com/office/officeart/2005/8/layout/radial1"/>
    <dgm:cxn modelId="{33E48CC9-690B-41CC-B6BE-05D486C838A4}" type="presOf" srcId="{3CC5D0A2-BECB-444A-8FB9-54F85CC09093}" destId="{A38C5384-2904-433F-9B42-2D39359B2B65}" srcOrd="0" destOrd="0" presId="urn:microsoft.com/office/officeart/2005/8/layout/radial1"/>
    <dgm:cxn modelId="{E9E37CCA-247D-49C8-ADB3-284AA7CEBDA2}" type="presOf" srcId="{544ACA7B-E8DC-462D-92A3-4D5D64EAE894}" destId="{3A54F75F-144B-42C0-AC8A-DDA21C1B8487}" srcOrd="0" destOrd="0" presId="urn:microsoft.com/office/officeart/2005/8/layout/radial1"/>
    <dgm:cxn modelId="{7EACDDD0-6EB2-4B5C-B6E0-822E6CEC7D23}" type="presOf" srcId="{005A4B12-330F-4743-AEBA-46724A470E5D}" destId="{1A63E1F7-84DC-45B9-BC9D-463AE3E5B865}" srcOrd="0" destOrd="0" presId="urn:microsoft.com/office/officeart/2005/8/layout/radial1"/>
    <dgm:cxn modelId="{928A32E0-08D1-47B2-9646-481FB1B85437}" type="presOf" srcId="{CA624CFA-161C-4BB7-A66D-C3816B61FEB1}" destId="{59815BD2-62D6-4C93-A15F-22D5C58B5E54}" srcOrd="1" destOrd="0" presId="urn:microsoft.com/office/officeart/2005/8/layout/radial1"/>
    <dgm:cxn modelId="{8E444BE9-DD42-4981-87D0-3D7356989EF9}" type="presOf" srcId="{AF8D0BBB-6492-41C9-8926-A86B5659AA3F}" destId="{48360473-43BC-4795-ABE2-0A5830BF0E76}" srcOrd="0" destOrd="0" presId="urn:microsoft.com/office/officeart/2005/8/layout/radial1"/>
    <dgm:cxn modelId="{E1FD1F7B-6A67-40F8-9B26-BF50A5229C25}" type="presParOf" srcId="{FF9B6B8D-2448-4CF9-A6C4-C24FC04972CE}" destId="{1A63E1F7-84DC-45B9-BC9D-463AE3E5B865}" srcOrd="0" destOrd="0" presId="urn:microsoft.com/office/officeart/2005/8/layout/radial1"/>
    <dgm:cxn modelId="{CE21F45B-482C-48E6-AE96-0F20261BA5C2}" type="presParOf" srcId="{FF9B6B8D-2448-4CF9-A6C4-C24FC04972CE}" destId="{41FDA075-95E0-491D-934A-3A1450097187}" srcOrd="1" destOrd="0" presId="urn:microsoft.com/office/officeart/2005/8/layout/radial1"/>
    <dgm:cxn modelId="{0EDABFC5-054D-41C5-A404-A2803EB39F32}" type="presParOf" srcId="{41FDA075-95E0-491D-934A-3A1450097187}" destId="{59815BD2-62D6-4C93-A15F-22D5C58B5E54}" srcOrd="0" destOrd="0" presId="urn:microsoft.com/office/officeart/2005/8/layout/radial1"/>
    <dgm:cxn modelId="{14900151-4BDB-4C0E-99B2-375B161D9F5A}" type="presParOf" srcId="{FF9B6B8D-2448-4CF9-A6C4-C24FC04972CE}" destId="{16EE9B59-CD64-422D-9030-82407A61A2E1}" srcOrd="2" destOrd="0" presId="urn:microsoft.com/office/officeart/2005/8/layout/radial1"/>
    <dgm:cxn modelId="{BEEA2795-6D5A-47FC-8DFF-6C61AD7CF357}" type="presParOf" srcId="{FF9B6B8D-2448-4CF9-A6C4-C24FC04972CE}" destId="{7C9456A1-9DE7-4895-B298-2471DD4CC04E}" srcOrd="3" destOrd="0" presId="urn:microsoft.com/office/officeart/2005/8/layout/radial1"/>
    <dgm:cxn modelId="{C6DE619C-F53B-4A46-80E6-32BF41B17CFA}" type="presParOf" srcId="{7C9456A1-9DE7-4895-B298-2471DD4CC04E}" destId="{37B09B02-7D1D-4CD8-BE38-A291E4CF26CC}" srcOrd="0" destOrd="0" presId="urn:microsoft.com/office/officeart/2005/8/layout/radial1"/>
    <dgm:cxn modelId="{5C05D26F-1884-4ABE-AFA6-D33DAB4A25E6}" type="presParOf" srcId="{FF9B6B8D-2448-4CF9-A6C4-C24FC04972CE}" destId="{873F6D74-693D-4279-9180-B0671F35136F}" srcOrd="4" destOrd="0" presId="urn:microsoft.com/office/officeart/2005/8/layout/radial1"/>
    <dgm:cxn modelId="{6C92DD11-F09B-4F97-AC12-20F9CE40EB64}" type="presParOf" srcId="{FF9B6B8D-2448-4CF9-A6C4-C24FC04972CE}" destId="{01A39230-DA92-46C5-8F2F-8A8A13C165EF}" srcOrd="5" destOrd="0" presId="urn:microsoft.com/office/officeart/2005/8/layout/radial1"/>
    <dgm:cxn modelId="{DBF814D8-2984-4F44-B03F-7233260F9D18}" type="presParOf" srcId="{01A39230-DA92-46C5-8F2F-8A8A13C165EF}" destId="{0A821A6B-F066-46E8-8B1C-D1B2FA3EBC74}" srcOrd="0" destOrd="0" presId="urn:microsoft.com/office/officeart/2005/8/layout/radial1"/>
    <dgm:cxn modelId="{4736E70F-6587-4D70-9DE6-37236D21FE49}" type="presParOf" srcId="{FF9B6B8D-2448-4CF9-A6C4-C24FC04972CE}" destId="{A38C5384-2904-433F-9B42-2D39359B2B65}" srcOrd="6" destOrd="0" presId="urn:microsoft.com/office/officeart/2005/8/layout/radial1"/>
    <dgm:cxn modelId="{B30CEF96-A19D-4385-B3A8-B098388E559D}" type="presParOf" srcId="{FF9B6B8D-2448-4CF9-A6C4-C24FC04972CE}" destId="{6F8BAF11-CD2A-44AE-BDE7-70C7908F32B8}" srcOrd="7" destOrd="0" presId="urn:microsoft.com/office/officeart/2005/8/layout/radial1"/>
    <dgm:cxn modelId="{26C234D8-61C1-4A92-968B-18C45C0ADF87}" type="presParOf" srcId="{6F8BAF11-CD2A-44AE-BDE7-70C7908F32B8}" destId="{302F5966-DB3E-422D-8D62-7D46F1376B2F}" srcOrd="0" destOrd="0" presId="urn:microsoft.com/office/officeart/2005/8/layout/radial1"/>
    <dgm:cxn modelId="{278F1470-DA92-4A8C-9983-F8CAD4CF1B27}" type="presParOf" srcId="{FF9B6B8D-2448-4CF9-A6C4-C24FC04972CE}" destId="{48360473-43BC-4795-ABE2-0A5830BF0E76}" srcOrd="8" destOrd="0" presId="urn:microsoft.com/office/officeart/2005/8/layout/radial1"/>
    <dgm:cxn modelId="{5A15608E-DB5E-433C-8D8E-3709C6A533CA}" type="presParOf" srcId="{FF9B6B8D-2448-4CF9-A6C4-C24FC04972CE}" destId="{AAB16B34-3BD0-416D-881C-AAED60DBE1C4}" srcOrd="9" destOrd="0" presId="urn:microsoft.com/office/officeart/2005/8/layout/radial1"/>
    <dgm:cxn modelId="{6FC2EF6F-3913-4BE7-A002-DE327DF9BA1C}" type="presParOf" srcId="{AAB16B34-3BD0-416D-881C-AAED60DBE1C4}" destId="{9D1E9C7B-A4DD-4600-A08B-34CFD254453A}" srcOrd="0" destOrd="0" presId="urn:microsoft.com/office/officeart/2005/8/layout/radial1"/>
    <dgm:cxn modelId="{AB20B0AE-2A9C-4D30-B61A-1971362963A5}" type="presParOf" srcId="{FF9B6B8D-2448-4CF9-A6C4-C24FC04972CE}" destId="{AC32E524-352E-48FA-9926-95208D83770E}" srcOrd="10" destOrd="0" presId="urn:microsoft.com/office/officeart/2005/8/layout/radial1"/>
    <dgm:cxn modelId="{8F59A669-E17E-4AC4-8929-18D26FC6E58B}" type="presParOf" srcId="{FF9B6B8D-2448-4CF9-A6C4-C24FC04972CE}" destId="{3A54F75F-144B-42C0-AC8A-DDA21C1B8487}" srcOrd="11" destOrd="0" presId="urn:microsoft.com/office/officeart/2005/8/layout/radial1"/>
    <dgm:cxn modelId="{CFE4B476-2800-4858-A07F-E4F3BBA1EC36}" type="presParOf" srcId="{3A54F75F-144B-42C0-AC8A-DDA21C1B8487}" destId="{F47F2CD2-1BF4-462F-AF28-8B1FB35E6CD8}" srcOrd="0" destOrd="0" presId="urn:microsoft.com/office/officeart/2005/8/layout/radial1"/>
    <dgm:cxn modelId="{CCED5077-2A73-4581-85D0-306EBC81E012}" type="presParOf" srcId="{FF9B6B8D-2448-4CF9-A6C4-C24FC04972CE}" destId="{C300FD01-3772-4620-B039-38208032D5C4}" srcOrd="12"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63E1F7-84DC-45B9-BC9D-463AE3E5B865}">
      <dsp:nvSpPr>
        <dsp:cNvPr id="0" name=""/>
        <dsp:cNvSpPr/>
      </dsp:nvSpPr>
      <dsp:spPr>
        <a:xfrm>
          <a:off x="2396291" y="1223129"/>
          <a:ext cx="938926" cy="938926"/>
        </a:xfrm>
        <a:prstGeom prst="roundRect">
          <a:avLst/>
        </a:prstGeom>
        <a:solidFill>
          <a:schemeClr val="accent3">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IN" sz="2200" b="1" i="1" u="none" kern="1200" baseline="0"/>
            <a:t>PESTEL</a:t>
          </a:r>
        </a:p>
      </dsp:txBody>
      <dsp:txXfrm>
        <a:off x="2442126" y="1268964"/>
        <a:ext cx="847256" cy="847256"/>
      </dsp:txXfrm>
    </dsp:sp>
    <dsp:sp modelId="{41FDA075-95E0-491D-934A-3A1450097187}">
      <dsp:nvSpPr>
        <dsp:cNvPr id="0" name=""/>
        <dsp:cNvSpPr/>
      </dsp:nvSpPr>
      <dsp:spPr>
        <a:xfrm rot="16200000">
          <a:off x="2724673" y="1067303"/>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858700" y="1074993"/>
        <a:ext cx="14108" cy="14108"/>
      </dsp:txXfrm>
    </dsp:sp>
    <dsp:sp modelId="{16EE9B59-CD64-422D-9030-82407A61A2E1}">
      <dsp:nvSpPr>
        <dsp:cNvPr id="0" name=""/>
        <dsp:cNvSpPr/>
      </dsp:nvSpPr>
      <dsp:spPr>
        <a:xfrm>
          <a:off x="2396291" y="2039"/>
          <a:ext cx="938926" cy="938926"/>
        </a:xfrm>
        <a:prstGeom prst="roundRect">
          <a:avLst/>
        </a:prstGeom>
        <a:solidFill>
          <a:schemeClr val="accent4">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22275">
            <a:lnSpc>
              <a:spcPct val="90000"/>
            </a:lnSpc>
            <a:spcBef>
              <a:spcPct val="0"/>
            </a:spcBef>
            <a:spcAft>
              <a:spcPct val="35000"/>
            </a:spcAft>
            <a:buNone/>
          </a:pPr>
          <a:r>
            <a:rPr lang="en-IN" sz="950" kern="1200" baseline="0"/>
            <a:t>Economical</a:t>
          </a:r>
        </a:p>
      </dsp:txBody>
      <dsp:txXfrm>
        <a:off x="2442126" y="47874"/>
        <a:ext cx="847256" cy="847256"/>
      </dsp:txXfrm>
    </dsp:sp>
    <dsp:sp modelId="{7C9456A1-9DE7-4895-B298-2471DD4CC04E}">
      <dsp:nvSpPr>
        <dsp:cNvPr id="0" name=""/>
        <dsp:cNvSpPr/>
      </dsp:nvSpPr>
      <dsp:spPr>
        <a:xfrm rot="19800000">
          <a:off x="3253420" y="1372576"/>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87448" y="1380265"/>
        <a:ext cx="14108" cy="14108"/>
      </dsp:txXfrm>
    </dsp:sp>
    <dsp:sp modelId="{873F6D74-693D-4279-9180-B0671F35136F}">
      <dsp:nvSpPr>
        <dsp:cNvPr id="0" name=""/>
        <dsp:cNvSpPr/>
      </dsp:nvSpPr>
      <dsp:spPr>
        <a:xfrm>
          <a:off x="3453786" y="612584"/>
          <a:ext cx="938926" cy="938926"/>
        </a:xfrm>
        <a:prstGeom prst="roundRect">
          <a:avLst/>
        </a:prstGeom>
        <a:solidFill>
          <a:schemeClr val="accent4">
            <a:hueOff val="1960178"/>
            <a:satOff val="-8155"/>
            <a:lumOff val="1922"/>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22275">
            <a:lnSpc>
              <a:spcPct val="90000"/>
            </a:lnSpc>
            <a:spcBef>
              <a:spcPct val="0"/>
            </a:spcBef>
            <a:spcAft>
              <a:spcPct val="35000"/>
            </a:spcAft>
            <a:buNone/>
          </a:pPr>
          <a:r>
            <a:rPr lang="en-IN" sz="950" kern="1200" baseline="0"/>
            <a:t>Political</a:t>
          </a:r>
        </a:p>
      </dsp:txBody>
      <dsp:txXfrm>
        <a:off x="3499621" y="658419"/>
        <a:ext cx="847256" cy="847256"/>
      </dsp:txXfrm>
    </dsp:sp>
    <dsp:sp modelId="{01A39230-DA92-46C5-8F2F-8A8A13C165EF}">
      <dsp:nvSpPr>
        <dsp:cNvPr id="0" name=""/>
        <dsp:cNvSpPr/>
      </dsp:nvSpPr>
      <dsp:spPr>
        <a:xfrm rot="1800000">
          <a:off x="3253420" y="1983121"/>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87448" y="1990810"/>
        <a:ext cx="14108" cy="14108"/>
      </dsp:txXfrm>
    </dsp:sp>
    <dsp:sp modelId="{A38C5384-2904-433F-9B42-2D39359B2B65}">
      <dsp:nvSpPr>
        <dsp:cNvPr id="0" name=""/>
        <dsp:cNvSpPr/>
      </dsp:nvSpPr>
      <dsp:spPr>
        <a:xfrm>
          <a:off x="3453786" y="1833674"/>
          <a:ext cx="938926" cy="938926"/>
        </a:xfrm>
        <a:prstGeom prst="roundRect">
          <a:avLst/>
        </a:prstGeom>
        <a:solidFill>
          <a:schemeClr val="accent4">
            <a:hueOff val="3920356"/>
            <a:satOff val="-16311"/>
            <a:lumOff val="3843"/>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22275">
            <a:lnSpc>
              <a:spcPct val="90000"/>
            </a:lnSpc>
            <a:spcBef>
              <a:spcPct val="0"/>
            </a:spcBef>
            <a:spcAft>
              <a:spcPct val="35000"/>
            </a:spcAft>
            <a:buNone/>
          </a:pPr>
          <a:r>
            <a:rPr lang="en-IN" sz="950" kern="1200" baseline="0"/>
            <a:t>  Socialogical</a:t>
          </a:r>
        </a:p>
      </dsp:txBody>
      <dsp:txXfrm>
        <a:off x="3499621" y="1879509"/>
        <a:ext cx="847256" cy="847256"/>
      </dsp:txXfrm>
    </dsp:sp>
    <dsp:sp modelId="{6F8BAF11-CD2A-44AE-BDE7-70C7908F32B8}">
      <dsp:nvSpPr>
        <dsp:cNvPr id="0" name=""/>
        <dsp:cNvSpPr/>
      </dsp:nvSpPr>
      <dsp:spPr>
        <a:xfrm rot="5400000">
          <a:off x="2724673" y="2288393"/>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858700" y="2296083"/>
        <a:ext cx="14108" cy="14108"/>
      </dsp:txXfrm>
    </dsp:sp>
    <dsp:sp modelId="{48360473-43BC-4795-ABE2-0A5830BF0E76}">
      <dsp:nvSpPr>
        <dsp:cNvPr id="0" name=""/>
        <dsp:cNvSpPr/>
      </dsp:nvSpPr>
      <dsp:spPr>
        <a:xfrm>
          <a:off x="2396291" y="2444219"/>
          <a:ext cx="938926" cy="938926"/>
        </a:xfrm>
        <a:prstGeom prst="roundRect">
          <a:avLst/>
        </a:prstGeom>
        <a:solidFill>
          <a:schemeClr val="accent4">
            <a:hueOff val="5880535"/>
            <a:satOff val="-24466"/>
            <a:lumOff val="5765"/>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  </a:t>
          </a:r>
          <a:r>
            <a:rPr lang="en-IN" sz="1000" kern="1200" baseline="0"/>
            <a:t>Technological</a:t>
          </a:r>
        </a:p>
      </dsp:txBody>
      <dsp:txXfrm>
        <a:off x="2442126" y="2490054"/>
        <a:ext cx="847256" cy="847256"/>
      </dsp:txXfrm>
    </dsp:sp>
    <dsp:sp modelId="{AAB16B34-3BD0-416D-881C-AAED60DBE1C4}">
      <dsp:nvSpPr>
        <dsp:cNvPr id="0" name=""/>
        <dsp:cNvSpPr/>
      </dsp:nvSpPr>
      <dsp:spPr>
        <a:xfrm rot="9000000">
          <a:off x="2195925" y="1983121"/>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329953" y="1990810"/>
        <a:ext cx="14108" cy="14108"/>
      </dsp:txXfrm>
    </dsp:sp>
    <dsp:sp modelId="{AC32E524-352E-48FA-9926-95208D83770E}">
      <dsp:nvSpPr>
        <dsp:cNvPr id="0" name=""/>
        <dsp:cNvSpPr/>
      </dsp:nvSpPr>
      <dsp:spPr>
        <a:xfrm>
          <a:off x="1338796" y="1833674"/>
          <a:ext cx="938926" cy="938926"/>
        </a:xfrm>
        <a:prstGeom prst="roundRect">
          <a:avLst/>
        </a:prstGeom>
        <a:solidFill>
          <a:schemeClr val="accent4">
            <a:hueOff val="7840713"/>
            <a:satOff val="-32622"/>
            <a:lumOff val="7686"/>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baseline="0"/>
            <a:t>Environmental</a:t>
          </a:r>
        </a:p>
      </dsp:txBody>
      <dsp:txXfrm>
        <a:off x="1384631" y="1879509"/>
        <a:ext cx="847256" cy="847256"/>
      </dsp:txXfrm>
    </dsp:sp>
    <dsp:sp modelId="{3A54F75F-144B-42C0-AC8A-DDA21C1B8487}">
      <dsp:nvSpPr>
        <dsp:cNvPr id="0" name=""/>
        <dsp:cNvSpPr/>
      </dsp:nvSpPr>
      <dsp:spPr>
        <a:xfrm rot="12600000">
          <a:off x="2195925" y="1372576"/>
          <a:ext cx="282163" cy="29487"/>
        </a:xfrm>
        <a:custGeom>
          <a:avLst/>
          <a:gdLst/>
          <a:ahLst/>
          <a:cxnLst/>
          <a:rect l="0" t="0" r="0" b="0"/>
          <a:pathLst>
            <a:path>
              <a:moveTo>
                <a:pt x="0" y="14743"/>
              </a:moveTo>
              <a:lnTo>
                <a:pt x="282163" y="14743"/>
              </a:lnTo>
            </a:path>
          </a:pathLst>
        </a:custGeom>
        <a:noFill/>
        <a:ln w="12700" cap="flat" cmpd="sng" algn="ctr">
          <a:solidFill>
            <a:schemeClr val="accent5">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329953" y="1380265"/>
        <a:ext cx="14108" cy="14108"/>
      </dsp:txXfrm>
    </dsp:sp>
    <dsp:sp modelId="{C300FD01-3772-4620-B039-38208032D5C4}">
      <dsp:nvSpPr>
        <dsp:cNvPr id="0" name=""/>
        <dsp:cNvSpPr/>
      </dsp:nvSpPr>
      <dsp:spPr>
        <a:xfrm>
          <a:off x="1338796" y="612584"/>
          <a:ext cx="938926" cy="938926"/>
        </a:xfrm>
        <a:prstGeom prst="roundRect">
          <a:avLst/>
        </a:prstGeom>
        <a:solidFill>
          <a:schemeClr val="accent4">
            <a:hueOff val="9800891"/>
            <a:satOff val="-40777"/>
            <a:lumOff val="9608"/>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22275">
            <a:lnSpc>
              <a:spcPct val="90000"/>
            </a:lnSpc>
            <a:spcBef>
              <a:spcPct val="0"/>
            </a:spcBef>
            <a:spcAft>
              <a:spcPct val="35000"/>
            </a:spcAft>
            <a:buNone/>
          </a:pPr>
          <a:r>
            <a:rPr lang="en-IN" sz="950" kern="1200" baseline="0"/>
            <a:t>Legal</a:t>
          </a:r>
        </a:p>
      </dsp:txBody>
      <dsp:txXfrm>
        <a:off x="1384631" y="658419"/>
        <a:ext cx="847256" cy="8472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brief overview of the Accenture company and the changes occurred in the 2020 &amp; 2021. By covering all the related contents of the change management, Resistance factors of change, topologies, Lewin’s model and Pestel analysis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8554AD-5723-4D7A-B8F9-C93D0C22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16</Pages>
  <Words>4343</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Accenture changes</vt:lpstr>
    </vt:vector>
  </TitlesOfParts>
  <Company/>
  <LinksUpToDate>false</LinksUpToDate>
  <CharactersWithSpaces>29041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&amp;STABILITY</dc:title>
  <dc:subject/>
  <dc:creator>uppala rishitha</dc:creator>
  <cp:keywords/>
  <dc:description/>
  <cp:lastModifiedBy>uppala rishitha</cp:lastModifiedBy>
  <cp:revision>147</cp:revision>
  <dcterms:created xsi:type="dcterms:W3CDTF">2023-05-04T02:25:00Z</dcterms:created>
  <dcterms:modified xsi:type="dcterms:W3CDTF">2023-05-05T22:13:00Z</dcterms:modified>
</cp:coreProperties>
</file>