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F5811" w14:textId="5CC681DC" w:rsidR="00314746" w:rsidRPr="000B78E1" w:rsidRDefault="001B0D3E" w:rsidP="000B78E1">
      <w:pPr>
        <w:spacing w:line="360" w:lineRule="auto"/>
        <w:jc w:val="right"/>
        <w:rPr>
          <w:rFonts w:ascii="Arial" w:hAnsi="Arial" w:cs="Arial"/>
          <w:b/>
          <w:bCs/>
          <w:sz w:val="22"/>
          <w:szCs w:val="22"/>
        </w:rPr>
      </w:pPr>
      <w:r w:rsidRPr="000B78E1">
        <w:rPr>
          <w:rFonts w:ascii="Arial" w:hAnsi="Arial" w:cs="Arial"/>
          <w:noProof/>
          <w:sz w:val="22"/>
          <w:szCs w:val="22"/>
        </w:rPr>
        <w:drawing>
          <wp:inline distT="0" distB="0" distL="0" distR="0" wp14:anchorId="4670BC3F" wp14:editId="6DF2A93B">
            <wp:extent cx="1416050" cy="469620"/>
            <wp:effectExtent l="0" t="0" r="0" b="6985"/>
            <wp:docPr id="1334380130"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80130" name="Picture 2" descr="A close 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2222" cy="478300"/>
                    </a:xfrm>
                    <a:prstGeom prst="rect">
                      <a:avLst/>
                    </a:prstGeom>
                  </pic:spPr>
                </pic:pic>
              </a:graphicData>
            </a:graphic>
          </wp:inline>
        </w:drawing>
      </w:r>
    </w:p>
    <w:p w14:paraId="2497F20A" w14:textId="77777777" w:rsidR="00F66D57" w:rsidRPr="000B78E1" w:rsidRDefault="00F66D57" w:rsidP="000B78E1">
      <w:pPr>
        <w:spacing w:line="360" w:lineRule="auto"/>
        <w:rPr>
          <w:rFonts w:ascii="Arial" w:hAnsi="Arial" w:cs="Arial"/>
          <w:b/>
          <w:bCs/>
          <w:sz w:val="22"/>
          <w:szCs w:val="22"/>
        </w:rPr>
      </w:pPr>
      <w:r w:rsidRPr="000B78E1">
        <w:rPr>
          <w:rFonts w:ascii="Arial" w:hAnsi="Arial" w:cs="Arial"/>
          <w:b/>
          <w:bCs/>
          <w:sz w:val="22"/>
          <w:szCs w:val="22"/>
        </w:rPr>
        <w:t xml:space="preserve">Title of the Article: </w:t>
      </w:r>
    </w:p>
    <w:p w14:paraId="7BE5D491" w14:textId="5569984B" w:rsidR="003E61DB" w:rsidRPr="000B78E1" w:rsidRDefault="003E61DB" w:rsidP="000B78E1">
      <w:pPr>
        <w:spacing w:line="360" w:lineRule="auto"/>
        <w:jc w:val="both"/>
        <w:rPr>
          <w:rFonts w:ascii="Arial" w:hAnsi="Arial" w:cs="Arial"/>
          <w:sz w:val="22"/>
          <w:szCs w:val="22"/>
        </w:rPr>
      </w:pPr>
      <w:r w:rsidRPr="000B78E1">
        <w:rPr>
          <w:rFonts w:ascii="Arial" w:hAnsi="Arial" w:cs="Arial"/>
          <w:sz w:val="22"/>
          <w:szCs w:val="22"/>
        </w:rPr>
        <w:t>“Digital Financial Services, Credit Access</w:t>
      </w:r>
      <w:r w:rsidR="00A31FF8" w:rsidRPr="000B78E1">
        <w:rPr>
          <w:rFonts w:ascii="Arial" w:hAnsi="Arial" w:cs="Arial"/>
          <w:sz w:val="22"/>
          <w:szCs w:val="22"/>
        </w:rPr>
        <w:t xml:space="preserve"> </w:t>
      </w:r>
      <w:r w:rsidRPr="000B78E1">
        <w:rPr>
          <w:rFonts w:ascii="Arial" w:hAnsi="Arial" w:cs="Arial"/>
          <w:sz w:val="22"/>
          <w:szCs w:val="22"/>
        </w:rPr>
        <w:t>and SME Sustainability: A Systematic Review with Evidence from Bangladesh</w:t>
      </w:r>
      <w:r w:rsidRPr="000B78E1">
        <w:rPr>
          <w:rFonts w:ascii="Arial" w:hAnsi="Arial" w:cs="Arial"/>
          <w:b/>
          <w:bCs/>
          <w:sz w:val="22"/>
          <w:szCs w:val="22"/>
        </w:rPr>
        <w:t>”</w:t>
      </w:r>
    </w:p>
    <w:p w14:paraId="23B74A4E" w14:textId="77777777" w:rsidR="003A3B69" w:rsidRPr="000B78E1" w:rsidRDefault="003A3B69" w:rsidP="000B78E1">
      <w:pPr>
        <w:spacing w:after="0" w:line="360" w:lineRule="auto"/>
        <w:rPr>
          <w:rFonts w:ascii="Arial" w:hAnsi="Arial" w:cs="Arial"/>
          <w:b/>
          <w:bCs/>
          <w:sz w:val="22"/>
          <w:szCs w:val="22"/>
        </w:rPr>
      </w:pPr>
    </w:p>
    <w:p w14:paraId="4491D58E" w14:textId="3BB4D760" w:rsidR="003A3B69" w:rsidRPr="000B78E1" w:rsidRDefault="003A3B69" w:rsidP="000B78E1">
      <w:pPr>
        <w:spacing w:after="0" w:line="360" w:lineRule="auto"/>
        <w:rPr>
          <w:rFonts w:ascii="Arial" w:hAnsi="Arial" w:cs="Arial"/>
          <w:b/>
          <w:bCs/>
          <w:sz w:val="22"/>
          <w:szCs w:val="22"/>
        </w:rPr>
      </w:pPr>
      <w:r w:rsidRPr="000B78E1">
        <w:rPr>
          <w:rFonts w:ascii="Arial" w:hAnsi="Arial" w:cs="Arial"/>
          <w:b/>
          <w:bCs/>
          <w:sz w:val="22"/>
          <w:szCs w:val="22"/>
        </w:rPr>
        <w:t>Author:</w:t>
      </w:r>
    </w:p>
    <w:p w14:paraId="29BA7E88" w14:textId="77777777" w:rsidR="003A3B69" w:rsidRPr="000B78E1" w:rsidRDefault="003A3B69" w:rsidP="000B78E1">
      <w:pPr>
        <w:spacing w:after="0" w:line="360" w:lineRule="auto"/>
        <w:rPr>
          <w:rFonts w:ascii="Arial" w:hAnsi="Arial" w:cs="Arial"/>
          <w:sz w:val="22"/>
          <w:szCs w:val="22"/>
        </w:rPr>
      </w:pPr>
      <w:r w:rsidRPr="000B78E1">
        <w:rPr>
          <w:rFonts w:ascii="Arial" w:hAnsi="Arial" w:cs="Arial"/>
          <w:sz w:val="22"/>
          <w:szCs w:val="22"/>
        </w:rPr>
        <w:t>Ahmad Nure Habiba</w:t>
      </w:r>
    </w:p>
    <w:p w14:paraId="7294E7FE" w14:textId="77777777" w:rsidR="003A3B69" w:rsidRPr="000B78E1" w:rsidRDefault="003A3B69" w:rsidP="000B78E1">
      <w:pPr>
        <w:spacing w:after="0" w:line="360" w:lineRule="auto"/>
        <w:rPr>
          <w:rFonts w:ascii="Arial" w:hAnsi="Arial" w:cs="Arial"/>
          <w:sz w:val="22"/>
          <w:szCs w:val="22"/>
        </w:rPr>
      </w:pPr>
      <w:r w:rsidRPr="000B78E1">
        <w:rPr>
          <w:rFonts w:ascii="Arial" w:hAnsi="Arial" w:cs="Arial"/>
          <w:sz w:val="22"/>
          <w:szCs w:val="22"/>
        </w:rPr>
        <w:t>DBA Candidate, University of Wales Trinity Saint David</w:t>
      </w:r>
    </w:p>
    <w:p w14:paraId="5594EB24" w14:textId="77777777" w:rsidR="003A3B69" w:rsidRPr="000B78E1" w:rsidRDefault="003A3B69" w:rsidP="000B78E1">
      <w:pPr>
        <w:spacing w:after="0" w:line="360" w:lineRule="auto"/>
        <w:rPr>
          <w:rFonts w:ascii="Arial" w:hAnsi="Arial" w:cs="Arial"/>
          <w:sz w:val="22"/>
          <w:szCs w:val="22"/>
        </w:rPr>
      </w:pPr>
      <w:r w:rsidRPr="000B78E1">
        <w:rPr>
          <w:rFonts w:ascii="Arial" w:hAnsi="Arial" w:cs="Arial"/>
          <w:sz w:val="22"/>
          <w:szCs w:val="22"/>
        </w:rPr>
        <w:t>Student ID: 2504332</w:t>
      </w:r>
    </w:p>
    <w:p w14:paraId="4D0DA542" w14:textId="38D07108" w:rsidR="003A3B69" w:rsidRPr="000B78E1" w:rsidRDefault="003A3B69" w:rsidP="000B78E1">
      <w:pPr>
        <w:spacing w:after="0" w:line="360" w:lineRule="auto"/>
        <w:rPr>
          <w:rFonts w:ascii="Arial" w:hAnsi="Arial" w:cs="Arial"/>
          <w:sz w:val="22"/>
          <w:szCs w:val="22"/>
        </w:rPr>
      </w:pPr>
      <w:r w:rsidRPr="000B78E1">
        <w:rPr>
          <w:rFonts w:ascii="Arial" w:hAnsi="Arial" w:cs="Arial"/>
          <w:sz w:val="22"/>
          <w:szCs w:val="22"/>
        </w:rPr>
        <w:t>Term-2</w:t>
      </w:r>
    </w:p>
    <w:p w14:paraId="39D1095F" w14:textId="77777777" w:rsidR="00F66D57" w:rsidRPr="000B78E1" w:rsidRDefault="00F66D57" w:rsidP="000B78E1">
      <w:pPr>
        <w:spacing w:line="360" w:lineRule="auto"/>
        <w:jc w:val="both"/>
        <w:rPr>
          <w:rFonts w:ascii="Arial" w:hAnsi="Arial" w:cs="Arial"/>
          <w:b/>
          <w:bCs/>
          <w:sz w:val="22"/>
          <w:szCs w:val="22"/>
        </w:rPr>
      </w:pPr>
    </w:p>
    <w:p w14:paraId="6FBD1364" w14:textId="5788E549" w:rsidR="003E61DB" w:rsidRPr="000B78E1" w:rsidRDefault="008D6AA3" w:rsidP="000B78E1">
      <w:pPr>
        <w:spacing w:line="360" w:lineRule="auto"/>
        <w:jc w:val="both"/>
        <w:rPr>
          <w:rFonts w:ascii="Arial" w:hAnsi="Arial" w:cs="Arial"/>
          <w:b/>
          <w:bCs/>
          <w:sz w:val="22"/>
          <w:szCs w:val="22"/>
        </w:rPr>
      </w:pPr>
      <w:r w:rsidRPr="000B78E1">
        <w:rPr>
          <w:rFonts w:ascii="Arial" w:hAnsi="Arial" w:cs="Arial"/>
          <w:b/>
          <w:bCs/>
          <w:sz w:val="22"/>
          <w:szCs w:val="22"/>
        </w:rPr>
        <w:t>Abstract:</w:t>
      </w:r>
    </w:p>
    <w:p w14:paraId="4501733B" w14:textId="13243748" w:rsidR="00FB6139" w:rsidRPr="000B78E1" w:rsidRDefault="00FB6139" w:rsidP="000B78E1">
      <w:pPr>
        <w:spacing w:after="0" w:line="360" w:lineRule="auto"/>
        <w:jc w:val="both"/>
        <w:rPr>
          <w:rFonts w:ascii="Arial" w:hAnsi="Arial" w:cs="Arial"/>
          <w:sz w:val="22"/>
          <w:szCs w:val="22"/>
        </w:rPr>
      </w:pPr>
      <w:r w:rsidRPr="000B78E1">
        <w:rPr>
          <w:rFonts w:ascii="Arial" w:hAnsi="Arial" w:cs="Arial"/>
          <w:sz w:val="22"/>
          <w:szCs w:val="22"/>
        </w:rPr>
        <w:t>Small and Medium Enterprises (SMEs) are vital for economic growth, employment and poverty reduction especially in developing economies. However, limited access to formal credit remains a major challenge due to information asymmetry, lack of collateral and high transaction costs. Digital Financial Services (DFS), such as mobile money, agent banking and digital lending have emerged as potential solutions to improve financial inclusion and reduce these barriers.</w:t>
      </w:r>
      <w:r w:rsidR="00281E2D">
        <w:rPr>
          <w:rFonts w:ascii="Arial" w:hAnsi="Arial" w:cs="Arial"/>
          <w:sz w:val="22"/>
          <w:szCs w:val="22"/>
        </w:rPr>
        <w:t xml:space="preserve"> </w:t>
      </w:r>
      <w:r w:rsidRPr="000B78E1">
        <w:rPr>
          <w:rFonts w:ascii="Arial" w:hAnsi="Arial" w:cs="Arial"/>
          <w:sz w:val="22"/>
          <w:szCs w:val="22"/>
        </w:rPr>
        <w:t xml:space="preserve">This study conducts a systematic literature review using a PRISMA based approach to examine the relationship between DFS, credit access and SME sustainability with a focus on Bangladesh. The findings show that while DFS improves financial access, efficiency and data availability, it does not automatically lead to formal </w:t>
      </w:r>
      <w:proofErr w:type="spellStart"/>
      <w:proofErr w:type="gramStart"/>
      <w:r w:rsidRPr="000B78E1">
        <w:rPr>
          <w:rFonts w:ascii="Arial" w:hAnsi="Arial" w:cs="Arial"/>
          <w:sz w:val="22"/>
          <w:szCs w:val="22"/>
        </w:rPr>
        <w:t>credit.The</w:t>
      </w:r>
      <w:proofErr w:type="spellEnd"/>
      <w:proofErr w:type="gramEnd"/>
      <w:r w:rsidRPr="000B78E1">
        <w:rPr>
          <w:rFonts w:ascii="Arial" w:hAnsi="Arial" w:cs="Arial"/>
          <w:sz w:val="22"/>
          <w:szCs w:val="22"/>
        </w:rPr>
        <w:t xml:space="preserve"> conversion of DFS usage into credit depends on institutional factors such as regulation and trust as well as SME capabilities like financial literacy. The study highlights that DFS, credit and sustainability relationships are conditional not direct.</w:t>
      </w:r>
    </w:p>
    <w:p w14:paraId="7FB5F6F8" w14:textId="78F6F9DA" w:rsidR="008D6AA3" w:rsidRPr="000B78E1" w:rsidRDefault="008D6AA3" w:rsidP="000B78E1">
      <w:pPr>
        <w:spacing w:line="360" w:lineRule="auto"/>
        <w:jc w:val="both"/>
        <w:rPr>
          <w:rFonts w:ascii="Arial" w:hAnsi="Arial" w:cs="Arial"/>
          <w:b/>
          <w:bCs/>
          <w:sz w:val="22"/>
          <w:szCs w:val="22"/>
        </w:rPr>
      </w:pPr>
    </w:p>
    <w:p w14:paraId="14F85E23" w14:textId="2F4D4FFE" w:rsidR="008D6AA3" w:rsidRPr="000B78E1" w:rsidRDefault="008D6AA3" w:rsidP="000B78E1">
      <w:pPr>
        <w:spacing w:line="360" w:lineRule="auto"/>
        <w:jc w:val="both"/>
        <w:rPr>
          <w:rFonts w:ascii="Arial" w:hAnsi="Arial" w:cs="Arial"/>
          <w:sz w:val="22"/>
          <w:szCs w:val="22"/>
        </w:rPr>
      </w:pPr>
      <w:r w:rsidRPr="000B78E1">
        <w:rPr>
          <w:rFonts w:ascii="Arial" w:hAnsi="Arial" w:cs="Arial"/>
          <w:b/>
          <w:bCs/>
          <w:sz w:val="22"/>
          <w:szCs w:val="22"/>
        </w:rPr>
        <w:t>Key Words:</w:t>
      </w:r>
      <w:r w:rsidR="009E0EBD" w:rsidRPr="000B78E1">
        <w:rPr>
          <w:rFonts w:ascii="Arial" w:hAnsi="Arial" w:cs="Arial"/>
          <w:b/>
          <w:bCs/>
          <w:sz w:val="22"/>
          <w:szCs w:val="22"/>
        </w:rPr>
        <w:t xml:space="preserve"> </w:t>
      </w:r>
      <w:r w:rsidR="009E0EBD" w:rsidRPr="000B78E1">
        <w:rPr>
          <w:rFonts w:ascii="Arial" w:hAnsi="Arial" w:cs="Arial"/>
          <w:sz w:val="22"/>
          <w:szCs w:val="22"/>
        </w:rPr>
        <w:t xml:space="preserve">SME, Credit Access, Digital Financial services (DFS), </w:t>
      </w:r>
      <w:r w:rsidR="005349B8" w:rsidRPr="000B78E1">
        <w:rPr>
          <w:rFonts w:ascii="Arial" w:hAnsi="Arial" w:cs="Arial"/>
          <w:sz w:val="22"/>
          <w:szCs w:val="22"/>
        </w:rPr>
        <w:t>Business Sustainability</w:t>
      </w:r>
    </w:p>
    <w:p w14:paraId="7B59405E" w14:textId="77777777" w:rsidR="00314746" w:rsidRDefault="00314746" w:rsidP="000B78E1">
      <w:pPr>
        <w:spacing w:line="360" w:lineRule="auto"/>
        <w:jc w:val="both"/>
        <w:rPr>
          <w:rFonts w:ascii="Arial" w:hAnsi="Arial" w:cs="Arial"/>
          <w:sz w:val="22"/>
          <w:szCs w:val="22"/>
        </w:rPr>
      </w:pPr>
    </w:p>
    <w:p w14:paraId="6BD40F45" w14:textId="77777777" w:rsidR="000B78E1" w:rsidRDefault="000B78E1" w:rsidP="000B78E1">
      <w:pPr>
        <w:spacing w:line="360" w:lineRule="auto"/>
        <w:jc w:val="both"/>
        <w:rPr>
          <w:rFonts w:ascii="Arial" w:hAnsi="Arial" w:cs="Arial"/>
          <w:sz w:val="22"/>
          <w:szCs w:val="22"/>
        </w:rPr>
      </w:pPr>
    </w:p>
    <w:p w14:paraId="4E79BF94" w14:textId="77777777" w:rsidR="000B78E1" w:rsidRDefault="000B78E1" w:rsidP="000B78E1">
      <w:pPr>
        <w:spacing w:line="360" w:lineRule="auto"/>
        <w:jc w:val="both"/>
        <w:rPr>
          <w:rFonts w:ascii="Arial" w:hAnsi="Arial" w:cs="Arial"/>
          <w:sz w:val="22"/>
          <w:szCs w:val="22"/>
        </w:rPr>
      </w:pPr>
    </w:p>
    <w:p w14:paraId="2C03762E" w14:textId="77777777" w:rsidR="00BD4F80" w:rsidRDefault="00BD4F80" w:rsidP="000B78E1">
      <w:pPr>
        <w:spacing w:line="360" w:lineRule="auto"/>
        <w:jc w:val="both"/>
        <w:rPr>
          <w:rFonts w:ascii="Arial" w:hAnsi="Arial" w:cs="Arial"/>
          <w:sz w:val="22"/>
          <w:szCs w:val="22"/>
        </w:rPr>
      </w:pPr>
    </w:p>
    <w:p w14:paraId="2A7EAE1D" w14:textId="77777777" w:rsidR="000B78E1" w:rsidRDefault="000B78E1" w:rsidP="000B78E1">
      <w:pPr>
        <w:spacing w:line="360" w:lineRule="auto"/>
        <w:jc w:val="both"/>
        <w:rPr>
          <w:rFonts w:ascii="Arial" w:hAnsi="Arial" w:cs="Arial"/>
          <w:sz w:val="22"/>
          <w:szCs w:val="22"/>
        </w:rPr>
      </w:pPr>
    </w:p>
    <w:p w14:paraId="76E2F860" w14:textId="56EC9542" w:rsidR="008D6AA3" w:rsidRPr="000B78E1" w:rsidRDefault="00EA0E16" w:rsidP="000B78E1">
      <w:pPr>
        <w:spacing w:line="360" w:lineRule="auto"/>
        <w:jc w:val="both"/>
        <w:rPr>
          <w:rFonts w:ascii="Arial" w:hAnsi="Arial" w:cs="Arial"/>
          <w:b/>
          <w:bCs/>
          <w:sz w:val="22"/>
          <w:szCs w:val="22"/>
        </w:rPr>
      </w:pPr>
      <w:r w:rsidRPr="000B78E1">
        <w:rPr>
          <w:rFonts w:ascii="Arial" w:hAnsi="Arial" w:cs="Arial"/>
          <w:b/>
          <w:bCs/>
          <w:sz w:val="22"/>
          <w:szCs w:val="22"/>
        </w:rPr>
        <w:lastRenderedPageBreak/>
        <w:t>1.</w:t>
      </w:r>
      <w:r w:rsidR="00261F72" w:rsidRPr="000B78E1">
        <w:rPr>
          <w:rFonts w:ascii="Arial" w:hAnsi="Arial" w:cs="Arial"/>
          <w:b/>
          <w:bCs/>
          <w:sz w:val="22"/>
          <w:szCs w:val="22"/>
        </w:rPr>
        <w:t>Introduction:</w:t>
      </w:r>
    </w:p>
    <w:p w14:paraId="2FA07724" w14:textId="02248519" w:rsidR="00FE4516" w:rsidRPr="000B78E1" w:rsidRDefault="00261F72" w:rsidP="000B78E1">
      <w:pPr>
        <w:pStyle w:val="ListParagraph"/>
        <w:numPr>
          <w:ilvl w:val="1"/>
          <w:numId w:val="37"/>
        </w:numPr>
        <w:spacing w:line="360" w:lineRule="auto"/>
        <w:jc w:val="both"/>
        <w:rPr>
          <w:rFonts w:ascii="Arial" w:hAnsi="Arial" w:cs="Arial"/>
          <w:b/>
          <w:bCs/>
          <w:sz w:val="22"/>
          <w:szCs w:val="22"/>
        </w:rPr>
      </w:pPr>
      <w:r w:rsidRPr="000B78E1">
        <w:rPr>
          <w:rFonts w:ascii="Arial" w:hAnsi="Arial" w:cs="Arial"/>
          <w:b/>
          <w:bCs/>
          <w:sz w:val="22"/>
          <w:szCs w:val="22"/>
        </w:rPr>
        <w:t>Back</w:t>
      </w:r>
      <w:r w:rsidR="002341CF" w:rsidRPr="000B78E1">
        <w:rPr>
          <w:rFonts w:ascii="Arial" w:hAnsi="Arial" w:cs="Arial"/>
          <w:b/>
          <w:bCs/>
          <w:sz w:val="22"/>
          <w:szCs w:val="22"/>
        </w:rPr>
        <w:t>ground</w:t>
      </w:r>
    </w:p>
    <w:p w14:paraId="7B97F022" w14:textId="104DF229" w:rsidR="00EA153D" w:rsidRPr="000B78E1" w:rsidRDefault="00EA153D" w:rsidP="000B78E1">
      <w:pPr>
        <w:spacing w:after="0" w:line="360" w:lineRule="auto"/>
        <w:jc w:val="both"/>
        <w:rPr>
          <w:rFonts w:ascii="Arial" w:hAnsi="Arial" w:cs="Arial"/>
          <w:sz w:val="22"/>
          <w:szCs w:val="22"/>
        </w:rPr>
      </w:pPr>
      <w:r w:rsidRPr="000B78E1">
        <w:rPr>
          <w:rFonts w:ascii="Arial" w:hAnsi="Arial" w:cs="Arial"/>
          <w:sz w:val="22"/>
          <w:szCs w:val="22"/>
        </w:rPr>
        <w:t xml:space="preserve">Small and Medium Enterprises (SMEs) are widely recognised as a key driver of economic development, particularly in developing economies </w:t>
      </w:r>
      <w:r w:rsidR="007F5E83" w:rsidRPr="000B78E1">
        <w:rPr>
          <w:rFonts w:ascii="Arial" w:hAnsi="Arial" w:cs="Arial"/>
          <w:sz w:val="22"/>
          <w:szCs w:val="22"/>
        </w:rPr>
        <w:t>(World Bank Group, 2022)</w:t>
      </w:r>
      <w:r w:rsidRPr="000B78E1">
        <w:rPr>
          <w:rFonts w:ascii="Arial" w:hAnsi="Arial" w:cs="Arial"/>
          <w:sz w:val="22"/>
          <w:szCs w:val="22"/>
        </w:rPr>
        <w:t xml:space="preserve">. They contribute significantly to employment generation, income distribution, and poverty reduction (Affandi et al., 2024). Despite their importance, SMEs face persistent barriers in accessing formal finance, which limits their growth and long-term sustainability. One of the most critical challenges is limited access to credit, mainly due to lack of collateral, high transaction costs, and strong information asymmetry between borrowers and lenders </w:t>
      </w:r>
      <w:r w:rsidR="007F5E83" w:rsidRPr="000B78E1">
        <w:rPr>
          <w:rFonts w:ascii="Arial" w:hAnsi="Arial" w:cs="Arial"/>
          <w:sz w:val="22"/>
          <w:szCs w:val="22"/>
        </w:rPr>
        <w:t>(World Bank Group, 2022)</w:t>
      </w:r>
      <w:r w:rsidR="007F5E83" w:rsidRPr="000B78E1">
        <w:rPr>
          <w:rFonts w:ascii="Arial" w:hAnsi="Arial" w:cs="Arial"/>
          <w:sz w:val="22"/>
          <w:szCs w:val="22"/>
        </w:rPr>
        <w:t xml:space="preserve">. </w:t>
      </w:r>
      <w:r w:rsidRPr="000B78E1">
        <w:rPr>
          <w:rFonts w:ascii="Arial" w:hAnsi="Arial" w:cs="Arial"/>
          <w:sz w:val="22"/>
          <w:szCs w:val="22"/>
        </w:rPr>
        <w:t>Financial institutions often find it difficult to assess SME creditworthiness because many SMEs operate informally and lack proper financial records.</w:t>
      </w:r>
    </w:p>
    <w:p w14:paraId="0EE43A9F" w14:textId="77777777" w:rsidR="00EA153D" w:rsidRPr="000B78E1" w:rsidRDefault="00EA153D" w:rsidP="000B78E1">
      <w:pPr>
        <w:spacing w:after="0" w:line="360" w:lineRule="auto"/>
        <w:jc w:val="both"/>
        <w:rPr>
          <w:rFonts w:ascii="Arial" w:hAnsi="Arial" w:cs="Arial"/>
          <w:sz w:val="22"/>
          <w:szCs w:val="22"/>
        </w:rPr>
      </w:pPr>
    </w:p>
    <w:p w14:paraId="64A99963" w14:textId="77777777" w:rsidR="00EA153D" w:rsidRPr="000B78E1" w:rsidRDefault="00EA153D" w:rsidP="000B78E1">
      <w:pPr>
        <w:spacing w:after="0" w:line="360" w:lineRule="auto"/>
        <w:jc w:val="both"/>
        <w:rPr>
          <w:rFonts w:ascii="Arial" w:hAnsi="Arial" w:cs="Arial"/>
          <w:sz w:val="22"/>
          <w:szCs w:val="22"/>
        </w:rPr>
      </w:pPr>
      <w:r w:rsidRPr="000B78E1">
        <w:rPr>
          <w:rFonts w:ascii="Arial" w:hAnsi="Arial" w:cs="Arial"/>
          <w:sz w:val="22"/>
          <w:szCs w:val="22"/>
        </w:rPr>
        <w:t>Digital Financial Services (DFS) include financial services delivered through digital platforms such as mobile money, online banking, agent banking, digital payments, and fintech lending. They allow individuals and businesses to make payments, transfer money, save, borrow, and access banking services easily (Ayodele &amp; Ogunsola, 2025). DFS improve accessibility, reduce transaction costs, and create digital transaction data that can help lenders better assess borrower risk. As a result, DFS are widely seen as an important tool for improving financial inclusion. However, while DFS improves access to financial services and enhances transaction efficiency, its role in expanding formal credit access remains unclear. Many studies show that SMEs actively use digital services for payments and liquidity management, but this does not always translate into access to bank loans. This raises an important question about whether DFS alone is sufficient to improve credit outcomes.</w:t>
      </w:r>
    </w:p>
    <w:p w14:paraId="596E4A92" w14:textId="77777777" w:rsidR="00EA153D" w:rsidRPr="0050697A" w:rsidRDefault="00EA153D" w:rsidP="000B78E1">
      <w:pPr>
        <w:spacing w:after="0" w:line="360" w:lineRule="auto"/>
        <w:jc w:val="both"/>
        <w:rPr>
          <w:rFonts w:ascii="Arial" w:hAnsi="Arial" w:cs="Arial"/>
          <w:sz w:val="12"/>
          <w:szCs w:val="12"/>
        </w:rPr>
      </w:pPr>
    </w:p>
    <w:p w14:paraId="772FBA8C" w14:textId="77777777" w:rsidR="00EA153D" w:rsidRPr="000B78E1" w:rsidRDefault="00EA153D" w:rsidP="000B78E1">
      <w:pPr>
        <w:spacing w:after="0" w:line="360" w:lineRule="auto"/>
        <w:jc w:val="both"/>
        <w:rPr>
          <w:rFonts w:ascii="Arial" w:hAnsi="Arial" w:cs="Arial"/>
          <w:sz w:val="22"/>
          <w:szCs w:val="22"/>
        </w:rPr>
      </w:pPr>
      <w:r w:rsidRPr="000B78E1">
        <w:rPr>
          <w:rFonts w:ascii="Arial" w:hAnsi="Arial" w:cs="Arial"/>
          <w:sz w:val="22"/>
          <w:szCs w:val="22"/>
        </w:rPr>
        <w:t xml:space="preserve">SME sustainability in this context refers to the </w:t>
      </w:r>
      <w:proofErr w:type="gramStart"/>
      <w:r w:rsidRPr="000B78E1">
        <w:rPr>
          <w:rFonts w:ascii="Arial" w:hAnsi="Arial" w:cs="Arial"/>
          <w:sz w:val="22"/>
          <w:szCs w:val="22"/>
        </w:rPr>
        <w:t>long term</w:t>
      </w:r>
      <w:proofErr w:type="gramEnd"/>
      <w:r w:rsidRPr="000B78E1">
        <w:rPr>
          <w:rFonts w:ascii="Arial" w:hAnsi="Arial" w:cs="Arial"/>
          <w:sz w:val="22"/>
          <w:szCs w:val="22"/>
        </w:rPr>
        <w:t xml:space="preserve"> viability of businesses, including growth, resilience, productivity and the ability to survive in changing market conditions</w:t>
      </w:r>
      <w:r w:rsidRPr="000B78E1">
        <w:rPr>
          <w:rFonts w:ascii="Arial" w:eastAsia="Times New Roman" w:hAnsi="Arial" w:cs="Arial"/>
          <w:kern w:val="0"/>
          <w:sz w:val="22"/>
          <w:szCs w:val="22"/>
          <w:lang w:eastAsia="en-GB"/>
          <w14:ligatures w14:val="none"/>
        </w:rPr>
        <w:t xml:space="preserve"> </w:t>
      </w:r>
      <w:r w:rsidRPr="000B78E1">
        <w:rPr>
          <w:rFonts w:ascii="Arial" w:hAnsi="Arial" w:cs="Arial"/>
          <w:sz w:val="22"/>
          <w:szCs w:val="22"/>
        </w:rPr>
        <w:t>(Zaman et al., 2025). While access to finance is considered essential for sustainability, existing evidence suggests that finance alone is not enough. Outcomes depend on how effectively SMEs utilise financial resources and how supportive the institutional environment is.</w:t>
      </w:r>
    </w:p>
    <w:p w14:paraId="16D3A364" w14:textId="77777777" w:rsidR="00EA153D" w:rsidRPr="000B78E1" w:rsidRDefault="00EA153D" w:rsidP="000B78E1">
      <w:pPr>
        <w:spacing w:after="0" w:line="360" w:lineRule="auto"/>
        <w:jc w:val="both"/>
        <w:rPr>
          <w:rFonts w:ascii="Arial" w:hAnsi="Arial" w:cs="Arial"/>
          <w:b/>
          <w:bCs/>
          <w:sz w:val="22"/>
          <w:szCs w:val="22"/>
        </w:rPr>
      </w:pPr>
    </w:p>
    <w:p w14:paraId="502FE41B" w14:textId="3371149C" w:rsidR="00EA153D" w:rsidRPr="000B78E1" w:rsidRDefault="00EA153D" w:rsidP="000B78E1">
      <w:pPr>
        <w:spacing w:after="0" w:line="360" w:lineRule="auto"/>
        <w:jc w:val="both"/>
        <w:rPr>
          <w:rFonts w:ascii="Arial" w:hAnsi="Arial" w:cs="Arial"/>
          <w:b/>
          <w:bCs/>
          <w:sz w:val="22"/>
          <w:szCs w:val="22"/>
        </w:rPr>
      </w:pPr>
      <w:r w:rsidRPr="000B78E1">
        <w:rPr>
          <w:rFonts w:ascii="Arial" w:hAnsi="Arial" w:cs="Arial"/>
          <w:b/>
          <w:bCs/>
          <w:sz w:val="22"/>
          <w:szCs w:val="22"/>
        </w:rPr>
        <w:t xml:space="preserve"> 1.2. </w:t>
      </w:r>
      <w:r w:rsidRPr="000B78E1">
        <w:rPr>
          <w:rFonts w:ascii="Arial" w:hAnsi="Arial" w:cs="Arial"/>
          <w:b/>
          <w:bCs/>
          <w:sz w:val="22"/>
          <w:szCs w:val="22"/>
        </w:rPr>
        <w:t xml:space="preserve">The Bangladesh </w:t>
      </w:r>
      <w:proofErr w:type="gramStart"/>
      <w:r w:rsidRPr="000B78E1">
        <w:rPr>
          <w:rFonts w:ascii="Arial" w:hAnsi="Arial" w:cs="Arial"/>
          <w:b/>
          <w:bCs/>
          <w:sz w:val="22"/>
          <w:szCs w:val="22"/>
        </w:rPr>
        <w:t xml:space="preserve">Context </w:t>
      </w:r>
      <w:r w:rsidRPr="000B78E1">
        <w:rPr>
          <w:rFonts w:ascii="Arial" w:hAnsi="Arial" w:cs="Arial"/>
          <w:b/>
          <w:bCs/>
          <w:sz w:val="22"/>
          <w:szCs w:val="22"/>
        </w:rPr>
        <w:t>:</w:t>
      </w:r>
      <w:proofErr w:type="gramEnd"/>
    </w:p>
    <w:p w14:paraId="60A1F68D" w14:textId="5952E101" w:rsidR="00EA153D" w:rsidRPr="000B78E1" w:rsidRDefault="00EA153D" w:rsidP="000B78E1">
      <w:pPr>
        <w:spacing w:after="0" w:line="360" w:lineRule="auto"/>
        <w:jc w:val="both"/>
        <w:rPr>
          <w:rFonts w:ascii="Arial" w:hAnsi="Arial" w:cs="Arial"/>
          <w:sz w:val="22"/>
          <w:szCs w:val="22"/>
        </w:rPr>
      </w:pPr>
      <w:r w:rsidRPr="000B78E1">
        <w:rPr>
          <w:rFonts w:ascii="Arial" w:hAnsi="Arial" w:cs="Arial"/>
          <w:sz w:val="22"/>
          <w:szCs w:val="22"/>
        </w:rPr>
        <w:t>Bangladesh provides an important setting to examine these issues. The country has experienced rapid growth in Digital Financial Services, particularly through mobile financial services (Rahman, 2025) and agent banking. These developments have significantly improved financial inclusion by bringing previously unbanked populations into the formal financial system.</w:t>
      </w:r>
      <w:r w:rsidR="00523BBE">
        <w:rPr>
          <w:rFonts w:ascii="Arial" w:hAnsi="Arial" w:cs="Arial"/>
          <w:sz w:val="22"/>
          <w:szCs w:val="22"/>
        </w:rPr>
        <w:t xml:space="preserve"> </w:t>
      </w:r>
      <w:r w:rsidRPr="000B78E1">
        <w:rPr>
          <w:rFonts w:ascii="Arial" w:hAnsi="Arial" w:cs="Arial"/>
          <w:sz w:val="22"/>
          <w:szCs w:val="22"/>
        </w:rPr>
        <w:t xml:space="preserve">At the same time, SMEs in Bangladesh continue to face serious credit </w:t>
      </w:r>
      <w:r w:rsidRPr="000B78E1">
        <w:rPr>
          <w:rFonts w:ascii="Arial" w:hAnsi="Arial" w:cs="Arial"/>
          <w:sz w:val="22"/>
          <w:szCs w:val="22"/>
        </w:rPr>
        <w:lastRenderedPageBreak/>
        <w:t>constraints. Many SMEs operate informally, lack proper documentation and have limited financial literacy which makes it difficult for banks to assess their creditworthiness. In addition, regulatory constraints and conservative lending practices further restrict access to formal finance</w:t>
      </w:r>
      <w:r w:rsidRPr="000B78E1">
        <w:rPr>
          <w:rFonts w:ascii="Arial" w:eastAsia="Times New Roman" w:hAnsi="Arial" w:cs="Arial"/>
          <w:kern w:val="0"/>
          <w:sz w:val="22"/>
          <w:szCs w:val="22"/>
          <w:lang w:eastAsia="en-GB"/>
          <w14:ligatures w14:val="none"/>
        </w:rPr>
        <w:t xml:space="preserve"> </w:t>
      </w:r>
      <w:r w:rsidRPr="000B78E1">
        <w:rPr>
          <w:rFonts w:ascii="Arial" w:hAnsi="Arial" w:cs="Arial"/>
          <w:sz w:val="22"/>
          <w:szCs w:val="22"/>
        </w:rPr>
        <w:t>(Ali et al., 2022).</w:t>
      </w:r>
    </w:p>
    <w:p w14:paraId="407C6653" w14:textId="0EEBDAD5" w:rsidR="00EA153D" w:rsidRPr="00523BBE" w:rsidRDefault="00EA153D" w:rsidP="000B78E1">
      <w:pPr>
        <w:spacing w:after="0" w:line="360" w:lineRule="auto"/>
        <w:jc w:val="both"/>
        <w:rPr>
          <w:rFonts w:ascii="Arial" w:hAnsi="Arial" w:cs="Arial"/>
          <w:sz w:val="10"/>
          <w:szCs w:val="10"/>
        </w:rPr>
      </w:pPr>
    </w:p>
    <w:p w14:paraId="0CE91CD1" w14:textId="15AC55ED" w:rsidR="00EA153D" w:rsidRPr="000B78E1" w:rsidRDefault="00EA153D" w:rsidP="000B78E1">
      <w:pPr>
        <w:spacing w:after="0" w:line="360" w:lineRule="auto"/>
        <w:jc w:val="both"/>
        <w:rPr>
          <w:rFonts w:ascii="Arial" w:hAnsi="Arial" w:cs="Arial"/>
          <w:sz w:val="22"/>
          <w:szCs w:val="22"/>
        </w:rPr>
      </w:pPr>
      <w:r w:rsidRPr="000B78E1">
        <w:rPr>
          <w:rFonts w:ascii="Arial" w:hAnsi="Arial" w:cs="Arial"/>
          <w:sz w:val="22"/>
          <w:szCs w:val="22"/>
        </w:rPr>
        <w:t>This creates a paradox where digital financial activity is increasing but formal credit access remains limited. While DFS generates valuable data through digital transactions, this data is not always fully utilised by financial institutions for lending decisions. Therefore, Bangladesh represents a typical developing economy where the potential of DFS is high but its conversion into credit outcomes is still limited and uneven.</w:t>
      </w:r>
    </w:p>
    <w:p w14:paraId="66033F09" w14:textId="77777777" w:rsidR="00EA153D" w:rsidRPr="000B78E1" w:rsidRDefault="00EA153D" w:rsidP="000B78E1">
      <w:pPr>
        <w:spacing w:after="0" w:line="360" w:lineRule="auto"/>
        <w:jc w:val="both"/>
        <w:rPr>
          <w:rFonts w:ascii="Arial" w:hAnsi="Arial" w:cs="Arial"/>
          <w:sz w:val="22"/>
          <w:szCs w:val="22"/>
        </w:rPr>
      </w:pPr>
    </w:p>
    <w:p w14:paraId="3EEAFA3F" w14:textId="067D26BD" w:rsidR="00023983" w:rsidRPr="000B78E1" w:rsidRDefault="0050697A" w:rsidP="000B78E1">
      <w:pPr>
        <w:spacing w:after="0" w:line="360" w:lineRule="auto"/>
        <w:jc w:val="both"/>
        <w:rPr>
          <w:rFonts w:ascii="Arial" w:hAnsi="Arial" w:cs="Arial"/>
          <w:b/>
          <w:bCs/>
          <w:sz w:val="22"/>
          <w:szCs w:val="22"/>
        </w:rPr>
      </w:pPr>
      <w:r>
        <w:rPr>
          <w:rFonts w:ascii="Arial" w:hAnsi="Arial" w:cs="Arial"/>
          <w:b/>
          <w:bCs/>
          <w:sz w:val="22"/>
          <w:szCs w:val="22"/>
        </w:rPr>
        <w:t>1</w:t>
      </w:r>
      <w:r w:rsidR="00023983" w:rsidRPr="000B78E1">
        <w:rPr>
          <w:rFonts w:ascii="Arial" w:hAnsi="Arial" w:cs="Arial"/>
          <w:b/>
          <w:bCs/>
          <w:sz w:val="22"/>
          <w:szCs w:val="22"/>
        </w:rPr>
        <w:t>.3 Rationale for the Systematic Review</w:t>
      </w:r>
    </w:p>
    <w:p w14:paraId="0083458C" w14:textId="77777777" w:rsidR="000F3458" w:rsidRPr="003047F0" w:rsidRDefault="000F3458" w:rsidP="000B78E1">
      <w:pPr>
        <w:spacing w:after="0" w:line="360" w:lineRule="auto"/>
        <w:jc w:val="both"/>
        <w:rPr>
          <w:rFonts w:ascii="Arial" w:hAnsi="Arial" w:cs="Arial"/>
          <w:sz w:val="22"/>
          <w:szCs w:val="22"/>
        </w:rPr>
      </w:pPr>
      <w:r w:rsidRPr="003047F0">
        <w:rPr>
          <w:rFonts w:ascii="Arial" w:hAnsi="Arial" w:cs="Arial"/>
          <w:sz w:val="22"/>
          <w:szCs w:val="22"/>
        </w:rPr>
        <w:t xml:space="preserve">Digital Financial Services (DFS) are becoming very important for SME </w:t>
      </w:r>
      <w:proofErr w:type="gramStart"/>
      <w:r w:rsidRPr="003047F0">
        <w:rPr>
          <w:rFonts w:ascii="Arial" w:hAnsi="Arial" w:cs="Arial"/>
          <w:sz w:val="22"/>
          <w:szCs w:val="22"/>
        </w:rPr>
        <w:t>finance</w:t>
      </w:r>
      <w:proofErr w:type="gramEnd"/>
      <w:r w:rsidRPr="003047F0">
        <w:rPr>
          <w:rFonts w:ascii="Arial" w:hAnsi="Arial" w:cs="Arial"/>
          <w:sz w:val="22"/>
          <w:szCs w:val="22"/>
        </w:rPr>
        <w:t xml:space="preserve"> but existing research is scattered and often studies DFS, financial inclusion and SME performance separately without clearly linking them. To address this, this study uses a systematic literature review with a PRISMA approach to ensure a clear and reliable analysis.</w:t>
      </w:r>
      <w:r w:rsidRPr="000B78E1">
        <w:rPr>
          <w:rFonts w:ascii="Arial" w:hAnsi="Arial" w:cs="Arial"/>
          <w:sz w:val="22"/>
          <w:szCs w:val="22"/>
        </w:rPr>
        <w:t xml:space="preserve"> Most of the studies focus on DFS adoption or usage but not on whether and how this usage leads to sustainable credit outcomes. </w:t>
      </w:r>
      <w:proofErr w:type="gramStart"/>
      <w:r w:rsidRPr="000B78E1">
        <w:rPr>
          <w:rFonts w:ascii="Arial" w:hAnsi="Arial" w:cs="Arial"/>
          <w:sz w:val="22"/>
          <w:szCs w:val="22"/>
        </w:rPr>
        <w:t>Also</w:t>
      </w:r>
      <w:proofErr w:type="gramEnd"/>
      <w:r w:rsidRPr="000B78E1">
        <w:rPr>
          <w:rFonts w:ascii="Arial" w:hAnsi="Arial" w:cs="Arial"/>
          <w:sz w:val="22"/>
          <w:szCs w:val="22"/>
        </w:rPr>
        <w:t xml:space="preserve"> t</w:t>
      </w:r>
      <w:r w:rsidRPr="003047F0">
        <w:rPr>
          <w:rFonts w:ascii="Arial" w:hAnsi="Arial" w:cs="Arial"/>
          <w:sz w:val="22"/>
          <w:szCs w:val="22"/>
        </w:rPr>
        <w:t xml:space="preserve">he role of </w:t>
      </w:r>
      <w:r w:rsidRPr="000B78E1">
        <w:rPr>
          <w:rFonts w:ascii="Arial" w:hAnsi="Arial" w:cs="Arial"/>
          <w:sz w:val="22"/>
          <w:szCs w:val="22"/>
        </w:rPr>
        <w:t xml:space="preserve">formal financial institutions and </w:t>
      </w:r>
      <w:r w:rsidRPr="003047F0">
        <w:rPr>
          <w:rFonts w:ascii="Arial" w:hAnsi="Arial" w:cs="Arial"/>
          <w:sz w:val="22"/>
          <w:szCs w:val="22"/>
        </w:rPr>
        <w:t>regulators in this process is</w:t>
      </w:r>
      <w:r w:rsidRPr="000B78E1">
        <w:rPr>
          <w:rFonts w:ascii="Arial" w:hAnsi="Arial" w:cs="Arial"/>
          <w:sz w:val="22"/>
          <w:szCs w:val="22"/>
        </w:rPr>
        <w:t xml:space="preserve"> </w:t>
      </w:r>
      <w:r w:rsidRPr="003047F0">
        <w:rPr>
          <w:rFonts w:ascii="Arial" w:hAnsi="Arial" w:cs="Arial"/>
          <w:sz w:val="22"/>
          <w:szCs w:val="22"/>
        </w:rPr>
        <w:t>underexplored.</w:t>
      </w:r>
    </w:p>
    <w:p w14:paraId="470FBEF6" w14:textId="77777777" w:rsidR="000F3458" w:rsidRPr="003047F0" w:rsidRDefault="000F3458" w:rsidP="000B78E1">
      <w:pPr>
        <w:spacing w:after="0" w:line="360" w:lineRule="auto"/>
        <w:jc w:val="both"/>
        <w:rPr>
          <w:rFonts w:ascii="Arial" w:hAnsi="Arial" w:cs="Arial"/>
          <w:sz w:val="22"/>
          <w:szCs w:val="22"/>
        </w:rPr>
      </w:pPr>
      <w:r w:rsidRPr="000B78E1">
        <w:rPr>
          <w:rFonts w:ascii="Arial" w:hAnsi="Arial" w:cs="Arial"/>
          <w:sz w:val="22"/>
          <w:szCs w:val="22"/>
        </w:rPr>
        <w:t>Hence t</w:t>
      </w:r>
      <w:r w:rsidRPr="003047F0">
        <w:rPr>
          <w:rFonts w:ascii="Arial" w:hAnsi="Arial" w:cs="Arial"/>
          <w:sz w:val="22"/>
          <w:szCs w:val="22"/>
        </w:rPr>
        <w:t>h</w:t>
      </w:r>
      <w:r w:rsidRPr="000B78E1">
        <w:rPr>
          <w:rFonts w:ascii="Arial" w:hAnsi="Arial" w:cs="Arial"/>
          <w:sz w:val="22"/>
          <w:szCs w:val="22"/>
        </w:rPr>
        <w:t>e</w:t>
      </w:r>
      <w:r w:rsidRPr="003047F0">
        <w:rPr>
          <w:rFonts w:ascii="Arial" w:hAnsi="Arial" w:cs="Arial"/>
          <w:sz w:val="22"/>
          <w:szCs w:val="22"/>
        </w:rPr>
        <w:t xml:space="preserve"> study aims to bridge these gaps by providing a structured understanding of how DFS relates to credit access and SME sustainability</w:t>
      </w:r>
      <w:r w:rsidRPr="000B78E1">
        <w:rPr>
          <w:rFonts w:ascii="Arial" w:hAnsi="Arial" w:cs="Arial"/>
          <w:sz w:val="22"/>
          <w:szCs w:val="22"/>
        </w:rPr>
        <w:t xml:space="preserve"> </w:t>
      </w:r>
      <w:r w:rsidRPr="003047F0">
        <w:rPr>
          <w:rFonts w:ascii="Arial" w:hAnsi="Arial" w:cs="Arial"/>
          <w:sz w:val="22"/>
          <w:szCs w:val="22"/>
        </w:rPr>
        <w:t>especially in the context of Bangladesh.</w:t>
      </w:r>
    </w:p>
    <w:p w14:paraId="39FAD7E7" w14:textId="77777777" w:rsidR="00023983" w:rsidRPr="000B78E1" w:rsidRDefault="00023983" w:rsidP="000B78E1">
      <w:pPr>
        <w:spacing w:after="0" w:line="360" w:lineRule="auto"/>
        <w:jc w:val="both"/>
        <w:rPr>
          <w:rFonts w:ascii="Arial" w:hAnsi="Arial" w:cs="Arial"/>
          <w:sz w:val="22"/>
          <w:szCs w:val="22"/>
        </w:rPr>
      </w:pPr>
    </w:p>
    <w:p w14:paraId="04D006F1" w14:textId="68A98350" w:rsidR="00AD3E7A" w:rsidRPr="000B78E1" w:rsidRDefault="0050697A" w:rsidP="000B78E1">
      <w:pPr>
        <w:spacing w:line="360" w:lineRule="auto"/>
        <w:jc w:val="both"/>
        <w:rPr>
          <w:rFonts w:ascii="Arial" w:hAnsi="Arial" w:cs="Arial"/>
          <w:b/>
          <w:bCs/>
          <w:sz w:val="22"/>
          <w:szCs w:val="22"/>
        </w:rPr>
      </w:pPr>
      <w:r>
        <w:rPr>
          <w:rFonts w:ascii="Arial" w:hAnsi="Arial" w:cs="Arial"/>
          <w:b/>
          <w:bCs/>
          <w:sz w:val="22"/>
          <w:szCs w:val="22"/>
        </w:rPr>
        <w:t>2</w:t>
      </w:r>
      <w:r w:rsidR="00EA0E16" w:rsidRPr="000B78E1">
        <w:rPr>
          <w:rFonts w:ascii="Arial" w:hAnsi="Arial" w:cs="Arial"/>
          <w:b/>
          <w:bCs/>
          <w:sz w:val="22"/>
          <w:szCs w:val="22"/>
        </w:rPr>
        <w:t xml:space="preserve">. </w:t>
      </w:r>
      <w:r w:rsidR="00AD3E7A" w:rsidRPr="000B78E1">
        <w:rPr>
          <w:rFonts w:ascii="Arial" w:hAnsi="Arial" w:cs="Arial"/>
          <w:b/>
          <w:bCs/>
          <w:sz w:val="22"/>
          <w:szCs w:val="22"/>
        </w:rPr>
        <w:t>Methodology:</w:t>
      </w:r>
    </w:p>
    <w:p w14:paraId="6DDDF432" w14:textId="23E0FC4E" w:rsidR="003D3114" w:rsidRPr="000B78E1" w:rsidRDefault="00A16A35" w:rsidP="000B78E1">
      <w:pPr>
        <w:spacing w:after="0" w:line="360" w:lineRule="auto"/>
        <w:jc w:val="both"/>
        <w:rPr>
          <w:rFonts w:ascii="Arial" w:hAnsi="Arial" w:cs="Arial"/>
          <w:sz w:val="22"/>
          <w:szCs w:val="22"/>
        </w:rPr>
      </w:pPr>
      <w:r w:rsidRPr="000B78E1">
        <w:rPr>
          <w:rFonts w:ascii="Arial" w:hAnsi="Arial" w:cs="Arial"/>
          <w:sz w:val="22"/>
          <w:szCs w:val="22"/>
        </w:rPr>
        <w:t>The stud</w:t>
      </w:r>
      <w:r w:rsidR="005604E4" w:rsidRPr="000B78E1">
        <w:rPr>
          <w:rFonts w:ascii="Arial" w:hAnsi="Arial" w:cs="Arial"/>
          <w:sz w:val="22"/>
          <w:szCs w:val="22"/>
        </w:rPr>
        <w:t xml:space="preserve">y </w:t>
      </w:r>
      <w:r w:rsidR="00A6408A" w:rsidRPr="000B78E1">
        <w:rPr>
          <w:rFonts w:ascii="Arial" w:hAnsi="Arial" w:cs="Arial"/>
          <w:sz w:val="22"/>
          <w:szCs w:val="22"/>
        </w:rPr>
        <w:t xml:space="preserve">follows </w:t>
      </w:r>
      <w:r w:rsidR="00B07CB2" w:rsidRPr="000B78E1">
        <w:rPr>
          <w:rFonts w:ascii="Arial" w:hAnsi="Arial" w:cs="Arial"/>
          <w:sz w:val="22"/>
          <w:szCs w:val="22"/>
        </w:rPr>
        <w:t xml:space="preserve">PRISMA </w:t>
      </w:r>
      <w:r w:rsidR="00A6408A" w:rsidRPr="000B78E1">
        <w:rPr>
          <w:rFonts w:ascii="Arial" w:hAnsi="Arial" w:cs="Arial"/>
          <w:sz w:val="22"/>
          <w:szCs w:val="22"/>
        </w:rPr>
        <w:t xml:space="preserve">guidelines (Moher et al., 2009) as </w:t>
      </w:r>
      <w:r w:rsidR="002173C8" w:rsidRPr="000B78E1">
        <w:rPr>
          <w:rFonts w:ascii="Arial" w:hAnsi="Arial" w:cs="Arial"/>
          <w:sz w:val="22"/>
          <w:szCs w:val="22"/>
        </w:rPr>
        <w:t>systematic literature review</w:t>
      </w:r>
      <w:r w:rsidR="00E822B8" w:rsidRPr="000B78E1">
        <w:rPr>
          <w:rFonts w:ascii="Arial" w:hAnsi="Arial" w:cs="Arial"/>
          <w:sz w:val="22"/>
          <w:szCs w:val="22"/>
        </w:rPr>
        <w:t xml:space="preserve"> methodology </w:t>
      </w:r>
      <w:r w:rsidR="00A6408A" w:rsidRPr="000B78E1">
        <w:rPr>
          <w:rFonts w:ascii="Arial" w:hAnsi="Arial" w:cs="Arial"/>
          <w:sz w:val="22"/>
          <w:szCs w:val="22"/>
        </w:rPr>
        <w:t xml:space="preserve">to </w:t>
      </w:r>
      <w:r w:rsidR="004A37BF" w:rsidRPr="000B78E1">
        <w:rPr>
          <w:rFonts w:ascii="Arial" w:hAnsi="Arial" w:cs="Arial"/>
          <w:sz w:val="22"/>
          <w:szCs w:val="22"/>
        </w:rPr>
        <w:t>find out how the previous literatures have</w:t>
      </w:r>
      <w:r w:rsidR="00960830" w:rsidRPr="000B78E1">
        <w:rPr>
          <w:rFonts w:ascii="Arial" w:hAnsi="Arial" w:cs="Arial"/>
          <w:sz w:val="22"/>
          <w:szCs w:val="22"/>
        </w:rPr>
        <w:t xml:space="preserve"> examined the relationship between digital financial services, credit access and SME sustainability, with particular attention to underlying mechanisms, contextual conditions and existing research gaps.</w:t>
      </w:r>
      <w:r w:rsidR="006715D0" w:rsidRPr="000B78E1">
        <w:rPr>
          <w:rFonts w:ascii="Arial" w:hAnsi="Arial" w:cs="Arial"/>
          <w:sz w:val="22"/>
          <w:szCs w:val="22"/>
        </w:rPr>
        <w:t xml:space="preserve"> </w:t>
      </w:r>
      <w:r w:rsidR="000F349B" w:rsidRPr="000B78E1">
        <w:rPr>
          <w:rFonts w:ascii="Arial" w:hAnsi="Arial" w:cs="Arial"/>
          <w:sz w:val="22"/>
          <w:szCs w:val="22"/>
        </w:rPr>
        <w:t xml:space="preserve">In </w:t>
      </w:r>
      <w:r w:rsidR="000230CD" w:rsidRPr="000B78E1">
        <w:rPr>
          <w:rFonts w:ascii="Arial" w:hAnsi="Arial" w:cs="Arial"/>
          <w:sz w:val="22"/>
          <w:szCs w:val="22"/>
        </w:rPr>
        <w:t xml:space="preserve">the context of social science research </w:t>
      </w:r>
      <w:r w:rsidR="00B8296D" w:rsidRPr="000B78E1">
        <w:rPr>
          <w:rFonts w:ascii="Arial" w:hAnsi="Arial" w:cs="Arial"/>
          <w:sz w:val="22"/>
          <w:szCs w:val="22"/>
        </w:rPr>
        <w:t xml:space="preserve">several studies have also utilized </w:t>
      </w:r>
      <w:r w:rsidR="00F24E32" w:rsidRPr="000B78E1">
        <w:rPr>
          <w:rFonts w:ascii="Arial" w:hAnsi="Arial" w:cs="Arial"/>
          <w:sz w:val="22"/>
          <w:szCs w:val="22"/>
        </w:rPr>
        <w:t>this process</w:t>
      </w:r>
      <w:r w:rsidR="00013595" w:rsidRPr="000B78E1">
        <w:rPr>
          <w:rFonts w:ascii="Arial" w:hAnsi="Arial" w:cs="Arial"/>
          <w:sz w:val="22"/>
          <w:szCs w:val="22"/>
        </w:rPr>
        <w:t xml:space="preserve"> for their </w:t>
      </w:r>
      <w:r w:rsidR="003D3114" w:rsidRPr="000B78E1">
        <w:rPr>
          <w:rFonts w:ascii="Arial" w:hAnsi="Arial" w:cs="Arial"/>
          <w:sz w:val="22"/>
          <w:szCs w:val="22"/>
        </w:rPr>
        <w:t xml:space="preserve">transparent </w:t>
      </w:r>
      <w:r w:rsidR="00D006C1" w:rsidRPr="000B78E1">
        <w:rPr>
          <w:rFonts w:ascii="Arial" w:hAnsi="Arial" w:cs="Arial"/>
          <w:sz w:val="22"/>
          <w:szCs w:val="22"/>
        </w:rPr>
        <w:t xml:space="preserve">approach to </w:t>
      </w:r>
      <w:r w:rsidR="00013595" w:rsidRPr="000B78E1">
        <w:rPr>
          <w:rFonts w:ascii="Arial" w:hAnsi="Arial" w:cs="Arial"/>
          <w:sz w:val="22"/>
          <w:szCs w:val="22"/>
        </w:rPr>
        <w:t xml:space="preserve">systematic literature review </w:t>
      </w:r>
      <w:r w:rsidR="00A12930" w:rsidRPr="000B78E1">
        <w:rPr>
          <w:rFonts w:ascii="Arial" w:hAnsi="Arial" w:cs="Arial"/>
          <w:sz w:val="22"/>
          <w:szCs w:val="22"/>
        </w:rPr>
        <w:t>(Crompton and Burke, 2023</w:t>
      </w:r>
      <w:r w:rsidR="003D3114" w:rsidRPr="000B78E1">
        <w:rPr>
          <w:rFonts w:ascii="Arial" w:hAnsi="Arial" w:cs="Arial"/>
          <w:sz w:val="22"/>
          <w:szCs w:val="22"/>
        </w:rPr>
        <w:t>; Sasia et al., 2024).</w:t>
      </w:r>
    </w:p>
    <w:p w14:paraId="23339704" w14:textId="77777777" w:rsidR="00023983" w:rsidRPr="000B78E1" w:rsidRDefault="00023983" w:rsidP="000B78E1">
      <w:pPr>
        <w:spacing w:after="0" w:line="360" w:lineRule="auto"/>
        <w:jc w:val="both"/>
        <w:rPr>
          <w:rFonts w:ascii="Arial" w:hAnsi="Arial" w:cs="Arial"/>
          <w:sz w:val="22"/>
          <w:szCs w:val="22"/>
        </w:rPr>
      </w:pPr>
    </w:p>
    <w:p w14:paraId="0396445F" w14:textId="376E130D" w:rsidR="00A12930" w:rsidRPr="000B78E1" w:rsidRDefault="0050697A" w:rsidP="000B78E1">
      <w:pPr>
        <w:spacing w:line="360" w:lineRule="auto"/>
        <w:jc w:val="both"/>
        <w:rPr>
          <w:rFonts w:ascii="Arial" w:hAnsi="Arial" w:cs="Arial"/>
          <w:b/>
          <w:bCs/>
          <w:sz w:val="22"/>
          <w:szCs w:val="22"/>
        </w:rPr>
      </w:pPr>
      <w:r>
        <w:rPr>
          <w:rFonts w:ascii="Arial" w:hAnsi="Arial" w:cs="Arial"/>
          <w:b/>
          <w:bCs/>
          <w:sz w:val="22"/>
          <w:szCs w:val="22"/>
        </w:rPr>
        <w:t>2</w:t>
      </w:r>
      <w:r w:rsidR="00CC73BB" w:rsidRPr="000B78E1">
        <w:rPr>
          <w:rFonts w:ascii="Arial" w:hAnsi="Arial" w:cs="Arial"/>
          <w:b/>
          <w:bCs/>
          <w:sz w:val="22"/>
          <w:szCs w:val="22"/>
        </w:rPr>
        <w:t>.1 Database Se</w:t>
      </w:r>
      <w:r w:rsidR="009B69D8" w:rsidRPr="000B78E1">
        <w:rPr>
          <w:rFonts w:ascii="Arial" w:hAnsi="Arial" w:cs="Arial"/>
          <w:b/>
          <w:bCs/>
          <w:sz w:val="22"/>
          <w:szCs w:val="22"/>
        </w:rPr>
        <w:t>l</w:t>
      </w:r>
      <w:r w:rsidR="00CC73BB" w:rsidRPr="000B78E1">
        <w:rPr>
          <w:rFonts w:ascii="Arial" w:hAnsi="Arial" w:cs="Arial"/>
          <w:b/>
          <w:bCs/>
          <w:sz w:val="22"/>
          <w:szCs w:val="22"/>
        </w:rPr>
        <w:t xml:space="preserve">ection and </w:t>
      </w:r>
      <w:r w:rsidR="009B69D8" w:rsidRPr="000B78E1">
        <w:rPr>
          <w:rFonts w:ascii="Arial" w:hAnsi="Arial" w:cs="Arial"/>
          <w:b/>
          <w:bCs/>
          <w:sz w:val="22"/>
          <w:szCs w:val="22"/>
        </w:rPr>
        <w:t>Search Strategy:</w:t>
      </w:r>
    </w:p>
    <w:p w14:paraId="54858BCE" w14:textId="468BFC18" w:rsidR="00DD55EE" w:rsidRPr="000B78E1" w:rsidRDefault="008F2C39" w:rsidP="000B78E1">
      <w:pPr>
        <w:spacing w:line="360" w:lineRule="auto"/>
        <w:jc w:val="both"/>
        <w:rPr>
          <w:rFonts w:ascii="Arial" w:hAnsi="Arial" w:cs="Arial"/>
          <w:sz w:val="22"/>
          <w:szCs w:val="22"/>
        </w:rPr>
      </w:pPr>
      <w:r w:rsidRPr="000B78E1">
        <w:rPr>
          <w:rFonts w:ascii="Arial" w:hAnsi="Arial" w:cs="Arial"/>
          <w:sz w:val="22"/>
          <w:szCs w:val="22"/>
        </w:rPr>
        <w:t>The literature</w:t>
      </w:r>
      <w:r w:rsidR="003B5550" w:rsidRPr="000B78E1">
        <w:rPr>
          <w:rFonts w:ascii="Arial" w:hAnsi="Arial" w:cs="Arial"/>
          <w:sz w:val="22"/>
          <w:szCs w:val="22"/>
        </w:rPr>
        <w:t>s</w:t>
      </w:r>
      <w:r w:rsidRPr="000B78E1">
        <w:rPr>
          <w:rFonts w:ascii="Arial" w:hAnsi="Arial" w:cs="Arial"/>
          <w:sz w:val="22"/>
          <w:szCs w:val="22"/>
        </w:rPr>
        <w:t xml:space="preserve"> were primarily sourced from Google Scholar</w:t>
      </w:r>
      <w:r w:rsidR="00EB2C4A" w:rsidRPr="000B78E1">
        <w:rPr>
          <w:rFonts w:ascii="Arial" w:hAnsi="Arial" w:cs="Arial"/>
          <w:sz w:val="22"/>
          <w:szCs w:val="22"/>
        </w:rPr>
        <w:t xml:space="preserve">, a </w:t>
      </w:r>
      <w:r w:rsidR="001D0F1A" w:rsidRPr="000B78E1">
        <w:rPr>
          <w:rFonts w:ascii="Arial" w:hAnsi="Arial" w:cs="Arial"/>
          <w:sz w:val="22"/>
          <w:szCs w:val="22"/>
        </w:rPr>
        <w:t xml:space="preserve">renowned </w:t>
      </w:r>
      <w:r w:rsidR="00625056" w:rsidRPr="000B78E1">
        <w:rPr>
          <w:rFonts w:ascii="Arial" w:hAnsi="Arial" w:cs="Arial"/>
          <w:sz w:val="22"/>
          <w:szCs w:val="22"/>
        </w:rPr>
        <w:t xml:space="preserve">and dependable </w:t>
      </w:r>
      <w:r w:rsidR="007371A0" w:rsidRPr="000B78E1">
        <w:rPr>
          <w:rFonts w:ascii="Arial" w:hAnsi="Arial" w:cs="Arial"/>
          <w:sz w:val="22"/>
          <w:szCs w:val="22"/>
        </w:rPr>
        <w:t>database</w:t>
      </w:r>
      <w:r w:rsidR="00006AE2" w:rsidRPr="000B78E1">
        <w:rPr>
          <w:rFonts w:ascii="Arial" w:hAnsi="Arial" w:cs="Arial"/>
          <w:sz w:val="22"/>
          <w:szCs w:val="22"/>
        </w:rPr>
        <w:t xml:space="preserve"> </w:t>
      </w:r>
      <w:r w:rsidR="00335567" w:rsidRPr="000B78E1">
        <w:rPr>
          <w:rFonts w:ascii="Arial" w:hAnsi="Arial" w:cs="Arial"/>
          <w:sz w:val="22"/>
          <w:szCs w:val="22"/>
        </w:rPr>
        <w:t xml:space="preserve">having extensive </w:t>
      </w:r>
      <w:r w:rsidR="00190038" w:rsidRPr="000B78E1">
        <w:rPr>
          <w:rFonts w:ascii="Arial" w:hAnsi="Arial" w:cs="Arial"/>
          <w:sz w:val="22"/>
          <w:szCs w:val="22"/>
        </w:rPr>
        <w:t>collection of</w:t>
      </w:r>
      <w:r w:rsidR="00D829B0" w:rsidRPr="000B78E1">
        <w:rPr>
          <w:rFonts w:ascii="Arial" w:hAnsi="Arial" w:cs="Arial"/>
          <w:sz w:val="22"/>
          <w:szCs w:val="22"/>
        </w:rPr>
        <w:t xml:space="preserve"> high-quality, peer-</w:t>
      </w:r>
      <w:r w:rsidR="007371A0" w:rsidRPr="000B78E1">
        <w:rPr>
          <w:rFonts w:ascii="Arial" w:hAnsi="Arial" w:cs="Arial"/>
          <w:sz w:val="22"/>
          <w:szCs w:val="22"/>
        </w:rPr>
        <w:t xml:space="preserve">reviewed </w:t>
      </w:r>
      <w:r w:rsidR="0003446C" w:rsidRPr="000B78E1">
        <w:rPr>
          <w:rFonts w:ascii="Arial" w:hAnsi="Arial" w:cs="Arial"/>
          <w:sz w:val="22"/>
          <w:szCs w:val="22"/>
        </w:rPr>
        <w:t>journal articles</w:t>
      </w:r>
      <w:r w:rsidR="00625056" w:rsidRPr="000B78E1">
        <w:rPr>
          <w:rFonts w:ascii="Arial" w:hAnsi="Arial" w:cs="Arial"/>
          <w:sz w:val="22"/>
          <w:szCs w:val="22"/>
        </w:rPr>
        <w:t>, conference paper and books</w:t>
      </w:r>
      <w:r w:rsidR="00190038" w:rsidRPr="000B78E1">
        <w:rPr>
          <w:rFonts w:ascii="Arial" w:hAnsi="Arial" w:cs="Arial"/>
          <w:sz w:val="22"/>
          <w:szCs w:val="22"/>
        </w:rPr>
        <w:t xml:space="preserve">. In addition to that </w:t>
      </w:r>
      <w:r w:rsidR="00A0010D" w:rsidRPr="000B78E1">
        <w:rPr>
          <w:rFonts w:ascii="Arial" w:hAnsi="Arial" w:cs="Arial"/>
          <w:sz w:val="22"/>
          <w:szCs w:val="22"/>
        </w:rPr>
        <w:t xml:space="preserve">some literatures were also sourced from </w:t>
      </w:r>
      <w:r w:rsidR="008277F4" w:rsidRPr="000B78E1">
        <w:rPr>
          <w:rFonts w:ascii="Arial" w:hAnsi="Arial" w:cs="Arial"/>
          <w:sz w:val="22"/>
          <w:szCs w:val="22"/>
        </w:rPr>
        <w:t xml:space="preserve">Research Gate, Science Direct and </w:t>
      </w:r>
      <w:r w:rsidR="00A0010D" w:rsidRPr="000B78E1">
        <w:rPr>
          <w:rFonts w:ascii="Arial" w:hAnsi="Arial" w:cs="Arial"/>
          <w:sz w:val="22"/>
          <w:szCs w:val="22"/>
        </w:rPr>
        <w:t xml:space="preserve">University library catalogues as a support database. </w:t>
      </w:r>
      <w:r w:rsidR="00B548E4" w:rsidRPr="000B78E1">
        <w:rPr>
          <w:rFonts w:ascii="Arial" w:hAnsi="Arial" w:cs="Arial"/>
          <w:sz w:val="22"/>
          <w:szCs w:val="22"/>
        </w:rPr>
        <w:t xml:space="preserve">Following the </w:t>
      </w:r>
      <w:r w:rsidR="00C46CAF" w:rsidRPr="000B78E1">
        <w:rPr>
          <w:rFonts w:ascii="Arial" w:hAnsi="Arial" w:cs="Arial"/>
          <w:sz w:val="22"/>
          <w:szCs w:val="22"/>
        </w:rPr>
        <w:t xml:space="preserve">review protocol of </w:t>
      </w:r>
      <w:r w:rsidR="00196BD5" w:rsidRPr="000B78E1">
        <w:rPr>
          <w:rFonts w:ascii="Arial" w:hAnsi="Arial" w:cs="Arial"/>
          <w:sz w:val="22"/>
          <w:szCs w:val="22"/>
        </w:rPr>
        <w:t>Roy-</w:t>
      </w:r>
      <w:proofErr w:type="spellStart"/>
      <w:r w:rsidR="00196BD5" w:rsidRPr="000B78E1">
        <w:rPr>
          <w:rFonts w:ascii="Arial" w:hAnsi="Arial" w:cs="Arial"/>
          <w:sz w:val="22"/>
          <w:szCs w:val="22"/>
        </w:rPr>
        <w:t>Hubara</w:t>
      </w:r>
      <w:proofErr w:type="spellEnd"/>
      <w:r w:rsidR="00196BD5" w:rsidRPr="000B78E1">
        <w:rPr>
          <w:rFonts w:ascii="Arial" w:hAnsi="Arial" w:cs="Arial"/>
          <w:sz w:val="22"/>
          <w:szCs w:val="22"/>
        </w:rPr>
        <w:t xml:space="preserve"> and Sturm (2020) </w:t>
      </w:r>
      <w:r w:rsidR="000064EC" w:rsidRPr="000B78E1">
        <w:rPr>
          <w:rFonts w:ascii="Arial" w:hAnsi="Arial" w:cs="Arial"/>
          <w:sz w:val="22"/>
          <w:szCs w:val="22"/>
        </w:rPr>
        <w:t xml:space="preserve">here the following </w:t>
      </w:r>
      <w:r w:rsidR="00C13C91" w:rsidRPr="000B78E1">
        <w:rPr>
          <w:rFonts w:ascii="Arial" w:hAnsi="Arial" w:cs="Arial"/>
          <w:sz w:val="22"/>
          <w:szCs w:val="22"/>
        </w:rPr>
        <w:t xml:space="preserve">key words </w:t>
      </w:r>
      <w:r w:rsidR="00C13C91" w:rsidRPr="000B78E1">
        <w:rPr>
          <w:rFonts w:ascii="Arial" w:hAnsi="Arial" w:cs="Arial"/>
          <w:sz w:val="22"/>
          <w:szCs w:val="22"/>
        </w:rPr>
        <w:lastRenderedPageBreak/>
        <w:t xml:space="preserve">were used: </w:t>
      </w:r>
      <w:r w:rsidR="00DD55EE" w:rsidRPr="000B78E1">
        <w:rPr>
          <w:rFonts w:ascii="Arial" w:hAnsi="Arial" w:cs="Arial"/>
          <w:sz w:val="22"/>
          <w:szCs w:val="22"/>
        </w:rPr>
        <w:t>"digital financial services" OR "mobile money" OR "agent banking"</w:t>
      </w:r>
      <w:r w:rsidR="002B0661" w:rsidRPr="000B78E1">
        <w:rPr>
          <w:rFonts w:ascii="Arial" w:hAnsi="Arial" w:cs="Arial"/>
          <w:sz w:val="22"/>
          <w:szCs w:val="22"/>
        </w:rPr>
        <w:t xml:space="preserve">, </w:t>
      </w:r>
      <w:r w:rsidR="00DD55EE" w:rsidRPr="000B78E1">
        <w:rPr>
          <w:rFonts w:ascii="Arial" w:hAnsi="Arial" w:cs="Arial"/>
          <w:sz w:val="22"/>
          <w:szCs w:val="22"/>
        </w:rPr>
        <w:t>AND "SME" OR "small business"</w:t>
      </w:r>
      <w:r w:rsidR="002B0661" w:rsidRPr="000B78E1">
        <w:rPr>
          <w:rFonts w:ascii="Arial" w:hAnsi="Arial" w:cs="Arial"/>
          <w:sz w:val="22"/>
          <w:szCs w:val="22"/>
        </w:rPr>
        <w:t xml:space="preserve">, </w:t>
      </w:r>
      <w:r w:rsidR="00DD55EE" w:rsidRPr="000B78E1">
        <w:rPr>
          <w:rFonts w:ascii="Arial" w:hAnsi="Arial" w:cs="Arial"/>
          <w:sz w:val="22"/>
          <w:szCs w:val="22"/>
        </w:rPr>
        <w:t>AND "credit access" OR "finance access"</w:t>
      </w:r>
      <w:r w:rsidR="002B0661" w:rsidRPr="000B78E1">
        <w:rPr>
          <w:rFonts w:ascii="Arial" w:hAnsi="Arial" w:cs="Arial"/>
          <w:sz w:val="22"/>
          <w:szCs w:val="22"/>
        </w:rPr>
        <w:t xml:space="preserve">, </w:t>
      </w:r>
      <w:r w:rsidR="00DD55EE" w:rsidRPr="000B78E1">
        <w:rPr>
          <w:rFonts w:ascii="Arial" w:hAnsi="Arial" w:cs="Arial"/>
          <w:sz w:val="22"/>
          <w:szCs w:val="22"/>
        </w:rPr>
        <w:t>AND</w:t>
      </w:r>
      <w:r w:rsidR="002B0661" w:rsidRPr="000B78E1">
        <w:rPr>
          <w:rFonts w:ascii="Arial" w:hAnsi="Arial" w:cs="Arial"/>
          <w:sz w:val="22"/>
          <w:szCs w:val="22"/>
        </w:rPr>
        <w:t xml:space="preserve"> </w:t>
      </w:r>
      <w:r w:rsidR="00DD55EE" w:rsidRPr="000B78E1">
        <w:rPr>
          <w:rFonts w:ascii="Arial" w:hAnsi="Arial" w:cs="Arial"/>
          <w:sz w:val="22"/>
          <w:szCs w:val="22"/>
        </w:rPr>
        <w:t xml:space="preserve"> "Bangladesh" OR "</w:t>
      </w:r>
      <w:r w:rsidR="002B0661" w:rsidRPr="000B78E1">
        <w:rPr>
          <w:rFonts w:ascii="Arial" w:hAnsi="Arial" w:cs="Arial"/>
          <w:sz w:val="22"/>
          <w:szCs w:val="22"/>
        </w:rPr>
        <w:t>emerging economies</w:t>
      </w:r>
      <w:r w:rsidR="00DD55EE" w:rsidRPr="000B78E1">
        <w:rPr>
          <w:rFonts w:ascii="Arial" w:hAnsi="Arial" w:cs="Arial"/>
          <w:sz w:val="22"/>
          <w:szCs w:val="22"/>
        </w:rPr>
        <w:t>"</w:t>
      </w:r>
      <w:r w:rsidR="00EE3E8E" w:rsidRPr="000B78E1">
        <w:rPr>
          <w:rFonts w:ascii="Arial" w:hAnsi="Arial" w:cs="Arial"/>
          <w:sz w:val="22"/>
          <w:szCs w:val="22"/>
        </w:rPr>
        <w:t xml:space="preserve"> to retrieve most related literatures to research questions.</w:t>
      </w:r>
    </w:p>
    <w:p w14:paraId="7F00153C" w14:textId="15758D0F" w:rsidR="0050799D" w:rsidRPr="000B78E1" w:rsidRDefault="0050697A" w:rsidP="000B78E1">
      <w:pPr>
        <w:spacing w:line="360" w:lineRule="auto"/>
        <w:jc w:val="both"/>
        <w:rPr>
          <w:rFonts w:ascii="Arial" w:hAnsi="Arial" w:cs="Arial"/>
          <w:b/>
          <w:bCs/>
          <w:sz w:val="22"/>
          <w:szCs w:val="22"/>
        </w:rPr>
      </w:pPr>
      <w:r>
        <w:rPr>
          <w:rFonts w:ascii="Arial" w:hAnsi="Arial" w:cs="Arial"/>
          <w:b/>
          <w:bCs/>
          <w:sz w:val="22"/>
          <w:szCs w:val="22"/>
        </w:rPr>
        <w:t>2</w:t>
      </w:r>
      <w:r w:rsidR="008C4E26" w:rsidRPr="000B78E1">
        <w:rPr>
          <w:rFonts w:ascii="Arial" w:hAnsi="Arial" w:cs="Arial"/>
          <w:b/>
          <w:bCs/>
          <w:sz w:val="22"/>
          <w:szCs w:val="22"/>
        </w:rPr>
        <w:t xml:space="preserve">.2. </w:t>
      </w:r>
      <w:r w:rsidR="00603432" w:rsidRPr="000B78E1">
        <w:rPr>
          <w:rFonts w:ascii="Arial" w:hAnsi="Arial" w:cs="Arial"/>
          <w:b/>
          <w:bCs/>
          <w:sz w:val="22"/>
          <w:szCs w:val="22"/>
        </w:rPr>
        <w:t>Inclusion and Exclusion Criteria:</w:t>
      </w:r>
    </w:p>
    <w:p w14:paraId="286E5080" w14:textId="77777777" w:rsidR="00D620FD" w:rsidRPr="000B78E1" w:rsidRDefault="007418E6" w:rsidP="000B78E1">
      <w:pPr>
        <w:spacing w:line="360" w:lineRule="auto"/>
        <w:jc w:val="both"/>
        <w:rPr>
          <w:rFonts w:ascii="Arial" w:hAnsi="Arial" w:cs="Arial"/>
          <w:sz w:val="22"/>
          <w:szCs w:val="22"/>
        </w:rPr>
      </w:pPr>
      <w:r w:rsidRPr="000B78E1">
        <w:rPr>
          <w:rFonts w:ascii="Arial" w:hAnsi="Arial" w:cs="Arial"/>
          <w:sz w:val="22"/>
          <w:szCs w:val="22"/>
        </w:rPr>
        <w:t>Only peer reviewed articles</w:t>
      </w:r>
      <w:r w:rsidR="00702865" w:rsidRPr="000B78E1">
        <w:rPr>
          <w:rFonts w:ascii="Arial" w:hAnsi="Arial" w:cs="Arial"/>
          <w:sz w:val="22"/>
          <w:szCs w:val="22"/>
        </w:rPr>
        <w:t xml:space="preserve"> </w:t>
      </w:r>
      <w:r w:rsidR="00126366" w:rsidRPr="000B78E1">
        <w:rPr>
          <w:rFonts w:ascii="Arial" w:hAnsi="Arial" w:cs="Arial"/>
          <w:sz w:val="22"/>
          <w:szCs w:val="22"/>
        </w:rPr>
        <w:t xml:space="preserve">were selected for this </w:t>
      </w:r>
      <w:r w:rsidR="001E794C" w:rsidRPr="000B78E1">
        <w:rPr>
          <w:rFonts w:ascii="Arial" w:hAnsi="Arial" w:cs="Arial"/>
          <w:sz w:val="22"/>
          <w:szCs w:val="22"/>
        </w:rPr>
        <w:t>review</w:t>
      </w:r>
      <w:r w:rsidR="00126366" w:rsidRPr="000B78E1">
        <w:rPr>
          <w:rFonts w:ascii="Arial" w:hAnsi="Arial" w:cs="Arial"/>
          <w:sz w:val="22"/>
          <w:szCs w:val="22"/>
        </w:rPr>
        <w:t xml:space="preserve"> to ensure </w:t>
      </w:r>
      <w:r w:rsidR="00443283" w:rsidRPr="000B78E1">
        <w:rPr>
          <w:rFonts w:ascii="Arial" w:hAnsi="Arial" w:cs="Arial"/>
          <w:sz w:val="22"/>
          <w:szCs w:val="22"/>
        </w:rPr>
        <w:t xml:space="preserve">quality </w:t>
      </w:r>
      <w:r w:rsidR="001E794C" w:rsidRPr="000B78E1">
        <w:rPr>
          <w:rFonts w:ascii="Arial" w:hAnsi="Arial" w:cs="Arial"/>
          <w:sz w:val="22"/>
          <w:szCs w:val="22"/>
        </w:rPr>
        <w:t xml:space="preserve">and trustworthiness of the study </w:t>
      </w:r>
      <w:r w:rsidR="00472C00" w:rsidRPr="000B78E1">
        <w:rPr>
          <w:rFonts w:ascii="Arial" w:hAnsi="Arial" w:cs="Arial"/>
          <w:sz w:val="22"/>
          <w:szCs w:val="22"/>
        </w:rPr>
        <w:t>(Tennant, 2018).</w:t>
      </w:r>
      <w:r w:rsidR="00B671D6" w:rsidRPr="000B78E1">
        <w:rPr>
          <w:rFonts w:ascii="Arial" w:hAnsi="Arial" w:cs="Arial"/>
          <w:sz w:val="22"/>
          <w:szCs w:val="22"/>
        </w:rPr>
        <w:t xml:space="preserve"> The search focus was </w:t>
      </w:r>
      <w:r w:rsidR="007F671A" w:rsidRPr="000B78E1">
        <w:rPr>
          <w:rFonts w:ascii="Arial" w:hAnsi="Arial" w:cs="Arial"/>
          <w:sz w:val="22"/>
          <w:szCs w:val="22"/>
        </w:rPr>
        <w:t xml:space="preserve">on the articles published within 2020 to 2026 to ensure that the study was up to date </w:t>
      </w:r>
      <w:r w:rsidR="002724C5" w:rsidRPr="000B78E1">
        <w:rPr>
          <w:rFonts w:ascii="Arial" w:hAnsi="Arial" w:cs="Arial"/>
          <w:sz w:val="22"/>
          <w:szCs w:val="22"/>
        </w:rPr>
        <w:t>due to the rapid change of technology as well as its changing nature of associated studies linking credit lending mechanisms and sustainability.</w:t>
      </w:r>
    </w:p>
    <w:p w14:paraId="451A14A6" w14:textId="0D833F72" w:rsidR="00060237" w:rsidRPr="000B78E1" w:rsidRDefault="00D620FD" w:rsidP="000B78E1">
      <w:pPr>
        <w:spacing w:line="360" w:lineRule="auto"/>
        <w:jc w:val="both"/>
        <w:rPr>
          <w:rFonts w:ascii="Arial" w:hAnsi="Arial" w:cs="Arial"/>
          <w:sz w:val="22"/>
          <w:szCs w:val="22"/>
        </w:rPr>
      </w:pPr>
      <w:r w:rsidRPr="000B78E1">
        <w:rPr>
          <w:rFonts w:ascii="Arial" w:hAnsi="Arial" w:cs="Arial"/>
          <w:sz w:val="22"/>
          <w:szCs w:val="22"/>
        </w:rPr>
        <w:t xml:space="preserve">During selection papers related </w:t>
      </w:r>
      <w:r w:rsidR="00F91ADF" w:rsidRPr="000B78E1">
        <w:rPr>
          <w:rFonts w:ascii="Arial" w:hAnsi="Arial" w:cs="Arial"/>
          <w:sz w:val="22"/>
          <w:szCs w:val="22"/>
        </w:rPr>
        <w:t>to purely</w:t>
      </w:r>
      <w:r w:rsidR="0016783F" w:rsidRPr="000B78E1">
        <w:rPr>
          <w:rFonts w:ascii="Arial" w:hAnsi="Arial" w:cs="Arial"/>
          <w:sz w:val="22"/>
          <w:szCs w:val="22"/>
        </w:rPr>
        <w:t xml:space="preserve"> technical fintech papers</w:t>
      </w:r>
      <w:r w:rsidR="0098747B" w:rsidRPr="000B78E1">
        <w:rPr>
          <w:rFonts w:ascii="Arial" w:hAnsi="Arial" w:cs="Arial"/>
          <w:sz w:val="22"/>
          <w:szCs w:val="22"/>
        </w:rPr>
        <w:t>, microfinance-only as well as business sustainability studies without SME were excluded.</w:t>
      </w:r>
    </w:p>
    <w:tbl>
      <w:tblPr>
        <w:tblStyle w:val="TableGrid"/>
        <w:tblW w:w="0" w:type="auto"/>
        <w:tblLook w:val="04A0" w:firstRow="1" w:lastRow="0" w:firstColumn="1" w:lastColumn="0" w:noHBand="0" w:noVBand="1"/>
      </w:tblPr>
      <w:tblGrid>
        <w:gridCol w:w="4508"/>
        <w:gridCol w:w="4508"/>
      </w:tblGrid>
      <w:tr w:rsidR="00DA74D3" w:rsidRPr="000B78E1" w14:paraId="4FD42FB6" w14:textId="77777777" w:rsidTr="005133C5">
        <w:tc>
          <w:tcPr>
            <w:tcW w:w="4508" w:type="dxa"/>
            <w:tcBorders>
              <w:top w:val="single" w:sz="4" w:space="0" w:color="auto"/>
              <w:left w:val="nil"/>
              <w:bottom w:val="single" w:sz="4" w:space="0" w:color="auto"/>
              <w:right w:val="nil"/>
            </w:tcBorders>
            <w:shd w:val="clear" w:color="auto" w:fill="E8E8E8" w:themeFill="background2"/>
          </w:tcPr>
          <w:p w14:paraId="7CF4C63F" w14:textId="16CB0F38" w:rsidR="00DA74D3" w:rsidRPr="000B78E1" w:rsidRDefault="00056491" w:rsidP="000B78E1">
            <w:pPr>
              <w:spacing w:line="360" w:lineRule="auto"/>
              <w:jc w:val="center"/>
              <w:rPr>
                <w:rFonts w:ascii="Arial" w:hAnsi="Arial" w:cs="Arial"/>
                <w:b/>
                <w:bCs/>
                <w:sz w:val="22"/>
                <w:szCs w:val="22"/>
              </w:rPr>
            </w:pPr>
            <w:r w:rsidRPr="000B78E1">
              <w:rPr>
                <w:rFonts w:ascii="Arial" w:hAnsi="Arial" w:cs="Arial"/>
                <w:b/>
                <w:bCs/>
                <w:sz w:val="22"/>
                <w:szCs w:val="22"/>
              </w:rPr>
              <w:t>Inclusion</w:t>
            </w:r>
          </w:p>
        </w:tc>
        <w:tc>
          <w:tcPr>
            <w:tcW w:w="4508" w:type="dxa"/>
            <w:tcBorders>
              <w:top w:val="single" w:sz="4" w:space="0" w:color="auto"/>
              <w:left w:val="nil"/>
              <w:bottom w:val="single" w:sz="4" w:space="0" w:color="auto"/>
              <w:right w:val="nil"/>
            </w:tcBorders>
            <w:shd w:val="clear" w:color="auto" w:fill="E8E8E8" w:themeFill="background2"/>
          </w:tcPr>
          <w:p w14:paraId="55664790" w14:textId="12FFB9F0" w:rsidR="00DA74D3" w:rsidRPr="000B78E1" w:rsidRDefault="00056491" w:rsidP="000B78E1">
            <w:pPr>
              <w:spacing w:line="360" w:lineRule="auto"/>
              <w:jc w:val="center"/>
              <w:rPr>
                <w:rFonts w:ascii="Arial" w:hAnsi="Arial" w:cs="Arial"/>
                <w:b/>
                <w:bCs/>
                <w:sz w:val="22"/>
                <w:szCs w:val="22"/>
              </w:rPr>
            </w:pPr>
            <w:r w:rsidRPr="000B78E1">
              <w:rPr>
                <w:rFonts w:ascii="Arial" w:hAnsi="Arial" w:cs="Arial"/>
                <w:b/>
                <w:bCs/>
                <w:sz w:val="22"/>
                <w:szCs w:val="22"/>
              </w:rPr>
              <w:t>Exclusion</w:t>
            </w:r>
          </w:p>
        </w:tc>
      </w:tr>
      <w:tr w:rsidR="00DA74D3" w:rsidRPr="000B78E1" w14:paraId="018E57D1" w14:textId="77777777" w:rsidTr="00076175">
        <w:tc>
          <w:tcPr>
            <w:tcW w:w="4508" w:type="dxa"/>
            <w:tcBorders>
              <w:top w:val="single" w:sz="4" w:space="0" w:color="auto"/>
              <w:left w:val="nil"/>
              <w:bottom w:val="nil"/>
              <w:right w:val="nil"/>
            </w:tcBorders>
          </w:tcPr>
          <w:p w14:paraId="1A372F23" w14:textId="0CCFCB6B" w:rsidR="00DA74D3" w:rsidRPr="000B78E1" w:rsidRDefault="000B65C7"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Peer reviewed articles</w:t>
            </w:r>
          </w:p>
        </w:tc>
        <w:tc>
          <w:tcPr>
            <w:tcW w:w="4508" w:type="dxa"/>
            <w:tcBorders>
              <w:top w:val="single" w:sz="4" w:space="0" w:color="auto"/>
              <w:left w:val="nil"/>
              <w:bottom w:val="nil"/>
              <w:right w:val="nil"/>
            </w:tcBorders>
          </w:tcPr>
          <w:p w14:paraId="52181945" w14:textId="25D7DE5C" w:rsidR="00DA74D3" w:rsidRPr="000B78E1" w:rsidRDefault="004C58A8"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Purely technical fintech papers</w:t>
            </w:r>
          </w:p>
        </w:tc>
      </w:tr>
      <w:tr w:rsidR="00DA74D3" w:rsidRPr="000B78E1" w14:paraId="1708C50F" w14:textId="77777777" w:rsidTr="002C193F">
        <w:tc>
          <w:tcPr>
            <w:tcW w:w="4508" w:type="dxa"/>
            <w:tcBorders>
              <w:top w:val="nil"/>
              <w:left w:val="nil"/>
              <w:bottom w:val="nil"/>
              <w:right w:val="nil"/>
            </w:tcBorders>
          </w:tcPr>
          <w:p w14:paraId="4CCBA80B" w14:textId="6049B736" w:rsidR="00DA74D3" w:rsidRPr="000B78E1" w:rsidRDefault="00B52583"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Original research</w:t>
            </w:r>
          </w:p>
        </w:tc>
        <w:tc>
          <w:tcPr>
            <w:tcW w:w="4508" w:type="dxa"/>
            <w:tcBorders>
              <w:top w:val="nil"/>
              <w:left w:val="nil"/>
              <w:bottom w:val="nil"/>
              <w:right w:val="nil"/>
            </w:tcBorders>
          </w:tcPr>
          <w:p w14:paraId="3BFA93E6" w14:textId="1A0074B4" w:rsidR="00DA74D3" w:rsidRPr="000B78E1" w:rsidRDefault="0002406A"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microfinance-only</w:t>
            </w:r>
          </w:p>
        </w:tc>
      </w:tr>
      <w:tr w:rsidR="00DA74D3" w:rsidRPr="000B78E1" w14:paraId="7E07AFD6" w14:textId="77777777" w:rsidTr="002C193F">
        <w:tc>
          <w:tcPr>
            <w:tcW w:w="4508" w:type="dxa"/>
            <w:tcBorders>
              <w:top w:val="nil"/>
              <w:left w:val="nil"/>
              <w:bottom w:val="nil"/>
              <w:right w:val="nil"/>
            </w:tcBorders>
          </w:tcPr>
          <w:p w14:paraId="467C9682" w14:textId="45D74691" w:rsidR="00DA74D3" w:rsidRPr="000B78E1" w:rsidRDefault="00B52583"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Related to DFS</w:t>
            </w:r>
            <w:r w:rsidR="00BC5960" w:rsidRPr="000B78E1">
              <w:rPr>
                <w:rFonts w:ascii="Arial" w:hAnsi="Arial" w:cs="Arial"/>
                <w:sz w:val="22"/>
                <w:szCs w:val="22"/>
              </w:rPr>
              <w:t>, SME, Credit access and Sustainability</w:t>
            </w:r>
          </w:p>
        </w:tc>
        <w:tc>
          <w:tcPr>
            <w:tcW w:w="4508" w:type="dxa"/>
            <w:tcBorders>
              <w:top w:val="nil"/>
              <w:left w:val="nil"/>
              <w:bottom w:val="nil"/>
              <w:right w:val="nil"/>
            </w:tcBorders>
          </w:tcPr>
          <w:p w14:paraId="34A6CCB3" w14:textId="421DAA1D" w:rsidR="00DA74D3" w:rsidRPr="000B78E1" w:rsidRDefault="0002406A"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business sustainability studies without SME</w:t>
            </w:r>
          </w:p>
        </w:tc>
      </w:tr>
      <w:tr w:rsidR="00DA74D3" w:rsidRPr="000B78E1" w14:paraId="0AAAF437" w14:textId="77777777" w:rsidTr="002C193F">
        <w:tc>
          <w:tcPr>
            <w:tcW w:w="4508" w:type="dxa"/>
            <w:tcBorders>
              <w:top w:val="nil"/>
              <w:left w:val="nil"/>
              <w:bottom w:val="nil"/>
              <w:right w:val="nil"/>
            </w:tcBorders>
          </w:tcPr>
          <w:p w14:paraId="07F1A985" w14:textId="23865ED8" w:rsidR="00DA74D3" w:rsidRPr="000B78E1" w:rsidRDefault="0095130A"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 xml:space="preserve">Articles published </w:t>
            </w:r>
            <w:r w:rsidRPr="00AE6455">
              <w:rPr>
                <w:rFonts w:ascii="Arial" w:hAnsi="Arial" w:cs="Arial"/>
                <w:sz w:val="22"/>
                <w:szCs w:val="22"/>
              </w:rPr>
              <w:t xml:space="preserve">within </w:t>
            </w:r>
            <w:r w:rsidR="00C56A0F" w:rsidRPr="00AE6455">
              <w:rPr>
                <w:rFonts w:ascii="Arial" w:hAnsi="Arial" w:cs="Arial"/>
                <w:sz w:val="22"/>
                <w:szCs w:val="22"/>
              </w:rPr>
              <w:t>2020</w:t>
            </w:r>
            <w:r w:rsidR="00C56A0F" w:rsidRPr="000B78E1">
              <w:rPr>
                <w:rFonts w:ascii="Arial" w:hAnsi="Arial" w:cs="Arial"/>
                <w:sz w:val="22"/>
                <w:szCs w:val="22"/>
              </w:rPr>
              <w:t xml:space="preserve"> to 2026</w:t>
            </w:r>
          </w:p>
        </w:tc>
        <w:tc>
          <w:tcPr>
            <w:tcW w:w="4508" w:type="dxa"/>
            <w:tcBorders>
              <w:top w:val="nil"/>
              <w:left w:val="nil"/>
              <w:bottom w:val="nil"/>
              <w:right w:val="nil"/>
            </w:tcBorders>
          </w:tcPr>
          <w:p w14:paraId="5D0101B2" w14:textId="77777777" w:rsidR="00DA74D3" w:rsidRPr="000B78E1" w:rsidRDefault="00DA74D3" w:rsidP="000B78E1">
            <w:pPr>
              <w:spacing w:line="360" w:lineRule="auto"/>
              <w:jc w:val="both"/>
              <w:rPr>
                <w:rFonts w:ascii="Arial" w:hAnsi="Arial" w:cs="Arial"/>
                <w:sz w:val="22"/>
                <w:szCs w:val="22"/>
              </w:rPr>
            </w:pPr>
          </w:p>
        </w:tc>
      </w:tr>
      <w:tr w:rsidR="00DA74D3" w:rsidRPr="000B78E1" w14:paraId="7C0D5255" w14:textId="77777777" w:rsidTr="002C193F">
        <w:tc>
          <w:tcPr>
            <w:tcW w:w="4508" w:type="dxa"/>
            <w:tcBorders>
              <w:top w:val="nil"/>
              <w:left w:val="nil"/>
              <w:bottom w:val="single" w:sz="4" w:space="0" w:color="auto"/>
              <w:right w:val="nil"/>
            </w:tcBorders>
          </w:tcPr>
          <w:p w14:paraId="5B67A0B2" w14:textId="76A635C8" w:rsidR="00DA74D3" w:rsidRPr="000B78E1" w:rsidRDefault="00C56A0F" w:rsidP="000B78E1">
            <w:pPr>
              <w:pStyle w:val="ListParagraph"/>
              <w:numPr>
                <w:ilvl w:val="0"/>
                <w:numId w:val="3"/>
              </w:numPr>
              <w:spacing w:line="360" w:lineRule="auto"/>
              <w:jc w:val="both"/>
              <w:rPr>
                <w:rFonts w:ascii="Arial" w:hAnsi="Arial" w:cs="Arial"/>
                <w:sz w:val="22"/>
                <w:szCs w:val="22"/>
              </w:rPr>
            </w:pPr>
            <w:r w:rsidRPr="000B78E1">
              <w:rPr>
                <w:rFonts w:ascii="Arial" w:hAnsi="Arial" w:cs="Arial"/>
                <w:sz w:val="22"/>
                <w:szCs w:val="22"/>
              </w:rPr>
              <w:t>Articles published in English</w:t>
            </w:r>
          </w:p>
        </w:tc>
        <w:tc>
          <w:tcPr>
            <w:tcW w:w="4508" w:type="dxa"/>
            <w:tcBorders>
              <w:top w:val="nil"/>
              <w:left w:val="nil"/>
              <w:bottom w:val="single" w:sz="4" w:space="0" w:color="auto"/>
              <w:right w:val="nil"/>
            </w:tcBorders>
          </w:tcPr>
          <w:p w14:paraId="318CA7C7" w14:textId="77777777" w:rsidR="00DA74D3" w:rsidRPr="000B78E1" w:rsidRDefault="00DA74D3" w:rsidP="000B78E1">
            <w:pPr>
              <w:spacing w:line="360" w:lineRule="auto"/>
              <w:jc w:val="both"/>
              <w:rPr>
                <w:rFonts w:ascii="Arial" w:hAnsi="Arial" w:cs="Arial"/>
                <w:sz w:val="22"/>
                <w:szCs w:val="22"/>
              </w:rPr>
            </w:pPr>
          </w:p>
        </w:tc>
      </w:tr>
    </w:tbl>
    <w:p w14:paraId="30ABECFB" w14:textId="7C034C23" w:rsidR="00DC24AC" w:rsidRPr="000B78E1" w:rsidRDefault="00DC24AC" w:rsidP="000B78E1">
      <w:pPr>
        <w:spacing w:after="0" w:line="360" w:lineRule="auto"/>
        <w:jc w:val="both"/>
        <w:rPr>
          <w:rFonts w:ascii="Arial" w:hAnsi="Arial" w:cs="Arial"/>
          <w:sz w:val="22"/>
          <w:szCs w:val="22"/>
        </w:rPr>
      </w:pPr>
    </w:p>
    <w:p w14:paraId="08589B19" w14:textId="26393718" w:rsidR="00056E88" w:rsidRPr="000B78E1" w:rsidRDefault="00283020" w:rsidP="000B78E1">
      <w:pPr>
        <w:spacing w:after="0" w:line="360" w:lineRule="auto"/>
        <w:jc w:val="both"/>
        <w:rPr>
          <w:rFonts w:ascii="Arial" w:hAnsi="Arial" w:cs="Arial"/>
          <w:sz w:val="22"/>
          <w:szCs w:val="22"/>
        </w:rPr>
      </w:pPr>
      <w:r w:rsidRPr="000B78E1">
        <w:rPr>
          <w:rFonts w:ascii="Arial" w:hAnsi="Arial" w:cs="Arial"/>
          <w:sz w:val="22"/>
          <w:szCs w:val="22"/>
        </w:rPr>
        <w:t>Table:1: Inclusion/Exclusion Criteria a</w:t>
      </w:r>
      <w:r w:rsidR="00500BAE" w:rsidRPr="000B78E1">
        <w:rPr>
          <w:rFonts w:ascii="Arial" w:hAnsi="Arial" w:cs="Arial"/>
          <w:sz w:val="22"/>
          <w:szCs w:val="22"/>
        </w:rPr>
        <w:t xml:space="preserve">dapted from </w:t>
      </w:r>
      <w:r w:rsidR="00EF25A9" w:rsidRPr="000B78E1">
        <w:rPr>
          <w:rFonts w:ascii="Arial" w:hAnsi="Arial" w:cs="Arial"/>
          <w:sz w:val="22"/>
          <w:szCs w:val="22"/>
        </w:rPr>
        <w:t>Crompton and Burke (2023)</w:t>
      </w:r>
    </w:p>
    <w:p w14:paraId="60F22A4F" w14:textId="77777777" w:rsidR="00C062AD" w:rsidRPr="000B78E1" w:rsidRDefault="00C062AD" w:rsidP="000B78E1">
      <w:pPr>
        <w:spacing w:line="360" w:lineRule="auto"/>
        <w:jc w:val="both"/>
        <w:rPr>
          <w:rFonts w:ascii="Arial" w:hAnsi="Arial" w:cs="Arial"/>
          <w:b/>
          <w:bCs/>
          <w:sz w:val="22"/>
          <w:szCs w:val="22"/>
        </w:rPr>
      </w:pPr>
    </w:p>
    <w:p w14:paraId="3AC1F3B2" w14:textId="4AF2D56A" w:rsidR="006F5BEF" w:rsidRPr="000B78E1" w:rsidRDefault="006F5BEF" w:rsidP="000B78E1">
      <w:pPr>
        <w:spacing w:line="360" w:lineRule="auto"/>
        <w:jc w:val="both"/>
        <w:rPr>
          <w:rFonts w:ascii="Arial" w:hAnsi="Arial" w:cs="Arial"/>
          <w:b/>
          <w:bCs/>
          <w:sz w:val="22"/>
          <w:szCs w:val="22"/>
        </w:rPr>
      </w:pPr>
      <w:r w:rsidRPr="000B78E1">
        <w:rPr>
          <w:rFonts w:ascii="Arial" w:hAnsi="Arial" w:cs="Arial"/>
          <w:b/>
          <w:bCs/>
          <w:sz w:val="22"/>
          <w:szCs w:val="22"/>
        </w:rPr>
        <w:t>3.3. Screening and study selection:</w:t>
      </w:r>
    </w:p>
    <w:p w14:paraId="67CB6EEE" w14:textId="7C576E2A" w:rsidR="00D56BBC" w:rsidRDefault="00551602" w:rsidP="000B78E1">
      <w:pPr>
        <w:spacing w:line="360" w:lineRule="auto"/>
        <w:jc w:val="both"/>
        <w:rPr>
          <w:rFonts w:ascii="Arial" w:hAnsi="Arial" w:cs="Arial"/>
          <w:sz w:val="22"/>
          <w:szCs w:val="22"/>
        </w:rPr>
      </w:pPr>
      <w:r w:rsidRPr="000B78E1">
        <w:rPr>
          <w:rFonts w:ascii="Arial" w:hAnsi="Arial" w:cs="Arial"/>
          <w:sz w:val="22"/>
          <w:szCs w:val="22"/>
        </w:rPr>
        <w:t>Through</w:t>
      </w:r>
      <w:r w:rsidR="00D82610" w:rsidRPr="000B78E1">
        <w:rPr>
          <w:rFonts w:ascii="Arial" w:hAnsi="Arial" w:cs="Arial"/>
          <w:sz w:val="22"/>
          <w:szCs w:val="22"/>
        </w:rPr>
        <w:t xml:space="preserve"> </w:t>
      </w:r>
      <w:r w:rsidR="0043017F" w:rsidRPr="000B78E1">
        <w:rPr>
          <w:rFonts w:ascii="Arial" w:hAnsi="Arial" w:cs="Arial"/>
          <w:sz w:val="22"/>
          <w:szCs w:val="22"/>
        </w:rPr>
        <w:t xml:space="preserve">database and manual search initially </w:t>
      </w:r>
      <w:r w:rsidR="00591BF5" w:rsidRPr="000B78E1">
        <w:rPr>
          <w:rFonts w:ascii="Arial" w:hAnsi="Arial" w:cs="Arial"/>
          <w:sz w:val="22"/>
          <w:szCs w:val="22"/>
        </w:rPr>
        <w:t>1</w:t>
      </w:r>
      <w:r w:rsidR="006E7233">
        <w:rPr>
          <w:rFonts w:ascii="Arial" w:hAnsi="Arial" w:cs="Arial"/>
          <w:sz w:val="22"/>
          <w:szCs w:val="22"/>
        </w:rPr>
        <w:t>66</w:t>
      </w:r>
      <w:r w:rsidR="00591BF5" w:rsidRPr="000B78E1">
        <w:rPr>
          <w:rFonts w:ascii="Arial" w:hAnsi="Arial" w:cs="Arial"/>
          <w:sz w:val="22"/>
          <w:szCs w:val="22"/>
        </w:rPr>
        <w:t xml:space="preserve"> literatures were se</w:t>
      </w:r>
      <w:r w:rsidRPr="000B78E1">
        <w:rPr>
          <w:rFonts w:ascii="Arial" w:hAnsi="Arial" w:cs="Arial"/>
          <w:sz w:val="22"/>
          <w:szCs w:val="22"/>
        </w:rPr>
        <w:t>le</w:t>
      </w:r>
      <w:r w:rsidR="00591BF5" w:rsidRPr="000B78E1">
        <w:rPr>
          <w:rFonts w:ascii="Arial" w:hAnsi="Arial" w:cs="Arial"/>
          <w:sz w:val="22"/>
          <w:szCs w:val="22"/>
        </w:rPr>
        <w:t>cted</w:t>
      </w:r>
      <w:r w:rsidR="00772175" w:rsidRPr="000B78E1">
        <w:rPr>
          <w:rFonts w:ascii="Arial" w:hAnsi="Arial" w:cs="Arial"/>
          <w:sz w:val="22"/>
          <w:szCs w:val="22"/>
        </w:rPr>
        <w:t xml:space="preserve"> based on the titles</w:t>
      </w:r>
      <w:r w:rsidR="00591BF5" w:rsidRPr="000B78E1">
        <w:rPr>
          <w:rFonts w:ascii="Arial" w:hAnsi="Arial" w:cs="Arial"/>
          <w:sz w:val="22"/>
          <w:szCs w:val="22"/>
        </w:rPr>
        <w:t>. After removing 1</w:t>
      </w:r>
      <w:r w:rsidR="005313AA">
        <w:rPr>
          <w:rFonts w:ascii="Arial" w:hAnsi="Arial" w:cs="Arial"/>
          <w:sz w:val="22"/>
          <w:szCs w:val="22"/>
        </w:rPr>
        <w:t>9</w:t>
      </w:r>
      <w:r w:rsidR="00591BF5" w:rsidRPr="000B78E1">
        <w:rPr>
          <w:rFonts w:ascii="Arial" w:hAnsi="Arial" w:cs="Arial"/>
          <w:sz w:val="22"/>
          <w:szCs w:val="22"/>
        </w:rPr>
        <w:t xml:space="preserve"> duplicates </w:t>
      </w:r>
      <w:r w:rsidRPr="000B78E1">
        <w:rPr>
          <w:rFonts w:ascii="Arial" w:hAnsi="Arial" w:cs="Arial"/>
          <w:sz w:val="22"/>
          <w:szCs w:val="22"/>
        </w:rPr>
        <w:t xml:space="preserve">the study </w:t>
      </w:r>
      <w:r w:rsidR="00DA0640" w:rsidRPr="000B78E1">
        <w:rPr>
          <w:rFonts w:ascii="Arial" w:hAnsi="Arial" w:cs="Arial"/>
          <w:sz w:val="22"/>
          <w:szCs w:val="22"/>
        </w:rPr>
        <w:t xml:space="preserve">continued with </w:t>
      </w:r>
      <w:r w:rsidR="002508F7" w:rsidRPr="000B78E1">
        <w:rPr>
          <w:rFonts w:ascii="Arial" w:hAnsi="Arial" w:cs="Arial"/>
          <w:sz w:val="22"/>
          <w:szCs w:val="22"/>
        </w:rPr>
        <w:t>1</w:t>
      </w:r>
      <w:r w:rsidR="005313AA">
        <w:rPr>
          <w:rFonts w:ascii="Arial" w:hAnsi="Arial" w:cs="Arial"/>
          <w:sz w:val="22"/>
          <w:szCs w:val="22"/>
        </w:rPr>
        <w:t>47</w:t>
      </w:r>
      <w:r w:rsidR="00A06411" w:rsidRPr="000B78E1">
        <w:rPr>
          <w:rFonts w:ascii="Arial" w:hAnsi="Arial" w:cs="Arial"/>
          <w:sz w:val="22"/>
          <w:szCs w:val="22"/>
        </w:rPr>
        <w:t xml:space="preserve"> literatures. Then the </w:t>
      </w:r>
      <w:r w:rsidR="00DE70DB" w:rsidRPr="000B78E1">
        <w:rPr>
          <w:rFonts w:ascii="Arial" w:hAnsi="Arial" w:cs="Arial"/>
          <w:sz w:val="22"/>
          <w:szCs w:val="22"/>
        </w:rPr>
        <w:t xml:space="preserve">relevancy of </w:t>
      </w:r>
      <w:r w:rsidR="00A06411" w:rsidRPr="000B78E1">
        <w:rPr>
          <w:rFonts w:ascii="Arial" w:hAnsi="Arial" w:cs="Arial"/>
          <w:sz w:val="22"/>
          <w:szCs w:val="22"/>
        </w:rPr>
        <w:t xml:space="preserve">papers </w:t>
      </w:r>
      <w:proofErr w:type="gramStart"/>
      <w:r w:rsidR="00A06411" w:rsidRPr="000B78E1">
        <w:rPr>
          <w:rFonts w:ascii="Arial" w:hAnsi="Arial" w:cs="Arial"/>
          <w:sz w:val="22"/>
          <w:szCs w:val="22"/>
        </w:rPr>
        <w:t>were</w:t>
      </w:r>
      <w:proofErr w:type="gramEnd"/>
      <w:r w:rsidR="00A06411" w:rsidRPr="000B78E1">
        <w:rPr>
          <w:rFonts w:ascii="Arial" w:hAnsi="Arial" w:cs="Arial"/>
          <w:sz w:val="22"/>
          <w:szCs w:val="22"/>
        </w:rPr>
        <w:t xml:space="preserve"> </w:t>
      </w:r>
      <w:r w:rsidR="00DE70DB" w:rsidRPr="000B78E1">
        <w:rPr>
          <w:rFonts w:ascii="Arial" w:hAnsi="Arial" w:cs="Arial"/>
          <w:sz w:val="22"/>
          <w:szCs w:val="22"/>
        </w:rPr>
        <w:t xml:space="preserve">examined through </w:t>
      </w:r>
      <w:r w:rsidR="00772175" w:rsidRPr="000B78E1">
        <w:rPr>
          <w:rFonts w:ascii="Arial" w:hAnsi="Arial" w:cs="Arial"/>
          <w:sz w:val="22"/>
          <w:szCs w:val="22"/>
        </w:rPr>
        <w:t xml:space="preserve">abstracts that </w:t>
      </w:r>
      <w:r w:rsidR="005F56D0" w:rsidRPr="000B78E1">
        <w:rPr>
          <w:rFonts w:ascii="Arial" w:hAnsi="Arial" w:cs="Arial"/>
          <w:sz w:val="22"/>
          <w:szCs w:val="22"/>
        </w:rPr>
        <w:t>reduced the collection to 9</w:t>
      </w:r>
      <w:r w:rsidR="005313AA">
        <w:rPr>
          <w:rFonts w:ascii="Arial" w:hAnsi="Arial" w:cs="Arial"/>
          <w:sz w:val="22"/>
          <w:szCs w:val="22"/>
        </w:rPr>
        <w:t>3</w:t>
      </w:r>
      <w:r w:rsidR="005F56D0" w:rsidRPr="000B78E1">
        <w:rPr>
          <w:rFonts w:ascii="Arial" w:hAnsi="Arial" w:cs="Arial"/>
          <w:sz w:val="22"/>
          <w:szCs w:val="22"/>
        </w:rPr>
        <w:t xml:space="preserve"> articles.</w:t>
      </w:r>
      <w:r w:rsidR="00B00A61" w:rsidRPr="000B78E1">
        <w:rPr>
          <w:rFonts w:ascii="Arial" w:hAnsi="Arial" w:cs="Arial"/>
          <w:sz w:val="22"/>
          <w:szCs w:val="22"/>
        </w:rPr>
        <w:t xml:space="preserve"> After aligning </w:t>
      </w:r>
      <w:r w:rsidR="00645079" w:rsidRPr="000B78E1">
        <w:rPr>
          <w:rFonts w:ascii="Arial" w:hAnsi="Arial" w:cs="Arial"/>
          <w:sz w:val="22"/>
          <w:szCs w:val="22"/>
        </w:rPr>
        <w:t>the literatures with the core themes of</w:t>
      </w:r>
      <w:r w:rsidR="00772175" w:rsidRPr="000B78E1">
        <w:rPr>
          <w:rFonts w:ascii="Arial" w:hAnsi="Arial" w:cs="Arial"/>
          <w:sz w:val="22"/>
          <w:szCs w:val="22"/>
        </w:rPr>
        <w:t xml:space="preserve"> </w:t>
      </w:r>
      <w:r w:rsidR="00645079" w:rsidRPr="000B78E1">
        <w:rPr>
          <w:rFonts w:ascii="Arial" w:hAnsi="Arial" w:cs="Arial"/>
          <w:sz w:val="22"/>
          <w:szCs w:val="22"/>
        </w:rPr>
        <w:t>this systematic review</w:t>
      </w:r>
      <w:r w:rsidR="00795BC5" w:rsidRPr="000B78E1">
        <w:rPr>
          <w:rFonts w:ascii="Arial" w:hAnsi="Arial" w:cs="Arial"/>
          <w:sz w:val="22"/>
          <w:szCs w:val="22"/>
        </w:rPr>
        <w:t xml:space="preserve">; </w:t>
      </w:r>
      <w:r w:rsidR="00212D2F" w:rsidRPr="000B78E1">
        <w:rPr>
          <w:rFonts w:ascii="Arial" w:hAnsi="Arial" w:cs="Arial"/>
          <w:sz w:val="22"/>
          <w:szCs w:val="22"/>
        </w:rPr>
        <w:t xml:space="preserve">DFS as a tool of Credit Access, </w:t>
      </w:r>
      <w:r w:rsidR="00D56BBC" w:rsidRPr="000B78E1">
        <w:rPr>
          <w:rFonts w:ascii="Arial" w:hAnsi="Arial" w:cs="Arial"/>
          <w:sz w:val="22"/>
          <w:szCs w:val="22"/>
        </w:rPr>
        <w:t>Conversion of use of DFS into Credit, Credit Access and SME Sustainability Outcomes</w:t>
      </w:r>
      <w:r w:rsidR="00795BC5" w:rsidRPr="000B78E1">
        <w:rPr>
          <w:rFonts w:ascii="Arial" w:hAnsi="Arial" w:cs="Arial"/>
          <w:sz w:val="22"/>
          <w:szCs w:val="22"/>
        </w:rPr>
        <w:t xml:space="preserve">, why results differ for different contexts, the </w:t>
      </w:r>
      <w:r w:rsidR="00246FBE" w:rsidRPr="000B78E1">
        <w:rPr>
          <w:rFonts w:ascii="Arial" w:hAnsi="Arial" w:cs="Arial"/>
          <w:sz w:val="22"/>
          <w:szCs w:val="22"/>
        </w:rPr>
        <w:t xml:space="preserve">final selection come down to </w:t>
      </w:r>
      <w:r w:rsidR="005313AA">
        <w:rPr>
          <w:rFonts w:ascii="Arial" w:hAnsi="Arial" w:cs="Arial"/>
          <w:sz w:val="22"/>
          <w:szCs w:val="22"/>
        </w:rPr>
        <w:t>80</w:t>
      </w:r>
      <w:r w:rsidR="00246FBE" w:rsidRPr="000B78E1">
        <w:rPr>
          <w:rFonts w:ascii="Arial" w:hAnsi="Arial" w:cs="Arial"/>
          <w:sz w:val="22"/>
          <w:szCs w:val="22"/>
        </w:rPr>
        <w:t xml:space="preserve"> articles for our review.</w:t>
      </w:r>
    </w:p>
    <w:p w14:paraId="2367CA9E" w14:textId="77777777" w:rsidR="00DC7AD3" w:rsidRDefault="00DC7AD3" w:rsidP="000B78E1">
      <w:pPr>
        <w:spacing w:line="360" w:lineRule="auto"/>
        <w:jc w:val="both"/>
        <w:rPr>
          <w:rFonts w:ascii="Arial" w:hAnsi="Arial" w:cs="Arial"/>
          <w:sz w:val="22"/>
          <w:szCs w:val="22"/>
        </w:rPr>
      </w:pPr>
    </w:p>
    <w:p w14:paraId="441BA31D" w14:textId="77777777" w:rsidR="00DC7AD3" w:rsidRDefault="00DC7AD3" w:rsidP="000B78E1">
      <w:pPr>
        <w:spacing w:line="360" w:lineRule="auto"/>
        <w:jc w:val="both"/>
        <w:rPr>
          <w:rFonts w:ascii="Arial" w:hAnsi="Arial" w:cs="Arial"/>
          <w:sz w:val="22"/>
          <w:szCs w:val="22"/>
        </w:rPr>
      </w:pPr>
    </w:p>
    <w:p w14:paraId="7C2F3547" w14:textId="77777777" w:rsidR="00DC7AD3" w:rsidRDefault="00DC7AD3" w:rsidP="000B78E1">
      <w:pPr>
        <w:spacing w:line="360" w:lineRule="auto"/>
        <w:jc w:val="both"/>
        <w:rPr>
          <w:rFonts w:ascii="Arial" w:hAnsi="Arial" w:cs="Arial"/>
          <w:sz w:val="22"/>
          <w:szCs w:val="22"/>
        </w:rPr>
      </w:pPr>
    </w:p>
    <w:p w14:paraId="57FC811C" w14:textId="280B7AF9" w:rsidR="00DC7AD3" w:rsidRDefault="00DC7AD3" w:rsidP="000B78E1">
      <w:pPr>
        <w:spacing w:line="360" w:lineRule="auto"/>
        <w:jc w:val="both"/>
        <w:rPr>
          <w:rFonts w:ascii="Arial" w:hAnsi="Arial" w:cs="Arial"/>
          <w:sz w:val="22"/>
          <w:szCs w:val="22"/>
        </w:rPr>
      </w:pPr>
    </w:p>
    <w:p w14:paraId="3B6A5CE3" w14:textId="5B7975DA" w:rsidR="00DC7AD3" w:rsidRDefault="0017691B" w:rsidP="000B78E1">
      <w:pPr>
        <w:spacing w:line="360" w:lineRule="auto"/>
        <w:jc w:val="both"/>
        <w:rPr>
          <w:rFonts w:ascii="Arial" w:hAnsi="Arial" w:cs="Arial"/>
          <w:sz w:val="22"/>
          <w:szCs w:val="22"/>
        </w:rPr>
      </w:pPr>
      <w:r w:rsidRPr="00C229DA">
        <w:rPr>
          <w:rFonts w:ascii="Arial" w:hAnsi="Arial" w:cs="Arial"/>
          <w:noProof/>
          <w:sz w:val="22"/>
          <w:szCs w:val="22"/>
        </w:rPr>
        <mc:AlternateContent>
          <mc:Choice Requires="wps">
            <w:drawing>
              <wp:anchor distT="45720" distB="45720" distL="114300" distR="114300" simplePos="0" relativeHeight="251762176" behindDoc="0" locked="0" layoutInCell="1" allowOverlap="1" wp14:anchorId="37110A27" wp14:editId="4E57511D">
                <wp:simplePos x="0" y="0"/>
                <wp:positionH relativeFrom="column">
                  <wp:posOffset>527050</wp:posOffset>
                </wp:positionH>
                <wp:positionV relativeFrom="paragraph">
                  <wp:posOffset>318135</wp:posOffset>
                </wp:positionV>
                <wp:extent cx="5080000" cy="336550"/>
                <wp:effectExtent l="0" t="0" r="25400" b="25400"/>
                <wp:wrapSquare wrapText="bothSides"/>
                <wp:docPr id="8470919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0" cy="336550"/>
                        </a:xfrm>
                        <a:prstGeom prst="rect">
                          <a:avLst/>
                        </a:prstGeom>
                        <a:solidFill>
                          <a:srgbClr val="FF9933"/>
                        </a:solidFill>
                        <a:ln w="9525">
                          <a:solidFill>
                            <a:srgbClr val="000000"/>
                          </a:solidFill>
                          <a:miter lim="800000"/>
                          <a:headEnd/>
                          <a:tailEnd/>
                        </a:ln>
                      </wps:spPr>
                      <wps:txbx>
                        <w:txbxContent>
                          <w:p w14:paraId="4E6617D7" w14:textId="40D49280" w:rsidR="00C229DA" w:rsidRDefault="0017691B" w:rsidP="0017691B">
                            <w:pPr>
                              <w:jc w:val="center"/>
                            </w:pPr>
                            <w:r>
                              <w:t>Identification of Articles via databases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110A27" id="_x0000_t202" coordsize="21600,21600" o:spt="202" path="m,l,21600r21600,l21600,xe">
                <v:stroke joinstyle="miter"/>
                <v:path gradientshapeok="t" o:connecttype="rect"/>
              </v:shapetype>
              <v:shape id="Text Box 2" o:spid="_x0000_s1026" type="#_x0000_t202" style="position:absolute;left:0;text-align:left;margin-left:41.5pt;margin-top:25.05pt;width:400pt;height:26.5pt;z-index:251762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" fillcolor="#f93">
                <v:textbox>
                  <w:txbxContent>
                    <w:p w14:paraId="4E6617D7" w14:textId="40D49280" w:rsidR="00C229DA" w:rsidRDefault="0017691B" w:rsidP="0017691B">
                      <w:pPr>
                        <w:jc w:val="center"/>
                      </w:pPr>
                      <w:r>
                        <w:t>Identification of Articles via databases</w:t>
                      </w:r>
                    </w:p>
                  </w:txbxContent>
                </v:textbox>
                <w10:wrap type="square"/>
              </v:shape>
            </w:pict>
          </mc:Fallback>
        </mc:AlternateContent>
      </w:r>
    </w:p>
    <w:p w14:paraId="3EDAD705" w14:textId="0653055A" w:rsidR="00DC7AD3" w:rsidRPr="000B78E1" w:rsidRDefault="00DC7AD3" w:rsidP="000B78E1">
      <w:pPr>
        <w:spacing w:line="360" w:lineRule="auto"/>
        <w:jc w:val="both"/>
        <w:rPr>
          <w:rFonts w:ascii="Arial" w:hAnsi="Arial" w:cs="Arial"/>
          <w:sz w:val="22"/>
          <w:szCs w:val="22"/>
        </w:rPr>
      </w:pPr>
    </w:p>
    <w:p w14:paraId="0A82ACC7" w14:textId="474C8D60" w:rsidR="008C7666" w:rsidRPr="000B78E1" w:rsidRDefault="00096A2A" w:rsidP="000B78E1">
      <w:pPr>
        <w:spacing w:line="360" w:lineRule="auto"/>
        <w:jc w:val="both"/>
        <w:rPr>
          <w:rFonts w:ascii="Arial" w:hAnsi="Arial" w:cs="Arial"/>
          <w:sz w:val="22"/>
          <w:szCs w:val="22"/>
        </w:rPr>
      </w:pPr>
      <w:r w:rsidRPr="000B78E1">
        <w:rPr>
          <w:rFonts w:ascii="Arial" w:hAnsi="Arial" w:cs="Arial"/>
          <w:b/>
          <w:bCs/>
          <w:noProof/>
          <w:sz w:val="22"/>
          <w:szCs w:val="22"/>
        </w:rPr>
        <mc:AlternateContent>
          <mc:Choice Requires="wps">
            <w:drawing>
              <wp:anchor distT="45720" distB="45720" distL="114300" distR="114300" simplePos="0" relativeHeight="251614720" behindDoc="0" locked="0" layoutInCell="1" allowOverlap="1" wp14:anchorId="37FEC821" wp14:editId="4C1DA05F">
                <wp:simplePos x="0" y="0"/>
                <wp:positionH relativeFrom="column">
                  <wp:posOffset>495300</wp:posOffset>
                </wp:positionH>
                <wp:positionV relativeFrom="paragraph">
                  <wp:posOffset>140970</wp:posOffset>
                </wp:positionV>
                <wp:extent cx="457200" cy="1136650"/>
                <wp:effectExtent l="0" t="0" r="19050" b="25400"/>
                <wp:wrapSquare wrapText="bothSides"/>
                <wp:docPr id="5837957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36650"/>
                        </a:xfrm>
                        <a:prstGeom prst="rect">
                          <a:avLst/>
                        </a:prstGeom>
                        <a:solidFill>
                          <a:schemeClr val="tx2">
                            <a:lumMod val="10000"/>
                            <a:lumOff val="90000"/>
                          </a:schemeClr>
                        </a:solidFill>
                        <a:ln w="9525">
                          <a:solidFill>
                            <a:srgbClr val="000000"/>
                          </a:solidFill>
                          <a:miter lim="800000"/>
                          <a:headEnd/>
                          <a:tailEnd/>
                        </a:ln>
                      </wps:spPr>
                      <wps:txbx>
                        <w:txbxContent>
                          <w:p w14:paraId="7E4C8279" w14:textId="72E9F119" w:rsidR="00096A2A" w:rsidRPr="00D726AE" w:rsidRDefault="00096A2A" w:rsidP="00096A2A">
                            <w:pPr>
                              <w:rPr>
                                <w:rFonts w:ascii="Times New Roman" w:hAnsi="Times New Roman" w:cs="Times New Roman"/>
                              </w:rPr>
                            </w:pPr>
                            <w:r w:rsidRPr="00D726AE">
                              <w:rPr>
                                <w:rFonts w:ascii="Times New Roman" w:hAnsi="Times New Roman" w:cs="Times New Roman"/>
                              </w:rPr>
                              <w:t xml:space="preserve">   Identification</w:t>
                            </w:r>
                            <w:r w:rsidR="00470925" w:rsidRPr="00D726AE">
                              <w:rPr>
                                <w:rFonts w:ascii="Times New Roman" w:hAnsi="Times New Roman" w:cs="Times New Roman"/>
                              </w:rPr>
                              <w:t xml:space="preserve"> </w:t>
                            </w:r>
                          </w:p>
                          <w:p w14:paraId="33AB199A" w14:textId="77777777" w:rsidR="00470925" w:rsidRDefault="00470925" w:rsidP="00096A2A"/>
                          <w:p w14:paraId="5548D52A" w14:textId="77777777" w:rsidR="00470925" w:rsidRDefault="00470925" w:rsidP="00096A2A"/>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EC821" id="_x0000_s1027" type="#_x0000_t202" style="position:absolute;left:0;text-align:left;margin-left:39pt;margin-top:11.1pt;width:36pt;height:89.5pt;z-index:251614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" fillcolor="#dceaf7 [351]">
                <v:textbox style="layout-flow:vertical;mso-layout-flow-alt:bottom-to-top">
                  <w:txbxContent>
                    <w:p w14:paraId="7E4C8279" w14:textId="72E9F119" w:rsidR="00096A2A" w:rsidRPr="00D726AE" w:rsidRDefault="00096A2A" w:rsidP="00096A2A">
                      <w:pPr>
                        <w:rPr>
                          <w:rFonts w:ascii="Times New Roman" w:hAnsi="Times New Roman" w:cs="Times New Roman"/>
                        </w:rPr>
                      </w:pPr>
                      <w:r w:rsidRPr="00D726AE">
                        <w:rPr>
                          <w:rFonts w:ascii="Times New Roman" w:hAnsi="Times New Roman" w:cs="Times New Roman"/>
                        </w:rPr>
                        <w:t xml:space="preserve">   Identification</w:t>
                      </w:r>
                      <w:r w:rsidR="00470925" w:rsidRPr="00D726AE">
                        <w:rPr>
                          <w:rFonts w:ascii="Times New Roman" w:hAnsi="Times New Roman" w:cs="Times New Roman"/>
                        </w:rPr>
                        <w:t xml:space="preserve"> </w:t>
                      </w:r>
                    </w:p>
                    <w:p w14:paraId="33AB199A" w14:textId="77777777" w:rsidR="00470925" w:rsidRDefault="00470925" w:rsidP="00096A2A"/>
                    <w:p w14:paraId="5548D52A" w14:textId="77777777" w:rsidR="00470925" w:rsidRDefault="00470925" w:rsidP="00096A2A"/>
                  </w:txbxContent>
                </v:textbox>
                <w10:wrap type="square"/>
              </v:shape>
            </w:pict>
          </mc:Fallback>
        </mc:AlternateContent>
      </w:r>
      <w:r w:rsidR="00244C1B" w:rsidRPr="000B78E1">
        <w:rPr>
          <w:rFonts w:ascii="Arial" w:hAnsi="Arial" w:cs="Arial"/>
          <w:noProof/>
          <w:sz w:val="22"/>
          <w:szCs w:val="22"/>
        </w:rPr>
        <mc:AlternateContent>
          <mc:Choice Requires="wps">
            <w:drawing>
              <wp:anchor distT="45720" distB="45720" distL="114300" distR="114300" simplePos="0" relativeHeight="251555328" behindDoc="0" locked="0" layoutInCell="1" allowOverlap="1" wp14:anchorId="1D66A477" wp14:editId="799A957C">
                <wp:simplePos x="0" y="0"/>
                <wp:positionH relativeFrom="column">
                  <wp:posOffset>1212850</wp:posOffset>
                </wp:positionH>
                <wp:positionV relativeFrom="paragraph">
                  <wp:posOffset>166370</wp:posOffset>
                </wp:positionV>
                <wp:extent cx="2089150" cy="8572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0" cy="857250"/>
                        </a:xfrm>
                        <a:prstGeom prst="rect">
                          <a:avLst/>
                        </a:prstGeom>
                        <a:solidFill>
                          <a:srgbClr val="FFFFFF"/>
                        </a:solidFill>
                        <a:ln w="9525">
                          <a:solidFill>
                            <a:srgbClr val="000000"/>
                          </a:solidFill>
                          <a:miter lim="800000"/>
                          <a:headEnd/>
                          <a:tailEnd/>
                        </a:ln>
                      </wps:spPr>
                      <wps:txbx>
                        <w:txbxContent>
                          <w:p w14:paraId="63C1EA86" w14:textId="0EF00FBC" w:rsidR="00244C1B" w:rsidRPr="00E44290" w:rsidRDefault="00244C1B" w:rsidP="00244C1B">
                            <w:pPr>
                              <w:spacing w:after="0"/>
                              <w:rPr>
                                <w:rFonts w:ascii="Arial" w:hAnsi="Arial" w:cs="Arial"/>
                                <w:sz w:val="20"/>
                                <w:szCs w:val="20"/>
                              </w:rPr>
                            </w:pPr>
                            <w:r w:rsidRPr="00E44290">
                              <w:rPr>
                                <w:rFonts w:ascii="Arial" w:hAnsi="Arial" w:cs="Arial"/>
                                <w:sz w:val="20"/>
                                <w:szCs w:val="20"/>
                              </w:rPr>
                              <w:t>Studies from Databases (n=</w:t>
                            </w:r>
                            <w:r w:rsidR="00526943" w:rsidRPr="00E44290">
                              <w:rPr>
                                <w:rFonts w:ascii="Arial" w:hAnsi="Arial" w:cs="Arial"/>
                                <w:sz w:val="20"/>
                                <w:szCs w:val="20"/>
                              </w:rPr>
                              <w:t>166</w:t>
                            </w:r>
                            <w:r w:rsidRPr="00E44290">
                              <w:rPr>
                                <w:rFonts w:ascii="Arial" w:hAnsi="Arial" w:cs="Arial"/>
                                <w:sz w:val="20"/>
                                <w:szCs w:val="20"/>
                              </w:rPr>
                              <w:t>)</w:t>
                            </w:r>
                          </w:p>
                          <w:p w14:paraId="214EEFC6" w14:textId="6D7D166B" w:rsidR="00244C1B" w:rsidRPr="00E44290" w:rsidRDefault="00244C1B" w:rsidP="00244C1B">
                            <w:pPr>
                              <w:spacing w:after="0"/>
                              <w:rPr>
                                <w:rFonts w:ascii="Arial" w:hAnsi="Arial" w:cs="Arial"/>
                                <w:sz w:val="20"/>
                                <w:szCs w:val="20"/>
                              </w:rPr>
                            </w:pPr>
                            <w:r w:rsidRPr="00E44290">
                              <w:rPr>
                                <w:rFonts w:ascii="Arial" w:hAnsi="Arial" w:cs="Arial"/>
                                <w:sz w:val="20"/>
                                <w:szCs w:val="20"/>
                              </w:rPr>
                              <w:t>Google Scholar (n=</w:t>
                            </w:r>
                            <w:r w:rsidR="00526943" w:rsidRPr="00E44290">
                              <w:rPr>
                                <w:rFonts w:ascii="Arial" w:hAnsi="Arial" w:cs="Arial"/>
                                <w:sz w:val="20"/>
                                <w:szCs w:val="20"/>
                              </w:rPr>
                              <w:t>127</w:t>
                            </w:r>
                            <w:r w:rsidRPr="00E44290">
                              <w:rPr>
                                <w:rFonts w:ascii="Arial" w:hAnsi="Arial" w:cs="Arial"/>
                                <w:sz w:val="20"/>
                                <w:szCs w:val="20"/>
                              </w:rPr>
                              <w:t>)</w:t>
                            </w:r>
                          </w:p>
                          <w:p w14:paraId="6C513147" w14:textId="5DC07575" w:rsidR="00244C1B" w:rsidRPr="00E44290" w:rsidRDefault="00244C1B" w:rsidP="00244C1B">
                            <w:pPr>
                              <w:spacing w:after="0"/>
                              <w:rPr>
                                <w:rFonts w:ascii="Arial" w:hAnsi="Arial" w:cs="Arial"/>
                                <w:sz w:val="20"/>
                                <w:szCs w:val="20"/>
                              </w:rPr>
                            </w:pPr>
                            <w:r w:rsidRPr="00E44290">
                              <w:rPr>
                                <w:rFonts w:ascii="Arial" w:hAnsi="Arial" w:cs="Arial"/>
                                <w:sz w:val="20"/>
                                <w:szCs w:val="20"/>
                              </w:rPr>
                              <w:t>Other Databases (n=</w:t>
                            </w:r>
                            <w:r w:rsidR="00526943" w:rsidRPr="00E44290">
                              <w:rPr>
                                <w:rFonts w:ascii="Arial" w:hAnsi="Arial" w:cs="Arial"/>
                                <w:sz w:val="20"/>
                                <w:szCs w:val="20"/>
                              </w:rPr>
                              <w:t>25</w:t>
                            </w:r>
                            <w:r w:rsidRPr="00E44290">
                              <w:rPr>
                                <w:rFonts w:ascii="Arial" w:hAnsi="Arial" w:cs="Arial"/>
                                <w:sz w:val="20"/>
                                <w:szCs w:val="20"/>
                              </w:rPr>
                              <w:t>)</w:t>
                            </w:r>
                          </w:p>
                          <w:p w14:paraId="01DC7366" w14:textId="1EBBE25A" w:rsidR="00244C1B" w:rsidRPr="00E44290" w:rsidRDefault="00244C1B" w:rsidP="00244C1B">
                            <w:pPr>
                              <w:spacing w:after="0"/>
                              <w:rPr>
                                <w:rFonts w:ascii="Arial" w:hAnsi="Arial" w:cs="Arial"/>
                              </w:rPr>
                            </w:pPr>
                            <w:r w:rsidRPr="00E44290">
                              <w:rPr>
                                <w:rFonts w:ascii="Arial" w:hAnsi="Arial" w:cs="Arial"/>
                                <w:sz w:val="20"/>
                                <w:szCs w:val="20"/>
                              </w:rPr>
                              <w:t>Library Catalogue (n=</w:t>
                            </w:r>
                            <w:r w:rsidR="00424DEA" w:rsidRPr="00E44290">
                              <w:rPr>
                                <w:rFonts w:ascii="Arial" w:hAnsi="Arial" w:cs="Arial"/>
                                <w:sz w:val="20"/>
                                <w:szCs w:val="20"/>
                              </w:rPr>
                              <w:t>1</w:t>
                            </w:r>
                            <w:r w:rsidR="0091464F" w:rsidRPr="00E44290">
                              <w:rPr>
                                <w:rFonts w:ascii="Arial" w:hAnsi="Arial" w:cs="Arial"/>
                                <w:sz w:val="20"/>
                                <w:szCs w:val="20"/>
                              </w:rPr>
                              <w:t>4</w:t>
                            </w:r>
                            <w:r w:rsidRPr="00E44290">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6A477" id="_x0000_s1028" type="#_x0000_t202" style="position:absolute;left:0;text-align:left;margin-left:95.5pt;margin-top:13.1pt;width:164.5pt;height:67.5pt;z-index:251555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">
                <v:textbox>
                  <w:txbxContent>
                    <w:p w14:paraId="63C1EA86" w14:textId="0EF00FBC" w:rsidR="00244C1B" w:rsidRPr="00E44290" w:rsidRDefault="00244C1B" w:rsidP="00244C1B">
                      <w:pPr>
                        <w:spacing w:after="0"/>
                        <w:rPr>
                          <w:rFonts w:ascii="Arial" w:hAnsi="Arial" w:cs="Arial"/>
                          <w:sz w:val="20"/>
                          <w:szCs w:val="20"/>
                        </w:rPr>
                      </w:pPr>
                      <w:r w:rsidRPr="00E44290">
                        <w:rPr>
                          <w:rFonts w:ascii="Arial" w:hAnsi="Arial" w:cs="Arial"/>
                          <w:sz w:val="20"/>
                          <w:szCs w:val="20"/>
                        </w:rPr>
                        <w:t>Studies from Databases (n=</w:t>
                      </w:r>
                      <w:r w:rsidR="00526943" w:rsidRPr="00E44290">
                        <w:rPr>
                          <w:rFonts w:ascii="Arial" w:hAnsi="Arial" w:cs="Arial"/>
                          <w:sz w:val="20"/>
                          <w:szCs w:val="20"/>
                        </w:rPr>
                        <w:t>166</w:t>
                      </w:r>
                      <w:r w:rsidRPr="00E44290">
                        <w:rPr>
                          <w:rFonts w:ascii="Arial" w:hAnsi="Arial" w:cs="Arial"/>
                          <w:sz w:val="20"/>
                          <w:szCs w:val="20"/>
                        </w:rPr>
                        <w:t>)</w:t>
                      </w:r>
                    </w:p>
                    <w:p w14:paraId="214EEFC6" w14:textId="6D7D166B" w:rsidR="00244C1B" w:rsidRPr="00E44290" w:rsidRDefault="00244C1B" w:rsidP="00244C1B">
                      <w:pPr>
                        <w:spacing w:after="0"/>
                        <w:rPr>
                          <w:rFonts w:ascii="Arial" w:hAnsi="Arial" w:cs="Arial"/>
                          <w:sz w:val="20"/>
                          <w:szCs w:val="20"/>
                        </w:rPr>
                      </w:pPr>
                      <w:r w:rsidRPr="00E44290">
                        <w:rPr>
                          <w:rFonts w:ascii="Arial" w:hAnsi="Arial" w:cs="Arial"/>
                          <w:sz w:val="20"/>
                          <w:szCs w:val="20"/>
                        </w:rPr>
                        <w:t>Google Scholar (n=</w:t>
                      </w:r>
                      <w:r w:rsidR="00526943" w:rsidRPr="00E44290">
                        <w:rPr>
                          <w:rFonts w:ascii="Arial" w:hAnsi="Arial" w:cs="Arial"/>
                          <w:sz w:val="20"/>
                          <w:szCs w:val="20"/>
                        </w:rPr>
                        <w:t>127</w:t>
                      </w:r>
                      <w:r w:rsidRPr="00E44290">
                        <w:rPr>
                          <w:rFonts w:ascii="Arial" w:hAnsi="Arial" w:cs="Arial"/>
                          <w:sz w:val="20"/>
                          <w:szCs w:val="20"/>
                        </w:rPr>
                        <w:t>)</w:t>
                      </w:r>
                    </w:p>
                    <w:p w14:paraId="6C513147" w14:textId="5DC07575" w:rsidR="00244C1B" w:rsidRPr="00E44290" w:rsidRDefault="00244C1B" w:rsidP="00244C1B">
                      <w:pPr>
                        <w:spacing w:after="0"/>
                        <w:rPr>
                          <w:rFonts w:ascii="Arial" w:hAnsi="Arial" w:cs="Arial"/>
                          <w:sz w:val="20"/>
                          <w:szCs w:val="20"/>
                        </w:rPr>
                      </w:pPr>
                      <w:r w:rsidRPr="00E44290">
                        <w:rPr>
                          <w:rFonts w:ascii="Arial" w:hAnsi="Arial" w:cs="Arial"/>
                          <w:sz w:val="20"/>
                          <w:szCs w:val="20"/>
                        </w:rPr>
                        <w:t>Other Databases (n=</w:t>
                      </w:r>
                      <w:r w:rsidR="00526943" w:rsidRPr="00E44290">
                        <w:rPr>
                          <w:rFonts w:ascii="Arial" w:hAnsi="Arial" w:cs="Arial"/>
                          <w:sz w:val="20"/>
                          <w:szCs w:val="20"/>
                        </w:rPr>
                        <w:t>25</w:t>
                      </w:r>
                      <w:r w:rsidRPr="00E44290">
                        <w:rPr>
                          <w:rFonts w:ascii="Arial" w:hAnsi="Arial" w:cs="Arial"/>
                          <w:sz w:val="20"/>
                          <w:szCs w:val="20"/>
                        </w:rPr>
                        <w:t>)</w:t>
                      </w:r>
                    </w:p>
                    <w:p w14:paraId="01DC7366" w14:textId="1EBBE25A" w:rsidR="00244C1B" w:rsidRPr="00E44290" w:rsidRDefault="00244C1B" w:rsidP="00244C1B">
                      <w:pPr>
                        <w:spacing w:after="0"/>
                        <w:rPr>
                          <w:rFonts w:ascii="Arial" w:hAnsi="Arial" w:cs="Arial"/>
                        </w:rPr>
                      </w:pPr>
                      <w:r w:rsidRPr="00E44290">
                        <w:rPr>
                          <w:rFonts w:ascii="Arial" w:hAnsi="Arial" w:cs="Arial"/>
                          <w:sz w:val="20"/>
                          <w:szCs w:val="20"/>
                        </w:rPr>
                        <w:t>Library Catalogue (n=</w:t>
                      </w:r>
                      <w:r w:rsidR="00424DEA" w:rsidRPr="00E44290">
                        <w:rPr>
                          <w:rFonts w:ascii="Arial" w:hAnsi="Arial" w:cs="Arial"/>
                          <w:sz w:val="20"/>
                          <w:szCs w:val="20"/>
                        </w:rPr>
                        <w:t>1</w:t>
                      </w:r>
                      <w:r w:rsidR="0091464F" w:rsidRPr="00E44290">
                        <w:rPr>
                          <w:rFonts w:ascii="Arial" w:hAnsi="Arial" w:cs="Arial"/>
                          <w:sz w:val="20"/>
                          <w:szCs w:val="20"/>
                        </w:rPr>
                        <w:t>4</w:t>
                      </w:r>
                      <w:r w:rsidRPr="00E44290">
                        <w:rPr>
                          <w:rFonts w:ascii="Arial" w:hAnsi="Arial" w:cs="Arial"/>
                          <w:sz w:val="20"/>
                          <w:szCs w:val="20"/>
                        </w:rPr>
                        <w:t>)</w:t>
                      </w:r>
                    </w:p>
                  </w:txbxContent>
                </v:textbox>
                <w10:wrap type="square"/>
              </v:shape>
            </w:pict>
          </mc:Fallback>
        </mc:AlternateContent>
      </w:r>
    </w:p>
    <w:p w14:paraId="64B736E5" w14:textId="510013A4" w:rsidR="00244C1B" w:rsidRPr="000B78E1" w:rsidRDefault="00244C1B" w:rsidP="000B78E1">
      <w:pPr>
        <w:spacing w:line="360" w:lineRule="auto"/>
        <w:jc w:val="both"/>
        <w:rPr>
          <w:rFonts w:ascii="Arial" w:hAnsi="Arial" w:cs="Arial"/>
          <w:sz w:val="22"/>
          <w:szCs w:val="22"/>
        </w:rPr>
      </w:pPr>
    </w:p>
    <w:p w14:paraId="55EFF6BE" w14:textId="536AE7D4" w:rsidR="008C7666" w:rsidRPr="000B78E1" w:rsidRDefault="00715F84" w:rsidP="000B78E1">
      <w:pPr>
        <w:spacing w:line="360" w:lineRule="auto"/>
        <w:jc w:val="both"/>
        <w:rPr>
          <w:rFonts w:ascii="Arial" w:hAnsi="Arial" w:cs="Arial"/>
          <w:sz w:val="22"/>
          <w:szCs w:val="22"/>
        </w:rPr>
      </w:pPr>
      <w:r w:rsidRPr="000B78E1">
        <w:rPr>
          <w:rFonts w:ascii="Arial" w:hAnsi="Arial" w:cs="Arial"/>
          <w:b/>
          <w:bCs/>
          <w:noProof/>
          <w:sz w:val="22"/>
          <w:szCs w:val="22"/>
        </w:rPr>
        <mc:AlternateContent>
          <mc:Choice Requires="wps">
            <w:drawing>
              <wp:anchor distT="45720" distB="45720" distL="114300" distR="114300" simplePos="0" relativeHeight="251574784" behindDoc="0" locked="0" layoutInCell="1" allowOverlap="1" wp14:anchorId="7B71EB7F" wp14:editId="1D3FB2C6">
                <wp:simplePos x="0" y="0"/>
                <wp:positionH relativeFrom="column">
                  <wp:posOffset>3727450</wp:posOffset>
                </wp:positionH>
                <wp:positionV relativeFrom="paragraph">
                  <wp:posOffset>199390</wp:posOffset>
                </wp:positionV>
                <wp:extent cx="1841500" cy="628650"/>
                <wp:effectExtent l="0" t="0" r="25400" b="19050"/>
                <wp:wrapSquare wrapText="bothSides"/>
                <wp:docPr id="37700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1500" cy="628650"/>
                        </a:xfrm>
                        <a:prstGeom prst="rect">
                          <a:avLst/>
                        </a:prstGeom>
                        <a:solidFill>
                          <a:srgbClr val="FFFFFF"/>
                        </a:solidFill>
                        <a:ln w="9525">
                          <a:solidFill>
                            <a:srgbClr val="000000"/>
                          </a:solidFill>
                          <a:miter lim="800000"/>
                          <a:headEnd/>
                          <a:tailEnd/>
                        </a:ln>
                      </wps:spPr>
                      <wps:txbx>
                        <w:txbxContent>
                          <w:p w14:paraId="04B4BF2B" w14:textId="2DF37575" w:rsidR="0057697C" w:rsidRPr="00E44290" w:rsidRDefault="0057697C">
                            <w:pPr>
                              <w:rPr>
                                <w:rFonts w:ascii="Arial" w:hAnsi="Arial" w:cs="Arial"/>
                                <w:sz w:val="20"/>
                                <w:szCs w:val="20"/>
                              </w:rPr>
                            </w:pPr>
                            <w:r w:rsidRPr="00E44290">
                              <w:rPr>
                                <w:rFonts w:ascii="Arial" w:hAnsi="Arial" w:cs="Arial"/>
                                <w:sz w:val="20"/>
                                <w:szCs w:val="20"/>
                              </w:rPr>
                              <w:t>Articles excluded due to duplication</w:t>
                            </w:r>
                            <w:r w:rsidR="005D6666" w:rsidRPr="00E44290">
                              <w:rPr>
                                <w:rFonts w:ascii="Arial" w:hAnsi="Arial" w:cs="Arial"/>
                                <w:sz w:val="20"/>
                                <w:szCs w:val="20"/>
                              </w:rPr>
                              <w:t xml:space="preserve"> (n=</w:t>
                            </w:r>
                            <w:r w:rsidR="00BF6E43" w:rsidRPr="00E44290">
                              <w:rPr>
                                <w:rFonts w:ascii="Arial" w:hAnsi="Arial" w:cs="Arial"/>
                                <w:sz w:val="20"/>
                                <w:szCs w:val="20"/>
                              </w:rPr>
                              <w:t>1</w:t>
                            </w:r>
                            <w:r w:rsidR="00ED4918" w:rsidRPr="00E44290">
                              <w:rPr>
                                <w:rFonts w:ascii="Arial" w:hAnsi="Arial" w:cs="Arial"/>
                                <w:sz w:val="20"/>
                                <w:szCs w:val="20"/>
                              </w:rPr>
                              <w:t>9</w:t>
                            </w:r>
                            <w:r w:rsidR="005D6666" w:rsidRPr="00E44290">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1EB7F" id="_x0000_s1029" type="#_x0000_t202" style="position:absolute;left:0;text-align:left;margin-left:293.5pt;margin-top:15.7pt;width:145pt;height:49.5pt;z-index:251574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">
                <v:textbox>
                  <w:txbxContent>
                    <w:p w14:paraId="04B4BF2B" w14:textId="2DF37575" w:rsidR="0057697C" w:rsidRPr="00E44290" w:rsidRDefault="0057697C">
                      <w:pPr>
                        <w:rPr>
                          <w:rFonts w:ascii="Arial" w:hAnsi="Arial" w:cs="Arial"/>
                          <w:sz w:val="20"/>
                          <w:szCs w:val="20"/>
                        </w:rPr>
                      </w:pPr>
                      <w:r w:rsidRPr="00E44290">
                        <w:rPr>
                          <w:rFonts w:ascii="Arial" w:hAnsi="Arial" w:cs="Arial"/>
                          <w:sz w:val="20"/>
                          <w:szCs w:val="20"/>
                        </w:rPr>
                        <w:t>Articles excluded due to duplication</w:t>
                      </w:r>
                      <w:r w:rsidR="005D6666" w:rsidRPr="00E44290">
                        <w:rPr>
                          <w:rFonts w:ascii="Arial" w:hAnsi="Arial" w:cs="Arial"/>
                          <w:sz w:val="20"/>
                          <w:szCs w:val="20"/>
                        </w:rPr>
                        <w:t xml:space="preserve"> (n=</w:t>
                      </w:r>
                      <w:r w:rsidR="00BF6E43" w:rsidRPr="00E44290">
                        <w:rPr>
                          <w:rFonts w:ascii="Arial" w:hAnsi="Arial" w:cs="Arial"/>
                          <w:sz w:val="20"/>
                          <w:szCs w:val="20"/>
                        </w:rPr>
                        <w:t>1</w:t>
                      </w:r>
                      <w:r w:rsidR="00ED4918" w:rsidRPr="00E44290">
                        <w:rPr>
                          <w:rFonts w:ascii="Arial" w:hAnsi="Arial" w:cs="Arial"/>
                          <w:sz w:val="20"/>
                          <w:szCs w:val="20"/>
                        </w:rPr>
                        <w:t>9</w:t>
                      </w:r>
                      <w:r w:rsidR="005D6666" w:rsidRPr="00E44290">
                        <w:rPr>
                          <w:rFonts w:ascii="Arial" w:hAnsi="Arial" w:cs="Arial"/>
                          <w:sz w:val="20"/>
                          <w:szCs w:val="20"/>
                        </w:rPr>
                        <w:t>)</w:t>
                      </w:r>
                    </w:p>
                  </w:txbxContent>
                </v:textbox>
                <w10:wrap type="square"/>
              </v:shape>
            </w:pict>
          </mc:Fallback>
        </mc:AlternateContent>
      </w:r>
    </w:p>
    <w:p w14:paraId="5254D959" w14:textId="12FB576C" w:rsidR="00244C1B" w:rsidRPr="000B78E1" w:rsidRDefault="00F24B9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641344" behindDoc="0" locked="0" layoutInCell="1" allowOverlap="1" wp14:anchorId="69B94809" wp14:editId="15D9CC93">
                <wp:simplePos x="0" y="0"/>
                <wp:positionH relativeFrom="column">
                  <wp:posOffset>2914650</wp:posOffset>
                </wp:positionH>
                <wp:positionV relativeFrom="paragraph">
                  <wp:posOffset>245110</wp:posOffset>
                </wp:positionV>
                <wp:extent cx="641350" cy="50800"/>
                <wp:effectExtent l="0" t="19050" r="44450" b="44450"/>
                <wp:wrapNone/>
                <wp:docPr id="530392552" name="Arrow: Right 3"/>
                <wp:cNvGraphicFramePr/>
                <a:graphic xmlns:a="http://schemas.openxmlformats.org/drawingml/2006/main">
                  <a:graphicData uri="http://schemas.microsoft.com/office/word/2010/wordprocessingShape">
                    <wps:wsp>
                      <wps:cNvSpPr/>
                      <wps:spPr>
                        <a:xfrm>
                          <a:off x="0" y="0"/>
                          <a:ext cx="641350" cy="508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9A72F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229.5pt;margin-top:19.3pt;width:50.5pt;height:4pt;z-index:25164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" adj="20745" fillcolor="#156082 [3204]" strokecolor="#030e13 [484]" strokeweight="1.5pt"/>
            </w:pict>
          </mc:Fallback>
        </mc:AlternateContent>
      </w:r>
      <w:r w:rsidR="00042FE1" w:rsidRPr="000B78E1">
        <w:rPr>
          <w:rFonts w:ascii="Arial" w:hAnsi="Arial" w:cs="Arial"/>
          <w:b/>
          <w:bCs/>
          <w:noProof/>
          <w:sz w:val="22"/>
          <w:szCs w:val="22"/>
        </w:rPr>
        <mc:AlternateContent>
          <mc:Choice Requires="wps">
            <w:drawing>
              <wp:anchor distT="0" distB="0" distL="114300" distR="114300" simplePos="0" relativeHeight="251618816" behindDoc="0" locked="0" layoutInCell="1" allowOverlap="1" wp14:anchorId="2D1F4AFA" wp14:editId="389FC9A9">
                <wp:simplePos x="0" y="0"/>
                <wp:positionH relativeFrom="column">
                  <wp:posOffset>2119630</wp:posOffset>
                </wp:positionH>
                <wp:positionV relativeFrom="paragraph">
                  <wp:posOffset>78105</wp:posOffset>
                </wp:positionV>
                <wp:extent cx="45719" cy="292100"/>
                <wp:effectExtent l="19050" t="0" r="31115" b="31750"/>
                <wp:wrapNone/>
                <wp:docPr id="1509741763" name="Arrow: Down 2"/>
                <wp:cNvGraphicFramePr/>
                <a:graphic xmlns:a="http://schemas.openxmlformats.org/drawingml/2006/main">
                  <a:graphicData uri="http://schemas.microsoft.com/office/word/2010/wordprocessingShape">
                    <wps:wsp>
                      <wps:cNvSpPr/>
                      <wps:spPr>
                        <a:xfrm>
                          <a:off x="0" y="0"/>
                          <a:ext cx="45719" cy="2921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CD9230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166.9pt;margin-top:6.15pt;width:3.6pt;height:23pt;z-index:25161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" adj="19910" fillcolor="#156082 [3204]" strokecolor="#030e13 [484]" strokeweight="1.5pt"/>
            </w:pict>
          </mc:Fallback>
        </mc:AlternateContent>
      </w:r>
    </w:p>
    <w:p w14:paraId="05C103B7" w14:textId="020EB039" w:rsidR="00244C1B" w:rsidRPr="000B78E1" w:rsidRDefault="00F24B9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598336" behindDoc="0" locked="0" layoutInCell="1" allowOverlap="1" wp14:anchorId="38261D60" wp14:editId="089463B8">
                <wp:simplePos x="0" y="0"/>
                <wp:positionH relativeFrom="column">
                  <wp:posOffset>469900</wp:posOffset>
                </wp:positionH>
                <wp:positionV relativeFrom="paragraph">
                  <wp:posOffset>129540</wp:posOffset>
                </wp:positionV>
                <wp:extent cx="457200" cy="1117600"/>
                <wp:effectExtent l="0" t="0" r="19050" b="25400"/>
                <wp:wrapSquare wrapText="bothSides"/>
                <wp:docPr id="602047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17600"/>
                        </a:xfrm>
                        <a:prstGeom prst="rect">
                          <a:avLst/>
                        </a:prstGeom>
                        <a:solidFill>
                          <a:schemeClr val="tx2">
                            <a:lumMod val="10000"/>
                            <a:lumOff val="90000"/>
                          </a:schemeClr>
                        </a:solidFill>
                        <a:ln w="9525">
                          <a:solidFill>
                            <a:srgbClr val="000000"/>
                          </a:solidFill>
                          <a:miter lim="800000"/>
                          <a:headEnd/>
                          <a:tailEnd/>
                        </a:ln>
                      </wps:spPr>
                      <wps:txbx>
                        <w:txbxContent>
                          <w:p w14:paraId="3826E7A6" w14:textId="2114C54A" w:rsidR="002B4500" w:rsidRPr="00D726AE" w:rsidRDefault="00EF0154" w:rsidP="002B4500">
                            <w:pPr>
                              <w:rPr>
                                <w:rFonts w:ascii="Times New Roman" w:hAnsi="Times New Roman" w:cs="Times New Roman"/>
                              </w:rPr>
                            </w:pPr>
                            <w:r w:rsidRPr="00D726AE">
                              <w:rPr>
                                <w:rFonts w:ascii="Times New Roman" w:hAnsi="Times New Roman" w:cs="Times New Roman"/>
                              </w:rPr>
                              <w:t xml:space="preserve">     Screening</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61D60" id="_x0000_s1030" type="#_x0000_t202" style="position:absolute;left:0;text-align:left;margin-left:37pt;margin-top:10.2pt;width:36pt;height:88pt;z-index:251598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" fillcolor="#dceaf7 [351]">
                <v:textbox style="layout-flow:vertical;mso-layout-flow-alt:bottom-to-top">
                  <w:txbxContent>
                    <w:p w14:paraId="3826E7A6" w14:textId="2114C54A" w:rsidR="002B4500" w:rsidRPr="00D726AE" w:rsidRDefault="00EF0154" w:rsidP="002B4500">
                      <w:pPr>
                        <w:rPr>
                          <w:rFonts w:ascii="Times New Roman" w:hAnsi="Times New Roman" w:cs="Times New Roman"/>
                        </w:rPr>
                      </w:pPr>
                      <w:r w:rsidRPr="00D726AE">
                        <w:rPr>
                          <w:rFonts w:ascii="Times New Roman" w:hAnsi="Times New Roman" w:cs="Times New Roman"/>
                        </w:rPr>
                        <w:t xml:space="preserve">     Screening</w:t>
                      </w:r>
                    </w:p>
                  </w:txbxContent>
                </v:textbox>
                <w10:wrap type="square"/>
              </v:shape>
            </w:pict>
          </mc:Fallback>
        </mc:AlternateContent>
      </w:r>
      <w:r w:rsidRPr="000B78E1">
        <w:rPr>
          <w:rFonts w:ascii="Arial" w:hAnsi="Arial" w:cs="Arial"/>
          <w:b/>
          <w:bCs/>
          <w:noProof/>
          <w:sz w:val="22"/>
          <w:szCs w:val="22"/>
        </w:rPr>
        <mc:AlternateContent>
          <mc:Choice Requires="wps">
            <w:drawing>
              <wp:anchor distT="45720" distB="45720" distL="114300" distR="114300" simplePos="0" relativeHeight="251561472" behindDoc="0" locked="0" layoutInCell="1" allowOverlap="1" wp14:anchorId="40ADE407" wp14:editId="418A09DF">
                <wp:simplePos x="0" y="0"/>
                <wp:positionH relativeFrom="column">
                  <wp:posOffset>1193800</wp:posOffset>
                </wp:positionH>
                <wp:positionV relativeFrom="paragraph">
                  <wp:posOffset>148590</wp:posOffset>
                </wp:positionV>
                <wp:extent cx="2101850" cy="393700"/>
                <wp:effectExtent l="0" t="0" r="12700" b="25400"/>
                <wp:wrapSquare wrapText="bothSides"/>
                <wp:docPr id="873796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0" cy="393700"/>
                        </a:xfrm>
                        <a:prstGeom prst="rect">
                          <a:avLst/>
                        </a:prstGeom>
                        <a:solidFill>
                          <a:srgbClr val="FFFFFF"/>
                        </a:solidFill>
                        <a:ln w="9525">
                          <a:solidFill>
                            <a:srgbClr val="000000"/>
                          </a:solidFill>
                          <a:miter lim="800000"/>
                          <a:headEnd/>
                          <a:tailEnd/>
                        </a:ln>
                      </wps:spPr>
                      <wps:txbx>
                        <w:txbxContent>
                          <w:p w14:paraId="126D6C32" w14:textId="4D2D8B1A" w:rsidR="009223A4" w:rsidRPr="00E44290" w:rsidRDefault="009223A4">
                            <w:pPr>
                              <w:rPr>
                                <w:rFonts w:ascii="Arial" w:hAnsi="Arial" w:cs="Arial"/>
                                <w:sz w:val="20"/>
                                <w:szCs w:val="20"/>
                              </w:rPr>
                            </w:pPr>
                            <w:r w:rsidRPr="00E44290">
                              <w:rPr>
                                <w:rFonts w:ascii="Arial" w:hAnsi="Arial" w:cs="Arial"/>
                                <w:sz w:val="20"/>
                                <w:szCs w:val="20"/>
                              </w:rPr>
                              <w:t>Studies Screened (n=</w:t>
                            </w:r>
                            <w:r w:rsidR="00650B5A" w:rsidRPr="00E44290">
                              <w:rPr>
                                <w:rFonts w:ascii="Arial" w:hAnsi="Arial" w:cs="Arial"/>
                                <w:sz w:val="20"/>
                                <w:szCs w:val="20"/>
                              </w:rPr>
                              <w:t>1</w:t>
                            </w:r>
                            <w:r w:rsidR="00ED4918" w:rsidRPr="00E44290">
                              <w:rPr>
                                <w:rFonts w:ascii="Arial" w:hAnsi="Arial" w:cs="Arial"/>
                                <w:sz w:val="20"/>
                                <w:szCs w:val="20"/>
                              </w:rPr>
                              <w:t>47</w:t>
                            </w:r>
                            <w:r w:rsidRPr="00E44290">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ADE407" id="_x0000_s1031" type="#_x0000_t202" style="position:absolute;left:0;text-align:left;margin-left:94pt;margin-top:11.7pt;width:165.5pt;height:31pt;z-index:251561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">
                <v:textbox>
                  <w:txbxContent>
                    <w:p w14:paraId="126D6C32" w14:textId="4D2D8B1A" w:rsidR="009223A4" w:rsidRPr="00E44290" w:rsidRDefault="009223A4">
                      <w:pPr>
                        <w:rPr>
                          <w:rFonts w:ascii="Arial" w:hAnsi="Arial" w:cs="Arial"/>
                          <w:sz w:val="20"/>
                          <w:szCs w:val="20"/>
                        </w:rPr>
                      </w:pPr>
                      <w:r w:rsidRPr="00E44290">
                        <w:rPr>
                          <w:rFonts w:ascii="Arial" w:hAnsi="Arial" w:cs="Arial"/>
                          <w:sz w:val="20"/>
                          <w:szCs w:val="20"/>
                        </w:rPr>
                        <w:t>Studies Screened (n=</w:t>
                      </w:r>
                      <w:r w:rsidR="00650B5A" w:rsidRPr="00E44290">
                        <w:rPr>
                          <w:rFonts w:ascii="Arial" w:hAnsi="Arial" w:cs="Arial"/>
                          <w:sz w:val="20"/>
                          <w:szCs w:val="20"/>
                        </w:rPr>
                        <w:t>1</w:t>
                      </w:r>
                      <w:r w:rsidR="00ED4918" w:rsidRPr="00E44290">
                        <w:rPr>
                          <w:rFonts w:ascii="Arial" w:hAnsi="Arial" w:cs="Arial"/>
                          <w:sz w:val="20"/>
                          <w:szCs w:val="20"/>
                        </w:rPr>
                        <w:t>47</w:t>
                      </w:r>
                      <w:r w:rsidRPr="00E44290">
                        <w:rPr>
                          <w:rFonts w:ascii="Arial" w:hAnsi="Arial" w:cs="Arial"/>
                          <w:sz w:val="20"/>
                          <w:szCs w:val="20"/>
                        </w:rPr>
                        <w:t>)</w:t>
                      </w:r>
                    </w:p>
                  </w:txbxContent>
                </v:textbox>
                <w10:wrap type="square"/>
              </v:shape>
            </w:pict>
          </mc:Fallback>
        </mc:AlternateContent>
      </w:r>
    </w:p>
    <w:p w14:paraId="2B4CC744" w14:textId="7D293A6F" w:rsidR="00244C1B" w:rsidRPr="000B78E1" w:rsidRDefault="00F24B9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581952" behindDoc="0" locked="0" layoutInCell="1" allowOverlap="1" wp14:anchorId="4C744A99" wp14:editId="57D8B13E">
                <wp:simplePos x="0" y="0"/>
                <wp:positionH relativeFrom="column">
                  <wp:posOffset>3771900</wp:posOffset>
                </wp:positionH>
                <wp:positionV relativeFrom="paragraph">
                  <wp:posOffset>127635</wp:posOffset>
                </wp:positionV>
                <wp:extent cx="1854200" cy="787400"/>
                <wp:effectExtent l="0" t="0" r="12700" b="12700"/>
                <wp:wrapSquare wrapText="bothSides"/>
                <wp:docPr id="10710638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787400"/>
                        </a:xfrm>
                        <a:prstGeom prst="rect">
                          <a:avLst/>
                        </a:prstGeom>
                        <a:solidFill>
                          <a:srgbClr val="FFFFFF"/>
                        </a:solidFill>
                        <a:ln w="9525">
                          <a:solidFill>
                            <a:srgbClr val="000000"/>
                          </a:solidFill>
                          <a:miter lim="800000"/>
                          <a:headEnd/>
                          <a:tailEnd/>
                        </a:ln>
                      </wps:spPr>
                      <wps:txbx>
                        <w:txbxContent>
                          <w:p w14:paraId="0577BDF3" w14:textId="6AE72F04" w:rsidR="005D6666" w:rsidRPr="00E44290" w:rsidRDefault="005D6666" w:rsidP="005D6666">
                            <w:pPr>
                              <w:rPr>
                                <w:rFonts w:ascii="Arial" w:hAnsi="Arial" w:cs="Arial"/>
                                <w:sz w:val="20"/>
                                <w:szCs w:val="20"/>
                              </w:rPr>
                            </w:pPr>
                            <w:r w:rsidRPr="00E44290">
                              <w:rPr>
                                <w:rFonts w:ascii="Arial" w:hAnsi="Arial" w:cs="Arial"/>
                                <w:sz w:val="20"/>
                                <w:szCs w:val="20"/>
                              </w:rPr>
                              <w:t xml:space="preserve">Articles excluded </w:t>
                            </w:r>
                            <w:r w:rsidR="001C1E06" w:rsidRPr="00E44290">
                              <w:rPr>
                                <w:rFonts w:ascii="Arial" w:hAnsi="Arial" w:cs="Arial"/>
                                <w:sz w:val="20"/>
                                <w:szCs w:val="20"/>
                              </w:rPr>
                              <w:t xml:space="preserve">not related </w:t>
                            </w:r>
                            <w:proofErr w:type="gramStart"/>
                            <w:r w:rsidR="001C1E06" w:rsidRPr="00E44290">
                              <w:rPr>
                                <w:rFonts w:ascii="Arial" w:hAnsi="Arial" w:cs="Arial"/>
                                <w:sz w:val="20"/>
                                <w:szCs w:val="20"/>
                              </w:rPr>
                              <w:t xml:space="preserve">to </w:t>
                            </w:r>
                            <w:r w:rsidRPr="00E44290">
                              <w:rPr>
                                <w:rFonts w:ascii="Arial" w:hAnsi="Arial" w:cs="Arial"/>
                                <w:sz w:val="20"/>
                                <w:szCs w:val="20"/>
                              </w:rPr>
                              <w:t xml:space="preserve"> </w:t>
                            </w:r>
                            <w:proofErr w:type="spellStart"/>
                            <w:r w:rsidR="00DF7796" w:rsidRPr="00E44290">
                              <w:rPr>
                                <w:rFonts w:ascii="Arial" w:hAnsi="Arial" w:cs="Arial"/>
                                <w:sz w:val="20"/>
                                <w:szCs w:val="20"/>
                              </w:rPr>
                              <w:t>i</w:t>
                            </w:r>
                            <w:proofErr w:type="spellEnd"/>
                            <w:r w:rsidR="00DF7796" w:rsidRPr="00E44290">
                              <w:rPr>
                                <w:rFonts w:ascii="Arial" w:hAnsi="Arial" w:cs="Arial"/>
                                <w:sz w:val="20"/>
                                <w:szCs w:val="20"/>
                              </w:rPr>
                              <w:t>.</w:t>
                            </w:r>
                            <w:proofErr w:type="gramEnd"/>
                            <w:r w:rsidR="00DF7796" w:rsidRPr="00E44290">
                              <w:rPr>
                                <w:rFonts w:ascii="Arial" w:hAnsi="Arial" w:cs="Arial"/>
                                <w:sz w:val="20"/>
                                <w:szCs w:val="20"/>
                              </w:rPr>
                              <w:t xml:space="preserve"> </w:t>
                            </w:r>
                            <w:r w:rsidR="0067357D" w:rsidRPr="00E44290">
                              <w:rPr>
                                <w:rFonts w:ascii="Arial" w:hAnsi="Arial" w:cs="Arial"/>
                                <w:sz w:val="20"/>
                                <w:szCs w:val="20"/>
                              </w:rPr>
                              <w:t>DFS adoption by SME</w:t>
                            </w:r>
                            <w:r w:rsidR="00334B45" w:rsidRPr="00E44290">
                              <w:rPr>
                                <w:rFonts w:ascii="Arial" w:hAnsi="Arial" w:cs="Arial"/>
                                <w:sz w:val="20"/>
                                <w:szCs w:val="20"/>
                              </w:rPr>
                              <w:t xml:space="preserve">, ii. </w:t>
                            </w:r>
                            <w:r w:rsidR="0054162B" w:rsidRPr="00E44290">
                              <w:rPr>
                                <w:rFonts w:ascii="Arial" w:hAnsi="Arial" w:cs="Arial"/>
                                <w:sz w:val="20"/>
                                <w:szCs w:val="20"/>
                              </w:rPr>
                              <w:t xml:space="preserve">Credit access &amp; </w:t>
                            </w:r>
                            <w:r w:rsidR="00F00F6A" w:rsidRPr="00E44290">
                              <w:rPr>
                                <w:rFonts w:ascii="Arial" w:hAnsi="Arial" w:cs="Arial"/>
                                <w:sz w:val="20"/>
                                <w:szCs w:val="20"/>
                              </w:rPr>
                              <w:t xml:space="preserve">Sustainability studies </w:t>
                            </w:r>
                            <w:r w:rsidR="000F3072" w:rsidRPr="00E44290">
                              <w:rPr>
                                <w:rFonts w:ascii="Arial" w:hAnsi="Arial" w:cs="Arial"/>
                                <w:sz w:val="20"/>
                                <w:szCs w:val="20"/>
                              </w:rPr>
                              <w:t>linked</w:t>
                            </w:r>
                            <w:r w:rsidR="00D41C15" w:rsidRPr="00E44290">
                              <w:rPr>
                                <w:rFonts w:ascii="Arial" w:hAnsi="Arial" w:cs="Arial"/>
                                <w:sz w:val="20"/>
                                <w:szCs w:val="20"/>
                              </w:rPr>
                              <w:t xml:space="preserve"> </w:t>
                            </w:r>
                            <w:proofErr w:type="gramStart"/>
                            <w:r w:rsidR="00D41C15" w:rsidRPr="00E44290">
                              <w:rPr>
                                <w:rFonts w:ascii="Arial" w:hAnsi="Arial" w:cs="Arial"/>
                                <w:sz w:val="20"/>
                                <w:szCs w:val="20"/>
                              </w:rPr>
                              <w:t xml:space="preserve">SME  </w:t>
                            </w:r>
                            <w:r w:rsidRPr="00E44290">
                              <w:rPr>
                                <w:rFonts w:ascii="Arial" w:hAnsi="Arial" w:cs="Arial"/>
                                <w:sz w:val="20"/>
                                <w:szCs w:val="20"/>
                              </w:rPr>
                              <w:t>(</w:t>
                            </w:r>
                            <w:proofErr w:type="gramEnd"/>
                            <w:r w:rsidRPr="00E44290">
                              <w:rPr>
                                <w:rFonts w:ascii="Arial" w:hAnsi="Arial" w:cs="Arial"/>
                                <w:sz w:val="20"/>
                                <w:szCs w:val="20"/>
                              </w:rPr>
                              <w:t>n=</w:t>
                            </w:r>
                            <w:r w:rsidR="00570C8F" w:rsidRPr="00E44290">
                              <w:rPr>
                                <w:rFonts w:ascii="Arial" w:hAnsi="Arial" w:cs="Arial"/>
                                <w:sz w:val="20"/>
                                <w:szCs w:val="20"/>
                              </w:rPr>
                              <w:t>54</w:t>
                            </w:r>
                            <w:r w:rsidRPr="00E44290">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44A99" id="_x0000_s1032" type="#_x0000_t202" style="position:absolute;left:0;text-align:left;margin-left:297pt;margin-top:10.05pt;width:146pt;height:62pt;z-index:2515819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">
                <v:textbox>
                  <w:txbxContent>
                    <w:p w14:paraId="0577BDF3" w14:textId="6AE72F04" w:rsidR="005D6666" w:rsidRPr="00E44290" w:rsidRDefault="005D6666" w:rsidP="005D6666">
                      <w:pPr>
                        <w:rPr>
                          <w:rFonts w:ascii="Arial" w:hAnsi="Arial" w:cs="Arial"/>
                          <w:sz w:val="20"/>
                          <w:szCs w:val="20"/>
                        </w:rPr>
                      </w:pPr>
                      <w:r w:rsidRPr="00E44290">
                        <w:rPr>
                          <w:rFonts w:ascii="Arial" w:hAnsi="Arial" w:cs="Arial"/>
                          <w:sz w:val="20"/>
                          <w:szCs w:val="20"/>
                        </w:rPr>
                        <w:t xml:space="preserve">Articles excluded </w:t>
                      </w:r>
                      <w:r w:rsidR="001C1E06" w:rsidRPr="00E44290">
                        <w:rPr>
                          <w:rFonts w:ascii="Arial" w:hAnsi="Arial" w:cs="Arial"/>
                          <w:sz w:val="20"/>
                          <w:szCs w:val="20"/>
                        </w:rPr>
                        <w:t xml:space="preserve">not related </w:t>
                      </w:r>
                      <w:proofErr w:type="gramStart"/>
                      <w:r w:rsidR="001C1E06" w:rsidRPr="00E44290">
                        <w:rPr>
                          <w:rFonts w:ascii="Arial" w:hAnsi="Arial" w:cs="Arial"/>
                          <w:sz w:val="20"/>
                          <w:szCs w:val="20"/>
                        </w:rPr>
                        <w:t xml:space="preserve">to </w:t>
                      </w:r>
                      <w:r w:rsidRPr="00E44290">
                        <w:rPr>
                          <w:rFonts w:ascii="Arial" w:hAnsi="Arial" w:cs="Arial"/>
                          <w:sz w:val="20"/>
                          <w:szCs w:val="20"/>
                        </w:rPr>
                        <w:t xml:space="preserve"> </w:t>
                      </w:r>
                      <w:proofErr w:type="spellStart"/>
                      <w:r w:rsidR="00DF7796" w:rsidRPr="00E44290">
                        <w:rPr>
                          <w:rFonts w:ascii="Arial" w:hAnsi="Arial" w:cs="Arial"/>
                          <w:sz w:val="20"/>
                          <w:szCs w:val="20"/>
                        </w:rPr>
                        <w:t>i</w:t>
                      </w:r>
                      <w:proofErr w:type="spellEnd"/>
                      <w:r w:rsidR="00DF7796" w:rsidRPr="00E44290">
                        <w:rPr>
                          <w:rFonts w:ascii="Arial" w:hAnsi="Arial" w:cs="Arial"/>
                          <w:sz w:val="20"/>
                          <w:szCs w:val="20"/>
                        </w:rPr>
                        <w:t>.</w:t>
                      </w:r>
                      <w:proofErr w:type="gramEnd"/>
                      <w:r w:rsidR="00DF7796" w:rsidRPr="00E44290">
                        <w:rPr>
                          <w:rFonts w:ascii="Arial" w:hAnsi="Arial" w:cs="Arial"/>
                          <w:sz w:val="20"/>
                          <w:szCs w:val="20"/>
                        </w:rPr>
                        <w:t xml:space="preserve"> </w:t>
                      </w:r>
                      <w:r w:rsidR="0067357D" w:rsidRPr="00E44290">
                        <w:rPr>
                          <w:rFonts w:ascii="Arial" w:hAnsi="Arial" w:cs="Arial"/>
                          <w:sz w:val="20"/>
                          <w:szCs w:val="20"/>
                        </w:rPr>
                        <w:t>DFS adoption by SME</w:t>
                      </w:r>
                      <w:r w:rsidR="00334B45" w:rsidRPr="00E44290">
                        <w:rPr>
                          <w:rFonts w:ascii="Arial" w:hAnsi="Arial" w:cs="Arial"/>
                          <w:sz w:val="20"/>
                          <w:szCs w:val="20"/>
                        </w:rPr>
                        <w:t xml:space="preserve">, ii. </w:t>
                      </w:r>
                      <w:r w:rsidR="0054162B" w:rsidRPr="00E44290">
                        <w:rPr>
                          <w:rFonts w:ascii="Arial" w:hAnsi="Arial" w:cs="Arial"/>
                          <w:sz w:val="20"/>
                          <w:szCs w:val="20"/>
                        </w:rPr>
                        <w:t xml:space="preserve">Credit access &amp; </w:t>
                      </w:r>
                      <w:r w:rsidR="00F00F6A" w:rsidRPr="00E44290">
                        <w:rPr>
                          <w:rFonts w:ascii="Arial" w:hAnsi="Arial" w:cs="Arial"/>
                          <w:sz w:val="20"/>
                          <w:szCs w:val="20"/>
                        </w:rPr>
                        <w:t xml:space="preserve">Sustainability studies </w:t>
                      </w:r>
                      <w:r w:rsidR="000F3072" w:rsidRPr="00E44290">
                        <w:rPr>
                          <w:rFonts w:ascii="Arial" w:hAnsi="Arial" w:cs="Arial"/>
                          <w:sz w:val="20"/>
                          <w:szCs w:val="20"/>
                        </w:rPr>
                        <w:t>linked</w:t>
                      </w:r>
                      <w:r w:rsidR="00D41C15" w:rsidRPr="00E44290">
                        <w:rPr>
                          <w:rFonts w:ascii="Arial" w:hAnsi="Arial" w:cs="Arial"/>
                          <w:sz w:val="20"/>
                          <w:szCs w:val="20"/>
                        </w:rPr>
                        <w:t xml:space="preserve"> </w:t>
                      </w:r>
                      <w:proofErr w:type="gramStart"/>
                      <w:r w:rsidR="00D41C15" w:rsidRPr="00E44290">
                        <w:rPr>
                          <w:rFonts w:ascii="Arial" w:hAnsi="Arial" w:cs="Arial"/>
                          <w:sz w:val="20"/>
                          <w:szCs w:val="20"/>
                        </w:rPr>
                        <w:t xml:space="preserve">SME  </w:t>
                      </w:r>
                      <w:r w:rsidRPr="00E44290">
                        <w:rPr>
                          <w:rFonts w:ascii="Arial" w:hAnsi="Arial" w:cs="Arial"/>
                          <w:sz w:val="20"/>
                          <w:szCs w:val="20"/>
                        </w:rPr>
                        <w:t>(</w:t>
                      </w:r>
                      <w:proofErr w:type="gramEnd"/>
                      <w:r w:rsidRPr="00E44290">
                        <w:rPr>
                          <w:rFonts w:ascii="Arial" w:hAnsi="Arial" w:cs="Arial"/>
                          <w:sz w:val="20"/>
                          <w:szCs w:val="20"/>
                        </w:rPr>
                        <w:t>n=</w:t>
                      </w:r>
                      <w:r w:rsidR="00570C8F" w:rsidRPr="00E44290">
                        <w:rPr>
                          <w:rFonts w:ascii="Arial" w:hAnsi="Arial" w:cs="Arial"/>
                          <w:sz w:val="20"/>
                          <w:szCs w:val="20"/>
                        </w:rPr>
                        <w:t>54</w:t>
                      </w:r>
                      <w:r w:rsidRPr="00E44290">
                        <w:rPr>
                          <w:rFonts w:ascii="Arial" w:hAnsi="Arial" w:cs="Arial"/>
                          <w:sz w:val="20"/>
                          <w:szCs w:val="20"/>
                        </w:rPr>
                        <w:t>)</w:t>
                      </w:r>
                    </w:p>
                  </w:txbxContent>
                </v:textbox>
                <w10:wrap type="square"/>
              </v:shape>
            </w:pict>
          </mc:Fallback>
        </mc:AlternateContent>
      </w:r>
    </w:p>
    <w:p w14:paraId="0585C34B" w14:textId="250648F2" w:rsidR="00244C1B" w:rsidRPr="000B78E1" w:rsidRDefault="00F24B9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649536" behindDoc="0" locked="0" layoutInCell="1" allowOverlap="1" wp14:anchorId="1D7B28C9" wp14:editId="7A025C11">
                <wp:simplePos x="0" y="0"/>
                <wp:positionH relativeFrom="column">
                  <wp:posOffset>2952750</wp:posOffset>
                </wp:positionH>
                <wp:positionV relativeFrom="paragraph">
                  <wp:posOffset>177800</wp:posOffset>
                </wp:positionV>
                <wp:extent cx="641350" cy="50800"/>
                <wp:effectExtent l="0" t="19050" r="44450" b="44450"/>
                <wp:wrapNone/>
                <wp:docPr id="1009922795" name="Arrow: Right 3"/>
                <wp:cNvGraphicFramePr/>
                <a:graphic xmlns:a="http://schemas.openxmlformats.org/drawingml/2006/main">
                  <a:graphicData uri="http://schemas.microsoft.com/office/word/2010/wordprocessingShape">
                    <wps:wsp>
                      <wps:cNvSpPr/>
                      <wps:spPr>
                        <a:xfrm>
                          <a:off x="0" y="0"/>
                          <a:ext cx="641350" cy="508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DBF377" id="Arrow: Right 3" o:spid="_x0000_s1026" type="#_x0000_t13" style="position:absolute;margin-left:232.5pt;margin-top:14pt;width:50.5pt;height:4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" adj="20745" fillcolor="#156082 [3204]" strokecolor="#030e13 [484]" strokeweight="1.5pt"/>
            </w:pict>
          </mc:Fallback>
        </mc:AlternateContent>
      </w:r>
      <w:r w:rsidRPr="000B78E1">
        <w:rPr>
          <w:rFonts w:ascii="Arial" w:hAnsi="Arial" w:cs="Arial"/>
          <w:b/>
          <w:bCs/>
          <w:noProof/>
          <w:sz w:val="22"/>
          <w:szCs w:val="22"/>
        </w:rPr>
        <mc:AlternateContent>
          <mc:Choice Requires="wps">
            <w:drawing>
              <wp:anchor distT="0" distB="0" distL="114300" distR="114300" simplePos="0" relativeHeight="251627008" behindDoc="0" locked="0" layoutInCell="1" allowOverlap="1" wp14:anchorId="1B13F864" wp14:editId="263279DE">
                <wp:simplePos x="0" y="0"/>
                <wp:positionH relativeFrom="column">
                  <wp:posOffset>2139950</wp:posOffset>
                </wp:positionH>
                <wp:positionV relativeFrom="paragraph">
                  <wp:posOffset>6350</wp:posOffset>
                </wp:positionV>
                <wp:extent cx="45719" cy="292100"/>
                <wp:effectExtent l="19050" t="0" r="31115" b="31750"/>
                <wp:wrapNone/>
                <wp:docPr id="1343242996" name="Arrow: Down 2"/>
                <wp:cNvGraphicFramePr/>
                <a:graphic xmlns:a="http://schemas.openxmlformats.org/drawingml/2006/main">
                  <a:graphicData uri="http://schemas.microsoft.com/office/word/2010/wordprocessingShape">
                    <wps:wsp>
                      <wps:cNvSpPr/>
                      <wps:spPr>
                        <a:xfrm>
                          <a:off x="0" y="0"/>
                          <a:ext cx="45719" cy="2921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0DA930" id="Arrow: Down 2" o:spid="_x0000_s1026" type="#_x0000_t67" style="position:absolute;margin-left:168.5pt;margin-top:.5pt;width:3.6pt;height:23pt;z-index:251627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" adj="19910" fillcolor="#156082 [3204]" strokecolor="#030e13 [484]" strokeweight="1.5pt"/>
            </w:pict>
          </mc:Fallback>
        </mc:AlternateContent>
      </w:r>
    </w:p>
    <w:p w14:paraId="131EE567" w14:textId="55EB70C7" w:rsidR="00244C1B" w:rsidRPr="000B78E1" w:rsidRDefault="00F24B9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565568" behindDoc="0" locked="0" layoutInCell="1" allowOverlap="1" wp14:anchorId="1B1D6CFD" wp14:editId="5AC51FD4">
                <wp:simplePos x="0" y="0"/>
                <wp:positionH relativeFrom="column">
                  <wp:posOffset>1155700</wp:posOffset>
                </wp:positionH>
                <wp:positionV relativeFrom="paragraph">
                  <wp:posOffset>21590</wp:posOffset>
                </wp:positionV>
                <wp:extent cx="2101850" cy="501650"/>
                <wp:effectExtent l="0" t="0" r="12700" b="12700"/>
                <wp:wrapSquare wrapText="bothSides"/>
                <wp:docPr id="639241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0" cy="501650"/>
                        </a:xfrm>
                        <a:prstGeom prst="rect">
                          <a:avLst/>
                        </a:prstGeom>
                        <a:solidFill>
                          <a:srgbClr val="FFFFFF"/>
                        </a:solidFill>
                        <a:ln w="9525">
                          <a:solidFill>
                            <a:srgbClr val="000000"/>
                          </a:solidFill>
                          <a:miter lim="800000"/>
                          <a:headEnd/>
                          <a:tailEnd/>
                        </a:ln>
                      </wps:spPr>
                      <wps:txbx>
                        <w:txbxContent>
                          <w:p w14:paraId="062FBC3C" w14:textId="75D862F3" w:rsidR="001D061B" w:rsidRPr="00E44290" w:rsidRDefault="001D061B" w:rsidP="001D061B">
                            <w:pPr>
                              <w:rPr>
                                <w:rFonts w:ascii="Arial" w:hAnsi="Arial" w:cs="Arial"/>
                                <w:sz w:val="20"/>
                                <w:szCs w:val="20"/>
                              </w:rPr>
                            </w:pPr>
                            <w:r w:rsidRPr="00E44290">
                              <w:rPr>
                                <w:rFonts w:ascii="Arial" w:hAnsi="Arial" w:cs="Arial"/>
                                <w:sz w:val="20"/>
                                <w:szCs w:val="20"/>
                              </w:rPr>
                              <w:t>Studies assessed for eligibility (n=</w:t>
                            </w:r>
                            <w:r w:rsidR="00716D4E" w:rsidRPr="00E44290">
                              <w:rPr>
                                <w:rFonts w:ascii="Arial" w:hAnsi="Arial" w:cs="Arial"/>
                                <w:sz w:val="20"/>
                                <w:szCs w:val="20"/>
                              </w:rPr>
                              <w:t>93</w:t>
                            </w:r>
                            <w:r w:rsidRPr="00E44290">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D6CFD" id="_x0000_s1033" type="#_x0000_t202" style="position:absolute;left:0;text-align:left;margin-left:91pt;margin-top:1.7pt;width:165.5pt;height:39.5pt;z-index:251565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">
                <v:textbox>
                  <w:txbxContent>
                    <w:p w14:paraId="062FBC3C" w14:textId="75D862F3" w:rsidR="001D061B" w:rsidRPr="00E44290" w:rsidRDefault="001D061B" w:rsidP="001D061B">
                      <w:pPr>
                        <w:rPr>
                          <w:rFonts w:ascii="Arial" w:hAnsi="Arial" w:cs="Arial"/>
                          <w:sz w:val="20"/>
                          <w:szCs w:val="20"/>
                        </w:rPr>
                      </w:pPr>
                      <w:r w:rsidRPr="00E44290">
                        <w:rPr>
                          <w:rFonts w:ascii="Arial" w:hAnsi="Arial" w:cs="Arial"/>
                          <w:sz w:val="20"/>
                          <w:szCs w:val="20"/>
                        </w:rPr>
                        <w:t>Studies assessed for eligibility (n=</w:t>
                      </w:r>
                      <w:r w:rsidR="00716D4E" w:rsidRPr="00E44290">
                        <w:rPr>
                          <w:rFonts w:ascii="Arial" w:hAnsi="Arial" w:cs="Arial"/>
                          <w:sz w:val="20"/>
                          <w:szCs w:val="20"/>
                        </w:rPr>
                        <w:t>93</w:t>
                      </w:r>
                      <w:r w:rsidRPr="00E44290">
                        <w:rPr>
                          <w:rFonts w:ascii="Arial" w:hAnsi="Arial" w:cs="Arial"/>
                          <w:sz w:val="20"/>
                          <w:szCs w:val="20"/>
                        </w:rPr>
                        <w:t>)</w:t>
                      </w:r>
                    </w:p>
                  </w:txbxContent>
                </v:textbox>
                <w10:wrap type="square"/>
              </v:shape>
            </w:pict>
          </mc:Fallback>
        </mc:AlternateContent>
      </w:r>
    </w:p>
    <w:p w14:paraId="533E2B74" w14:textId="5DCEBAC4" w:rsidR="001D061B" w:rsidRPr="000B78E1" w:rsidRDefault="00E44290"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611648" behindDoc="0" locked="0" layoutInCell="1" allowOverlap="1" wp14:anchorId="6BD64755" wp14:editId="1F1A5B10">
                <wp:simplePos x="0" y="0"/>
                <wp:positionH relativeFrom="column">
                  <wp:posOffset>476250</wp:posOffset>
                </wp:positionH>
                <wp:positionV relativeFrom="paragraph">
                  <wp:posOffset>251460</wp:posOffset>
                </wp:positionV>
                <wp:extent cx="457200" cy="1136650"/>
                <wp:effectExtent l="0" t="0" r="19050" b="25400"/>
                <wp:wrapSquare wrapText="bothSides"/>
                <wp:docPr id="2081418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1136650"/>
                        </a:xfrm>
                        <a:prstGeom prst="rect">
                          <a:avLst/>
                        </a:prstGeom>
                        <a:solidFill>
                          <a:schemeClr val="accent1">
                            <a:lumMod val="20000"/>
                            <a:lumOff val="80000"/>
                          </a:schemeClr>
                        </a:solidFill>
                        <a:ln w="9525">
                          <a:solidFill>
                            <a:srgbClr val="000000"/>
                          </a:solidFill>
                          <a:miter lim="800000"/>
                          <a:headEnd/>
                          <a:tailEnd/>
                        </a:ln>
                      </wps:spPr>
                      <wps:txbx>
                        <w:txbxContent>
                          <w:p w14:paraId="7FA456D8" w14:textId="465BC3B4" w:rsidR="00DB773F" w:rsidRPr="00D726AE" w:rsidRDefault="00EF0154" w:rsidP="00DB773F">
                            <w:pPr>
                              <w:rPr>
                                <w:rFonts w:ascii="Times New Roman" w:hAnsi="Times New Roman" w:cs="Times New Roman"/>
                              </w:rPr>
                            </w:pPr>
                            <w:r w:rsidRPr="00D726AE">
                              <w:rPr>
                                <w:rFonts w:ascii="Times New Roman" w:hAnsi="Times New Roman" w:cs="Times New Roman"/>
                              </w:rPr>
                              <w:t xml:space="preserve">   </w:t>
                            </w:r>
                            <w:r w:rsidR="00E44290">
                              <w:rPr>
                                <w:rFonts w:ascii="Times New Roman" w:hAnsi="Times New Roman" w:cs="Times New Roman"/>
                              </w:rPr>
                              <w:t xml:space="preserve">   </w:t>
                            </w:r>
                            <w:r w:rsidRPr="00D726AE">
                              <w:rPr>
                                <w:rFonts w:ascii="Times New Roman" w:hAnsi="Times New Roman" w:cs="Times New Roman"/>
                              </w:rPr>
                              <w:t xml:space="preserve"> Included</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D64755" id="_x0000_s1034" type="#_x0000_t202" style="position:absolute;left:0;text-align:left;margin-left:37.5pt;margin-top:19.8pt;width:36pt;height:89.5pt;z-index:251611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" fillcolor="#c1e4f5 [660]">
                <v:textbox style="layout-flow:vertical;mso-layout-flow-alt:bottom-to-top">
                  <w:txbxContent>
                    <w:p w14:paraId="7FA456D8" w14:textId="465BC3B4" w:rsidR="00DB773F" w:rsidRPr="00D726AE" w:rsidRDefault="00EF0154" w:rsidP="00DB773F">
                      <w:pPr>
                        <w:rPr>
                          <w:rFonts w:ascii="Times New Roman" w:hAnsi="Times New Roman" w:cs="Times New Roman"/>
                        </w:rPr>
                      </w:pPr>
                      <w:r w:rsidRPr="00D726AE">
                        <w:rPr>
                          <w:rFonts w:ascii="Times New Roman" w:hAnsi="Times New Roman" w:cs="Times New Roman"/>
                        </w:rPr>
                        <w:t xml:space="preserve">   </w:t>
                      </w:r>
                      <w:r w:rsidR="00E44290">
                        <w:rPr>
                          <w:rFonts w:ascii="Times New Roman" w:hAnsi="Times New Roman" w:cs="Times New Roman"/>
                        </w:rPr>
                        <w:t xml:space="preserve">   </w:t>
                      </w:r>
                      <w:r w:rsidRPr="00D726AE">
                        <w:rPr>
                          <w:rFonts w:ascii="Times New Roman" w:hAnsi="Times New Roman" w:cs="Times New Roman"/>
                        </w:rPr>
                        <w:t xml:space="preserve"> Included</w:t>
                      </w:r>
                    </w:p>
                  </w:txbxContent>
                </v:textbox>
                <w10:wrap type="square"/>
              </v:shape>
            </w:pict>
          </mc:Fallback>
        </mc:AlternateContent>
      </w:r>
      <w:r w:rsidRPr="000B78E1">
        <w:rPr>
          <w:rFonts w:ascii="Arial" w:hAnsi="Arial" w:cs="Arial"/>
          <w:b/>
          <w:bCs/>
          <w:noProof/>
          <w:sz w:val="22"/>
          <w:szCs w:val="22"/>
        </w:rPr>
        <mc:AlternateContent>
          <mc:Choice Requires="wps">
            <w:drawing>
              <wp:anchor distT="45720" distB="45720" distL="114300" distR="114300" simplePos="0" relativeHeight="251592192" behindDoc="0" locked="0" layoutInCell="1" allowOverlap="1" wp14:anchorId="55404E77" wp14:editId="78F6DC00">
                <wp:simplePos x="0" y="0"/>
                <wp:positionH relativeFrom="column">
                  <wp:posOffset>3784600</wp:posOffset>
                </wp:positionH>
                <wp:positionV relativeFrom="paragraph">
                  <wp:posOffset>189865</wp:posOffset>
                </wp:positionV>
                <wp:extent cx="1809750" cy="628650"/>
                <wp:effectExtent l="0" t="0" r="19050" b="19050"/>
                <wp:wrapSquare wrapText="bothSides"/>
                <wp:docPr id="6051215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28650"/>
                        </a:xfrm>
                        <a:prstGeom prst="rect">
                          <a:avLst/>
                        </a:prstGeom>
                        <a:solidFill>
                          <a:srgbClr val="FFFFFF"/>
                        </a:solidFill>
                        <a:ln w="9525">
                          <a:solidFill>
                            <a:srgbClr val="000000"/>
                          </a:solidFill>
                          <a:miter lim="800000"/>
                          <a:headEnd/>
                          <a:tailEnd/>
                        </a:ln>
                      </wps:spPr>
                      <wps:txbx>
                        <w:txbxContent>
                          <w:p w14:paraId="559CC2B3" w14:textId="66D256DF" w:rsidR="006E781E" w:rsidRPr="00E44290" w:rsidRDefault="006E781E" w:rsidP="006E781E">
                            <w:pPr>
                              <w:rPr>
                                <w:rFonts w:ascii="Arial" w:hAnsi="Arial" w:cs="Arial"/>
                                <w:sz w:val="20"/>
                                <w:szCs w:val="20"/>
                              </w:rPr>
                            </w:pPr>
                            <w:r w:rsidRPr="00E44290">
                              <w:rPr>
                                <w:rFonts w:ascii="Arial" w:hAnsi="Arial" w:cs="Arial"/>
                                <w:sz w:val="20"/>
                                <w:szCs w:val="20"/>
                              </w:rPr>
                              <w:t>Studies exclud</w:t>
                            </w:r>
                            <w:r w:rsidR="0086340E" w:rsidRPr="00E44290">
                              <w:rPr>
                                <w:rFonts w:ascii="Arial" w:hAnsi="Arial" w:cs="Arial"/>
                                <w:sz w:val="20"/>
                                <w:szCs w:val="20"/>
                              </w:rPr>
                              <w:t xml:space="preserve">ed after detailed </w:t>
                            </w:r>
                            <w:proofErr w:type="gramStart"/>
                            <w:r w:rsidR="0086340E" w:rsidRPr="00E44290">
                              <w:rPr>
                                <w:rFonts w:ascii="Arial" w:hAnsi="Arial" w:cs="Arial"/>
                                <w:sz w:val="20"/>
                                <w:szCs w:val="20"/>
                              </w:rPr>
                              <w:t>screening</w:t>
                            </w:r>
                            <w:r w:rsidRPr="00E44290">
                              <w:rPr>
                                <w:rFonts w:ascii="Arial" w:hAnsi="Arial" w:cs="Arial"/>
                                <w:sz w:val="20"/>
                                <w:szCs w:val="20"/>
                              </w:rPr>
                              <w:t xml:space="preserve">  (</w:t>
                            </w:r>
                            <w:proofErr w:type="gramEnd"/>
                            <w:r w:rsidRPr="00E44290">
                              <w:rPr>
                                <w:rFonts w:ascii="Arial" w:hAnsi="Arial" w:cs="Arial"/>
                                <w:sz w:val="20"/>
                                <w:szCs w:val="20"/>
                              </w:rPr>
                              <w:t>n=</w:t>
                            </w:r>
                            <w:r w:rsidR="000E0D49" w:rsidRPr="00E44290">
                              <w:rPr>
                                <w:rFonts w:ascii="Arial" w:hAnsi="Arial" w:cs="Arial"/>
                                <w:sz w:val="20"/>
                                <w:szCs w:val="20"/>
                              </w:rPr>
                              <w:t>13</w:t>
                            </w:r>
                            <w:r w:rsidRPr="00E44290">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404E77" id="_x0000_s1035" type="#_x0000_t202" style="position:absolute;left:0;text-align:left;margin-left:298pt;margin-top:14.95pt;width:142.5pt;height:49.5pt;z-index:251592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">
                <v:textbox>
                  <w:txbxContent>
                    <w:p w14:paraId="559CC2B3" w14:textId="66D256DF" w:rsidR="006E781E" w:rsidRPr="00E44290" w:rsidRDefault="006E781E" w:rsidP="006E781E">
                      <w:pPr>
                        <w:rPr>
                          <w:rFonts w:ascii="Arial" w:hAnsi="Arial" w:cs="Arial"/>
                          <w:sz w:val="20"/>
                          <w:szCs w:val="20"/>
                        </w:rPr>
                      </w:pPr>
                      <w:r w:rsidRPr="00E44290">
                        <w:rPr>
                          <w:rFonts w:ascii="Arial" w:hAnsi="Arial" w:cs="Arial"/>
                          <w:sz w:val="20"/>
                          <w:szCs w:val="20"/>
                        </w:rPr>
                        <w:t>Studies exclud</w:t>
                      </w:r>
                      <w:r w:rsidR="0086340E" w:rsidRPr="00E44290">
                        <w:rPr>
                          <w:rFonts w:ascii="Arial" w:hAnsi="Arial" w:cs="Arial"/>
                          <w:sz w:val="20"/>
                          <w:szCs w:val="20"/>
                        </w:rPr>
                        <w:t xml:space="preserve">ed after detailed </w:t>
                      </w:r>
                      <w:proofErr w:type="gramStart"/>
                      <w:r w:rsidR="0086340E" w:rsidRPr="00E44290">
                        <w:rPr>
                          <w:rFonts w:ascii="Arial" w:hAnsi="Arial" w:cs="Arial"/>
                          <w:sz w:val="20"/>
                          <w:szCs w:val="20"/>
                        </w:rPr>
                        <w:t>screening</w:t>
                      </w:r>
                      <w:r w:rsidRPr="00E44290">
                        <w:rPr>
                          <w:rFonts w:ascii="Arial" w:hAnsi="Arial" w:cs="Arial"/>
                          <w:sz w:val="20"/>
                          <w:szCs w:val="20"/>
                        </w:rPr>
                        <w:t xml:space="preserve">  (</w:t>
                      </w:r>
                      <w:proofErr w:type="gramEnd"/>
                      <w:r w:rsidRPr="00E44290">
                        <w:rPr>
                          <w:rFonts w:ascii="Arial" w:hAnsi="Arial" w:cs="Arial"/>
                          <w:sz w:val="20"/>
                          <w:szCs w:val="20"/>
                        </w:rPr>
                        <w:t>n=</w:t>
                      </w:r>
                      <w:r w:rsidR="000E0D49" w:rsidRPr="00E44290">
                        <w:rPr>
                          <w:rFonts w:ascii="Arial" w:hAnsi="Arial" w:cs="Arial"/>
                          <w:sz w:val="20"/>
                          <w:szCs w:val="20"/>
                        </w:rPr>
                        <w:t>13</w:t>
                      </w:r>
                      <w:r w:rsidRPr="00E44290">
                        <w:rPr>
                          <w:rFonts w:ascii="Arial" w:hAnsi="Arial" w:cs="Arial"/>
                          <w:sz w:val="20"/>
                          <w:szCs w:val="20"/>
                        </w:rPr>
                        <w:t>)</w:t>
                      </w:r>
                    </w:p>
                  </w:txbxContent>
                </v:textbox>
                <w10:wrap type="square"/>
              </v:shape>
            </w:pict>
          </mc:Fallback>
        </mc:AlternateContent>
      </w:r>
    </w:p>
    <w:p w14:paraId="4B923D6B" w14:textId="75692574" w:rsidR="001D061B" w:rsidRPr="000B78E1" w:rsidRDefault="00E44290"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658752" behindDoc="0" locked="0" layoutInCell="1" allowOverlap="1" wp14:anchorId="20C74E90" wp14:editId="224D3837">
                <wp:simplePos x="0" y="0"/>
                <wp:positionH relativeFrom="column">
                  <wp:posOffset>2984500</wp:posOffset>
                </wp:positionH>
                <wp:positionV relativeFrom="paragraph">
                  <wp:posOffset>107315</wp:posOffset>
                </wp:positionV>
                <wp:extent cx="641350" cy="50800"/>
                <wp:effectExtent l="0" t="19050" r="44450" b="44450"/>
                <wp:wrapNone/>
                <wp:docPr id="908632623" name="Arrow: Right 3"/>
                <wp:cNvGraphicFramePr/>
                <a:graphic xmlns:a="http://schemas.openxmlformats.org/drawingml/2006/main">
                  <a:graphicData uri="http://schemas.microsoft.com/office/word/2010/wordprocessingShape">
                    <wps:wsp>
                      <wps:cNvSpPr/>
                      <wps:spPr>
                        <a:xfrm>
                          <a:off x="0" y="0"/>
                          <a:ext cx="641350" cy="508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B207580" id="Arrow: Right 3" o:spid="_x0000_s1026" type="#_x0000_t13" style="position:absolute;margin-left:235pt;margin-top:8.45pt;width:50.5pt;height:4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" adj="20745" fillcolor="#156082 [3204]" strokecolor="#030e13 [484]" strokeweight="1.5pt"/>
            </w:pict>
          </mc:Fallback>
        </mc:AlternateContent>
      </w:r>
      <w:r w:rsidR="00F24B91" w:rsidRPr="000B78E1">
        <w:rPr>
          <w:rFonts w:ascii="Arial" w:hAnsi="Arial" w:cs="Arial"/>
          <w:b/>
          <w:bCs/>
          <w:noProof/>
          <w:sz w:val="22"/>
          <w:szCs w:val="22"/>
        </w:rPr>
        <mc:AlternateContent>
          <mc:Choice Requires="wps">
            <w:drawing>
              <wp:anchor distT="0" distB="0" distL="114300" distR="114300" simplePos="0" relativeHeight="251637248" behindDoc="0" locked="0" layoutInCell="1" allowOverlap="1" wp14:anchorId="0AA3308C" wp14:editId="56D4C750">
                <wp:simplePos x="0" y="0"/>
                <wp:positionH relativeFrom="column">
                  <wp:posOffset>2179320</wp:posOffset>
                </wp:positionH>
                <wp:positionV relativeFrom="paragraph">
                  <wp:posOffset>34925</wp:posOffset>
                </wp:positionV>
                <wp:extent cx="45719" cy="292100"/>
                <wp:effectExtent l="19050" t="0" r="31115" b="31750"/>
                <wp:wrapNone/>
                <wp:docPr id="1978576223" name="Arrow: Down 2"/>
                <wp:cNvGraphicFramePr/>
                <a:graphic xmlns:a="http://schemas.openxmlformats.org/drawingml/2006/main">
                  <a:graphicData uri="http://schemas.microsoft.com/office/word/2010/wordprocessingShape">
                    <wps:wsp>
                      <wps:cNvSpPr/>
                      <wps:spPr>
                        <a:xfrm>
                          <a:off x="0" y="0"/>
                          <a:ext cx="45719" cy="2921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F7A874" id="Arrow: Down 2" o:spid="_x0000_s1026" type="#_x0000_t67" style="position:absolute;margin-left:171.6pt;margin-top:2.75pt;width:3.6pt;height:23pt;z-index:25163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" adj="19910" fillcolor="#156082 [3204]" strokecolor="#030e13 [484]" strokeweight="1.5pt"/>
            </w:pict>
          </mc:Fallback>
        </mc:AlternateContent>
      </w:r>
    </w:p>
    <w:p w14:paraId="113D7210" w14:textId="6A80F946" w:rsidR="001D061B" w:rsidRPr="000B78E1" w:rsidRDefault="00F24B9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571712" behindDoc="0" locked="0" layoutInCell="1" allowOverlap="1" wp14:anchorId="3095ADED" wp14:editId="0CCF7914">
                <wp:simplePos x="0" y="0"/>
                <wp:positionH relativeFrom="column">
                  <wp:posOffset>1162050</wp:posOffset>
                </wp:positionH>
                <wp:positionV relativeFrom="paragraph">
                  <wp:posOffset>111125</wp:posOffset>
                </wp:positionV>
                <wp:extent cx="2101850" cy="533400"/>
                <wp:effectExtent l="0" t="0" r="12700" b="19050"/>
                <wp:wrapSquare wrapText="bothSides"/>
                <wp:docPr id="15607630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0" cy="533400"/>
                        </a:xfrm>
                        <a:prstGeom prst="rect">
                          <a:avLst/>
                        </a:prstGeom>
                        <a:solidFill>
                          <a:srgbClr val="FFFFFF"/>
                        </a:solidFill>
                        <a:ln w="9525">
                          <a:solidFill>
                            <a:srgbClr val="000000"/>
                          </a:solidFill>
                          <a:miter lim="800000"/>
                          <a:headEnd/>
                          <a:tailEnd/>
                        </a:ln>
                      </wps:spPr>
                      <wps:txbx>
                        <w:txbxContent>
                          <w:p w14:paraId="7D4D95B8" w14:textId="544A4959" w:rsidR="001D061B" w:rsidRPr="00E44290" w:rsidRDefault="001D061B" w:rsidP="001D061B">
                            <w:pPr>
                              <w:rPr>
                                <w:rFonts w:ascii="Arial" w:hAnsi="Arial" w:cs="Arial"/>
                                <w:sz w:val="20"/>
                                <w:szCs w:val="20"/>
                              </w:rPr>
                            </w:pPr>
                            <w:r w:rsidRPr="00E44290">
                              <w:rPr>
                                <w:rFonts w:ascii="Arial" w:hAnsi="Arial" w:cs="Arial"/>
                                <w:sz w:val="20"/>
                                <w:szCs w:val="20"/>
                              </w:rPr>
                              <w:t>Studies assessed for eligibility (n=</w:t>
                            </w:r>
                            <w:r w:rsidR="00C63111" w:rsidRPr="00E44290">
                              <w:rPr>
                                <w:rFonts w:ascii="Arial" w:hAnsi="Arial" w:cs="Arial"/>
                                <w:sz w:val="20"/>
                                <w:szCs w:val="20"/>
                              </w:rPr>
                              <w:t>80</w:t>
                            </w:r>
                            <w:r w:rsidRPr="00E44290">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5ADED" id="_x0000_s1036" type="#_x0000_t202" style="position:absolute;left:0;text-align:left;margin-left:91.5pt;margin-top:8.75pt;width:165.5pt;height:42pt;z-index:25157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">
                <v:textbox>
                  <w:txbxContent>
                    <w:p w14:paraId="7D4D95B8" w14:textId="544A4959" w:rsidR="001D061B" w:rsidRPr="00E44290" w:rsidRDefault="001D061B" w:rsidP="001D061B">
                      <w:pPr>
                        <w:rPr>
                          <w:rFonts w:ascii="Arial" w:hAnsi="Arial" w:cs="Arial"/>
                          <w:sz w:val="20"/>
                          <w:szCs w:val="20"/>
                        </w:rPr>
                      </w:pPr>
                      <w:r w:rsidRPr="00E44290">
                        <w:rPr>
                          <w:rFonts w:ascii="Arial" w:hAnsi="Arial" w:cs="Arial"/>
                          <w:sz w:val="20"/>
                          <w:szCs w:val="20"/>
                        </w:rPr>
                        <w:t>Studies assessed for eligibility (n=</w:t>
                      </w:r>
                      <w:r w:rsidR="00C63111" w:rsidRPr="00E44290">
                        <w:rPr>
                          <w:rFonts w:ascii="Arial" w:hAnsi="Arial" w:cs="Arial"/>
                          <w:sz w:val="20"/>
                          <w:szCs w:val="20"/>
                        </w:rPr>
                        <w:t>80</w:t>
                      </w:r>
                      <w:r w:rsidRPr="00E44290">
                        <w:rPr>
                          <w:rFonts w:ascii="Arial" w:hAnsi="Arial" w:cs="Arial"/>
                          <w:sz w:val="20"/>
                          <w:szCs w:val="20"/>
                        </w:rPr>
                        <w:t>)</w:t>
                      </w:r>
                    </w:p>
                  </w:txbxContent>
                </v:textbox>
                <w10:wrap type="square"/>
              </v:shape>
            </w:pict>
          </mc:Fallback>
        </mc:AlternateContent>
      </w:r>
    </w:p>
    <w:p w14:paraId="16E0B1B4" w14:textId="53652B84" w:rsidR="00726A47" w:rsidRPr="000B78E1" w:rsidRDefault="00726A47" w:rsidP="000B78E1">
      <w:pPr>
        <w:spacing w:line="360" w:lineRule="auto"/>
        <w:jc w:val="both"/>
        <w:rPr>
          <w:rFonts w:ascii="Arial" w:hAnsi="Arial" w:cs="Arial"/>
          <w:b/>
          <w:bCs/>
          <w:sz w:val="22"/>
          <w:szCs w:val="22"/>
        </w:rPr>
      </w:pPr>
    </w:p>
    <w:p w14:paraId="3C5D3D94" w14:textId="18CB8734" w:rsidR="00726A47" w:rsidRPr="000B78E1" w:rsidRDefault="00726A47" w:rsidP="000B78E1">
      <w:pPr>
        <w:spacing w:line="360" w:lineRule="auto"/>
        <w:jc w:val="both"/>
        <w:rPr>
          <w:rFonts w:ascii="Arial" w:hAnsi="Arial" w:cs="Arial"/>
          <w:b/>
          <w:bCs/>
          <w:sz w:val="22"/>
          <w:szCs w:val="22"/>
        </w:rPr>
      </w:pPr>
    </w:p>
    <w:p w14:paraId="5A0115E5" w14:textId="2B31670B" w:rsidR="005B2861" w:rsidRPr="000B78E1" w:rsidRDefault="00456C7D" w:rsidP="00F24B91">
      <w:pPr>
        <w:spacing w:line="360" w:lineRule="auto"/>
        <w:ind w:firstLine="720"/>
        <w:jc w:val="both"/>
        <w:rPr>
          <w:rFonts w:ascii="Arial" w:hAnsi="Arial" w:cs="Arial"/>
          <w:sz w:val="22"/>
          <w:szCs w:val="22"/>
        </w:rPr>
      </w:pPr>
      <w:r w:rsidRPr="000B78E1">
        <w:rPr>
          <w:rFonts w:ascii="Arial" w:hAnsi="Arial" w:cs="Arial"/>
          <w:sz w:val="22"/>
          <w:szCs w:val="22"/>
        </w:rPr>
        <w:t xml:space="preserve">Figure-1: The PRISMA flow diagram adapted from </w:t>
      </w:r>
      <w:r w:rsidR="002156FE" w:rsidRPr="000B78E1">
        <w:rPr>
          <w:rFonts w:ascii="Arial" w:hAnsi="Arial" w:cs="Arial"/>
          <w:sz w:val="22"/>
          <w:szCs w:val="22"/>
        </w:rPr>
        <w:t xml:space="preserve">Moher </w:t>
      </w:r>
      <w:proofErr w:type="gramStart"/>
      <w:r w:rsidR="002156FE" w:rsidRPr="000B78E1">
        <w:rPr>
          <w:rFonts w:ascii="Arial" w:hAnsi="Arial" w:cs="Arial"/>
          <w:sz w:val="22"/>
          <w:szCs w:val="22"/>
        </w:rPr>
        <w:t>et.al.(</w:t>
      </w:r>
      <w:proofErr w:type="gramEnd"/>
      <w:r w:rsidR="002156FE" w:rsidRPr="000B78E1">
        <w:rPr>
          <w:rFonts w:ascii="Arial" w:hAnsi="Arial" w:cs="Arial"/>
          <w:sz w:val="22"/>
          <w:szCs w:val="22"/>
        </w:rPr>
        <w:t>2009)</w:t>
      </w:r>
    </w:p>
    <w:p w14:paraId="4E0F543B" w14:textId="77777777" w:rsidR="0033516F" w:rsidRPr="0033516F" w:rsidRDefault="0033516F" w:rsidP="000B78E1">
      <w:pPr>
        <w:spacing w:line="360" w:lineRule="auto"/>
        <w:jc w:val="both"/>
        <w:rPr>
          <w:rFonts w:ascii="Arial" w:hAnsi="Arial" w:cs="Arial"/>
          <w:b/>
          <w:bCs/>
          <w:sz w:val="6"/>
          <w:szCs w:val="6"/>
        </w:rPr>
      </w:pPr>
    </w:p>
    <w:p w14:paraId="72CD45CF" w14:textId="214ACFB7" w:rsidR="00AA2587" w:rsidRPr="000B78E1" w:rsidRDefault="00AA2587" w:rsidP="000B78E1">
      <w:pPr>
        <w:spacing w:line="360" w:lineRule="auto"/>
        <w:jc w:val="both"/>
        <w:rPr>
          <w:rFonts w:ascii="Arial" w:hAnsi="Arial" w:cs="Arial"/>
          <w:b/>
          <w:bCs/>
          <w:sz w:val="22"/>
          <w:szCs w:val="22"/>
        </w:rPr>
      </w:pPr>
      <w:r w:rsidRPr="000B78E1">
        <w:rPr>
          <w:rFonts w:ascii="Arial" w:hAnsi="Arial" w:cs="Arial"/>
          <w:b/>
          <w:bCs/>
          <w:sz w:val="22"/>
          <w:szCs w:val="22"/>
        </w:rPr>
        <w:t xml:space="preserve">3.4. </w:t>
      </w:r>
      <w:r w:rsidR="003C2421" w:rsidRPr="000B78E1">
        <w:rPr>
          <w:rFonts w:ascii="Arial" w:hAnsi="Arial" w:cs="Arial"/>
          <w:b/>
          <w:bCs/>
          <w:sz w:val="22"/>
          <w:szCs w:val="22"/>
        </w:rPr>
        <w:t xml:space="preserve">Annotated </w:t>
      </w:r>
      <w:r w:rsidRPr="000B78E1">
        <w:rPr>
          <w:rFonts w:ascii="Arial" w:hAnsi="Arial" w:cs="Arial"/>
          <w:b/>
          <w:bCs/>
          <w:sz w:val="22"/>
          <w:szCs w:val="22"/>
        </w:rPr>
        <w:t>Biblio</w:t>
      </w:r>
      <w:r w:rsidR="003C2421" w:rsidRPr="000B78E1">
        <w:rPr>
          <w:rFonts w:ascii="Arial" w:hAnsi="Arial" w:cs="Arial"/>
          <w:b/>
          <w:bCs/>
          <w:sz w:val="22"/>
          <w:szCs w:val="22"/>
        </w:rPr>
        <w:t>graphy</w:t>
      </w:r>
      <w:r w:rsidRPr="000B78E1">
        <w:rPr>
          <w:rFonts w:ascii="Arial" w:hAnsi="Arial" w:cs="Arial"/>
          <w:b/>
          <w:bCs/>
          <w:sz w:val="22"/>
          <w:szCs w:val="22"/>
        </w:rPr>
        <w:t xml:space="preserve"> and Thematic analysis:</w:t>
      </w:r>
    </w:p>
    <w:p w14:paraId="4ED1187F" w14:textId="49050F75" w:rsidR="008C486A" w:rsidRPr="000B78E1" w:rsidRDefault="00A072FF" w:rsidP="000B78E1">
      <w:pPr>
        <w:spacing w:line="360" w:lineRule="auto"/>
        <w:jc w:val="both"/>
        <w:rPr>
          <w:rFonts w:ascii="Arial" w:hAnsi="Arial" w:cs="Arial"/>
          <w:sz w:val="22"/>
          <w:szCs w:val="22"/>
        </w:rPr>
      </w:pPr>
      <w:r w:rsidRPr="000B78E1">
        <w:rPr>
          <w:rFonts w:ascii="Arial" w:hAnsi="Arial" w:cs="Arial"/>
          <w:sz w:val="22"/>
          <w:szCs w:val="22"/>
        </w:rPr>
        <w:t>The study uses a dual approach combining annotated bibliography and thematic analysis. The annotated bibliography summarises each study’s purpose, key arguments, findings, and evaluates its strengths, weaknesses, and relevance. This helps to develop a clear and structured understanding of how existing research contributes to the topic.</w:t>
      </w:r>
      <w:r w:rsidRPr="000B78E1">
        <w:rPr>
          <w:rFonts w:ascii="Arial" w:hAnsi="Arial" w:cs="Arial"/>
          <w:sz w:val="22"/>
          <w:szCs w:val="22"/>
        </w:rPr>
        <w:t xml:space="preserve"> </w:t>
      </w:r>
      <w:r w:rsidR="00127E3B" w:rsidRPr="000B78E1">
        <w:rPr>
          <w:rFonts w:ascii="Arial" w:hAnsi="Arial" w:cs="Arial"/>
          <w:sz w:val="22"/>
          <w:szCs w:val="22"/>
        </w:rPr>
        <w:t>At the same time</w:t>
      </w:r>
      <w:r w:rsidR="008C486A" w:rsidRPr="000B78E1">
        <w:rPr>
          <w:rFonts w:ascii="Arial" w:hAnsi="Arial" w:cs="Arial"/>
          <w:sz w:val="22"/>
          <w:szCs w:val="22"/>
        </w:rPr>
        <w:t xml:space="preserve"> thematic analysis was applied to identify, organise and synthesise the main ideas and recurring themes across the selected studies, particularly focusing on digital financial services, credit access, and SME sustainability</w:t>
      </w:r>
      <w:r w:rsidR="00806F1F" w:rsidRPr="000B78E1">
        <w:rPr>
          <w:rFonts w:ascii="Arial" w:hAnsi="Arial" w:cs="Arial"/>
          <w:sz w:val="22"/>
          <w:szCs w:val="22"/>
        </w:rPr>
        <w:t xml:space="preserve"> to answer the research questions.</w:t>
      </w:r>
      <w:r w:rsidR="008C486A" w:rsidRPr="000B78E1">
        <w:rPr>
          <w:rFonts w:ascii="Arial" w:hAnsi="Arial" w:cs="Arial"/>
          <w:sz w:val="22"/>
          <w:szCs w:val="22"/>
        </w:rPr>
        <w:t xml:space="preserve"> </w:t>
      </w:r>
    </w:p>
    <w:p w14:paraId="78F2E5A3" w14:textId="77777777" w:rsidR="00AE4F13" w:rsidRDefault="00AE4F13" w:rsidP="000B78E1">
      <w:pPr>
        <w:spacing w:line="360" w:lineRule="auto"/>
        <w:jc w:val="both"/>
        <w:rPr>
          <w:rFonts w:ascii="Arial" w:hAnsi="Arial" w:cs="Arial"/>
          <w:b/>
          <w:bCs/>
          <w:sz w:val="22"/>
          <w:szCs w:val="22"/>
        </w:rPr>
      </w:pPr>
    </w:p>
    <w:p w14:paraId="29BBAB47" w14:textId="77777777" w:rsidR="00AE4F13" w:rsidRDefault="00AE4F13" w:rsidP="000B78E1">
      <w:pPr>
        <w:spacing w:line="360" w:lineRule="auto"/>
        <w:jc w:val="both"/>
        <w:rPr>
          <w:rFonts w:ascii="Arial" w:hAnsi="Arial" w:cs="Arial"/>
          <w:b/>
          <w:bCs/>
          <w:sz w:val="22"/>
          <w:szCs w:val="22"/>
        </w:rPr>
      </w:pPr>
    </w:p>
    <w:p w14:paraId="12B1555D" w14:textId="19609833" w:rsidR="006B3C75" w:rsidRPr="000B78E1" w:rsidRDefault="00573092" w:rsidP="000B78E1">
      <w:pPr>
        <w:spacing w:line="360" w:lineRule="auto"/>
        <w:jc w:val="both"/>
        <w:rPr>
          <w:rFonts w:ascii="Arial" w:hAnsi="Arial" w:cs="Arial"/>
          <w:sz w:val="22"/>
          <w:szCs w:val="22"/>
        </w:rPr>
      </w:pPr>
      <w:r w:rsidRPr="000B78E1">
        <w:rPr>
          <w:rFonts w:ascii="Arial" w:hAnsi="Arial" w:cs="Arial"/>
          <w:b/>
          <w:bCs/>
          <w:sz w:val="22"/>
          <w:szCs w:val="22"/>
        </w:rPr>
        <w:lastRenderedPageBreak/>
        <w:t xml:space="preserve">3.5. </w:t>
      </w:r>
      <w:r w:rsidR="006B3C75" w:rsidRPr="000B78E1">
        <w:rPr>
          <w:rFonts w:ascii="Arial" w:hAnsi="Arial" w:cs="Arial"/>
          <w:b/>
          <w:bCs/>
          <w:sz w:val="22"/>
          <w:szCs w:val="22"/>
        </w:rPr>
        <w:t>Limitation</w:t>
      </w:r>
      <w:r w:rsidR="006B3C75" w:rsidRPr="000B78E1">
        <w:rPr>
          <w:rFonts w:ascii="Arial" w:hAnsi="Arial" w:cs="Arial"/>
          <w:sz w:val="22"/>
          <w:szCs w:val="22"/>
        </w:rPr>
        <w:t>:</w:t>
      </w:r>
    </w:p>
    <w:p w14:paraId="28C7ACC4" w14:textId="12D74432" w:rsidR="00573092" w:rsidRPr="002011B7" w:rsidRDefault="00573092" w:rsidP="000B78E1">
      <w:pPr>
        <w:spacing w:after="0" w:line="360" w:lineRule="auto"/>
        <w:jc w:val="both"/>
        <w:rPr>
          <w:rFonts w:ascii="Arial" w:hAnsi="Arial" w:cs="Arial"/>
          <w:sz w:val="22"/>
          <w:szCs w:val="22"/>
        </w:rPr>
      </w:pPr>
      <w:r w:rsidRPr="002011B7">
        <w:rPr>
          <w:rFonts w:ascii="Arial" w:hAnsi="Arial" w:cs="Arial"/>
          <w:sz w:val="22"/>
          <w:szCs w:val="22"/>
        </w:rPr>
        <w:t xml:space="preserve">PRISMA approach </w:t>
      </w:r>
      <w:r w:rsidR="008A0916" w:rsidRPr="000B78E1">
        <w:rPr>
          <w:rFonts w:ascii="Arial" w:hAnsi="Arial" w:cs="Arial"/>
          <w:sz w:val="22"/>
          <w:szCs w:val="22"/>
        </w:rPr>
        <w:t xml:space="preserve">has been used for </w:t>
      </w:r>
      <w:r w:rsidRPr="002011B7">
        <w:rPr>
          <w:rFonts w:ascii="Arial" w:hAnsi="Arial" w:cs="Arial"/>
          <w:sz w:val="22"/>
          <w:szCs w:val="22"/>
        </w:rPr>
        <w:t>transparency</w:t>
      </w:r>
      <w:r w:rsidR="00D72651" w:rsidRPr="000B78E1">
        <w:rPr>
          <w:rFonts w:ascii="Arial" w:hAnsi="Arial" w:cs="Arial"/>
          <w:sz w:val="22"/>
          <w:szCs w:val="22"/>
        </w:rPr>
        <w:t xml:space="preserve"> but still</w:t>
      </w:r>
      <w:r w:rsidRPr="002011B7">
        <w:rPr>
          <w:rFonts w:ascii="Arial" w:hAnsi="Arial" w:cs="Arial"/>
          <w:sz w:val="22"/>
          <w:szCs w:val="22"/>
        </w:rPr>
        <w:t xml:space="preserve"> this review has some limitations</w:t>
      </w:r>
      <w:r w:rsidR="00D72651" w:rsidRPr="000B78E1">
        <w:rPr>
          <w:rFonts w:ascii="Arial" w:hAnsi="Arial" w:cs="Arial"/>
          <w:sz w:val="22"/>
          <w:szCs w:val="22"/>
        </w:rPr>
        <w:t xml:space="preserve"> as selection bias may occur </w:t>
      </w:r>
      <w:r w:rsidR="00436968" w:rsidRPr="000B78E1">
        <w:rPr>
          <w:rFonts w:ascii="Arial" w:hAnsi="Arial" w:cs="Arial"/>
          <w:sz w:val="22"/>
          <w:szCs w:val="22"/>
        </w:rPr>
        <w:t>due to specific use of keywords. This might miss relevant studies using different terms</w:t>
      </w:r>
      <w:r w:rsidR="00053560" w:rsidRPr="000B78E1">
        <w:rPr>
          <w:rFonts w:ascii="Arial" w:hAnsi="Arial" w:cs="Arial"/>
          <w:sz w:val="22"/>
          <w:szCs w:val="22"/>
        </w:rPr>
        <w:t xml:space="preserve">. </w:t>
      </w:r>
      <w:proofErr w:type="gramStart"/>
      <w:r w:rsidR="00053560" w:rsidRPr="000B78E1">
        <w:rPr>
          <w:rFonts w:ascii="Arial" w:hAnsi="Arial" w:cs="Arial"/>
          <w:sz w:val="22"/>
          <w:szCs w:val="22"/>
        </w:rPr>
        <w:t>Also</w:t>
      </w:r>
      <w:proofErr w:type="gramEnd"/>
      <w:r w:rsidR="00053560" w:rsidRPr="000B78E1">
        <w:rPr>
          <w:rFonts w:ascii="Arial" w:hAnsi="Arial" w:cs="Arial"/>
          <w:sz w:val="22"/>
          <w:szCs w:val="22"/>
        </w:rPr>
        <w:t xml:space="preserve"> publication bias may arise since only peer reviewed articles were included</w:t>
      </w:r>
      <w:r w:rsidR="002A4FB9" w:rsidRPr="000B78E1">
        <w:rPr>
          <w:rFonts w:ascii="Arial" w:hAnsi="Arial" w:cs="Arial"/>
          <w:sz w:val="22"/>
          <w:szCs w:val="22"/>
        </w:rPr>
        <w:t xml:space="preserve"> </w:t>
      </w:r>
      <w:r w:rsidR="0021511B" w:rsidRPr="000B78E1">
        <w:rPr>
          <w:rFonts w:ascii="Arial" w:hAnsi="Arial" w:cs="Arial"/>
          <w:sz w:val="22"/>
          <w:szCs w:val="22"/>
        </w:rPr>
        <w:t xml:space="preserve">to </w:t>
      </w:r>
      <w:r w:rsidR="003033CF" w:rsidRPr="000B78E1">
        <w:rPr>
          <w:rFonts w:ascii="Arial" w:hAnsi="Arial" w:cs="Arial"/>
          <w:sz w:val="22"/>
          <w:szCs w:val="22"/>
        </w:rPr>
        <w:t>maintain</w:t>
      </w:r>
      <w:r w:rsidR="0021511B" w:rsidRPr="000B78E1">
        <w:rPr>
          <w:rFonts w:ascii="Arial" w:hAnsi="Arial" w:cs="Arial"/>
          <w:sz w:val="22"/>
          <w:szCs w:val="22"/>
        </w:rPr>
        <w:t xml:space="preserve"> credibility</w:t>
      </w:r>
      <w:r w:rsidR="003033CF" w:rsidRPr="000B78E1">
        <w:rPr>
          <w:rFonts w:ascii="Arial" w:hAnsi="Arial" w:cs="Arial"/>
          <w:sz w:val="22"/>
          <w:szCs w:val="22"/>
        </w:rPr>
        <w:t>,</w:t>
      </w:r>
      <w:r w:rsidR="0021511B" w:rsidRPr="000B78E1">
        <w:rPr>
          <w:rFonts w:ascii="Arial" w:hAnsi="Arial" w:cs="Arial"/>
          <w:sz w:val="22"/>
          <w:szCs w:val="22"/>
        </w:rPr>
        <w:t xml:space="preserve"> </w:t>
      </w:r>
      <w:r w:rsidR="002A4FB9" w:rsidRPr="000B78E1">
        <w:rPr>
          <w:rFonts w:ascii="Arial" w:hAnsi="Arial" w:cs="Arial"/>
          <w:sz w:val="22"/>
          <w:szCs w:val="22"/>
        </w:rPr>
        <w:t>th</w:t>
      </w:r>
      <w:r w:rsidR="003033CF" w:rsidRPr="000B78E1">
        <w:rPr>
          <w:rFonts w:ascii="Arial" w:hAnsi="Arial" w:cs="Arial"/>
          <w:sz w:val="22"/>
          <w:szCs w:val="22"/>
        </w:rPr>
        <w:t>is</w:t>
      </w:r>
      <w:r w:rsidR="002A4FB9" w:rsidRPr="000B78E1">
        <w:rPr>
          <w:rFonts w:ascii="Arial" w:hAnsi="Arial" w:cs="Arial"/>
          <w:sz w:val="22"/>
          <w:szCs w:val="22"/>
        </w:rPr>
        <w:t xml:space="preserve"> may ignore </w:t>
      </w:r>
      <w:r w:rsidR="005B3FAD" w:rsidRPr="000B78E1">
        <w:rPr>
          <w:rFonts w:ascii="Arial" w:hAnsi="Arial" w:cs="Arial"/>
          <w:sz w:val="22"/>
          <w:szCs w:val="22"/>
        </w:rPr>
        <w:t xml:space="preserve">other </w:t>
      </w:r>
      <w:proofErr w:type="spellStart"/>
      <w:r w:rsidR="005B3FAD" w:rsidRPr="000B78E1">
        <w:rPr>
          <w:rFonts w:ascii="Arial" w:hAnsi="Arial" w:cs="Arial"/>
          <w:sz w:val="22"/>
          <w:szCs w:val="22"/>
        </w:rPr>
        <w:t>gray</w:t>
      </w:r>
      <w:proofErr w:type="spellEnd"/>
      <w:r w:rsidR="005B3FAD" w:rsidRPr="000B78E1">
        <w:rPr>
          <w:rFonts w:ascii="Arial" w:hAnsi="Arial" w:cs="Arial"/>
          <w:sz w:val="22"/>
          <w:szCs w:val="22"/>
        </w:rPr>
        <w:t xml:space="preserve"> literatures or conference proceedings that may </w:t>
      </w:r>
      <w:r w:rsidR="002B2643" w:rsidRPr="000B78E1">
        <w:rPr>
          <w:rFonts w:ascii="Arial" w:hAnsi="Arial" w:cs="Arial"/>
          <w:sz w:val="22"/>
          <w:szCs w:val="22"/>
        </w:rPr>
        <w:t>have findings that aren’t discussed here.</w:t>
      </w:r>
      <w:r w:rsidR="004450EB" w:rsidRPr="000B78E1">
        <w:rPr>
          <w:rFonts w:ascii="Arial" w:hAnsi="Arial" w:cs="Arial"/>
          <w:sz w:val="22"/>
          <w:szCs w:val="22"/>
        </w:rPr>
        <w:t xml:space="preserve"> </w:t>
      </w:r>
      <w:r w:rsidR="00D872D8" w:rsidRPr="000B78E1">
        <w:rPr>
          <w:rFonts w:ascii="Arial" w:hAnsi="Arial" w:cs="Arial"/>
          <w:sz w:val="22"/>
          <w:szCs w:val="22"/>
        </w:rPr>
        <w:t xml:space="preserve">The literatures were mostly dominated by </w:t>
      </w:r>
      <w:r w:rsidRPr="002011B7">
        <w:rPr>
          <w:rFonts w:ascii="Arial" w:hAnsi="Arial" w:cs="Arial"/>
          <w:sz w:val="22"/>
          <w:szCs w:val="22"/>
        </w:rPr>
        <w:t>cross-sectional and perception-based data</w:t>
      </w:r>
      <w:r w:rsidR="004450EB" w:rsidRPr="000B78E1">
        <w:rPr>
          <w:rFonts w:ascii="Arial" w:hAnsi="Arial" w:cs="Arial"/>
          <w:sz w:val="22"/>
          <w:szCs w:val="22"/>
        </w:rPr>
        <w:t xml:space="preserve"> but</w:t>
      </w:r>
      <w:r w:rsidRPr="002011B7">
        <w:rPr>
          <w:rFonts w:ascii="Arial" w:hAnsi="Arial" w:cs="Arial"/>
          <w:sz w:val="22"/>
          <w:szCs w:val="22"/>
        </w:rPr>
        <w:t xml:space="preserve"> not real loan</w:t>
      </w:r>
      <w:r w:rsidR="004450EB" w:rsidRPr="000B78E1">
        <w:rPr>
          <w:rFonts w:ascii="Arial" w:hAnsi="Arial" w:cs="Arial"/>
          <w:sz w:val="22"/>
          <w:szCs w:val="22"/>
        </w:rPr>
        <w:t xml:space="preserve"> </w:t>
      </w:r>
      <w:r w:rsidRPr="002011B7">
        <w:rPr>
          <w:rFonts w:ascii="Arial" w:hAnsi="Arial" w:cs="Arial"/>
          <w:sz w:val="22"/>
          <w:szCs w:val="22"/>
        </w:rPr>
        <w:t xml:space="preserve">level or </w:t>
      </w:r>
      <w:proofErr w:type="gramStart"/>
      <w:r w:rsidRPr="002011B7">
        <w:rPr>
          <w:rFonts w:ascii="Arial" w:hAnsi="Arial" w:cs="Arial"/>
          <w:sz w:val="22"/>
          <w:szCs w:val="22"/>
        </w:rPr>
        <w:t>long</w:t>
      </w:r>
      <w:r w:rsidR="004450EB" w:rsidRPr="000B78E1">
        <w:rPr>
          <w:rFonts w:ascii="Arial" w:hAnsi="Arial" w:cs="Arial"/>
          <w:sz w:val="22"/>
          <w:szCs w:val="22"/>
        </w:rPr>
        <w:t xml:space="preserve"> </w:t>
      </w:r>
      <w:r w:rsidRPr="002011B7">
        <w:rPr>
          <w:rFonts w:ascii="Arial" w:hAnsi="Arial" w:cs="Arial"/>
          <w:sz w:val="22"/>
          <w:szCs w:val="22"/>
        </w:rPr>
        <w:t>term</w:t>
      </w:r>
      <w:proofErr w:type="gramEnd"/>
      <w:r w:rsidRPr="002011B7">
        <w:rPr>
          <w:rFonts w:ascii="Arial" w:hAnsi="Arial" w:cs="Arial"/>
          <w:sz w:val="22"/>
          <w:szCs w:val="22"/>
        </w:rPr>
        <w:t xml:space="preserve"> data, which</w:t>
      </w:r>
      <w:r w:rsidR="004450EB" w:rsidRPr="000B78E1">
        <w:rPr>
          <w:rFonts w:ascii="Arial" w:hAnsi="Arial" w:cs="Arial"/>
          <w:sz w:val="22"/>
          <w:szCs w:val="22"/>
        </w:rPr>
        <w:t xml:space="preserve"> may</w:t>
      </w:r>
      <w:r w:rsidRPr="002011B7">
        <w:rPr>
          <w:rFonts w:ascii="Arial" w:hAnsi="Arial" w:cs="Arial"/>
          <w:sz w:val="22"/>
          <w:szCs w:val="22"/>
        </w:rPr>
        <w:t xml:space="preserve"> limit strong conclusions about cause and effect.</w:t>
      </w:r>
      <w:r w:rsidR="00B257DA" w:rsidRPr="000B78E1">
        <w:rPr>
          <w:rFonts w:ascii="Arial" w:hAnsi="Arial" w:cs="Arial"/>
          <w:sz w:val="22"/>
          <w:szCs w:val="22"/>
        </w:rPr>
        <w:t xml:space="preserve"> Besides, </w:t>
      </w:r>
      <w:r w:rsidR="0004493E" w:rsidRPr="000B78E1">
        <w:rPr>
          <w:rFonts w:ascii="Arial" w:hAnsi="Arial" w:cs="Arial"/>
          <w:sz w:val="22"/>
          <w:szCs w:val="22"/>
        </w:rPr>
        <w:t>t</w:t>
      </w:r>
      <w:r w:rsidRPr="002011B7">
        <w:rPr>
          <w:rFonts w:ascii="Arial" w:hAnsi="Arial" w:cs="Arial"/>
          <w:sz w:val="22"/>
          <w:szCs w:val="22"/>
        </w:rPr>
        <w:t>he study</w:t>
      </w:r>
      <w:r w:rsidR="0004493E" w:rsidRPr="000B78E1">
        <w:rPr>
          <w:rFonts w:ascii="Arial" w:hAnsi="Arial" w:cs="Arial"/>
          <w:sz w:val="22"/>
          <w:szCs w:val="22"/>
        </w:rPr>
        <w:t xml:space="preserve"> </w:t>
      </w:r>
      <w:r w:rsidRPr="002011B7">
        <w:rPr>
          <w:rFonts w:ascii="Arial" w:hAnsi="Arial" w:cs="Arial"/>
          <w:sz w:val="22"/>
          <w:szCs w:val="22"/>
        </w:rPr>
        <w:t>uses Google Scholar</w:t>
      </w:r>
      <w:r w:rsidR="0004493E" w:rsidRPr="000B78E1">
        <w:rPr>
          <w:rFonts w:ascii="Arial" w:hAnsi="Arial" w:cs="Arial"/>
          <w:sz w:val="22"/>
          <w:szCs w:val="22"/>
        </w:rPr>
        <w:t xml:space="preserve"> as the main database</w:t>
      </w:r>
      <w:r w:rsidRPr="002011B7">
        <w:rPr>
          <w:rFonts w:ascii="Arial" w:hAnsi="Arial" w:cs="Arial"/>
          <w:sz w:val="22"/>
          <w:szCs w:val="22"/>
        </w:rPr>
        <w:t>, so some important papers from databases like Scopus or Web of Science may be missing</w:t>
      </w:r>
      <w:r w:rsidR="006D24ED" w:rsidRPr="000B78E1">
        <w:rPr>
          <w:rFonts w:ascii="Arial" w:hAnsi="Arial" w:cs="Arial"/>
          <w:sz w:val="22"/>
          <w:szCs w:val="22"/>
        </w:rPr>
        <w:t xml:space="preserve"> and selection of English </w:t>
      </w:r>
      <w:r w:rsidRPr="002011B7">
        <w:rPr>
          <w:rFonts w:ascii="Arial" w:hAnsi="Arial" w:cs="Arial"/>
          <w:sz w:val="22"/>
          <w:szCs w:val="22"/>
        </w:rPr>
        <w:t xml:space="preserve">only articles may exclude other </w:t>
      </w:r>
      <w:r w:rsidR="00513587" w:rsidRPr="000B78E1">
        <w:rPr>
          <w:rFonts w:ascii="Arial" w:hAnsi="Arial" w:cs="Arial"/>
          <w:sz w:val="22"/>
          <w:szCs w:val="22"/>
        </w:rPr>
        <w:t xml:space="preserve">important and </w:t>
      </w:r>
      <w:r w:rsidRPr="002011B7">
        <w:rPr>
          <w:rFonts w:ascii="Arial" w:hAnsi="Arial" w:cs="Arial"/>
          <w:sz w:val="22"/>
          <w:szCs w:val="22"/>
        </w:rPr>
        <w:t>relevant research.</w:t>
      </w:r>
    </w:p>
    <w:p w14:paraId="20DF29DB" w14:textId="7BBDBC4B" w:rsidR="005318CD" w:rsidRPr="0033516F" w:rsidRDefault="005318CD" w:rsidP="000B78E1">
      <w:pPr>
        <w:spacing w:line="360" w:lineRule="auto"/>
        <w:jc w:val="both"/>
        <w:rPr>
          <w:rFonts w:ascii="Arial" w:hAnsi="Arial" w:cs="Arial"/>
          <w:sz w:val="4"/>
          <w:szCs w:val="4"/>
        </w:rPr>
      </w:pPr>
    </w:p>
    <w:p w14:paraId="2F5B0B93" w14:textId="77777777" w:rsidR="002F65B6" w:rsidRPr="000B78E1" w:rsidRDefault="002F65B6" w:rsidP="000B78E1">
      <w:pPr>
        <w:spacing w:line="360" w:lineRule="auto"/>
        <w:jc w:val="both"/>
        <w:rPr>
          <w:rFonts w:ascii="Arial" w:hAnsi="Arial" w:cs="Arial"/>
          <w:b/>
          <w:bCs/>
          <w:sz w:val="22"/>
          <w:szCs w:val="22"/>
        </w:rPr>
      </w:pPr>
      <w:r w:rsidRPr="000B78E1">
        <w:rPr>
          <w:rFonts w:ascii="Arial" w:hAnsi="Arial" w:cs="Arial"/>
          <w:b/>
          <w:bCs/>
          <w:sz w:val="22"/>
          <w:szCs w:val="22"/>
        </w:rPr>
        <w:t>5. Annotated Bibliography:</w:t>
      </w:r>
    </w:p>
    <w:p w14:paraId="167E23F1" w14:textId="2275160B" w:rsidR="00C007D6" w:rsidRPr="0033516F" w:rsidRDefault="001B6E0A" w:rsidP="0033516F">
      <w:pPr>
        <w:spacing w:line="360" w:lineRule="auto"/>
        <w:jc w:val="both"/>
        <w:rPr>
          <w:rFonts w:ascii="Arial" w:hAnsi="Arial" w:cs="Arial"/>
          <w:b/>
          <w:bCs/>
          <w:color w:val="EE0000"/>
          <w:sz w:val="22"/>
          <w:szCs w:val="22"/>
        </w:rPr>
      </w:pPr>
      <w:r w:rsidRPr="000B78E1">
        <w:rPr>
          <w:rFonts w:ascii="Arial" w:hAnsi="Arial" w:cs="Arial"/>
          <w:sz w:val="22"/>
          <w:szCs w:val="22"/>
        </w:rPr>
        <w:t>This section presents an annotated bibliography that summarises selected sources by theme, outlining their key arguments and main findings, along with a critical evaluation and relevance. It provides a structured understanding of each study’s contribution to the research topic. The bibliography is presented in table form, with selected studies included here and additional studies listed in the Appendices.</w:t>
      </w:r>
    </w:p>
    <w:p w14:paraId="3BA64005" w14:textId="07BDED2E" w:rsidR="002F65B6" w:rsidRPr="000B78E1" w:rsidRDefault="00B25021" w:rsidP="000B78E1">
      <w:pPr>
        <w:spacing w:line="360" w:lineRule="auto"/>
        <w:jc w:val="both"/>
        <w:rPr>
          <w:rFonts w:ascii="Arial" w:hAnsi="Arial" w:cs="Arial"/>
          <w:b/>
          <w:bCs/>
          <w:sz w:val="22"/>
          <w:szCs w:val="22"/>
        </w:rPr>
      </w:pPr>
      <w:r w:rsidRPr="000B78E1">
        <w:rPr>
          <w:rFonts w:ascii="Arial" w:hAnsi="Arial" w:cs="Arial"/>
          <w:b/>
          <w:bCs/>
          <w:sz w:val="22"/>
          <w:szCs w:val="22"/>
        </w:rPr>
        <w:t xml:space="preserve">5.1. </w:t>
      </w:r>
      <w:r w:rsidR="002F65B6" w:rsidRPr="000B78E1">
        <w:rPr>
          <w:rFonts w:ascii="Arial" w:hAnsi="Arial" w:cs="Arial"/>
          <w:b/>
          <w:bCs/>
          <w:sz w:val="22"/>
          <w:szCs w:val="22"/>
        </w:rPr>
        <w:t>DFS as a tool of Credit Access for SME</w:t>
      </w:r>
      <w:r w:rsidR="00D11593" w:rsidRPr="000B78E1">
        <w:rPr>
          <w:rFonts w:ascii="Arial" w:hAnsi="Arial" w:cs="Arial"/>
          <w:b/>
          <w:bCs/>
          <w:sz w:val="22"/>
          <w:szCs w:val="22"/>
        </w:rPr>
        <w:t>:</w:t>
      </w:r>
    </w:p>
    <w:p w14:paraId="5A358C2C" w14:textId="534F5DC8" w:rsidR="00FF5CFC" w:rsidRPr="000B78E1" w:rsidRDefault="00FF5CFC" w:rsidP="000B78E1">
      <w:pPr>
        <w:spacing w:line="360" w:lineRule="auto"/>
        <w:jc w:val="both"/>
        <w:rPr>
          <w:rFonts w:ascii="Arial" w:hAnsi="Arial" w:cs="Arial"/>
          <w:b/>
          <w:bCs/>
          <w:sz w:val="22"/>
          <w:szCs w:val="22"/>
        </w:rPr>
      </w:pPr>
      <w:r w:rsidRPr="000B78E1">
        <w:rPr>
          <w:rFonts w:ascii="Arial" w:hAnsi="Arial" w:cs="Arial"/>
          <w:b/>
          <w:bCs/>
          <w:color w:val="EE0000"/>
          <w:sz w:val="22"/>
          <w:szCs w:val="22"/>
        </w:rPr>
        <w:t>Table-2: Summary of Key Studies (Selected Sample)</w:t>
      </w:r>
    </w:p>
    <w:p w14:paraId="72A06134" w14:textId="0E0614E4" w:rsidR="00021272" w:rsidRPr="000B78E1" w:rsidRDefault="00021272" w:rsidP="000B78E1">
      <w:pPr>
        <w:spacing w:line="360" w:lineRule="auto"/>
        <w:jc w:val="both"/>
        <w:rPr>
          <w:rFonts w:ascii="Arial" w:hAnsi="Arial" w:cs="Arial"/>
          <w:b/>
          <w:bCs/>
          <w:color w:val="EE0000"/>
          <w:sz w:val="22"/>
          <w:szCs w:val="22"/>
        </w:rPr>
      </w:pPr>
    </w:p>
    <w:tbl>
      <w:tblPr>
        <w:tblStyle w:val="TableGrid"/>
        <w:tblpPr w:leftFromText="180" w:rightFromText="180" w:vertAnchor="text" w:horzAnchor="page" w:tblpX="961" w:tblpY="-563"/>
        <w:tblW w:w="9944" w:type="dxa"/>
        <w:tblLayout w:type="fixed"/>
        <w:tblLook w:val="04A0" w:firstRow="1" w:lastRow="0" w:firstColumn="1" w:lastColumn="0" w:noHBand="0" w:noVBand="1"/>
      </w:tblPr>
      <w:tblGrid>
        <w:gridCol w:w="1060"/>
        <w:gridCol w:w="1478"/>
        <w:gridCol w:w="1275"/>
        <w:gridCol w:w="1559"/>
        <w:gridCol w:w="1609"/>
        <w:gridCol w:w="1352"/>
        <w:gridCol w:w="1611"/>
      </w:tblGrid>
      <w:tr w:rsidR="00FF5CFC" w:rsidRPr="000B78E1" w14:paraId="47AE3BA0" w14:textId="77777777" w:rsidTr="00500EEB">
        <w:trPr>
          <w:trHeight w:val="545"/>
          <w:tblHeader/>
        </w:trPr>
        <w:tc>
          <w:tcPr>
            <w:tcW w:w="1060" w:type="dxa"/>
            <w:tcBorders>
              <w:top w:val="double" w:sz="4" w:space="0" w:color="auto"/>
              <w:left w:val="double" w:sz="4" w:space="0" w:color="auto"/>
              <w:bottom w:val="double" w:sz="4" w:space="0" w:color="auto"/>
              <w:right w:val="double" w:sz="4" w:space="0" w:color="auto"/>
            </w:tcBorders>
            <w:shd w:val="clear" w:color="auto" w:fill="E8E8E8" w:themeFill="background2"/>
          </w:tcPr>
          <w:p w14:paraId="2239F7EC"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lastRenderedPageBreak/>
              <w:t>Citation</w:t>
            </w:r>
          </w:p>
        </w:tc>
        <w:tc>
          <w:tcPr>
            <w:tcW w:w="1478" w:type="dxa"/>
            <w:tcBorders>
              <w:top w:val="double" w:sz="4" w:space="0" w:color="auto"/>
              <w:left w:val="double" w:sz="4" w:space="0" w:color="auto"/>
              <w:bottom w:val="double" w:sz="4" w:space="0" w:color="auto"/>
              <w:right w:val="double" w:sz="4" w:space="0" w:color="auto"/>
            </w:tcBorders>
            <w:shd w:val="clear" w:color="auto" w:fill="E8E8E8" w:themeFill="background2"/>
          </w:tcPr>
          <w:p w14:paraId="24E8CD43"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t>Key Arguments</w:t>
            </w:r>
          </w:p>
        </w:tc>
        <w:tc>
          <w:tcPr>
            <w:tcW w:w="1275" w:type="dxa"/>
            <w:tcBorders>
              <w:top w:val="double" w:sz="4" w:space="0" w:color="auto"/>
              <w:left w:val="double" w:sz="4" w:space="0" w:color="auto"/>
              <w:bottom w:val="double" w:sz="4" w:space="0" w:color="auto"/>
              <w:right w:val="double" w:sz="4" w:space="0" w:color="auto"/>
            </w:tcBorders>
            <w:shd w:val="clear" w:color="auto" w:fill="E8E8E8" w:themeFill="background2"/>
          </w:tcPr>
          <w:p w14:paraId="1217437B"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t>Theoretical Lens</w:t>
            </w:r>
          </w:p>
        </w:tc>
        <w:tc>
          <w:tcPr>
            <w:tcW w:w="1559" w:type="dxa"/>
            <w:tcBorders>
              <w:top w:val="double" w:sz="4" w:space="0" w:color="auto"/>
              <w:left w:val="double" w:sz="4" w:space="0" w:color="auto"/>
              <w:bottom w:val="double" w:sz="4" w:space="0" w:color="auto"/>
              <w:right w:val="double" w:sz="4" w:space="0" w:color="auto"/>
            </w:tcBorders>
            <w:shd w:val="clear" w:color="auto" w:fill="E8E8E8" w:themeFill="background2"/>
          </w:tcPr>
          <w:p w14:paraId="21848BBE"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t>Methodology</w:t>
            </w:r>
          </w:p>
        </w:tc>
        <w:tc>
          <w:tcPr>
            <w:tcW w:w="1609" w:type="dxa"/>
            <w:tcBorders>
              <w:top w:val="double" w:sz="4" w:space="0" w:color="auto"/>
              <w:left w:val="double" w:sz="4" w:space="0" w:color="auto"/>
              <w:bottom w:val="double" w:sz="4" w:space="0" w:color="auto"/>
              <w:right w:val="double" w:sz="4" w:space="0" w:color="auto"/>
            </w:tcBorders>
            <w:shd w:val="clear" w:color="auto" w:fill="E8E8E8" w:themeFill="background2"/>
          </w:tcPr>
          <w:p w14:paraId="74F1CB7E"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t>Key findings</w:t>
            </w:r>
          </w:p>
        </w:tc>
        <w:tc>
          <w:tcPr>
            <w:tcW w:w="1352" w:type="dxa"/>
            <w:tcBorders>
              <w:top w:val="double" w:sz="4" w:space="0" w:color="auto"/>
              <w:left w:val="double" w:sz="4" w:space="0" w:color="auto"/>
              <w:bottom w:val="double" w:sz="4" w:space="0" w:color="auto"/>
              <w:right w:val="double" w:sz="4" w:space="0" w:color="auto"/>
            </w:tcBorders>
            <w:shd w:val="clear" w:color="auto" w:fill="E8E8E8" w:themeFill="background2"/>
          </w:tcPr>
          <w:p w14:paraId="7B1887F2"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t>Critical Evaluation</w:t>
            </w:r>
          </w:p>
        </w:tc>
        <w:tc>
          <w:tcPr>
            <w:tcW w:w="1611" w:type="dxa"/>
            <w:tcBorders>
              <w:top w:val="double" w:sz="4" w:space="0" w:color="auto"/>
              <w:left w:val="double" w:sz="4" w:space="0" w:color="auto"/>
              <w:bottom w:val="double" w:sz="4" w:space="0" w:color="auto"/>
              <w:right w:val="double" w:sz="4" w:space="0" w:color="auto"/>
            </w:tcBorders>
            <w:shd w:val="clear" w:color="auto" w:fill="E8E8E8" w:themeFill="background2"/>
          </w:tcPr>
          <w:p w14:paraId="772453C2"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t>Study Relevance</w:t>
            </w:r>
          </w:p>
        </w:tc>
      </w:tr>
      <w:tr w:rsidR="00FF5CFC" w:rsidRPr="000B78E1" w14:paraId="19021EF7" w14:textId="77777777" w:rsidTr="00500EEB">
        <w:trPr>
          <w:trHeight w:val="2503"/>
        </w:trPr>
        <w:tc>
          <w:tcPr>
            <w:tcW w:w="1060" w:type="dxa"/>
            <w:tcBorders>
              <w:top w:val="double" w:sz="4" w:space="0" w:color="auto"/>
            </w:tcBorders>
          </w:tcPr>
          <w:p w14:paraId="02325699" w14:textId="77777777" w:rsidR="00FF5CFC" w:rsidRPr="000B78E1" w:rsidRDefault="00FF5CFC" w:rsidP="0033516F">
            <w:pPr>
              <w:spacing w:line="276" w:lineRule="auto"/>
              <w:jc w:val="both"/>
              <w:rPr>
                <w:rFonts w:ascii="Arial" w:hAnsi="Arial" w:cs="Arial"/>
                <w:b/>
                <w:bCs/>
                <w:sz w:val="22"/>
                <w:szCs w:val="22"/>
              </w:rPr>
            </w:pPr>
            <w:r w:rsidRPr="000B78E1">
              <w:rPr>
                <w:rFonts w:ascii="Arial" w:hAnsi="Arial" w:cs="Arial"/>
                <w:sz w:val="22"/>
                <w:szCs w:val="22"/>
              </w:rPr>
              <w:t>(</w:t>
            </w:r>
            <w:proofErr w:type="spellStart"/>
            <w:r w:rsidRPr="000B78E1">
              <w:rPr>
                <w:rFonts w:ascii="Arial" w:hAnsi="Arial" w:cs="Arial"/>
                <w:sz w:val="22"/>
                <w:szCs w:val="22"/>
              </w:rPr>
              <w:t>Tengeh</w:t>
            </w:r>
            <w:proofErr w:type="spellEnd"/>
            <w:r w:rsidRPr="000B78E1">
              <w:rPr>
                <w:rFonts w:ascii="Arial" w:hAnsi="Arial" w:cs="Arial"/>
                <w:sz w:val="22"/>
                <w:szCs w:val="22"/>
              </w:rPr>
              <w:t xml:space="preserve"> &amp; </w:t>
            </w:r>
            <w:proofErr w:type="spellStart"/>
            <w:r w:rsidRPr="000B78E1">
              <w:rPr>
                <w:rFonts w:ascii="Arial" w:hAnsi="Arial" w:cs="Arial"/>
                <w:sz w:val="22"/>
                <w:szCs w:val="22"/>
              </w:rPr>
              <w:t>Gahapa</w:t>
            </w:r>
            <w:proofErr w:type="spellEnd"/>
            <w:r w:rsidRPr="000B78E1">
              <w:rPr>
                <w:rFonts w:ascii="Arial" w:hAnsi="Arial" w:cs="Arial"/>
                <w:sz w:val="22"/>
                <w:szCs w:val="22"/>
              </w:rPr>
              <w:t xml:space="preserve"> </w:t>
            </w:r>
            <w:proofErr w:type="spellStart"/>
            <w:r w:rsidRPr="000B78E1">
              <w:rPr>
                <w:rFonts w:ascii="Arial" w:hAnsi="Arial" w:cs="Arial"/>
                <w:sz w:val="22"/>
                <w:szCs w:val="22"/>
              </w:rPr>
              <w:t>Talom</w:t>
            </w:r>
            <w:proofErr w:type="spellEnd"/>
            <w:r w:rsidRPr="000B78E1">
              <w:rPr>
                <w:rFonts w:ascii="Arial" w:hAnsi="Arial" w:cs="Arial"/>
                <w:sz w:val="22"/>
                <w:szCs w:val="22"/>
              </w:rPr>
              <w:t>, 2020</w:t>
            </w:r>
            <w:r w:rsidRPr="000B78E1">
              <w:rPr>
                <w:rFonts w:ascii="Arial" w:hAnsi="Arial" w:cs="Arial"/>
                <w:b/>
                <w:bCs/>
                <w:sz w:val="22"/>
                <w:szCs w:val="22"/>
              </w:rPr>
              <w:t>)</w:t>
            </w:r>
          </w:p>
        </w:tc>
        <w:tc>
          <w:tcPr>
            <w:tcW w:w="1478" w:type="dxa"/>
            <w:tcBorders>
              <w:top w:val="double" w:sz="4" w:space="0" w:color="auto"/>
            </w:tcBorders>
          </w:tcPr>
          <w:p w14:paraId="6030ED84"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Mobile money eases constraints, credit improves if banks use transaction data.</w:t>
            </w:r>
          </w:p>
          <w:p w14:paraId="5014DB2A" w14:textId="77777777" w:rsidR="00FF5CFC" w:rsidRPr="000B78E1" w:rsidRDefault="00FF5CFC" w:rsidP="0033516F">
            <w:pPr>
              <w:spacing w:line="276" w:lineRule="auto"/>
              <w:jc w:val="both"/>
              <w:rPr>
                <w:rFonts w:ascii="Arial" w:hAnsi="Arial" w:cs="Arial"/>
                <w:sz w:val="22"/>
                <w:szCs w:val="22"/>
              </w:rPr>
            </w:pPr>
          </w:p>
        </w:tc>
        <w:tc>
          <w:tcPr>
            <w:tcW w:w="1275" w:type="dxa"/>
            <w:tcBorders>
              <w:top w:val="double" w:sz="4" w:space="0" w:color="auto"/>
            </w:tcBorders>
          </w:tcPr>
          <w:p w14:paraId="4B28AE8D"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TAM, UTAUT, Diffusion of Innovation Theory</w:t>
            </w:r>
          </w:p>
        </w:tc>
        <w:tc>
          <w:tcPr>
            <w:tcW w:w="1559" w:type="dxa"/>
            <w:tcBorders>
              <w:top w:val="double" w:sz="4" w:space="0" w:color="auto"/>
            </w:tcBorders>
          </w:tcPr>
          <w:p w14:paraId="72BD3E52" w14:textId="77777777" w:rsidR="00FF5CFC" w:rsidRPr="000B78E1" w:rsidRDefault="00FF5CFC" w:rsidP="0033516F">
            <w:pPr>
              <w:spacing w:line="276" w:lineRule="auto"/>
              <w:jc w:val="center"/>
              <w:rPr>
                <w:rFonts w:ascii="Arial" w:hAnsi="Arial" w:cs="Arial"/>
                <w:sz w:val="22"/>
                <w:szCs w:val="22"/>
              </w:rPr>
            </w:pPr>
            <w:r w:rsidRPr="000B78E1">
              <w:rPr>
                <w:rFonts w:ascii="Arial" w:hAnsi="Arial" w:cs="Arial"/>
                <w:sz w:val="22"/>
                <w:szCs w:val="22"/>
              </w:rPr>
              <w:t xml:space="preserve">Exploratory </w:t>
            </w:r>
            <w:proofErr w:type="gramStart"/>
            <w:r w:rsidRPr="000B78E1">
              <w:rPr>
                <w:rFonts w:ascii="Arial" w:hAnsi="Arial" w:cs="Arial"/>
                <w:sz w:val="22"/>
                <w:szCs w:val="22"/>
              </w:rPr>
              <w:t>mixed-methods</w:t>
            </w:r>
            <w:proofErr w:type="gramEnd"/>
            <w:r w:rsidRPr="000B78E1">
              <w:rPr>
                <w:rFonts w:ascii="Arial" w:hAnsi="Arial" w:cs="Arial"/>
                <w:sz w:val="22"/>
                <w:szCs w:val="22"/>
              </w:rPr>
              <w:t xml:space="preserve"> </w:t>
            </w:r>
          </w:p>
        </w:tc>
        <w:tc>
          <w:tcPr>
            <w:tcW w:w="1609" w:type="dxa"/>
            <w:tcBorders>
              <w:top w:val="double" w:sz="4" w:space="0" w:color="auto"/>
            </w:tcBorders>
          </w:tcPr>
          <w:p w14:paraId="610CCD98"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Strong use for payments and receipts, improving cash flow, mainly used for receiving payments and paying suppliers.</w:t>
            </w:r>
          </w:p>
        </w:tc>
        <w:tc>
          <w:tcPr>
            <w:tcW w:w="1352" w:type="dxa"/>
            <w:tcBorders>
              <w:top w:val="double" w:sz="4" w:space="0" w:color="auto"/>
            </w:tcBorders>
            <w:vAlign w:val="center"/>
          </w:tcPr>
          <w:p w14:paraId="43381929" w14:textId="77777777" w:rsidR="00FF5CFC" w:rsidRPr="000B78E1" w:rsidRDefault="00FF5CFC" w:rsidP="0033516F">
            <w:pPr>
              <w:spacing w:line="276" w:lineRule="auto"/>
              <w:rPr>
                <w:rFonts w:ascii="Arial" w:hAnsi="Arial" w:cs="Arial"/>
                <w:sz w:val="22"/>
                <w:szCs w:val="22"/>
              </w:rPr>
            </w:pPr>
            <w:r w:rsidRPr="000B78E1">
              <w:rPr>
                <w:rFonts w:ascii="Arial" w:hAnsi="Arial" w:cs="Arial"/>
                <w:sz w:val="22"/>
                <w:szCs w:val="22"/>
              </w:rPr>
              <w:t>No causal relationship testing. Treats DFS as transactional only.</w:t>
            </w:r>
          </w:p>
        </w:tc>
        <w:tc>
          <w:tcPr>
            <w:tcW w:w="1611" w:type="dxa"/>
            <w:tcBorders>
              <w:top w:val="double" w:sz="4" w:space="0" w:color="auto"/>
            </w:tcBorders>
          </w:tcPr>
          <w:p w14:paraId="5A2A04AC"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DFS adoption facilitates transactions and liquidity but does not automatically translate into SME credit access.</w:t>
            </w:r>
          </w:p>
        </w:tc>
      </w:tr>
      <w:tr w:rsidR="00FF5CFC" w:rsidRPr="000B78E1" w14:paraId="31150BAC" w14:textId="77777777" w:rsidTr="00500EEB">
        <w:trPr>
          <w:trHeight w:val="2350"/>
        </w:trPr>
        <w:tc>
          <w:tcPr>
            <w:tcW w:w="1060" w:type="dxa"/>
          </w:tcPr>
          <w:p w14:paraId="016AB377"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Rehman et. al. (2023)</w:t>
            </w:r>
          </w:p>
        </w:tc>
        <w:tc>
          <w:tcPr>
            <w:tcW w:w="1478" w:type="dxa"/>
            <w:vAlign w:val="center"/>
          </w:tcPr>
          <w:p w14:paraId="75738583"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FinTech adoption improves bank credit supply via reduced information asymmetry</w:t>
            </w:r>
          </w:p>
        </w:tc>
        <w:tc>
          <w:tcPr>
            <w:tcW w:w="1275" w:type="dxa"/>
            <w:vAlign w:val="center"/>
          </w:tcPr>
          <w:p w14:paraId="6BD5F603" w14:textId="77777777" w:rsidR="00FF5CFC" w:rsidRPr="000B78E1" w:rsidRDefault="00FF5CFC" w:rsidP="0033516F">
            <w:pPr>
              <w:spacing w:line="276" w:lineRule="auto"/>
              <w:rPr>
                <w:rFonts w:ascii="Arial" w:hAnsi="Arial" w:cs="Arial"/>
                <w:sz w:val="22"/>
                <w:szCs w:val="22"/>
              </w:rPr>
            </w:pPr>
            <w:r w:rsidRPr="000B78E1">
              <w:rPr>
                <w:rFonts w:ascii="Arial" w:hAnsi="Arial" w:cs="Arial"/>
                <w:sz w:val="22"/>
                <w:szCs w:val="22"/>
              </w:rPr>
              <w:t xml:space="preserve">TAM and information asymmetry </w:t>
            </w:r>
            <w:proofErr w:type="gramStart"/>
            <w:r w:rsidRPr="000B78E1">
              <w:rPr>
                <w:rFonts w:ascii="Arial" w:hAnsi="Arial" w:cs="Arial"/>
                <w:sz w:val="22"/>
                <w:szCs w:val="22"/>
              </w:rPr>
              <w:t>theory..</w:t>
            </w:r>
            <w:proofErr w:type="gramEnd"/>
          </w:p>
        </w:tc>
        <w:tc>
          <w:tcPr>
            <w:tcW w:w="1559" w:type="dxa"/>
            <w:vAlign w:val="center"/>
          </w:tcPr>
          <w:p w14:paraId="0A4BCD66"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Survey using SEM &amp; CFA to test FinTech credit links.</w:t>
            </w:r>
          </w:p>
          <w:p w14:paraId="191382B8" w14:textId="77777777" w:rsidR="00FF5CFC" w:rsidRPr="000B78E1" w:rsidRDefault="00FF5CFC" w:rsidP="0033516F">
            <w:pPr>
              <w:spacing w:line="276" w:lineRule="auto"/>
              <w:jc w:val="both"/>
              <w:rPr>
                <w:rFonts w:ascii="Arial" w:hAnsi="Arial" w:cs="Arial"/>
                <w:sz w:val="22"/>
                <w:szCs w:val="22"/>
              </w:rPr>
            </w:pPr>
          </w:p>
        </w:tc>
        <w:tc>
          <w:tcPr>
            <w:tcW w:w="1609" w:type="dxa"/>
            <w:vAlign w:val="center"/>
          </w:tcPr>
          <w:p w14:paraId="1C8A9D52"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Big data reduces information asymmetry, mobile banking and blockchain increase SME credit access and supply.</w:t>
            </w:r>
          </w:p>
        </w:tc>
        <w:tc>
          <w:tcPr>
            <w:tcW w:w="1352" w:type="dxa"/>
            <w:vAlign w:val="center"/>
          </w:tcPr>
          <w:p w14:paraId="0CC2096A"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 xml:space="preserve">Reliance on perceptions </w:t>
            </w:r>
            <w:proofErr w:type="gramStart"/>
            <w:r w:rsidRPr="000B78E1">
              <w:rPr>
                <w:rFonts w:ascii="Arial" w:hAnsi="Arial" w:cs="Arial"/>
                <w:sz w:val="22"/>
                <w:szCs w:val="22"/>
              </w:rPr>
              <w:t>and  single</w:t>
            </w:r>
            <w:proofErr w:type="gramEnd"/>
            <w:r w:rsidRPr="000B78E1">
              <w:rPr>
                <w:rFonts w:ascii="Arial" w:hAnsi="Arial" w:cs="Arial"/>
                <w:sz w:val="22"/>
                <w:szCs w:val="22"/>
              </w:rPr>
              <w:t xml:space="preserve"> country focus.</w:t>
            </w:r>
          </w:p>
        </w:tc>
        <w:tc>
          <w:tcPr>
            <w:tcW w:w="1611" w:type="dxa"/>
            <w:vAlign w:val="center"/>
          </w:tcPr>
          <w:p w14:paraId="0AEFEAF2"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DFS can expand SME credit when banks, regulation, and data infrastructures are aligned</w:t>
            </w:r>
          </w:p>
        </w:tc>
      </w:tr>
      <w:tr w:rsidR="00FF5CFC" w:rsidRPr="000B78E1" w14:paraId="4D3A5E81" w14:textId="77777777" w:rsidTr="00500EEB">
        <w:trPr>
          <w:trHeight w:val="1926"/>
        </w:trPr>
        <w:tc>
          <w:tcPr>
            <w:tcW w:w="1060" w:type="dxa"/>
            <w:vAlign w:val="center"/>
          </w:tcPr>
          <w:p w14:paraId="0F6DA373"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Isha et al. (2025)</w:t>
            </w:r>
          </w:p>
        </w:tc>
        <w:tc>
          <w:tcPr>
            <w:tcW w:w="1478" w:type="dxa"/>
            <w:vAlign w:val="center"/>
          </w:tcPr>
          <w:p w14:paraId="7C241DB5"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FinTech improves MSME credit access via digital lending.</w:t>
            </w:r>
          </w:p>
        </w:tc>
        <w:tc>
          <w:tcPr>
            <w:tcW w:w="1275" w:type="dxa"/>
            <w:vAlign w:val="center"/>
          </w:tcPr>
          <w:p w14:paraId="1094AC08"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Grounded Disruptive Innovation Theory</w:t>
            </w:r>
          </w:p>
        </w:tc>
        <w:tc>
          <w:tcPr>
            <w:tcW w:w="1559" w:type="dxa"/>
            <w:vAlign w:val="center"/>
          </w:tcPr>
          <w:p w14:paraId="32986B60" w14:textId="77777777" w:rsidR="00FF5CFC" w:rsidRPr="000B78E1" w:rsidRDefault="00FF5CFC" w:rsidP="0033516F">
            <w:pPr>
              <w:spacing w:line="276" w:lineRule="auto"/>
              <w:rPr>
                <w:rFonts w:ascii="Arial" w:hAnsi="Arial" w:cs="Arial"/>
                <w:sz w:val="22"/>
                <w:szCs w:val="22"/>
              </w:rPr>
            </w:pPr>
            <w:r w:rsidRPr="000B78E1">
              <w:rPr>
                <w:rFonts w:ascii="Arial" w:hAnsi="Arial" w:cs="Arial"/>
                <w:sz w:val="22"/>
                <w:szCs w:val="22"/>
              </w:rPr>
              <w:t>Cross-sectional survey with regression.</w:t>
            </w:r>
          </w:p>
          <w:p w14:paraId="1C5C0BC2" w14:textId="77777777" w:rsidR="00FF5CFC" w:rsidRPr="000B78E1" w:rsidRDefault="00FF5CFC" w:rsidP="0033516F">
            <w:pPr>
              <w:spacing w:line="276" w:lineRule="auto"/>
              <w:rPr>
                <w:rFonts w:ascii="Arial" w:hAnsi="Arial" w:cs="Arial"/>
                <w:sz w:val="22"/>
                <w:szCs w:val="22"/>
              </w:rPr>
            </w:pPr>
          </w:p>
        </w:tc>
        <w:tc>
          <w:tcPr>
            <w:tcW w:w="1609" w:type="dxa"/>
            <w:vAlign w:val="center"/>
          </w:tcPr>
          <w:p w14:paraId="123BC8B4" w14:textId="77777777" w:rsidR="00FF5CFC" w:rsidRPr="000B78E1" w:rsidRDefault="00FF5CFC" w:rsidP="0033516F">
            <w:pPr>
              <w:spacing w:line="276" w:lineRule="auto"/>
              <w:rPr>
                <w:rFonts w:ascii="Arial" w:hAnsi="Arial" w:cs="Arial"/>
                <w:sz w:val="22"/>
                <w:szCs w:val="22"/>
              </w:rPr>
            </w:pPr>
            <w:r w:rsidRPr="000B78E1">
              <w:rPr>
                <w:rFonts w:ascii="Arial" w:hAnsi="Arial" w:cs="Arial"/>
                <w:sz w:val="22"/>
                <w:szCs w:val="22"/>
              </w:rPr>
              <w:t>Mobile lending and digital banking strongly improve credit access.</w:t>
            </w:r>
          </w:p>
        </w:tc>
        <w:tc>
          <w:tcPr>
            <w:tcW w:w="1352" w:type="dxa"/>
            <w:vAlign w:val="center"/>
          </w:tcPr>
          <w:p w14:paraId="1A8F4FD9"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Urban only, no loan details, limits claims on sustained credit access.</w:t>
            </w:r>
          </w:p>
        </w:tc>
        <w:tc>
          <w:tcPr>
            <w:tcW w:w="1611" w:type="dxa"/>
            <w:vAlign w:val="center"/>
          </w:tcPr>
          <w:p w14:paraId="06F702FD"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FinTech improves SME credit access, but evidence of sustained bank lending is limited.</w:t>
            </w:r>
          </w:p>
        </w:tc>
      </w:tr>
      <w:tr w:rsidR="00FF5CFC" w:rsidRPr="000B78E1" w14:paraId="25CE00C7" w14:textId="77777777" w:rsidTr="00500EEB">
        <w:trPr>
          <w:trHeight w:val="2199"/>
        </w:trPr>
        <w:tc>
          <w:tcPr>
            <w:tcW w:w="1060" w:type="dxa"/>
            <w:vAlign w:val="center"/>
          </w:tcPr>
          <w:p w14:paraId="5348565A"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Fadeyi et al. (2025)</w:t>
            </w:r>
          </w:p>
        </w:tc>
        <w:tc>
          <w:tcPr>
            <w:tcW w:w="1478" w:type="dxa"/>
            <w:vAlign w:val="center"/>
          </w:tcPr>
          <w:p w14:paraId="19258C38"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DFS improves SME efficiency and financial management</w:t>
            </w:r>
          </w:p>
        </w:tc>
        <w:tc>
          <w:tcPr>
            <w:tcW w:w="1275" w:type="dxa"/>
            <w:vAlign w:val="center"/>
          </w:tcPr>
          <w:p w14:paraId="50810BCC"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General digital transformation perspective on technology adoption.</w:t>
            </w:r>
          </w:p>
        </w:tc>
        <w:tc>
          <w:tcPr>
            <w:tcW w:w="1559" w:type="dxa"/>
            <w:vAlign w:val="center"/>
          </w:tcPr>
          <w:p w14:paraId="01AE6795"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Cross-sectional survey with questionnaires, descriptive stats, and chi-square.</w:t>
            </w:r>
          </w:p>
        </w:tc>
        <w:tc>
          <w:tcPr>
            <w:tcW w:w="1609" w:type="dxa"/>
            <w:vAlign w:val="center"/>
          </w:tcPr>
          <w:p w14:paraId="1AC863C5"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DFS improves efficiency and cash-flow tracking but shows no clear increase in formal credit access.</w:t>
            </w:r>
          </w:p>
        </w:tc>
        <w:tc>
          <w:tcPr>
            <w:tcW w:w="1352" w:type="dxa"/>
            <w:vAlign w:val="center"/>
          </w:tcPr>
          <w:p w14:paraId="14A84F98" w14:textId="77777777" w:rsidR="00FF5CFC" w:rsidRPr="000B78E1" w:rsidRDefault="00FF5CFC" w:rsidP="0033516F">
            <w:pPr>
              <w:spacing w:line="276" w:lineRule="auto"/>
              <w:rPr>
                <w:rFonts w:ascii="Arial" w:hAnsi="Arial" w:cs="Arial"/>
                <w:sz w:val="22"/>
                <w:szCs w:val="22"/>
              </w:rPr>
            </w:pPr>
            <w:r w:rsidRPr="000B78E1">
              <w:rPr>
                <w:rFonts w:ascii="Arial" w:hAnsi="Arial" w:cs="Arial"/>
                <w:sz w:val="22"/>
                <w:szCs w:val="22"/>
              </w:rPr>
              <w:t>Cross-sectional, self-reported, small sample limits conclusions.</w:t>
            </w:r>
          </w:p>
        </w:tc>
        <w:tc>
          <w:tcPr>
            <w:tcW w:w="1611" w:type="dxa"/>
            <w:vAlign w:val="center"/>
          </w:tcPr>
          <w:p w14:paraId="1802283A"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Even in high-DFS settings, DFS mainly support transactions and financial management, not guaranteed SME credit.</w:t>
            </w:r>
          </w:p>
        </w:tc>
      </w:tr>
      <w:tr w:rsidR="00FF5CFC" w:rsidRPr="000B78E1" w14:paraId="25C7E946" w14:textId="77777777" w:rsidTr="00500EEB">
        <w:trPr>
          <w:trHeight w:val="1640"/>
        </w:trPr>
        <w:tc>
          <w:tcPr>
            <w:tcW w:w="1060" w:type="dxa"/>
            <w:vAlign w:val="center"/>
          </w:tcPr>
          <w:p w14:paraId="6B00A59C"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Saha et al. (2025)</w:t>
            </w:r>
          </w:p>
        </w:tc>
        <w:tc>
          <w:tcPr>
            <w:tcW w:w="1478" w:type="dxa"/>
            <w:vAlign w:val="center"/>
          </w:tcPr>
          <w:p w14:paraId="12DE5147"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FinTech adoption in Bangladesh is driven by readiness and literacy</w:t>
            </w:r>
          </w:p>
        </w:tc>
        <w:tc>
          <w:tcPr>
            <w:tcW w:w="1275" w:type="dxa"/>
            <w:vAlign w:val="center"/>
          </w:tcPr>
          <w:p w14:paraId="75E0D127"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TOE framework &amp; UTAUT</w:t>
            </w:r>
          </w:p>
        </w:tc>
        <w:tc>
          <w:tcPr>
            <w:tcW w:w="1559" w:type="dxa"/>
            <w:vAlign w:val="center"/>
          </w:tcPr>
          <w:p w14:paraId="4CC4C67E"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Survey of 74 Bangladeshi SMEs analysed using PLS-SEM.</w:t>
            </w:r>
          </w:p>
        </w:tc>
        <w:tc>
          <w:tcPr>
            <w:tcW w:w="1609" w:type="dxa"/>
            <w:vAlign w:val="center"/>
          </w:tcPr>
          <w:p w14:paraId="33FFBD65"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Organizational readiness and financial literacy drive fintech adoption.</w:t>
            </w:r>
          </w:p>
        </w:tc>
        <w:tc>
          <w:tcPr>
            <w:tcW w:w="1352" w:type="dxa"/>
            <w:vAlign w:val="center"/>
          </w:tcPr>
          <w:p w14:paraId="75119B90"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 xml:space="preserve">Focuses </w:t>
            </w:r>
            <w:proofErr w:type="gramStart"/>
            <w:r w:rsidRPr="000B78E1">
              <w:rPr>
                <w:rFonts w:ascii="Arial" w:hAnsi="Arial" w:cs="Arial"/>
                <w:sz w:val="22"/>
                <w:szCs w:val="22"/>
              </w:rPr>
              <w:t>on  intention</w:t>
            </w:r>
            <w:proofErr w:type="gramEnd"/>
            <w:r w:rsidRPr="000B78E1">
              <w:rPr>
                <w:rFonts w:ascii="Arial" w:hAnsi="Arial" w:cs="Arial"/>
                <w:sz w:val="22"/>
                <w:szCs w:val="22"/>
              </w:rPr>
              <w:t xml:space="preserve"> to adopt but not actual fintech usage. </w:t>
            </w:r>
          </w:p>
        </w:tc>
        <w:tc>
          <w:tcPr>
            <w:tcW w:w="1611" w:type="dxa"/>
            <w:vAlign w:val="center"/>
          </w:tcPr>
          <w:p w14:paraId="3F89D547" w14:textId="77777777" w:rsidR="00FF5CFC" w:rsidRPr="000B78E1" w:rsidRDefault="00FF5CFC" w:rsidP="0033516F">
            <w:pPr>
              <w:spacing w:line="276" w:lineRule="auto"/>
              <w:jc w:val="both"/>
              <w:rPr>
                <w:rFonts w:ascii="Arial" w:hAnsi="Arial" w:cs="Arial"/>
                <w:sz w:val="22"/>
                <w:szCs w:val="22"/>
              </w:rPr>
            </w:pPr>
            <w:r w:rsidRPr="000B78E1">
              <w:rPr>
                <w:rFonts w:ascii="Arial" w:hAnsi="Arial" w:cs="Arial"/>
                <w:sz w:val="22"/>
                <w:szCs w:val="22"/>
              </w:rPr>
              <w:t>No clear improvement in credit access despite high DFS adoption.</w:t>
            </w:r>
          </w:p>
        </w:tc>
      </w:tr>
    </w:tbl>
    <w:p w14:paraId="21DFCFF7" w14:textId="77777777" w:rsidR="00FF5CFC" w:rsidRPr="000B78E1" w:rsidRDefault="00FF5CFC" w:rsidP="000B78E1">
      <w:pPr>
        <w:spacing w:line="360" w:lineRule="auto"/>
        <w:jc w:val="both"/>
        <w:rPr>
          <w:rFonts w:ascii="Arial" w:hAnsi="Arial" w:cs="Arial"/>
          <w:b/>
          <w:bCs/>
          <w:color w:val="EE0000"/>
          <w:sz w:val="22"/>
          <w:szCs w:val="22"/>
        </w:rPr>
      </w:pPr>
    </w:p>
    <w:p w14:paraId="74300E45" w14:textId="77777777" w:rsidR="00021272" w:rsidRPr="000B78E1" w:rsidRDefault="00021272" w:rsidP="000B78E1">
      <w:pPr>
        <w:spacing w:line="360" w:lineRule="auto"/>
        <w:jc w:val="both"/>
        <w:rPr>
          <w:rFonts w:ascii="Arial" w:hAnsi="Arial" w:cs="Arial"/>
          <w:b/>
          <w:bCs/>
          <w:sz w:val="22"/>
          <w:szCs w:val="22"/>
        </w:rPr>
      </w:pPr>
    </w:p>
    <w:tbl>
      <w:tblPr>
        <w:tblStyle w:val="TableGrid"/>
        <w:tblpPr w:leftFromText="180" w:rightFromText="180" w:vertAnchor="text" w:horzAnchor="page" w:tblpX="961" w:tblpY="-563"/>
        <w:tblW w:w="9944" w:type="dxa"/>
        <w:tblLayout w:type="fixed"/>
        <w:tblLook w:val="04A0" w:firstRow="1" w:lastRow="0" w:firstColumn="1" w:lastColumn="0" w:noHBand="0" w:noVBand="1"/>
      </w:tblPr>
      <w:tblGrid>
        <w:gridCol w:w="1060"/>
        <w:gridCol w:w="1478"/>
        <w:gridCol w:w="1275"/>
        <w:gridCol w:w="1559"/>
        <w:gridCol w:w="1609"/>
        <w:gridCol w:w="1352"/>
        <w:gridCol w:w="1611"/>
      </w:tblGrid>
      <w:tr w:rsidR="002E4C3C" w:rsidRPr="000B78E1" w14:paraId="7AD1EB4A" w14:textId="77777777" w:rsidTr="00652E19">
        <w:trPr>
          <w:trHeight w:val="545"/>
          <w:tblHeader/>
        </w:trPr>
        <w:tc>
          <w:tcPr>
            <w:tcW w:w="1060" w:type="dxa"/>
            <w:tcBorders>
              <w:top w:val="double" w:sz="4" w:space="0" w:color="auto"/>
              <w:left w:val="double" w:sz="4" w:space="0" w:color="auto"/>
              <w:bottom w:val="double" w:sz="4" w:space="0" w:color="auto"/>
              <w:right w:val="double" w:sz="4" w:space="0" w:color="auto"/>
            </w:tcBorders>
            <w:shd w:val="clear" w:color="auto" w:fill="E8E8E8" w:themeFill="background2"/>
          </w:tcPr>
          <w:p w14:paraId="1E2BA243" w14:textId="77777777" w:rsidR="004B5D08" w:rsidRPr="000B78E1" w:rsidRDefault="004B5D08" w:rsidP="00167F98">
            <w:pPr>
              <w:jc w:val="center"/>
              <w:rPr>
                <w:rFonts w:ascii="Arial" w:hAnsi="Arial" w:cs="Arial"/>
                <w:sz w:val="22"/>
                <w:szCs w:val="22"/>
              </w:rPr>
            </w:pPr>
            <w:r w:rsidRPr="000B78E1">
              <w:rPr>
                <w:rFonts w:ascii="Arial" w:hAnsi="Arial" w:cs="Arial"/>
                <w:sz w:val="22"/>
                <w:szCs w:val="22"/>
              </w:rPr>
              <w:lastRenderedPageBreak/>
              <w:t>Citation</w:t>
            </w:r>
          </w:p>
        </w:tc>
        <w:tc>
          <w:tcPr>
            <w:tcW w:w="1478" w:type="dxa"/>
            <w:tcBorders>
              <w:top w:val="double" w:sz="4" w:space="0" w:color="auto"/>
              <w:left w:val="double" w:sz="4" w:space="0" w:color="auto"/>
              <w:bottom w:val="double" w:sz="4" w:space="0" w:color="auto"/>
              <w:right w:val="double" w:sz="4" w:space="0" w:color="auto"/>
            </w:tcBorders>
            <w:shd w:val="clear" w:color="auto" w:fill="E8E8E8" w:themeFill="background2"/>
          </w:tcPr>
          <w:p w14:paraId="0AFCB6B1" w14:textId="77777777" w:rsidR="004B5D08" w:rsidRPr="000B78E1" w:rsidRDefault="004B5D08" w:rsidP="00167F98">
            <w:pPr>
              <w:jc w:val="center"/>
              <w:rPr>
                <w:rFonts w:ascii="Arial" w:hAnsi="Arial" w:cs="Arial"/>
                <w:sz w:val="22"/>
                <w:szCs w:val="22"/>
              </w:rPr>
            </w:pPr>
            <w:r w:rsidRPr="000B78E1">
              <w:rPr>
                <w:rFonts w:ascii="Arial" w:hAnsi="Arial" w:cs="Arial"/>
                <w:sz w:val="22"/>
                <w:szCs w:val="22"/>
              </w:rPr>
              <w:t>Key Arguments</w:t>
            </w:r>
          </w:p>
        </w:tc>
        <w:tc>
          <w:tcPr>
            <w:tcW w:w="1275" w:type="dxa"/>
            <w:tcBorders>
              <w:top w:val="double" w:sz="4" w:space="0" w:color="auto"/>
              <w:left w:val="double" w:sz="4" w:space="0" w:color="auto"/>
              <w:bottom w:val="double" w:sz="4" w:space="0" w:color="auto"/>
              <w:right w:val="double" w:sz="4" w:space="0" w:color="auto"/>
            </w:tcBorders>
            <w:shd w:val="clear" w:color="auto" w:fill="E8E8E8" w:themeFill="background2"/>
          </w:tcPr>
          <w:p w14:paraId="1BF94951" w14:textId="77777777" w:rsidR="004B5D08" w:rsidRPr="000B78E1" w:rsidRDefault="004B5D08" w:rsidP="00167F98">
            <w:pPr>
              <w:jc w:val="center"/>
              <w:rPr>
                <w:rFonts w:ascii="Arial" w:hAnsi="Arial" w:cs="Arial"/>
                <w:sz w:val="22"/>
                <w:szCs w:val="22"/>
              </w:rPr>
            </w:pPr>
            <w:r w:rsidRPr="000B78E1">
              <w:rPr>
                <w:rFonts w:ascii="Arial" w:hAnsi="Arial" w:cs="Arial"/>
                <w:sz w:val="22"/>
                <w:szCs w:val="22"/>
              </w:rPr>
              <w:t>Theoretical Lens</w:t>
            </w:r>
          </w:p>
        </w:tc>
        <w:tc>
          <w:tcPr>
            <w:tcW w:w="1559" w:type="dxa"/>
            <w:tcBorders>
              <w:top w:val="double" w:sz="4" w:space="0" w:color="auto"/>
              <w:left w:val="double" w:sz="4" w:space="0" w:color="auto"/>
              <w:bottom w:val="double" w:sz="4" w:space="0" w:color="auto"/>
              <w:right w:val="double" w:sz="4" w:space="0" w:color="auto"/>
            </w:tcBorders>
            <w:shd w:val="clear" w:color="auto" w:fill="E8E8E8" w:themeFill="background2"/>
          </w:tcPr>
          <w:p w14:paraId="457E77ED" w14:textId="77777777" w:rsidR="004B5D08" w:rsidRPr="000B78E1" w:rsidRDefault="004B5D08" w:rsidP="00167F98">
            <w:pPr>
              <w:jc w:val="center"/>
              <w:rPr>
                <w:rFonts w:ascii="Arial" w:hAnsi="Arial" w:cs="Arial"/>
                <w:sz w:val="22"/>
                <w:szCs w:val="22"/>
              </w:rPr>
            </w:pPr>
            <w:r w:rsidRPr="000B78E1">
              <w:rPr>
                <w:rFonts w:ascii="Arial" w:hAnsi="Arial" w:cs="Arial"/>
                <w:sz w:val="22"/>
                <w:szCs w:val="22"/>
              </w:rPr>
              <w:t>Methodology</w:t>
            </w:r>
          </w:p>
        </w:tc>
        <w:tc>
          <w:tcPr>
            <w:tcW w:w="1609" w:type="dxa"/>
            <w:tcBorders>
              <w:top w:val="double" w:sz="4" w:space="0" w:color="auto"/>
              <w:left w:val="double" w:sz="4" w:space="0" w:color="auto"/>
              <w:bottom w:val="double" w:sz="4" w:space="0" w:color="auto"/>
              <w:right w:val="double" w:sz="4" w:space="0" w:color="auto"/>
            </w:tcBorders>
            <w:shd w:val="clear" w:color="auto" w:fill="E8E8E8" w:themeFill="background2"/>
          </w:tcPr>
          <w:p w14:paraId="1FCB8E39" w14:textId="77777777" w:rsidR="004B5D08" w:rsidRPr="000B78E1" w:rsidRDefault="004B5D08" w:rsidP="00167F98">
            <w:pPr>
              <w:jc w:val="center"/>
              <w:rPr>
                <w:rFonts w:ascii="Arial" w:hAnsi="Arial" w:cs="Arial"/>
                <w:sz w:val="22"/>
                <w:szCs w:val="22"/>
              </w:rPr>
            </w:pPr>
            <w:r w:rsidRPr="000B78E1">
              <w:rPr>
                <w:rFonts w:ascii="Arial" w:hAnsi="Arial" w:cs="Arial"/>
                <w:sz w:val="22"/>
                <w:szCs w:val="22"/>
              </w:rPr>
              <w:t>Key findings</w:t>
            </w:r>
          </w:p>
        </w:tc>
        <w:tc>
          <w:tcPr>
            <w:tcW w:w="1352" w:type="dxa"/>
            <w:tcBorders>
              <w:top w:val="double" w:sz="4" w:space="0" w:color="auto"/>
              <w:left w:val="double" w:sz="4" w:space="0" w:color="auto"/>
              <w:bottom w:val="double" w:sz="4" w:space="0" w:color="auto"/>
              <w:right w:val="double" w:sz="4" w:space="0" w:color="auto"/>
            </w:tcBorders>
            <w:shd w:val="clear" w:color="auto" w:fill="E8E8E8" w:themeFill="background2"/>
          </w:tcPr>
          <w:p w14:paraId="5F1BF35A" w14:textId="77777777" w:rsidR="004B5D08" w:rsidRPr="000B78E1" w:rsidRDefault="004B5D08" w:rsidP="00167F98">
            <w:pPr>
              <w:jc w:val="center"/>
              <w:rPr>
                <w:rFonts w:ascii="Arial" w:hAnsi="Arial" w:cs="Arial"/>
                <w:sz w:val="22"/>
                <w:szCs w:val="22"/>
              </w:rPr>
            </w:pPr>
            <w:r w:rsidRPr="000B78E1">
              <w:rPr>
                <w:rFonts w:ascii="Arial" w:hAnsi="Arial" w:cs="Arial"/>
                <w:sz w:val="22"/>
                <w:szCs w:val="22"/>
              </w:rPr>
              <w:t>Critical Evaluation</w:t>
            </w:r>
          </w:p>
        </w:tc>
        <w:tc>
          <w:tcPr>
            <w:tcW w:w="1611" w:type="dxa"/>
            <w:tcBorders>
              <w:top w:val="double" w:sz="4" w:space="0" w:color="auto"/>
              <w:left w:val="double" w:sz="4" w:space="0" w:color="auto"/>
              <w:bottom w:val="double" w:sz="4" w:space="0" w:color="auto"/>
              <w:right w:val="double" w:sz="4" w:space="0" w:color="auto"/>
            </w:tcBorders>
            <w:shd w:val="clear" w:color="auto" w:fill="E8E8E8" w:themeFill="background2"/>
          </w:tcPr>
          <w:p w14:paraId="4E53AAF2" w14:textId="77777777" w:rsidR="004B5D08" w:rsidRPr="000B78E1" w:rsidRDefault="004B5D08" w:rsidP="00167F98">
            <w:pPr>
              <w:jc w:val="center"/>
              <w:rPr>
                <w:rFonts w:ascii="Arial" w:hAnsi="Arial" w:cs="Arial"/>
                <w:sz w:val="22"/>
                <w:szCs w:val="22"/>
              </w:rPr>
            </w:pPr>
            <w:r w:rsidRPr="000B78E1">
              <w:rPr>
                <w:rFonts w:ascii="Arial" w:hAnsi="Arial" w:cs="Arial"/>
                <w:sz w:val="22"/>
                <w:szCs w:val="22"/>
              </w:rPr>
              <w:t>Study Relevance</w:t>
            </w:r>
          </w:p>
        </w:tc>
      </w:tr>
      <w:tr w:rsidR="002E4C3C" w:rsidRPr="000B78E1" w14:paraId="667CA3BC" w14:textId="77777777" w:rsidTr="00652E19">
        <w:trPr>
          <w:trHeight w:val="2681"/>
        </w:trPr>
        <w:tc>
          <w:tcPr>
            <w:tcW w:w="1060" w:type="dxa"/>
          </w:tcPr>
          <w:p w14:paraId="2A8D3497"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Sadik &amp; Rahman (2024)</w:t>
            </w:r>
          </w:p>
        </w:tc>
        <w:tc>
          <w:tcPr>
            <w:tcW w:w="1478" w:type="dxa"/>
          </w:tcPr>
          <w:p w14:paraId="06274440"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 xml:space="preserve">Financial literacy leads DFS adoption in Bangladesh, followed by inclusion, trust, capital and payments. </w:t>
            </w:r>
          </w:p>
        </w:tc>
        <w:tc>
          <w:tcPr>
            <w:tcW w:w="1275" w:type="dxa"/>
          </w:tcPr>
          <w:p w14:paraId="2B71F1FD" w14:textId="248E617C" w:rsidR="004B5D08" w:rsidRPr="000B78E1" w:rsidRDefault="008324E4" w:rsidP="00167F98">
            <w:pPr>
              <w:spacing w:line="276" w:lineRule="auto"/>
              <w:jc w:val="both"/>
              <w:rPr>
                <w:rFonts w:ascii="Arial" w:hAnsi="Arial" w:cs="Arial"/>
                <w:sz w:val="22"/>
                <w:szCs w:val="22"/>
              </w:rPr>
            </w:pPr>
            <w:r w:rsidRPr="000B78E1">
              <w:rPr>
                <w:rFonts w:ascii="Arial" w:hAnsi="Arial" w:cs="Arial"/>
                <w:sz w:val="22"/>
                <w:szCs w:val="22"/>
              </w:rPr>
              <w:t>TAM extended with literacy, trust, capital, payments and inclusion.</w:t>
            </w:r>
          </w:p>
        </w:tc>
        <w:tc>
          <w:tcPr>
            <w:tcW w:w="1559" w:type="dxa"/>
          </w:tcPr>
          <w:p w14:paraId="4D5D4D3A" w14:textId="4538B463" w:rsidR="004B5D08" w:rsidRPr="000B78E1" w:rsidRDefault="00A373B9" w:rsidP="00167F98">
            <w:pPr>
              <w:spacing w:line="276" w:lineRule="auto"/>
              <w:jc w:val="both"/>
              <w:rPr>
                <w:rFonts w:ascii="Arial" w:hAnsi="Arial" w:cs="Arial"/>
                <w:sz w:val="22"/>
                <w:szCs w:val="22"/>
              </w:rPr>
            </w:pPr>
            <w:r w:rsidRPr="000B78E1">
              <w:rPr>
                <w:rFonts w:ascii="Arial" w:hAnsi="Arial" w:cs="Arial"/>
                <w:sz w:val="22"/>
                <w:szCs w:val="22"/>
              </w:rPr>
              <w:t>Cross-sectional study using PLS-SEM and ANN for non-linear analysis.</w:t>
            </w:r>
          </w:p>
        </w:tc>
        <w:tc>
          <w:tcPr>
            <w:tcW w:w="1609" w:type="dxa"/>
          </w:tcPr>
          <w:p w14:paraId="0F688D81"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Financial literacy drives DFS use, with trust, inclusion, capital access, and payments also contributing.</w:t>
            </w:r>
          </w:p>
        </w:tc>
        <w:tc>
          <w:tcPr>
            <w:tcW w:w="1352" w:type="dxa"/>
          </w:tcPr>
          <w:p w14:paraId="390942C3" w14:textId="77777777" w:rsidR="004B5D08" w:rsidRPr="000B78E1" w:rsidRDefault="004B5D08" w:rsidP="00167F98">
            <w:pPr>
              <w:spacing w:line="276" w:lineRule="auto"/>
              <w:rPr>
                <w:rFonts w:ascii="Arial" w:hAnsi="Arial" w:cs="Arial"/>
                <w:sz w:val="22"/>
                <w:szCs w:val="22"/>
              </w:rPr>
            </w:pPr>
            <w:r w:rsidRPr="000B78E1">
              <w:rPr>
                <w:rFonts w:ascii="Arial" w:hAnsi="Arial" w:cs="Arial"/>
                <w:sz w:val="22"/>
                <w:szCs w:val="22"/>
              </w:rPr>
              <w:t>Focuses on adoption rather than DFS outcomes.</w:t>
            </w:r>
          </w:p>
          <w:p w14:paraId="335315D2" w14:textId="77777777" w:rsidR="004B5D08" w:rsidRPr="000B78E1" w:rsidRDefault="004B5D08" w:rsidP="00167F98">
            <w:pPr>
              <w:spacing w:line="276" w:lineRule="auto"/>
              <w:jc w:val="both"/>
              <w:rPr>
                <w:rFonts w:ascii="Arial" w:hAnsi="Arial" w:cs="Arial"/>
                <w:sz w:val="22"/>
                <w:szCs w:val="22"/>
              </w:rPr>
            </w:pPr>
          </w:p>
        </w:tc>
        <w:tc>
          <w:tcPr>
            <w:tcW w:w="1611" w:type="dxa"/>
          </w:tcPr>
          <w:p w14:paraId="1578F11C" w14:textId="7A4AEA98" w:rsidR="004B5D08" w:rsidRPr="000B78E1" w:rsidRDefault="008324E4" w:rsidP="00167F98">
            <w:pPr>
              <w:spacing w:line="276" w:lineRule="auto"/>
              <w:rPr>
                <w:rFonts w:ascii="Arial" w:hAnsi="Arial" w:cs="Arial"/>
                <w:sz w:val="22"/>
                <w:szCs w:val="22"/>
              </w:rPr>
            </w:pPr>
            <w:r w:rsidRPr="000B78E1">
              <w:rPr>
                <w:rFonts w:ascii="Arial" w:hAnsi="Arial" w:cs="Arial"/>
                <w:sz w:val="22"/>
                <w:szCs w:val="22"/>
              </w:rPr>
              <w:t>H</w:t>
            </w:r>
            <w:r w:rsidR="004B5D08" w:rsidRPr="000B78E1">
              <w:rPr>
                <w:rFonts w:ascii="Arial" w:hAnsi="Arial" w:cs="Arial"/>
                <w:sz w:val="22"/>
                <w:szCs w:val="22"/>
              </w:rPr>
              <w:t>igh DFS adoption and digital payment usage but SME access to formal bank credit remains limited.</w:t>
            </w:r>
          </w:p>
          <w:p w14:paraId="5BC66E27" w14:textId="77777777" w:rsidR="004B5D08" w:rsidRPr="000B78E1" w:rsidRDefault="004B5D08" w:rsidP="00167F98">
            <w:pPr>
              <w:spacing w:line="276" w:lineRule="auto"/>
              <w:jc w:val="both"/>
              <w:rPr>
                <w:rFonts w:ascii="Arial" w:hAnsi="Arial" w:cs="Arial"/>
                <w:sz w:val="22"/>
                <w:szCs w:val="22"/>
              </w:rPr>
            </w:pPr>
          </w:p>
        </w:tc>
      </w:tr>
      <w:tr w:rsidR="002E4C3C" w:rsidRPr="000B78E1" w14:paraId="4A34F348" w14:textId="77777777" w:rsidTr="00652E19">
        <w:trPr>
          <w:trHeight w:val="2726"/>
        </w:trPr>
        <w:tc>
          <w:tcPr>
            <w:tcW w:w="1060" w:type="dxa"/>
          </w:tcPr>
          <w:p w14:paraId="56A24DC5"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Sasia et al. (2024)</w:t>
            </w:r>
          </w:p>
        </w:tc>
        <w:tc>
          <w:tcPr>
            <w:tcW w:w="1478" w:type="dxa"/>
          </w:tcPr>
          <w:p w14:paraId="2B8E5CAE"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SMEs face loan barriers. FinTech uses digital data and platforms to help.</w:t>
            </w:r>
          </w:p>
        </w:tc>
        <w:tc>
          <w:tcPr>
            <w:tcW w:w="1275" w:type="dxa"/>
          </w:tcPr>
          <w:p w14:paraId="0F863816"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PRISMA-based SLR.</w:t>
            </w:r>
          </w:p>
        </w:tc>
        <w:tc>
          <w:tcPr>
            <w:tcW w:w="1559" w:type="dxa"/>
          </w:tcPr>
          <w:p w14:paraId="2B22524D"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PRISMA-guided SLR using Scopus and Web of Science; 26 studies included.</w:t>
            </w:r>
          </w:p>
        </w:tc>
        <w:tc>
          <w:tcPr>
            <w:tcW w:w="1609" w:type="dxa"/>
          </w:tcPr>
          <w:p w14:paraId="5EBC1130"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 xml:space="preserve">FinTech can improve SME financing, but low literacy, weak infrastructure, and risks (cybersecurity, data privacy, regulation) persist. </w:t>
            </w:r>
          </w:p>
        </w:tc>
        <w:tc>
          <w:tcPr>
            <w:tcW w:w="1352" w:type="dxa"/>
          </w:tcPr>
          <w:p w14:paraId="6FEC47A2"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 xml:space="preserve">Well-structured review but based on a small number of studies. </w:t>
            </w:r>
          </w:p>
        </w:tc>
        <w:tc>
          <w:tcPr>
            <w:tcW w:w="1611" w:type="dxa"/>
          </w:tcPr>
          <w:p w14:paraId="568512F4" w14:textId="77777777" w:rsidR="004B5D08" w:rsidRPr="000B78E1" w:rsidRDefault="004B5D08" w:rsidP="00167F98">
            <w:pPr>
              <w:spacing w:line="276" w:lineRule="auto"/>
              <w:jc w:val="both"/>
              <w:rPr>
                <w:rFonts w:ascii="Arial" w:hAnsi="Arial" w:cs="Arial"/>
                <w:sz w:val="22"/>
                <w:szCs w:val="22"/>
              </w:rPr>
            </w:pPr>
            <w:r w:rsidRPr="000B78E1">
              <w:rPr>
                <w:rFonts w:ascii="Arial" w:hAnsi="Arial" w:cs="Arial"/>
                <w:sz w:val="22"/>
                <w:szCs w:val="22"/>
              </w:rPr>
              <w:t xml:space="preserve">FinTech can improve SME access to </w:t>
            </w:r>
            <w:proofErr w:type="gramStart"/>
            <w:r w:rsidRPr="000B78E1">
              <w:rPr>
                <w:rFonts w:ascii="Arial" w:hAnsi="Arial" w:cs="Arial"/>
                <w:sz w:val="22"/>
                <w:szCs w:val="22"/>
              </w:rPr>
              <w:t>finance</w:t>
            </w:r>
            <w:proofErr w:type="gramEnd"/>
            <w:r w:rsidRPr="000B78E1">
              <w:rPr>
                <w:rFonts w:ascii="Arial" w:hAnsi="Arial" w:cs="Arial"/>
                <w:sz w:val="22"/>
                <w:szCs w:val="22"/>
              </w:rPr>
              <w:t xml:space="preserve"> but success depends on regulation, infrastructure, trust and security.</w:t>
            </w:r>
          </w:p>
        </w:tc>
      </w:tr>
    </w:tbl>
    <w:p w14:paraId="4EFB1735" w14:textId="77777777" w:rsidR="00CC7C12" w:rsidRPr="005A542E" w:rsidRDefault="00CC7C12" w:rsidP="000B78E1">
      <w:pPr>
        <w:spacing w:line="360" w:lineRule="auto"/>
        <w:jc w:val="both"/>
        <w:rPr>
          <w:rFonts w:ascii="Arial" w:hAnsi="Arial" w:cs="Arial"/>
          <w:sz w:val="6"/>
          <w:szCs w:val="6"/>
        </w:rPr>
      </w:pPr>
    </w:p>
    <w:p w14:paraId="3EE0D06A" w14:textId="75929484" w:rsidR="0035537D" w:rsidRPr="005A542E" w:rsidRDefault="0035537D" w:rsidP="000B78E1">
      <w:pPr>
        <w:spacing w:line="360" w:lineRule="auto"/>
        <w:jc w:val="both"/>
        <w:rPr>
          <w:rFonts w:ascii="Arial" w:hAnsi="Arial" w:cs="Arial"/>
          <w:sz w:val="22"/>
          <w:szCs w:val="22"/>
        </w:rPr>
      </w:pPr>
      <w:r w:rsidRPr="007C3E26">
        <w:rPr>
          <w:rFonts w:ascii="Arial" w:hAnsi="Arial" w:cs="Arial"/>
          <w:b/>
          <w:bCs/>
          <w:sz w:val="22"/>
          <w:szCs w:val="22"/>
        </w:rPr>
        <w:t>Note:</w:t>
      </w:r>
      <w:r w:rsidRPr="005A542E">
        <w:rPr>
          <w:rFonts w:ascii="Arial" w:hAnsi="Arial" w:cs="Arial"/>
          <w:sz w:val="22"/>
          <w:szCs w:val="22"/>
        </w:rPr>
        <w:t xml:space="preserve"> This table presents selected high-relevance studies. A full list of reviewed studies is available in Appendix A.</w:t>
      </w:r>
    </w:p>
    <w:p w14:paraId="749F9A39" w14:textId="77777777" w:rsidR="005A542E" w:rsidRDefault="005A542E" w:rsidP="000B78E1">
      <w:pPr>
        <w:spacing w:after="0" w:line="360" w:lineRule="auto"/>
        <w:jc w:val="both"/>
        <w:rPr>
          <w:rFonts w:ascii="Arial" w:hAnsi="Arial" w:cs="Arial"/>
          <w:sz w:val="22"/>
          <w:szCs w:val="22"/>
        </w:rPr>
      </w:pPr>
    </w:p>
    <w:p w14:paraId="62F1E343" w14:textId="32610D78" w:rsidR="00A16014" w:rsidRPr="000B78E1" w:rsidRDefault="00A16014" w:rsidP="000B78E1">
      <w:pPr>
        <w:spacing w:after="0" w:line="360" w:lineRule="auto"/>
        <w:jc w:val="both"/>
        <w:rPr>
          <w:rFonts w:ascii="Arial" w:hAnsi="Arial" w:cs="Arial"/>
          <w:sz w:val="22"/>
          <w:szCs w:val="22"/>
        </w:rPr>
      </w:pPr>
      <w:r w:rsidRPr="000B78E1">
        <w:rPr>
          <w:rFonts w:ascii="Arial" w:hAnsi="Arial" w:cs="Arial"/>
          <w:sz w:val="22"/>
          <w:szCs w:val="22"/>
        </w:rPr>
        <w:t>The literatures collectively agrees that DFS improves SME financial access, transaction efficiency, and inclusion especially in developing economies. Many of the studies show that mobile money, digital payment, agent banking and fintech platforms make it easy for SMES to have more accessible, easier and faster financial services (</w:t>
      </w:r>
      <w:proofErr w:type="spellStart"/>
      <w:r w:rsidRPr="000B78E1">
        <w:rPr>
          <w:rFonts w:ascii="Arial" w:hAnsi="Arial" w:cs="Arial"/>
          <w:sz w:val="22"/>
          <w:szCs w:val="22"/>
        </w:rPr>
        <w:t>Tengeh</w:t>
      </w:r>
      <w:proofErr w:type="spellEnd"/>
      <w:r w:rsidRPr="000B78E1">
        <w:rPr>
          <w:rFonts w:ascii="Arial" w:hAnsi="Arial" w:cs="Arial"/>
          <w:sz w:val="22"/>
          <w:szCs w:val="22"/>
        </w:rPr>
        <w:t xml:space="preserve"> and </w:t>
      </w:r>
      <w:proofErr w:type="spellStart"/>
      <w:r w:rsidRPr="000B78E1">
        <w:rPr>
          <w:rFonts w:ascii="Arial" w:hAnsi="Arial" w:cs="Arial"/>
          <w:sz w:val="22"/>
          <w:szCs w:val="22"/>
        </w:rPr>
        <w:t>Gahapa</w:t>
      </w:r>
      <w:proofErr w:type="spellEnd"/>
      <w:r w:rsidRPr="000B78E1">
        <w:rPr>
          <w:rFonts w:ascii="Arial" w:hAnsi="Arial" w:cs="Arial"/>
          <w:sz w:val="22"/>
          <w:szCs w:val="22"/>
        </w:rPr>
        <w:t xml:space="preserve"> </w:t>
      </w:r>
      <w:proofErr w:type="spellStart"/>
      <w:r w:rsidRPr="000B78E1">
        <w:rPr>
          <w:rFonts w:ascii="Arial" w:hAnsi="Arial" w:cs="Arial"/>
          <w:sz w:val="22"/>
          <w:szCs w:val="22"/>
        </w:rPr>
        <w:t>Talom</w:t>
      </w:r>
      <w:proofErr w:type="spellEnd"/>
      <w:r w:rsidRPr="000B78E1">
        <w:rPr>
          <w:rFonts w:ascii="Arial" w:hAnsi="Arial" w:cs="Arial"/>
          <w:sz w:val="22"/>
          <w:szCs w:val="22"/>
        </w:rPr>
        <w:t xml:space="preserve">, 2020; Fadeyi et. al., 2025; Ahmed and Hasan, 2021). </w:t>
      </w:r>
      <w:proofErr w:type="gramStart"/>
      <w:r w:rsidRPr="000B78E1">
        <w:rPr>
          <w:rFonts w:ascii="Arial" w:hAnsi="Arial" w:cs="Arial"/>
          <w:sz w:val="22"/>
          <w:szCs w:val="22"/>
        </w:rPr>
        <w:t>Similarly</w:t>
      </w:r>
      <w:proofErr w:type="gramEnd"/>
      <w:r w:rsidRPr="000B78E1">
        <w:rPr>
          <w:rFonts w:ascii="Arial" w:hAnsi="Arial" w:cs="Arial"/>
          <w:sz w:val="22"/>
          <w:szCs w:val="22"/>
        </w:rPr>
        <w:t xml:space="preserve"> SMEs feel motivated to adopt DFS due to convenience, safety and cost-</w:t>
      </w:r>
      <w:proofErr w:type="gramStart"/>
      <w:r w:rsidRPr="000B78E1">
        <w:rPr>
          <w:rFonts w:ascii="Arial" w:hAnsi="Arial" w:cs="Arial"/>
          <w:sz w:val="22"/>
          <w:szCs w:val="22"/>
        </w:rPr>
        <w:t>effectiveness(</w:t>
      </w:r>
      <w:proofErr w:type="gramEnd"/>
      <w:r w:rsidRPr="000B78E1">
        <w:rPr>
          <w:rFonts w:ascii="Arial" w:hAnsi="Arial" w:cs="Arial"/>
          <w:sz w:val="22"/>
          <w:szCs w:val="22"/>
        </w:rPr>
        <w:t>Saha et al., 2025; Sadik and Rahman, 2024).</w:t>
      </w:r>
      <w:r w:rsidR="00EE5E7C">
        <w:rPr>
          <w:rFonts w:ascii="Arial" w:hAnsi="Arial" w:cs="Arial"/>
          <w:sz w:val="22"/>
          <w:szCs w:val="22"/>
        </w:rPr>
        <w:t xml:space="preserve"> </w:t>
      </w:r>
      <w:proofErr w:type="gramStart"/>
      <w:r w:rsidRPr="000B78E1">
        <w:rPr>
          <w:rFonts w:ascii="Arial" w:hAnsi="Arial" w:cs="Arial"/>
          <w:sz w:val="22"/>
          <w:szCs w:val="22"/>
        </w:rPr>
        <w:t>However</w:t>
      </w:r>
      <w:proofErr w:type="gramEnd"/>
      <w:r w:rsidRPr="000B78E1">
        <w:rPr>
          <w:rFonts w:ascii="Arial" w:hAnsi="Arial" w:cs="Arial"/>
          <w:sz w:val="22"/>
          <w:szCs w:val="22"/>
        </w:rPr>
        <w:t xml:space="preserve"> findings of most of the studies regarding credit access are different.  Some studies argue that fintech improves SME financing particularly in strong institutional contexts (Abbasi et al., 2021; Rehman et al., 2023). On the other </w:t>
      </w:r>
      <w:proofErr w:type="gramStart"/>
      <w:r w:rsidRPr="000B78E1">
        <w:rPr>
          <w:rFonts w:ascii="Arial" w:hAnsi="Arial" w:cs="Arial"/>
          <w:sz w:val="22"/>
          <w:szCs w:val="22"/>
        </w:rPr>
        <w:t>hand</w:t>
      </w:r>
      <w:proofErr w:type="gramEnd"/>
      <w:r w:rsidRPr="000B78E1">
        <w:rPr>
          <w:rFonts w:ascii="Arial" w:hAnsi="Arial" w:cs="Arial"/>
          <w:sz w:val="22"/>
          <w:szCs w:val="22"/>
        </w:rPr>
        <w:t xml:space="preserve"> studies like </w:t>
      </w:r>
      <w:proofErr w:type="spellStart"/>
      <w:r w:rsidRPr="000B78E1">
        <w:rPr>
          <w:rFonts w:ascii="Arial" w:hAnsi="Arial" w:cs="Arial"/>
          <w:sz w:val="22"/>
          <w:szCs w:val="22"/>
        </w:rPr>
        <w:t>Tengeh</w:t>
      </w:r>
      <w:proofErr w:type="spellEnd"/>
      <w:r w:rsidRPr="000B78E1">
        <w:rPr>
          <w:rFonts w:ascii="Arial" w:hAnsi="Arial" w:cs="Arial"/>
          <w:sz w:val="22"/>
          <w:szCs w:val="22"/>
        </w:rPr>
        <w:t xml:space="preserve"> and </w:t>
      </w:r>
      <w:proofErr w:type="spellStart"/>
      <w:r w:rsidRPr="000B78E1">
        <w:rPr>
          <w:rFonts w:ascii="Arial" w:hAnsi="Arial" w:cs="Arial"/>
          <w:sz w:val="22"/>
          <w:szCs w:val="22"/>
        </w:rPr>
        <w:t>Gahapa</w:t>
      </w:r>
      <w:proofErr w:type="spellEnd"/>
      <w:r w:rsidRPr="000B78E1">
        <w:rPr>
          <w:rFonts w:ascii="Arial" w:hAnsi="Arial" w:cs="Arial"/>
          <w:sz w:val="22"/>
          <w:szCs w:val="22"/>
        </w:rPr>
        <w:t xml:space="preserve"> </w:t>
      </w:r>
      <w:proofErr w:type="spellStart"/>
      <w:r w:rsidRPr="000B78E1">
        <w:rPr>
          <w:rFonts w:ascii="Arial" w:hAnsi="Arial" w:cs="Arial"/>
          <w:sz w:val="22"/>
          <w:szCs w:val="22"/>
        </w:rPr>
        <w:t>Talom</w:t>
      </w:r>
      <w:proofErr w:type="spellEnd"/>
      <w:r w:rsidRPr="000B78E1">
        <w:rPr>
          <w:rFonts w:ascii="Arial" w:hAnsi="Arial" w:cs="Arial"/>
          <w:sz w:val="22"/>
          <w:szCs w:val="22"/>
        </w:rPr>
        <w:t xml:space="preserve"> (2020) and Isha et al. (2025) find that DFS mainly supports payments and </w:t>
      </w:r>
      <w:proofErr w:type="gramStart"/>
      <w:r w:rsidRPr="000B78E1">
        <w:rPr>
          <w:rFonts w:ascii="Arial" w:hAnsi="Arial" w:cs="Arial"/>
          <w:sz w:val="22"/>
          <w:szCs w:val="22"/>
        </w:rPr>
        <w:t>short term</w:t>
      </w:r>
      <w:proofErr w:type="gramEnd"/>
      <w:r w:rsidRPr="000B78E1">
        <w:rPr>
          <w:rFonts w:ascii="Arial" w:hAnsi="Arial" w:cs="Arial"/>
          <w:sz w:val="22"/>
          <w:szCs w:val="22"/>
        </w:rPr>
        <w:t xml:space="preserve"> liquidity rather than formal lending. Bangladesh context studies </w:t>
      </w:r>
      <w:proofErr w:type="gramStart"/>
      <w:r w:rsidRPr="000B78E1">
        <w:rPr>
          <w:rFonts w:ascii="Arial" w:hAnsi="Arial" w:cs="Arial"/>
          <w:sz w:val="22"/>
          <w:szCs w:val="22"/>
        </w:rPr>
        <w:t>supports</w:t>
      </w:r>
      <w:proofErr w:type="gramEnd"/>
      <w:r w:rsidRPr="000B78E1">
        <w:rPr>
          <w:rFonts w:ascii="Arial" w:hAnsi="Arial" w:cs="Arial"/>
          <w:sz w:val="22"/>
          <w:szCs w:val="22"/>
        </w:rPr>
        <w:t xml:space="preserve"> the gap by showing DFS adoption is high (Saha et al., 2025) when credit constraint is also dominant for SMEs (Sarker and Rahman, 2025).</w:t>
      </w:r>
    </w:p>
    <w:p w14:paraId="74A8642B" w14:textId="77777777" w:rsidR="00A16014" w:rsidRPr="000B78E1" w:rsidRDefault="00A16014" w:rsidP="000B78E1">
      <w:pPr>
        <w:spacing w:after="0" w:line="360" w:lineRule="auto"/>
        <w:jc w:val="both"/>
        <w:rPr>
          <w:rFonts w:ascii="Arial" w:hAnsi="Arial" w:cs="Arial"/>
          <w:sz w:val="22"/>
          <w:szCs w:val="22"/>
        </w:rPr>
      </w:pPr>
    </w:p>
    <w:p w14:paraId="57C8AF60" w14:textId="5EAFD5F4" w:rsidR="00A16014" w:rsidRDefault="00A16014" w:rsidP="000B78E1">
      <w:pPr>
        <w:spacing w:after="0" w:line="360" w:lineRule="auto"/>
        <w:jc w:val="both"/>
        <w:rPr>
          <w:rFonts w:ascii="Arial" w:hAnsi="Arial" w:cs="Arial"/>
          <w:sz w:val="22"/>
          <w:szCs w:val="22"/>
        </w:rPr>
      </w:pPr>
      <w:r w:rsidRPr="000B78E1">
        <w:rPr>
          <w:rFonts w:ascii="Arial" w:hAnsi="Arial" w:cs="Arial"/>
          <w:sz w:val="22"/>
          <w:szCs w:val="22"/>
        </w:rPr>
        <w:lastRenderedPageBreak/>
        <w:t xml:space="preserve">A key gap is the lack of explanation of how DFS translates into formal credit. Most of the studies focus on adoption rather than loan outcomes and pay limited attention to the role of banks, regulation and trust (Sanga and </w:t>
      </w:r>
      <w:proofErr w:type="spellStart"/>
      <w:r w:rsidRPr="000B78E1">
        <w:rPr>
          <w:rFonts w:ascii="Arial" w:hAnsi="Arial" w:cs="Arial"/>
          <w:sz w:val="22"/>
          <w:szCs w:val="22"/>
        </w:rPr>
        <w:t>Aziakpono</w:t>
      </w:r>
      <w:proofErr w:type="spellEnd"/>
      <w:r w:rsidRPr="000B78E1">
        <w:rPr>
          <w:rFonts w:ascii="Arial" w:hAnsi="Arial" w:cs="Arial"/>
          <w:sz w:val="22"/>
          <w:szCs w:val="22"/>
        </w:rPr>
        <w:t>, 2023).</w:t>
      </w:r>
    </w:p>
    <w:p w14:paraId="2218A0A5" w14:textId="77777777" w:rsidR="00665421" w:rsidRPr="000B78E1" w:rsidRDefault="00665421" w:rsidP="000B78E1">
      <w:pPr>
        <w:spacing w:after="0" w:line="360" w:lineRule="auto"/>
        <w:jc w:val="both"/>
        <w:rPr>
          <w:rFonts w:ascii="Arial" w:hAnsi="Arial" w:cs="Arial"/>
          <w:sz w:val="22"/>
          <w:szCs w:val="22"/>
        </w:rPr>
      </w:pPr>
    </w:p>
    <w:p w14:paraId="5BB0F2D8" w14:textId="75608775" w:rsidR="00044579" w:rsidRPr="00EE5E7C" w:rsidRDefault="009A2BD8" w:rsidP="000B78E1">
      <w:pPr>
        <w:spacing w:line="360" w:lineRule="auto"/>
        <w:jc w:val="both"/>
        <w:rPr>
          <w:rFonts w:ascii="Arial" w:hAnsi="Arial" w:cs="Arial"/>
          <w:b/>
          <w:bCs/>
          <w:sz w:val="22"/>
          <w:szCs w:val="22"/>
        </w:rPr>
      </w:pPr>
      <w:r w:rsidRPr="00EE5E7C">
        <w:rPr>
          <w:rFonts w:ascii="Arial" w:hAnsi="Arial" w:cs="Arial"/>
          <w:b/>
          <w:bCs/>
          <w:sz w:val="22"/>
          <w:szCs w:val="22"/>
        </w:rPr>
        <w:t>5.</w:t>
      </w:r>
      <w:r w:rsidR="00044579" w:rsidRPr="00EE5E7C">
        <w:rPr>
          <w:rFonts w:ascii="Arial" w:hAnsi="Arial" w:cs="Arial"/>
          <w:b/>
          <w:bCs/>
          <w:sz w:val="22"/>
          <w:szCs w:val="22"/>
        </w:rPr>
        <w:t>2</w:t>
      </w:r>
      <w:r w:rsidRPr="00EE5E7C">
        <w:rPr>
          <w:rFonts w:ascii="Arial" w:hAnsi="Arial" w:cs="Arial"/>
          <w:b/>
          <w:bCs/>
          <w:sz w:val="22"/>
          <w:szCs w:val="22"/>
        </w:rPr>
        <w:t>.</w:t>
      </w:r>
      <w:r w:rsidR="00044579" w:rsidRPr="00EE5E7C">
        <w:rPr>
          <w:rFonts w:ascii="Arial" w:hAnsi="Arial" w:cs="Arial"/>
          <w:b/>
          <w:bCs/>
          <w:sz w:val="22"/>
          <w:szCs w:val="22"/>
        </w:rPr>
        <w:t xml:space="preserve"> Conversion of use of DFS into Credit</w:t>
      </w:r>
      <w:r w:rsidR="00444E6F" w:rsidRPr="00EE5E7C">
        <w:rPr>
          <w:rFonts w:ascii="Arial" w:hAnsi="Arial" w:cs="Arial"/>
          <w:b/>
          <w:bCs/>
          <w:sz w:val="22"/>
          <w:szCs w:val="22"/>
        </w:rPr>
        <w:t>:</w:t>
      </w:r>
    </w:p>
    <w:p w14:paraId="1FD3CA6A" w14:textId="0E1F9A85" w:rsidR="00444E6F" w:rsidRPr="00EE5E7C" w:rsidRDefault="00444E6F" w:rsidP="000B78E1">
      <w:pPr>
        <w:spacing w:line="360" w:lineRule="auto"/>
        <w:jc w:val="both"/>
        <w:rPr>
          <w:rFonts w:ascii="Arial" w:hAnsi="Arial" w:cs="Arial"/>
          <w:b/>
          <w:bCs/>
          <w:sz w:val="22"/>
          <w:szCs w:val="22"/>
        </w:rPr>
      </w:pPr>
      <w:r w:rsidRPr="00EE5E7C">
        <w:rPr>
          <w:rFonts w:ascii="Arial" w:hAnsi="Arial" w:cs="Arial"/>
          <w:b/>
          <w:bCs/>
          <w:sz w:val="22"/>
          <w:szCs w:val="22"/>
        </w:rPr>
        <w:t xml:space="preserve">Table-3: </w:t>
      </w:r>
      <w:r w:rsidRPr="00665421">
        <w:rPr>
          <w:rFonts w:ascii="Arial" w:hAnsi="Arial" w:cs="Arial"/>
          <w:sz w:val="22"/>
          <w:szCs w:val="22"/>
        </w:rPr>
        <w:t>Summary of Key Studies (Selected Sample)</w:t>
      </w:r>
    </w:p>
    <w:p w14:paraId="200FF918" w14:textId="77777777" w:rsidR="00444E6F" w:rsidRPr="000B78E1" w:rsidRDefault="00444E6F" w:rsidP="000B78E1">
      <w:pPr>
        <w:spacing w:line="360" w:lineRule="auto"/>
        <w:jc w:val="both"/>
        <w:rPr>
          <w:rFonts w:ascii="Arial" w:hAnsi="Arial" w:cs="Arial"/>
          <w:b/>
          <w:bCs/>
          <w:sz w:val="22"/>
          <w:szCs w:val="22"/>
        </w:rPr>
      </w:pPr>
    </w:p>
    <w:tbl>
      <w:tblPr>
        <w:tblStyle w:val="TableGrid"/>
        <w:tblpPr w:leftFromText="180" w:rightFromText="180" w:vertAnchor="text" w:horzAnchor="page" w:tblpX="834" w:tblpY="-563"/>
        <w:tblW w:w="10343" w:type="dxa"/>
        <w:tblLayout w:type="fixed"/>
        <w:tblLook w:val="04A0" w:firstRow="1" w:lastRow="0" w:firstColumn="1" w:lastColumn="0" w:noHBand="0" w:noVBand="1"/>
      </w:tblPr>
      <w:tblGrid>
        <w:gridCol w:w="988"/>
        <w:gridCol w:w="1559"/>
        <w:gridCol w:w="1559"/>
        <w:gridCol w:w="1559"/>
        <w:gridCol w:w="1701"/>
        <w:gridCol w:w="1560"/>
        <w:gridCol w:w="1417"/>
      </w:tblGrid>
      <w:tr w:rsidR="00444E6F" w:rsidRPr="000B78E1" w14:paraId="2142F814" w14:textId="77777777" w:rsidTr="00500EEB">
        <w:trPr>
          <w:tblHeader/>
        </w:trPr>
        <w:tc>
          <w:tcPr>
            <w:tcW w:w="988" w:type="dxa"/>
            <w:shd w:val="clear" w:color="auto" w:fill="E8E8E8" w:themeFill="background2"/>
          </w:tcPr>
          <w:p w14:paraId="7E03A0FD" w14:textId="77777777" w:rsidR="00444E6F" w:rsidRPr="000B78E1" w:rsidRDefault="00444E6F" w:rsidP="004063A9">
            <w:pPr>
              <w:spacing w:line="276" w:lineRule="auto"/>
              <w:jc w:val="center"/>
              <w:rPr>
                <w:rFonts w:ascii="Arial" w:hAnsi="Arial" w:cs="Arial"/>
                <w:sz w:val="22"/>
                <w:szCs w:val="22"/>
              </w:rPr>
            </w:pPr>
            <w:r w:rsidRPr="000B78E1">
              <w:rPr>
                <w:rFonts w:ascii="Arial" w:hAnsi="Arial" w:cs="Arial"/>
                <w:sz w:val="22"/>
                <w:szCs w:val="22"/>
              </w:rPr>
              <w:lastRenderedPageBreak/>
              <w:t>Citation</w:t>
            </w:r>
          </w:p>
        </w:tc>
        <w:tc>
          <w:tcPr>
            <w:tcW w:w="1559" w:type="dxa"/>
            <w:shd w:val="clear" w:color="auto" w:fill="E8E8E8" w:themeFill="background2"/>
          </w:tcPr>
          <w:p w14:paraId="6C43F308" w14:textId="77777777" w:rsidR="00444E6F" w:rsidRPr="000B78E1" w:rsidRDefault="00444E6F" w:rsidP="004063A9">
            <w:pPr>
              <w:spacing w:line="276" w:lineRule="auto"/>
              <w:jc w:val="center"/>
              <w:rPr>
                <w:rFonts w:ascii="Arial" w:hAnsi="Arial" w:cs="Arial"/>
                <w:sz w:val="22"/>
                <w:szCs w:val="22"/>
              </w:rPr>
            </w:pPr>
            <w:r w:rsidRPr="000B78E1">
              <w:rPr>
                <w:rFonts w:ascii="Arial" w:hAnsi="Arial" w:cs="Arial"/>
                <w:sz w:val="22"/>
                <w:szCs w:val="22"/>
              </w:rPr>
              <w:t>Key Arguments</w:t>
            </w:r>
          </w:p>
        </w:tc>
        <w:tc>
          <w:tcPr>
            <w:tcW w:w="1559" w:type="dxa"/>
            <w:shd w:val="clear" w:color="auto" w:fill="E8E8E8" w:themeFill="background2"/>
          </w:tcPr>
          <w:p w14:paraId="05CF741E" w14:textId="77777777" w:rsidR="00444E6F" w:rsidRPr="000B78E1" w:rsidRDefault="00444E6F" w:rsidP="004063A9">
            <w:pPr>
              <w:spacing w:line="276" w:lineRule="auto"/>
              <w:jc w:val="center"/>
              <w:rPr>
                <w:rFonts w:ascii="Arial" w:hAnsi="Arial" w:cs="Arial"/>
                <w:sz w:val="22"/>
                <w:szCs w:val="22"/>
              </w:rPr>
            </w:pPr>
            <w:r w:rsidRPr="000B78E1">
              <w:rPr>
                <w:rFonts w:ascii="Arial" w:hAnsi="Arial" w:cs="Arial"/>
                <w:sz w:val="22"/>
                <w:szCs w:val="22"/>
              </w:rPr>
              <w:t>Theoretical Lens</w:t>
            </w:r>
          </w:p>
        </w:tc>
        <w:tc>
          <w:tcPr>
            <w:tcW w:w="1559" w:type="dxa"/>
            <w:shd w:val="clear" w:color="auto" w:fill="E8E8E8" w:themeFill="background2"/>
          </w:tcPr>
          <w:p w14:paraId="02A66045" w14:textId="77777777" w:rsidR="00444E6F" w:rsidRPr="000B78E1" w:rsidRDefault="00444E6F" w:rsidP="004063A9">
            <w:pPr>
              <w:spacing w:line="276" w:lineRule="auto"/>
              <w:jc w:val="center"/>
              <w:rPr>
                <w:rFonts w:ascii="Arial" w:hAnsi="Arial" w:cs="Arial"/>
                <w:sz w:val="22"/>
                <w:szCs w:val="22"/>
              </w:rPr>
            </w:pPr>
            <w:r w:rsidRPr="000B78E1">
              <w:rPr>
                <w:rFonts w:ascii="Arial" w:hAnsi="Arial" w:cs="Arial"/>
                <w:sz w:val="22"/>
                <w:szCs w:val="22"/>
              </w:rPr>
              <w:t>Methodology</w:t>
            </w:r>
          </w:p>
        </w:tc>
        <w:tc>
          <w:tcPr>
            <w:tcW w:w="1701" w:type="dxa"/>
            <w:shd w:val="clear" w:color="auto" w:fill="E8E8E8" w:themeFill="background2"/>
          </w:tcPr>
          <w:p w14:paraId="43C7E17A" w14:textId="77777777" w:rsidR="00444E6F" w:rsidRPr="000B78E1" w:rsidRDefault="00444E6F" w:rsidP="004063A9">
            <w:pPr>
              <w:spacing w:line="276" w:lineRule="auto"/>
              <w:jc w:val="center"/>
              <w:rPr>
                <w:rFonts w:ascii="Arial" w:hAnsi="Arial" w:cs="Arial"/>
                <w:sz w:val="22"/>
                <w:szCs w:val="22"/>
              </w:rPr>
            </w:pPr>
            <w:r w:rsidRPr="000B78E1">
              <w:rPr>
                <w:rFonts w:ascii="Arial" w:hAnsi="Arial" w:cs="Arial"/>
                <w:sz w:val="22"/>
                <w:szCs w:val="22"/>
              </w:rPr>
              <w:t>Key findings</w:t>
            </w:r>
          </w:p>
        </w:tc>
        <w:tc>
          <w:tcPr>
            <w:tcW w:w="1560" w:type="dxa"/>
            <w:shd w:val="clear" w:color="auto" w:fill="E8E8E8" w:themeFill="background2"/>
          </w:tcPr>
          <w:p w14:paraId="6621D7D1" w14:textId="77777777" w:rsidR="00444E6F" w:rsidRPr="000B78E1" w:rsidRDefault="00444E6F" w:rsidP="004063A9">
            <w:pPr>
              <w:spacing w:line="276" w:lineRule="auto"/>
              <w:jc w:val="center"/>
              <w:rPr>
                <w:rFonts w:ascii="Arial" w:hAnsi="Arial" w:cs="Arial"/>
                <w:sz w:val="22"/>
                <w:szCs w:val="22"/>
              </w:rPr>
            </w:pPr>
            <w:r w:rsidRPr="000B78E1">
              <w:rPr>
                <w:rFonts w:ascii="Arial" w:hAnsi="Arial" w:cs="Arial"/>
                <w:sz w:val="22"/>
                <w:szCs w:val="22"/>
              </w:rPr>
              <w:t>Critical Evaluation</w:t>
            </w:r>
          </w:p>
        </w:tc>
        <w:tc>
          <w:tcPr>
            <w:tcW w:w="1417" w:type="dxa"/>
            <w:shd w:val="clear" w:color="auto" w:fill="E8E8E8" w:themeFill="background2"/>
          </w:tcPr>
          <w:p w14:paraId="3B615D3E" w14:textId="77777777" w:rsidR="00444E6F" w:rsidRPr="000B78E1" w:rsidRDefault="00444E6F" w:rsidP="004063A9">
            <w:pPr>
              <w:spacing w:line="276" w:lineRule="auto"/>
              <w:jc w:val="center"/>
              <w:rPr>
                <w:rFonts w:ascii="Arial" w:hAnsi="Arial" w:cs="Arial"/>
                <w:sz w:val="22"/>
                <w:szCs w:val="22"/>
              </w:rPr>
            </w:pPr>
            <w:r w:rsidRPr="000B78E1">
              <w:rPr>
                <w:rFonts w:ascii="Arial" w:hAnsi="Arial" w:cs="Arial"/>
                <w:sz w:val="22"/>
                <w:szCs w:val="22"/>
              </w:rPr>
              <w:t>Study Relevance</w:t>
            </w:r>
          </w:p>
        </w:tc>
      </w:tr>
      <w:tr w:rsidR="00444E6F" w:rsidRPr="000B78E1" w14:paraId="23E84AE5" w14:textId="77777777" w:rsidTr="00500EEB">
        <w:trPr>
          <w:trHeight w:val="2026"/>
        </w:trPr>
        <w:tc>
          <w:tcPr>
            <w:tcW w:w="988" w:type="dxa"/>
          </w:tcPr>
          <w:p w14:paraId="2133E7F7" w14:textId="77777777" w:rsidR="00444E6F" w:rsidRPr="000B78E1" w:rsidRDefault="00444E6F" w:rsidP="004063A9">
            <w:pPr>
              <w:spacing w:line="276" w:lineRule="auto"/>
              <w:jc w:val="both"/>
              <w:rPr>
                <w:rFonts w:ascii="Arial" w:hAnsi="Arial" w:cs="Arial"/>
                <w:b/>
                <w:bCs/>
                <w:sz w:val="22"/>
                <w:szCs w:val="22"/>
              </w:rPr>
            </w:pPr>
            <w:proofErr w:type="spellStart"/>
            <w:r w:rsidRPr="000B78E1">
              <w:rPr>
                <w:rFonts w:ascii="Arial" w:hAnsi="Arial" w:cs="Arial"/>
                <w:sz w:val="22"/>
                <w:szCs w:val="22"/>
              </w:rPr>
              <w:t>Omokhoa</w:t>
            </w:r>
            <w:proofErr w:type="spellEnd"/>
            <w:r w:rsidRPr="000B78E1">
              <w:rPr>
                <w:rFonts w:ascii="Arial" w:hAnsi="Arial" w:cs="Arial"/>
                <w:sz w:val="22"/>
                <w:szCs w:val="22"/>
              </w:rPr>
              <w:t xml:space="preserve"> et al. (2024)</w:t>
            </w:r>
          </w:p>
        </w:tc>
        <w:tc>
          <w:tcPr>
            <w:tcW w:w="1559" w:type="dxa"/>
          </w:tcPr>
          <w:p w14:paraId="5F56BA42" w14:textId="77777777" w:rsidR="00444E6F" w:rsidRPr="000B78E1" w:rsidRDefault="00444E6F" w:rsidP="004063A9">
            <w:pPr>
              <w:spacing w:line="276" w:lineRule="auto"/>
              <w:rPr>
                <w:rFonts w:ascii="Arial" w:hAnsi="Arial" w:cs="Arial"/>
                <w:sz w:val="22"/>
                <w:szCs w:val="22"/>
              </w:rPr>
            </w:pPr>
            <w:r w:rsidRPr="000B78E1">
              <w:rPr>
                <w:rFonts w:ascii="Arial" w:hAnsi="Arial" w:cs="Arial"/>
                <w:sz w:val="22"/>
                <w:szCs w:val="22"/>
              </w:rPr>
              <w:t xml:space="preserve">Improves SME finance access but depends on infrastructure, skills, trust, and regulation. </w:t>
            </w:r>
          </w:p>
        </w:tc>
        <w:tc>
          <w:tcPr>
            <w:tcW w:w="1559" w:type="dxa"/>
          </w:tcPr>
          <w:p w14:paraId="1D34536A" w14:textId="77777777" w:rsidR="00444E6F" w:rsidRPr="000B78E1" w:rsidRDefault="00444E6F" w:rsidP="004063A9">
            <w:pPr>
              <w:spacing w:line="276" w:lineRule="auto"/>
              <w:rPr>
                <w:rFonts w:ascii="Arial" w:hAnsi="Arial" w:cs="Arial"/>
                <w:sz w:val="22"/>
                <w:szCs w:val="22"/>
              </w:rPr>
            </w:pPr>
            <w:r w:rsidRPr="000B78E1">
              <w:rPr>
                <w:rFonts w:ascii="Arial" w:hAnsi="Arial" w:cs="Arial"/>
                <w:sz w:val="22"/>
                <w:szCs w:val="22"/>
              </w:rPr>
              <w:t>Grounded in financial inclusion, AI decision-making, and alternative credit assessment.</w:t>
            </w:r>
          </w:p>
        </w:tc>
        <w:tc>
          <w:tcPr>
            <w:tcW w:w="1559" w:type="dxa"/>
          </w:tcPr>
          <w:p w14:paraId="7B70D063"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Conceptual and narrative literature review with policy and industry illustrations.</w:t>
            </w:r>
          </w:p>
        </w:tc>
        <w:tc>
          <w:tcPr>
            <w:tcW w:w="1701" w:type="dxa"/>
          </w:tcPr>
          <w:p w14:paraId="31F75FB9"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FinTech and AI cut costs and boost access &amp; efficiency, but don’t clearly expand formal SME credit.</w:t>
            </w:r>
          </w:p>
        </w:tc>
        <w:tc>
          <w:tcPr>
            <w:tcW w:w="1560" w:type="dxa"/>
          </w:tcPr>
          <w:p w14:paraId="7A201C7D" w14:textId="77777777" w:rsidR="00444E6F" w:rsidRPr="000B78E1" w:rsidRDefault="00444E6F" w:rsidP="004063A9">
            <w:pPr>
              <w:spacing w:line="276" w:lineRule="auto"/>
              <w:rPr>
                <w:rFonts w:ascii="Arial" w:hAnsi="Arial" w:cs="Arial"/>
                <w:sz w:val="22"/>
                <w:szCs w:val="22"/>
              </w:rPr>
            </w:pPr>
            <w:r w:rsidRPr="000B78E1">
              <w:rPr>
                <w:rFonts w:ascii="Arial" w:hAnsi="Arial" w:cs="Arial"/>
                <w:sz w:val="22"/>
                <w:szCs w:val="22"/>
              </w:rPr>
              <w:t>There is no empirical testing. Does not prove impact on credit quality or long-term SME growth.</w:t>
            </w:r>
          </w:p>
        </w:tc>
        <w:tc>
          <w:tcPr>
            <w:tcW w:w="1417" w:type="dxa"/>
          </w:tcPr>
          <w:p w14:paraId="3CF1D0E9"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DFS and AI generate data, but institutions determine whether credit is granted.</w:t>
            </w:r>
          </w:p>
        </w:tc>
      </w:tr>
      <w:tr w:rsidR="00444E6F" w:rsidRPr="000B78E1" w14:paraId="3F1C8028" w14:textId="77777777" w:rsidTr="00500EEB">
        <w:tc>
          <w:tcPr>
            <w:tcW w:w="988" w:type="dxa"/>
            <w:vAlign w:val="center"/>
          </w:tcPr>
          <w:p w14:paraId="218DFB46" w14:textId="77777777" w:rsidR="00444E6F" w:rsidRPr="000B78E1" w:rsidRDefault="00444E6F" w:rsidP="004063A9">
            <w:pPr>
              <w:spacing w:line="276" w:lineRule="auto"/>
              <w:rPr>
                <w:rFonts w:ascii="Arial" w:hAnsi="Arial" w:cs="Arial"/>
                <w:sz w:val="22"/>
                <w:szCs w:val="22"/>
              </w:rPr>
            </w:pPr>
            <w:r w:rsidRPr="000B78E1">
              <w:rPr>
                <w:rFonts w:ascii="Arial" w:hAnsi="Arial" w:cs="Arial"/>
                <w:sz w:val="22"/>
                <w:szCs w:val="22"/>
              </w:rPr>
              <w:t>Yang et al. (2024)</w:t>
            </w:r>
          </w:p>
        </w:tc>
        <w:tc>
          <w:tcPr>
            <w:tcW w:w="1559" w:type="dxa"/>
            <w:vAlign w:val="center"/>
          </w:tcPr>
          <w:p w14:paraId="5EED7C3A" w14:textId="77777777" w:rsidR="00444E6F" w:rsidRPr="000B78E1" w:rsidRDefault="00444E6F" w:rsidP="004063A9">
            <w:pPr>
              <w:spacing w:line="276" w:lineRule="auto"/>
              <w:rPr>
                <w:rFonts w:ascii="Arial" w:hAnsi="Arial" w:cs="Arial"/>
                <w:sz w:val="22"/>
                <w:szCs w:val="22"/>
              </w:rPr>
            </w:pPr>
            <w:r w:rsidRPr="000B78E1">
              <w:rPr>
                <w:rFonts w:ascii="Arial" w:hAnsi="Arial" w:cs="Arial"/>
                <w:sz w:val="22"/>
                <w:szCs w:val="22"/>
              </w:rPr>
              <w:t>FinTech reduces SME financing constraints in China</w:t>
            </w:r>
          </w:p>
        </w:tc>
        <w:tc>
          <w:tcPr>
            <w:tcW w:w="1559" w:type="dxa"/>
            <w:vAlign w:val="center"/>
          </w:tcPr>
          <w:p w14:paraId="57C3A811"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Financing constraints theory, financial development and technological innovation theory.</w:t>
            </w:r>
          </w:p>
        </w:tc>
        <w:tc>
          <w:tcPr>
            <w:tcW w:w="1559" w:type="dxa"/>
            <w:vAlign w:val="center"/>
          </w:tcPr>
          <w:p w14:paraId="08137CB4"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Panel-data analysis using two-way fixed effects and cash-flow sensitivity models.</w:t>
            </w:r>
          </w:p>
        </w:tc>
        <w:tc>
          <w:tcPr>
            <w:tcW w:w="1701" w:type="dxa"/>
            <w:vAlign w:val="center"/>
          </w:tcPr>
          <w:p w14:paraId="6EA3C7C6"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FinTech lowers SME financing constraints, improves performance but increases risk.</w:t>
            </w:r>
          </w:p>
        </w:tc>
        <w:tc>
          <w:tcPr>
            <w:tcW w:w="1560" w:type="dxa"/>
            <w:vAlign w:val="center"/>
          </w:tcPr>
          <w:p w14:paraId="1C33F496"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Strong causal design but indirect proxy (cash flow sensitivity), no use loan-level data</w:t>
            </w:r>
          </w:p>
        </w:tc>
        <w:tc>
          <w:tcPr>
            <w:tcW w:w="1417" w:type="dxa"/>
            <w:vAlign w:val="center"/>
          </w:tcPr>
          <w:p w14:paraId="103AE980"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Shows DFS can improve SME financing but not proven credit access.</w:t>
            </w:r>
          </w:p>
        </w:tc>
      </w:tr>
      <w:tr w:rsidR="00444E6F" w:rsidRPr="000B78E1" w14:paraId="624CFD7B" w14:textId="77777777" w:rsidTr="00500EEB">
        <w:tc>
          <w:tcPr>
            <w:tcW w:w="988" w:type="dxa"/>
            <w:vAlign w:val="center"/>
          </w:tcPr>
          <w:p w14:paraId="436D6243"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Agyekum et al. (2022)</w:t>
            </w:r>
          </w:p>
        </w:tc>
        <w:tc>
          <w:tcPr>
            <w:tcW w:w="1559" w:type="dxa"/>
            <w:vAlign w:val="center"/>
          </w:tcPr>
          <w:p w14:paraId="565F751D"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ICT reduces information gaps and improves SME access to loans, overdrafts, and bank accounts in Southeast Asia.</w:t>
            </w:r>
          </w:p>
        </w:tc>
        <w:tc>
          <w:tcPr>
            <w:tcW w:w="1559" w:type="dxa"/>
            <w:vAlign w:val="center"/>
          </w:tcPr>
          <w:p w14:paraId="271CAC08"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Information asymmetry, financial intermediation; financial inclusion</w:t>
            </w:r>
          </w:p>
        </w:tc>
        <w:tc>
          <w:tcPr>
            <w:tcW w:w="1559" w:type="dxa"/>
            <w:vAlign w:val="center"/>
          </w:tcPr>
          <w:p w14:paraId="12008839"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 xml:space="preserve">Firm-level panel logit with random effects </w:t>
            </w:r>
            <w:proofErr w:type="gramStart"/>
            <w:r w:rsidRPr="000B78E1">
              <w:rPr>
                <w:rFonts w:ascii="Arial" w:hAnsi="Arial" w:cs="Arial"/>
                <w:sz w:val="22"/>
                <w:szCs w:val="22"/>
              </w:rPr>
              <w:t>and  instrumental</w:t>
            </w:r>
            <w:proofErr w:type="gramEnd"/>
            <w:r w:rsidRPr="000B78E1">
              <w:rPr>
                <w:rFonts w:ascii="Arial" w:hAnsi="Arial" w:cs="Arial"/>
                <w:sz w:val="22"/>
                <w:szCs w:val="22"/>
              </w:rPr>
              <w:t>-variable robustness checks.</w:t>
            </w:r>
          </w:p>
        </w:tc>
        <w:tc>
          <w:tcPr>
            <w:tcW w:w="1701" w:type="dxa"/>
            <w:vAlign w:val="center"/>
          </w:tcPr>
          <w:p w14:paraId="3976B9F7"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Website and email use significantly increase SMEs’ financial inclusion and access to credit.</w:t>
            </w:r>
          </w:p>
          <w:p w14:paraId="1AC9089B" w14:textId="77777777" w:rsidR="00444E6F" w:rsidRPr="000B78E1" w:rsidRDefault="00444E6F" w:rsidP="004063A9">
            <w:pPr>
              <w:spacing w:line="276" w:lineRule="auto"/>
              <w:jc w:val="both"/>
              <w:rPr>
                <w:rFonts w:ascii="Arial" w:hAnsi="Arial" w:cs="Arial"/>
                <w:sz w:val="22"/>
                <w:szCs w:val="22"/>
              </w:rPr>
            </w:pPr>
          </w:p>
        </w:tc>
        <w:tc>
          <w:tcPr>
            <w:tcW w:w="1560" w:type="dxa"/>
            <w:vAlign w:val="center"/>
          </w:tcPr>
          <w:p w14:paraId="2D5BEDEA"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Focuses only on access &amp; does not show impact on long-term SME growth or financial outcomes.</w:t>
            </w:r>
          </w:p>
        </w:tc>
        <w:tc>
          <w:tcPr>
            <w:tcW w:w="1417" w:type="dxa"/>
            <w:vAlign w:val="center"/>
          </w:tcPr>
          <w:p w14:paraId="3AC2E80D"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 xml:space="preserve">Technological inclusion increases formal financial access by reducing information asymmetry. </w:t>
            </w:r>
          </w:p>
        </w:tc>
      </w:tr>
      <w:tr w:rsidR="00444E6F" w:rsidRPr="000B78E1" w14:paraId="1029B942" w14:textId="77777777" w:rsidTr="00500EEB">
        <w:tc>
          <w:tcPr>
            <w:tcW w:w="988" w:type="dxa"/>
            <w:vAlign w:val="center"/>
          </w:tcPr>
          <w:p w14:paraId="3EA551D1" w14:textId="77777777" w:rsidR="00444E6F" w:rsidRPr="000B78E1" w:rsidRDefault="00444E6F" w:rsidP="004063A9">
            <w:pPr>
              <w:spacing w:line="276" w:lineRule="auto"/>
              <w:jc w:val="both"/>
              <w:rPr>
                <w:rFonts w:ascii="Arial" w:hAnsi="Arial" w:cs="Arial"/>
                <w:sz w:val="22"/>
                <w:szCs w:val="22"/>
              </w:rPr>
            </w:pPr>
            <w:proofErr w:type="spellStart"/>
            <w:r w:rsidRPr="000B78E1">
              <w:rPr>
                <w:rFonts w:ascii="Arial" w:hAnsi="Arial" w:cs="Arial"/>
                <w:sz w:val="22"/>
                <w:szCs w:val="22"/>
              </w:rPr>
              <w:t>Abiduzzaman</w:t>
            </w:r>
            <w:proofErr w:type="spellEnd"/>
            <w:r w:rsidRPr="000B78E1">
              <w:rPr>
                <w:rFonts w:ascii="Arial" w:hAnsi="Arial" w:cs="Arial"/>
                <w:sz w:val="22"/>
                <w:szCs w:val="22"/>
              </w:rPr>
              <w:t xml:space="preserve"> (2025)</w:t>
            </w:r>
          </w:p>
        </w:tc>
        <w:tc>
          <w:tcPr>
            <w:tcW w:w="1559" w:type="dxa"/>
            <w:vAlign w:val="center"/>
          </w:tcPr>
          <w:p w14:paraId="67409B9C"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Mobile data can improve credit risk assessment in Bangladesh.</w:t>
            </w:r>
          </w:p>
        </w:tc>
        <w:tc>
          <w:tcPr>
            <w:tcW w:w="1559" w:type="dxa"/>
            <w:vAlign w:val="center"/>
          </w:tcPr>
          <w:p w14:paraId="349EA3F6"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Credit risk management theory, data-driven and alternative credit scoring frameworks.</w:t>
            </w:r>
          </w:p>
        </w:tc>
        <w:tc>
          <w:tcPr>
            <w:tcW w:w="1559" w:type="dxa"/>
            <w:vAlign w:val="center"/>
          </w:tcPr>
          <w:p w14:paraId="4504EA9C" w14:textId="77777777" w:rsidR="00444E6F" w:rsidRPr="000B78E1" w:rsidRDefault="00444E6F" w:rsidP="004063A9">
            <w:pPr>
              <w:spacing w:line="276" w:lineRule="auto"/>
              <w:rPr>
                <w:rFonts w:ascii="Arial" w:hAnsi="Arial" w:cs="Arial"/>
                <w:sz w:val="22"/>
                <w:szCs w:val="22"/>
              </w:rPr>
            </w:pPr>
            <w:r w:rsidRPr="000B78E1">
              <w:rPr>
                <w:rFonts w:ascii="Arial" w:hAnsi="Arial" w:cs="Arial"/>
                <w:sz w:val="22"/>
                <w:szCs w:val="22"/>
              </w:rPr>
              <w:t>Secondary-data quantitative study using correlation analysis.</w:t>
            </w:r>
          </w:p>
        </w:tc>
        <w:tc>
          <w:tcPr>
            <w:tcW w:w="1701" w:type="dxa"/>
            <w:vAlign w:val="center"/>
          </w:tcPr>
          <w:p w14:paraId="68A93F22"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 xml:space="preserve">Mobile banking data can predict </w:t>
            </w:r>
            <w:proofErr w:type="gramStart"/>
            <w:r w:rsidRPr="000B78E1">
              <w:rPr>
                <w:rFonts w:ascii="Arial" w:hAnsi="Arial" w:cs="Arial"/>
                <w:sz w:val="22"/>
                <w:szCs w:val="22"/>
              </w:rPr>
              <w:t>creditworthiness</w:t>
            </w:r>
            <w:proofErr w:type="gramEnd"/>
            <w:r w:rsidRPr="000B78E1">
              <w:rPr>
                <w:rFonts w:ascii="Arial" w:hAnsi="Arial" w:cs="Arial"/>
                <w:sz w:val="22"/>
                <w:szCs w:val="22"/>
              </w:rPr>
              <w:t xml:space="preserve"> but regulatory and institutional limits constrain its use.</w:t>
            </w:r>
          </w:p>
        </w:tc>
        <w:tc>
          <w:tcPr>
            <w:tcW w:w="1560" w:type="dxa"/>
            <w:vAlign w:val="center"/>
          </w:tcPr>
          <w:p w14:paraId="3FE7DABC"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Without borrower-level evidence, interpret cautiously. .</w:t>
            </w:r>
          </w:p>
        </w:tc>
        <w:tc>
          <w:tcPr>
            <w:tcW w:w="1417" w:type="dxa"/>
            <w:vAlign w:val="center"/>
          </w:tcPr>
          <w:p w14:paraId="3CBF40E7"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Highlights potential of DFS data in Bangladesh but shows conversion gap.</w:t>
            </w:r>
          </w:p>
        </w:tc>
      </w:tr>
      <w:tr w:rsidR="00444E6F" w:rsidRPr="000B78E1" w14:paraId="0D9A37EA" w14:textId="77777777" w:rsidTr="00500EEB">
        <w:tc>
          <w:tcPr>
            <w:tcW w:w="988" w:type="dxa"/>
            <w:vAlign w:val="center"/>
          </w:tcPr>
          <w:p w14:paraId="2BB4DC90" w14:textId="77777777" w:rsidR="00444E6F" w:rsidRPr="000B78E1" w:rsidRDefault="00444E6F" w:rsidP="004063A9">
            <w:pPr>
              <w:spacing w:line="276" w:lineRule="auto"/>
              <w:jc w:val="both"/>
              <w:rPr>
                <w:rFonts w:ascii="Arial" w:hAnsi="Arial" w:cs="Arial"/>
                <w:sz w:val="22"/>
                <w:szCs w:val="22"/>
              </w:rPr>
            </w:pPr>
            <w:proofErr w:type="spellStart"/>
            <w:r w:rsidRPr="000B78E1">
              <w:rPr>
                <w:rFonts w:ascii="Arial" w:hAnsi="Arial" w:cs="Arial"/>
                <w:sz w:val="22"/>
                <w:szCs w:val="22"/>
              </w:rPr>
              <w:t>Omowole</w:t>
            </w:r>
            <w:proofErr w:type="spellEnd"/>
            <w:r w:rsidRPr="000B78E1">
              <w:rPr>
                <w:rFonts w:ascii="Arial" w:hAnsi="Arial" w:cs="Arial"/>
                <w:sz w:val="22"/>
                <w:szCs w:val="22"/>
              </w:rPr>
              <w:t xml:space="preserve"> et al. (2024)</w:t>
            </w:r>
          </w:p>
        </w:tc>
        <w:tc>
          <w:tcPr>
            <w:tcW w:w="1559" w:type="dxa"/>
            <w:vAlign w:val="center"/>
          </w:tcPr>
          <w:p w14:paraId="547E5402"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FinTech uses digital tools and data to expand microfinance credit access.</w:t>
            </w:r>
          </w:p>
        </w:tc>
        <w:tc>
          <w:tcPr>
            <w:tcW w:w="1559" w:type="dxa"/>
            <w:vAlign w:val="center"/>
          </w:tcPr>
          <w:p w14:paraId="0D69A673"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Conceptual financial inclusion framing from review papers &amp; no formal theory testing.</w:t>
            </w:r>
          </w:p>
        </w:tc>
        <w:tc>
          <w:tcPr>
            <w:tcW w:w="1559" w:type="dxa"/>
            <w:vAlign w:val="center"/>
          </w:tcPr>
          <w:p w14:paraId="29233576"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Narrative literature review with illustrative case examples</w:t>
            </w:r>
          </w:p>
        </w:tc>
        <w:tc>
          <w:tcPr>
            <w:tcW w:w="1701" w:type="dxa"/>
            <w:vAlign w:val="center"/>
          </w:tcPr>
          <w:p w14:paraId="46C6C5BC"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FinTech makes lending faster, cheaper and more inclusive, but raises privacy and over-borrowing risks.</w:t>
            </w:r>
          </w:p>
        </w:tc>
        <w:tc>
          <w:tcPr>
            <w:tcW w:w="1560" w:type="dxa"/>
            <w:vAlign w:val="center"/>
          </w:tcPr>
          <w:p w14:paraId="529C9D47"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Based on descriptive evidence, long-term risks remain untested.</w:t>
            </w:r>
          </w:p>
          <w:p w14:paraId="5D4AA0C8" w14:textId="77777777" w:rsidR="00444E6F" w:rsidRPr="000B78E1" w:rsidRDefault="00444E6F" w:rsidP="004063A9">
            <w:pPr>
              <w:spacing w:line="276" w:lineRule="auto"/>
              <w:jc w:val="both"/>
              <w:rPr>
                <w:rFonts w:ascii="Arial" w:hAnsi="Arial" w:cs="Arial"/>
                <w:sz w:val="22"/>
                <w:szCs w:val="22"/>
              </w:rPr>
            </w:pPr>
          </w:p>
        </w:tc>
        <w:tc>
          <w:tcPr>
            <w:tcW w:w="1417" w:type="dxa"/>
            <w:vAlign w:val="center"/>
          </w:tcPr>
          <w:p w14:paraId="1306F964"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It supports idea of multiple conversion pathways.</w:t>
            </w:r>
          </w:p>
        </w:tc>
      </w:tr>
      <w:tr w:rsidR="00444E6F" w:rsidRPr="000B78E1" w14:paraId="0D30A06E" w14:textId="77777777" w:rsidTr="00500EEB">
        <w:tc>
          <w:tcPr>
            <w:tcW w:w="988" w:type="dxa"/>
            <w:vAlign w:val="center"/>
          </w:tcPr>
          <w:p w14:paraId="705FC387"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lastRenderedPageBreak/>
              <w:t>Robin et al. (2025)</w:t>
            </w:r>
          </w:p>
        </w:tc>
        <w:tc>
          <w:tcPr>
            <w:tcW w:w="1559" w:type="dxa"/>
            <w:vAlign w:val="center"/>
          </w:tcPr>
          <w:p w14:paraId="24DD02BD"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Agent banking affects bank performance via credit.</w:t>
            </w:r>
          </w:p>
        </w:tc>
        <w:tc>
          <w:tcPr>
            <w:tcW w:w="1559" w:type="dxa"/>
            <w:vAlign w:val="center"/>
          </w:tcPr>
          <w:p w14:paraId="4DBEC754"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Agency theory &amp; financial intermediation theory.</w:t>
            </w:r>
          </w:p>
        </w:tc>
        <w:tc>
          <w:tcPr>
            <w:tcW w:w="1559" w:type="dxa"/>
            <w:vAlign w:val="center"/>
          </w:tcPr>
          <w:p w14:paraId="2AF1C3F9"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 xml:space="preserve">Balanced panel of nine banks (2018–2024) using panel </w:t>
            </w:r>
            <w:proofErr w:type="gramStart"/>
            <w:r w:rsidRPr="000B78E1">
              <w:rPr>
                <w:rFonts w:ascii="Arial" w:hAnsi="Arial" w:cs="Arial"/>
                <w:sz w:val="22"/>
                <w:szCs w:val="22"/>
              </w:rPr>
              <w:t>regression;.</w:t>
            </w:r>
            <w:proofErr w:type="gramEnd"/>
          </w:p>
        </w:tc>
        <w:tc>
          <w:tcPr>
            <w:tcW w:w="1701" w:type="dxa"/>
            <w:vAlign w:val="center"/>
          </w:tcPr>
          <w:p w14:paraId="17F7F4DC"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 xml:space="preserve">Credit disbursement improves profitability. </w:t>
            </w:r>
          </w:p>
        </w:tc>
        <w:tc>
          <w:tcPr>
            <w:tcW w:w="1560" w:type="dxa"/>
            <w:vAlign w:val="center"/>
          </w:tcPr>
          <w:p w14:paraId="1E7967C0"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Relies on secondary data, lacks field insights from agents &amp; customers.</w:t>
            </w:r>
          </w:p>
        </w:tc>
        <w:tc>
          <w:tcPr>
            <w:tcW w:w="1417" w:type="dxa"/>
            <w:vAlign w:val="center"/>
          </w:tcPr>
          <w:p w14:paraId="328E03B2"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Shows institutional role in converting DFS channels into credit</w:t>
            </w:r>
          </w:p>
        </w:tc>
      </w:tr>
      <w:tr w:rsidR="00444E6F" w:rsidRPr="000B78E1" w14:paraId="104108D9" w14:textId="77777777" w:rsidTr="00500EEB">
        <w:tc>
          <w:tcPr>
            <w:tcW w:w="988" w:type="dxa"/>
            <w:vAlign w:val="center"/>
          </w:tcPr>
          <w:p w14:paraId="21B4FA26" w14:textId="77777777" w:rsidR="00444E6F" w:rsidRPr="000B78E1" w:rsidRDefault="00444E6F" w:rsidP="004063A9">
            <w:pPr>
              <w:spacing w:line="276" w:lineRule="auto"/>
              <w:jc w:val="both"/>
              <w:rPr>
                <w:rFonts w:ascii="Arial" w:hAnsi="Arial" w:cs="Arial"/>
                <w:sz w:val="22"/>
                <w:szCs w:val="22"/>
              </w:rPr>
            </w:pPr>
            <w:proofErr w:type="spellStart"/>
            <w:r w:rsidRPr="000B78E1">
              <w:rPr>
                <w:rFonts w:ascii="Arial" w:hAnsi="Arial" w:cs="Arial"/>
                <w:sz w:val="22"/>
                <w:szCs w:val="22"/>
              </w:rPr>
              <w:t>Omokhoa</w:t>
            </w:r>
            <w:proofErr w:type="spellEnd"/>
            <w:r w:rsidRPr="000B78E1">
              <w:rPr>
                <w:rFonts w:ascii="Arial" w:hAnsi="Arial" w:cs="Arial"/>
                <w:sz w:val="22"/>
                <w:szCs w:val="22"/>
              </w:rPr>
              <w:t xml:space="preserve"> et al. (2024</w:t>
            </w:r>
            <w:r w:rsidRPr="000B78E1">
              <w:rPr>
                <w:rFonts w:ascii="Arial" w:hAnsi="Arial" w:cs="Arial"/>
                <w:b/>
                <w:bCs/>
                <w:sz w:val="22"/>
                <w:szCs w:val="22"/>
              </w:rPr>
              <w:t>)</w:t>
            </w:r>
          </w:p>
        </w:tc>
        <w:tc>
          <w:tcPr>
            <w:tcW w:w="1559" w:type="dxa"/>
            <w:vAlign w:val="center"/>
          </w:tcPr>
          <w:p w14:paraId="36ED442B"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AI fintech improves credit and access but needs proper governance to avoid risks.</w:t>
            </w:r>
          </w:p>
        </w:tc>
        <w:tc>
          <w:tcPr>
            <w:tcW w:w="1559" w:type="dxa"/>
            <w:vAlign w:val="center"/>
          </w:tcPr>
          <w:p w14:paraId="475D0095"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AI &amp; financial inclusion logic</w:t>
            </w:r>
          </w:p>
        </w:tc>
        <w:tc>
          <w:tcPr>
            <w:tcW w:w="1559" w:type="dxa"/>
            <w:vAlign w:val="center"/>
          </w:tcPr>
          <w:p w14:paraId="55EC4199"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Conceptual and narrative review synthesising academic literature and industry practices.</w:t>
            </w:r>
          </w:p>
        </w:tc>
        <w:tc>
          <w:tcPr>
            <w:tcW w:w="1701" w:type="dxa"/>
            <w:vAlign w:val="center"/>
          </w:tcPr>
          <w:p w14:paraId="639D72E1"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AI boosts credit accuracy and access but adds risks, hybrid models and strong policy are needed.</w:t>
            </w:r>
          </w:p>
        </w:tc>
        <w:tc>
          <w:tcPr>
            <w:tcW w:w="1560" w:type="dxa"/>
            <w:vAlign w:val="center"/>
          </w:tcPr>
          <w:p w14:paraId="2A4D1BF3"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 xml:space="preserve">Clear </w:t>
            </w:r>
            <w:proofErr w:type="gramStart"/>
            <w:r w:rsidRPr="000B78E1">
              <w:rPr>
                <w:rFonts w:ascii="Arial" w:hAnsi="Arial" w:cs="Arial"/>
                <w:sz w:val="22"/>
                <w:szCs w:val="22"/>
              </w:rPr>
              <w:t>concept, but</w:t>
            </w:r>
            <w:proofErr w:type="gramEnd"/>
            <w:r w:rsidRPr="000B78E1">
              <w:rPr>
                <w:rFonts w:ascii="Arial" w:hAnsi="Arial" w:cs="Arial"/>
                <w:sz w:val="22"/>
                <w:szCs w:val="22"/>
              </w:rPr>
              <w:t xml:space="preserve"> lacks real data and causal evidence.</w:t>
            </w:r>
          </w:p>
        </w:tc>
        <w:tc>
          <w:tcPr>
            <w:tcW w:w="1417" w:type="dxa"/>
            <w:vAlign w:val="center"/>
          </w:tcPr>
          <w:p w14:paraId="6B35F691" w14:textId="77777777" w:rsidR="00444E6F" w:rsidRPr="000B78E1" w:rsidRDefault="00444E6F" w:rsidP="004063A9">
            <w:pPr>
              <w:spacing w:line="276" w:lineRule="auto"/>
              <w:jc w:val="both"/>
              <w:rPr>
                <w:rFonts w:ascii="Arial" w:hAnsi="Arial" w:cs="Arial"/>
                <w:sz w:val="22"/>
                <w:szCs w:val="22"/>
              </w:rPr>
            </w:pPr>
            <w:r w:rsidRPr="000B78E1">
              <w:rPr>
                <w:rFonts w:ascii="Arial" w:hAnsi="Arial" w:cs="Arial"/>
                <w:sz w:val="22"/>
                <w:szCs w:val="22"/>
              </w:rPr>
              <w:t>DFS and AI generate data, but institutions determine credit access.</w:t>
            </w:r>
          </w:p>
        </w:tc>
      </w:tr>
    </w:tbl>
    <w:p w14:paraId="53B030BD" w14:textId="2B5550FA" w:rsidR="0048236F" w:rsidRPr="004063A9" w:rsidRDefault="00A2289E" w:rsidP="000B78E1">
      <w:pPr>
        <w:spacing w:line="360" w:lineRule="auto"/>
        <w:jc w:val="both"/>
        <w:rPr>
          <w:rFonts w:ascii="Arial" w:hAnsi="Arial" w:cs="Arial"/>
          <w:sz w:val="22"/>
          <w:szCs w:val="22"/>
        </w:rPr>
      </w:pPr>
      <w:r w:rsidRPr="004063A9">
        <w:rPr>
          <w:rFonts w:ascii="Arial" w:hAnsi="Arial" w:cs="Arial"/>
          <w:b/>
          <w:bCs/>
          <w:sz w:val="22"/>
          <w:szCs w:val="22"/>
        </w:rPr>
        <w:t>Note:</w:t>
      </w:r>
      <w:r w:rsidRPr="004063A9">
        <w:rPr>
          <w:rFonts w:ascii="Arial" w:hAnsi="Arial" w:cs="Arial"/>
          <w:sz w:val="22"/>
          <w:szCs w:val="22"/>
        </w:rPr>
        <w:t xml:space="preserve"> This table presents selected high-relevance studies. A full list of reviewed studies is available in Appendix </w:t>
      </w:r>
      <w:r w:rsidR="00A26985" w:rsidRPr="004063A9">
        <w:rPr>
          <w:rFonts w:ascii="Arial" w:hAnsi="Arial" w:cs="Arial"/>
          <w:sz w:val="22"/>
          <w:szCs w:val="22"/>
        </w:rPr>
        <w:t>B.</w:t>
      </w:r>
    </w:p>
    <w:p w14:paraId="6B97FE6A" w14:textId="04326070" w:rsidR="00A05CA6" w:rsidRPr="000B78E1" w:rsidRDefault="00A05CA6" w:rsidP="00556295">
      <w:pPr>
        <w:spacing w:line="360" w:lineRule="auto"/>
        <w:jc w:val="both"/>
        <w:rPr>
          <w:rFonts w:ascii="Arial" w:hAnsi="Arial" w:cs="Arial"/>
          <w:sz w:val="22"/>
          <w:szCs w:val="22"/>
        </w:rPr>
      </w:pPr>
      <w:r w:rsidRPr="000B78E1">
        <w:rPr>
          <w:rFonts w:ascii="Arial" w:hAnsi="Arial" w:cs="Arial"/>
          <w:sz w:val="22"/>
          <w:szCs w:val="22"/>
        </w:rPr>
        <w:t>Across the literature, there is strong agreement that digital financial services (DFS) and fintech help reduce information problems and improve the financial visibility of SMEs. Many studies show that digital tools</w:t>
      </w:r>
      <w:r w:rsidR="00144140" w:rsidRPr="000B78E1">
        <w:rPr>
          <w:rFonts w:ascii="Arial" w:hAnsi="Arial" w:cs="Arial"/>
          <w:sz w:val="22"/>
          <w:szCs w:val="22"/>
        </w:rPr>
        <w:t xml:space="preserve"> </w:t>
      </w:r>
      <w:r w:rsidRPr="000B78E1">
        <w:rPr>
          <w:rFonts w:ascii="Arial" w:hAnsi="Arial" w:cs="Arial"/>
          <w:sz w:val="22"/>
          <w:szCs w:val="22"/>
        </w:rPr>
        <w:t>such as mobile transactions, online presence and digital payments</w:t>
      </w:r>
      <w:r w:rsidR="00144140" w:rsidRPr="000B78E1">
        <w:rPr>
          <w:rFonts w:ascii="Arial" w:hAnsi="Arial" w:cs="Arial"/>
          <w:sz w:val="22"/>
          <w:szCs w:val="22"/>
        </w:rPr>
        <w:t xml:space="preserve"> </w:t>
      </w:r>
      <w:r w:rsidRPr="000B78E1">
        <w:rPr>
          <w:rFonts w:ascii="Arial" w:hAnsi="Arial" w:cs="Arial"/>
          <w:sz w:val="22"/>
          <w:szCs w:val="22"/>
        </w:rPr>
        <w:t>make it easier for lenders to understand borrowers, reducing information gaps (Agyekum et al., 2022; Yang et al., 2024). Other studies also find that DFS improves firm performance, innovation, and financial flexibility by reducing financing constraints (Yao and Yang, 2022; Yu et al., 2023; Dai et al., 2023). Overall, there is a clear view that DFS can support SME financing.</w:t>
      </w:r>
      <w:r w:rsidR="004063A9">
        <w:rPr>
          <w:rFonts w:ascii="Arial" w:hAnsi="Arial" w:cs="Arial"/>
          <w:sz w:val="22"/>
          <w:szCs w:val="22"/>
        </w:rPr>
        <w:t xml:space="preserve"> </w:t>
      </w:r>
      <w:r w:rsidRPr="000B78E1">
        <w:rPr>
          <w:rFonts w:ascii="Arial" w:hAnsi="Arial" w:cs="Arial"/>
          <w:sz w:val="22"/>
          <w:szCs w:val="22"/>
        </w:rPr>
        <w:t xml:space="preserve">However, there are important differences when it comes to real credit access. Some studies assume that easier finance automatically leads to more loans, but others disagree. For example, </w:t>
      </w:r>
      <w:proofErr w:type="spellStart"/>
      <w:r w:rsidRPr="000B78E1">
        <w:rPr>
          <w:rFonts w:ascii="Arial" w:hAnsi="Arial" w:cs="Arial"/>
          <w:sz w:val="22"/>
          <w:szCs w:val="22"/>
        </w:rPr>
        <w:t>E</w:t>
      </w:r>
      <w:r w:rsidR="00B714D0" w:rsidRPr="000B78E1">
        <w:rPr>
          <w:rFonts w:ascii="Arial" w:hAnsi="Arial" w:cs="Arial"/>
          <w:sz w:val="22"/>
          <w:szCs w:val="22"/>
        </w:rPr>
        <w:t>c</w:t>
      </w:r>
      <w:r w:rsidRPr="000B78E1">
        <w:rPr>
          <w:rFonts w:ascii="Arial" w:hAnsi="Arial" w:cs="Arial"/>
          <w:sz w:val="22"/>
          <w:szCs w:val="22"/>
        </w:rPr>
        <w:t>a</w:t>
      </w:r>
      <w:proofErr w:type="spellEnd"/>
      <w:r w:rsidRPr="000B78E1">
        <w:rPr>
          <w:rFonts w:ascii="Arial" w:hAnsi="Arial" w:cs="Arial"/>
          <w:sz w:val="22"/>
          <w:szCs w:val="22"/>
        </w:rPr>
        <w:t xml:space="preserve"> et al. (2023) show that fintech lending mainly benefits firms that already have bank access. </w:t>
      </w:r>
      <w:proofErr w:type="spellStart"/>
      <w:r w:rsidRPr="000B78E1">
        <w:rPr>
          <w:rFonts w:ascii="Arial" w:hAnsi="Arial" w:cs="Arial"/>
          <w:sz w:val="22"/>
          <w:szCs w:val="22"/>
        </w:rPr>
        <w:t>Mulungula</w:t>
      </w:r>
      <w:proofErr w:type="spellEnd"/>
      <w:r w:rsidRPr="000B78E1">
        <w:rPr>
          <w:rFonts w:ascii="Arial" w:hAnsi="Arial" w:cs="Arial"/>
          <w:sz w:val="22"/>
          <w:szCs w:val="22"/>
        </w:rPr>
        <w:t xml:space="preserve"> et al. (2023) find that DFS improves trust between SMEs and banks but does not always lead to actual loans. In Bangladesh, </w:t>
      </w:r>
      <w:proofErr w:type="spellStart"/>
      <w:r w:rsidRPr="000B78E1">
        <w:rPr>
          <w:rFonts w:ascii="Arial" w:hAnsi="Arial" w:cs="Arial"/>
          <w:sz w:val="22"/>
          <w:szCs w:val="22"/>
        </w:rPr>
        <w:t>Abiduzzaman</w:t>
      </w:r>
      <w:proofErr w:type="spellEnd"/>
      <w:r w:rsidRPr="000B78E1">
        <w:rPr>
          <w:rFonts w:ascii="Arial" w:hAnsi="Arial" w:cs="Arial"/>
          <w:sz w:val="22"/>
          <w:szCs w:val="22"/>
        </w:rPr>
        <w:t xml:space="preserve"> (2025) shows that mobile data can predict </w:t>
      </w:r>
      <w:proofErr w:type="gramStart"/>
      <w:r w:rsidRPr="000B78E1">
        <w:rPr>
          <w:rFonts w:ascii="Arial" w:hAnsi="Arial" w:cs="Arial"/>
          <w:sz w:val="22"/>
          <w:szCs w:val="22"/>
        </w:rPr>
        <w:t>creditworthiness</w:t>
      </w:r>
      <w:proofErr w:type="gramEnd"/>
      <w:r w:rsidRPr="000B78E1">
        <w:rPr>
          <w:rFonts w:ascii="Arial" w:hAnsi="Arial" w:cs="Arial"/>
          <w:sz w:val="22"/>
          <w:szCs w:val="22"/>
        </w:rPr>
        <w:t xml:space="preserve"> but banks do not widely use it due to regulatory and institutional issues. This means DFS use does not always lead to real credit.</w:t>
      </w:r>
    </w:p>
    <w:p w14:paraId="41080B7D" w14:textId="77777777" w:rsidR="00A05CA6" w:rsidRPr="000B78E1" w:rsidRDefault="00A05CA6" w:rsidP="00556295">
      <w:pPr>
        <w:spacing w:line="360" w:lineRule="auto"/>
        <w:jc w:val="both"/>
        <w:rPr>
          <w:rFonts w:ascii="Arial" w:hAnsi="Arial" w:cs="Arial"/>
          <w:sz w:val="22"/>
          <w:szCs w:val="22"/>
        </w:rPr>
      </w:pPr>
      <w:r w:rsidRPr="000B78E1">
        <w:rPr>
          <w:rFonts w:ascii="Arial" w:hAnsi="Arial" w:cs="Arial"/>
          <w:sz w:val="22"/>
          <w:szCs w:val="22"/>
        </w:rPr>
        <w:t>The main gap in the literature is the lack of explanation of how DFS turns into actual loans. Most studies use indirect measures like access probability or performance not real loan data (Zhang, Jin and Li, 2025; Rahman and Sadik, 2025). Also, the role of banks, regulators, and trust is not well studied (Pereira et al., 2026; Irene et al., 2025).</w:t>
      </w:r>
    </w:p>
    <w:p w14:paraId="6CAD924C" w14:textId="77777777" w:rsidR="00A05CA6" w:rsidRPr="000B78E1" w:rsidRDefault="00A05CA6" w:rsidP="00556295">
      <w:pPr>
        <w:spacing w:line="360" w:lineRule="auto"/>
        <w:jc w:val="both"/>
        <w:rPr>
          <w:rFonts w:ascii="Arial" w:hAnsi="Arial" w:cs="Arial"/>
          <w:sz w:val="22"/>
          <w:szCs w:val="22"/>
        </w:rPr>
      </w:pPr>
      <w:r w:rsidRPr="000B78E1">
        <w:rPr>
          <w:rFonts w:ascii="Arial" w:hAnsi="Arial" w:cs="Arial"/>
          <w:sz w:val="22"/>
          <w:szCs w:val="22"/>
        </w:rPr>
        <w:t>Therefore, while DFS has strong potential, real credit depends on institutional support and trust which need more research.</w:t>
      </w:r>
    </w:p>
    <w:p w14:paraId="2E17EF89" w14:textId="77777777" w:rsidR="0048236F" w:rsidRPr="000B78E1" w:rsidRDefault="0048236F" w:rsidP="000B78E1">
      <w:pPr>
        <w:spacing w:line="360" w:lineRule="auto"/>
        <w:jc w:val="both"/>
        <w:rPr>
          <w:rFonts w:ascii="Arial" w:hAnsi="Arial" w:cs="Arial"/>
          <w:b/>
          <w:bCs/>
          <w:sz w:val="22"/>
          <w:szCs w:val="22"/>
        </w:rPr>
      </w:pPr>
    </w:p>
    <w:p w14:paraId="60E562FA" w14:textId="3D6CB9DF" w:rsidR="00C07237" w:rsidRPr="000B78E1" w:rsidRDefault="0060311A" w:rsidP="000B78E1">
      <w:pPr>
        <w:spacing w:line="360" w:lineRule="auto"/>
        <w:jc w:val="both"/>
        <w:rPr>
          <w:rFonts w:ascii="Arial" w:hAnsi="Arial" w:cs="Arial"/>
          <w:sz w:val="22"/>
          <w:szCs w:val="22"/>
        </w:rPr>
      </w:pPr>
      <w:r w:rsidRPr="000B78E1">
        <w:rPr>
          <w:rFonts w:ascii="Arial" w:hAnsi="Arial" w:cs="Arial"/>
          <w:b/>
          <w:bCs/>
          <w:sz w:val="22"/>
          <w:szCs w:val="22"/>
        </w:rPr>
        <w:t>5.</w:t>
      </w:r>
      <w:r w:rsidR="00C07237" w:rsidRPr="000B78E1">
        <w:rPr>
          <w:rFonts w:ascii="Arial" w:hAnsi="Arial" w:cs="Arial"/>
          <w:b/>
          <w:bCs/>
          <w:sz w:val="22"/>
          <w:szCs w:val="22"/>
        </w:rPr>
        <w:t>3</w:t>
      </w:r>
      <w:r w:rsidRPr="000B78E1">
        <w:rPr>
          <w:rFonts w:ascii="Arial" w:hAnsi="Arial" w:cs="Arial"/>
          <w:b/>
          <w:bCs/>
          <w:sz w:val="22"/>
          <w:szCs w:val="22"/>
        </w:rPr>
        <w:t xml:space="preserve">. </w:t>
      </w:r>
      <w:r w:rsidR="00C07237" w:rsidRPr="000B78E1">
        <w:rPr>
          <w:rFonts w:ascii="Arial" w:hAnsi="Arial" w:cs="Arial"/>
          <w:b/>
          <w:bCs/>
          <w:sz w:val="22"/>
          <w:szCs w:val="22"/>
        </w:rPr>
        <w:t xml:space="preserve"> Credit Access and SME Sustainability Outcomes</w:t>
      </w:r>
      <w:r w:rsidRPr="000B78E1">
        <w:rPr>
          <w:rFonts w:ascii="Arial" w:hAnsi="Arial" w:cs="Arial"/>
          <w:sz w:val="22"/>
          <w:szCs w:val="22"/>
        </w:rPr>
        <w:t>:</w:t>
      </w:r>
    </w:p>
    <w:p w14:paraId="10971C82" w14:textId="7764AF77" w:rsidR="00A26985" w:rsidRPr="00534212" w:rsidRDefault="00A26985" w:rsidP="000B78E1">
      <w:pPr>
        <w:spacing w:line="360" w:lineRule="auto"/>
        <w:jc w:val="both"/>
        <w:rPr>
          <w:rFonts w:ascii="Arial" w:hAnsi="Arial" w:cs="Arial"/>
          <w:sz w:val="22"/>
          <w:szCs w:val="22"/>
        </w:rPr>
      </w:pPr>
      <w:r w:rsidRPr="00534212">
        <w:rPr>
          <w:rFonts w:ascii="Arial" w:hAnsi="Arial" w:cs="Arial"/>
          <w:b/>
          <w:bCs/>
          <w:sz w:val="22"/>
          <w:szCs w:val="22"/>
        </w:rPr>
        <w:t>Table-3</w:t>
      </w:r>
      <w:r w:rsidRPr="00534212">
        <w:rPr>
          <w:rFonts w:ascii="Arial" w:hAnsi="Arial" w:cs="Arial"/>
          <w:sz w:val="22"/>
          <w:szCs w:val="22"/>
        </w:rPr>
        <w:t>: Summary of Key Studies (Selected Sample)</w:t>
      </w:r>
    </w:p>
    <w:tbl>
      <w:tblPr>
        <w:tblStyle w:val="TableGrid"/>
        <w:tblpPr w:leftFromText="180" w:rightFromText="180" w:vertAnchor="text" w:horzAnchor="margin" w:tblpXSpec="center" w:tblpY="250"/>
        <w:tblW w:w="10627" w:type="dxa"/>
        <w:tblLayout w:type="fixed"/>
        <w:tblLook w:val="04A0" w:firstRow="1" w:lastRow="0" w:firstColumn="1" w:lastColumn="0" w:noHBand="0" w:noVBand="1"/>
      </w:tblPr>
      <w:tblGrid>
        <w:gridCol w:w="988"/>
        <w:gridCol w:w="1559"/>
        <w:gridCol w:w="1559"/>
        <w:gridCol w:w="1559"/>
        <w:gridCol w:w="1701"/>
        <w:gridCol w:w="1560"/>
        <w:gridCol w:w="1701"/>
      </w:tblGrid>
      <w:tr w:rsidR="00A26985" w:rsidRPr="000B78E1" w14:paraId="3597FA83" w14:textId="77777777" w:rsidTr="00500EEB">
        <w:trPr>
          <w:tblHeader/>
        </w:trPr>
        <w:tc>
          <w:tcPr>
            <w:tcW w:w="988" w:type="dxa"/>
            <w:shd w:val="clear" w:color="auto" w:fill="E8E8E8" w:themeFill="background2"/>
          </w:tcPr>
          <w:p w14:paraId="6FD18907" w14:textId="77777777" w:rsidR="00A26985" w:rsidRPr="000B78E1" w:rsidRDefault="00A26985" w:rsidP="00534212">
            <w:pPr>
              <w:spacing w:line="276" w:lineRule="auto"/>
              <w:jc w:val="center"/>
              <w:rPr>
                <w:rFonts w:ascii="Arial" w:hAnsi="Arial" w:cs="Arial"/>
                <w:sz w:val="22"/>
                <w:szCs w:val="22"/>
              </w:rPr>
            </w:pPr>
            <w:r w:rsidRPr="000B78E1">
              <w:rPr>
                <w:rFonts w:ascii="Arial" w:hAnsi="Arial" w:cs="Arial"/>
                <w:sz w:val="22"/>
                <w:szCs w:val="22"/>
              </w:rPr>
              <w:t>Citation</w:t>
            </w:r>
          </w:p>
        </w:tc>
        <w:tc>
          <w:tcPr>
            <w:tcW w:w="1559" w:type="dxa"/>
            <w:shd w:val="clear" w:color="auto" w:fill="E8E8E8" w:themeFill="background2"/>
          </w:tcPr>
          <w:p w14:paraId="5482D38B" w14:textId="77777777" w:rsidR="00A26985" w:rsidRPr="000B78E1" w:rsidRDefault="00A26985" w:rsidP="00534212">
            <w:pPr>
              <w:spacing w:line="276" w:lineRule="auto"/>
              <w:jc w:val="center"/>
              <w:rPr>
                <w:rFonts w:ascii="Arial" w:hAnsi="Arial" w:cs="Arial"/>
                <w:sz w:val="22"/>
                <w:szCs w:val="22"/>
              </w:rPr>
            </w:pPr>
            <w:r w:rsidRPr="000B78E1">
              <w:rPr>
                <w:rFonts w:ascii="Arial" w:hAnsi="Arial" w:cs="Arial"/>
                <w:sz w:val="22"/>
                <w:szCs w:val="22"/>
              </w:rPr>
              <w:t>Key Arguments</w:t>
            </w:r>
          </w:p>
        </w:tc>
        <w:tc>
          <w:tcPr>
            <w:tcW w:w="1559" w:type="dxa"/>
            <w:shd w:val="clear" w:color="auto" w:fill="E8E8E8" w:themeFill="background2"/>
          </w:tcPr>
          <w:p w14:paraId="39FA5B08" w14:textId="77777777" w:rsidR="00A26985" w:rsidRPr="000B78E1" w:rsidRDefault="00A26985" w:rsidP="00534212">
            <w:pPr>
              <w:spacing w:line="276" w:lineRule="auto"/>
              <w:jc w:val="center"/>
              <w:rPr>
                <w:rFonts w:ascii="Arial" w:hAnsi="Arial" w:cs="Arial"/>
                <w:sz w:val="22"/>
                <w:szCs w:val="22"/>
              </w:rPr>
            </w:pPr>
            <w:r w:rsidRPr="000B78E1">
              <w:rPr>
                <w:rFonts w:ascii="Arial" w:hAnsi="Arial" w:cs="Arial"/>
                <w:sz w:val="22"/>
                <w:szCs w:val="22"/>
              </w:rPr>
              <w:t>Theoretical Lens</w:t>
            </w:r>
          </w:p>
        </w:tc>
        <w:tc>
          <w:tcPr>
            <w:tcW w:w="1559" w:type="dxa"/>
            <w:shd w:val="clear" w:color="auto" w:fill="E8E8E8" w:themeFill="background2"/>
          </w:tcPr>
          <w:p w14:paraId="54830C16" w14:textId="77777777" w:rsidR="00A26985" w:rsidRPr="000B78E1" w:rsidRDefault="00A26985" w:rsidP="00534212">
            <w:pPr>
              <w:spacing w:line="276" w:lineRule="auto"/>
              <w:jc w:val="center"/>
              <w:rPr>
                <w:rFonts w:ascii="Arial" w:hAnsi="Arial" w:cs="Arial"/>
                <w:sz w:val="22"/>
                <w:szCs w:val="22"/>
              </w:rPr>
            </w:pPr>
            <w:r w:rsidRPr="000B78E1">
              <w:rPr>
                <w:rFonts w:ascii="Arial" w:hAnsi="Arial" w:cs="Arial"/>
                <w:sz w:val="22"/>
                <w:szCs w:val="22"/>
              </w:rPr>
              <w:t>Methodology</w:t>
            </w:r>
          </w:p>
        </w:tc>
        <w:tc>
          <w:tcPr>
            <w:tcW w:w="1701" w:type="dxa"/>
            <w:shd w:val="clear" w:color="auto" w:fill="E8E8E8" w:themeFill="background2"/>
          </w:tcPr>
          <w:p w14:paraId="42737B16" w14:textId="77777777" w:rsidR="00A26985" w:rsidRPr="000B78E1" w:rsidRDefault="00A26985" w:rsidP="00534212">
            <w:pPr>
              <w:spacing w:line="276" w:lineRule="auto"/>
              <w:jc w:val="center"/>
              <w:rPr>
                <w:rFonts w:ascii="Arial" w:hAnsi="Arial" w:cs="Arial"/>
                <w:sz w:val="22"/>
                <w:szCs w:val="22"/>
              </w:rPr>
            </w:pPr>
            <w:r w:rsidRPr="000B78E1">
              <w:rPr>
                <w:rFonts w:ascii="Arial" w:hAnsi="Arial" w:cs="Arial"/>
                <w:sz w:val="22"/>
                <w:szCs w:val="22"/>
              </w:rPr>
              <w:t>Key findings</w:t>
            </w:r>
          </w:p>
        </w:tc>
        <w:tc>
          <w:tcPr>
            <w:tcW w:w="1560" w:type="dxa"/>
            <w:shd w:val="clear" w:color="auto" w:fill="E8E8E8" w:themeFill="background2"/>
          </w:tcPr>
          <w:p w14:paraId="6345E5B0" w14:textId="77777777" w:rsidR="00A26985" w:rsidRPr="000B78E1" w:rsidRDefault="00A26985" w:rsidP="00534212">
            <w:pPr>
              <w:spacing w:line="276" w:lineRule="auto"/>
              <w:jc w:val="center"/>
              <w:rPr>
                <w:rFonts w:ascii="Arial" w:hAnsi="Arial" w:cs="Arial"/>
                <w:sz w:val="22"/>
                <w:szCs w:val="22"/>
              </w:rPr>
            </w:pPr>
            <w:r w:rsidRPr="000B78E1">
              <w:rPr>
                <w:rFonts w:ascii="Arial" w:hAnsi="Arial" w:cs="Arial"/>
                <w:sz w:val="22"/>
                <w:szCs w:val="22"/>
              </w:rPr>
              <w:t>Critical Evaluation</w:t>
            </w:r>
          </w:p>
        </w:tc>
        <w:tc>
          <w:tcPr>
            <w:tcW w:w="1701" w:type="dxa"/>
            <w:shd w:val="clear" w:color="auto" w:fill="E8E8E8" w:themeFill="background2"/>
          </w:tcPr>
          <w:p w14:paraId="0B8983F5" w14:textId="77777777" w:rsidR="00A26985" w:rsidRPr="000B78E1" w:rsidRDefault="00A26985" w:rsidP="00534212">
            <w:pPr>
              <w:spacing w:line="276" w:lineRule="auto"/>
              <w:jc w:val="center"/>
              <w:rPr>
                <w:rFonts w:ascii="Arial" w:hAnsi="Arial" w:cs="Arial"/>
                <w:sz w:val="22"/>
                <w:szCs w:val="22"/>
              </w:rPr>
            </w:pPr>
            <w:r w:rsidRPr="000B78E1">
              <w:rPr>
                <w:rFonts w:ascii="Arial" w:hAnsi="Arial" w:cs="Arial"/>
                <w:sz w:val="22"/>
                <w:szCs w:val="22"/>
              </w:rPr>
              <w:t>Study Relevance</w:t>
            </w:r>
          </w:p>
        </w:tc>
      </w:tr>
      <w:tr w:rsidR="00A26985" w:rsidRPr="000B78E1" w14:paraId="797FA00F" w14:textId="77777777" w:rsidTr="00500EEB">
        <w:tc>
          <w:tcPr>
            <w:tcW w:w="988" w:type="dxa"/>
            <w:vAlign w:val="center"/>
          </w:tcPr>
          <w:p w14:paraId="22724963"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Amin (2024)</w:t>
            </w:r>
          </w:p>
        </w:tc>
        <w:tc>
          <w:tcPr>
            <w:tcW w:w="1559" w:type="dxa"/>
            <w:vAlign w:val="center"/>
          </w:tcPr>
          <w:p w14:paraId="15760D9F" w14:textId="77777777" w:rsidR="00A26985" w:rsidRPr="000B78E1" w:rsidRDefault="00A26985" w:rsidP="00534212">
            <w:pPr>
              <w:spacing w:line="276" w:lineRule="auto"/>
              <w:rPr>
                <w:rFonts w:ascii="Arial" w:hAnsi="Arial" w:cs="Arial"/>
                <w:sz w:val="22"/>
                <w:szCs w:val="22"/>
              </w:rPr>
            </w:pPr>
            <w:r w:rsidRPr="000B78E1">
              <w:rPr>
                <w:rFonts w:ascii="Arial" w:hAnsi="Arial" w:cs="Arial"/>
                <w:sz w:val="22"/>
                <w:szCs w:val="22"/>
              </w:rPr>
              <w:t xml:space="preserve">Finance gaps, weak </w:t>
            </w:r>
            <w:proofErr w:type="spellStart"/>
            <w:r w:rsidRPr="000B78E1">
              <w:rPr>
                <w:rFonts w:ascii="Arial" w:hAnsi="Arial" w:cs="Arial"/>
                <w:sz w:val="22"/>
                <w:szCs w:val="22"/>
              </w:rPr>
              <w:t>managementand</w:t>
            </w:r>
            <w:proofErr w:type="spellEnd"/>
            <w:r w:rsidRPr="000B78E1">
              <w:rPr>
                <w:rFonts w:ascii="Arial" w:hAnsi="Arial" w:cs="Arial"/>
                <w:sz w:val="22"/>
                <w:szCs w:val="22"/>
              </w:rPr>
              <w:t xml:space="preserve"> regulation constrain SME sustainability </w:t>
            </w:r>
          </w:p>
        </w:tc>
        <w:tc>
          <w:tcPr>
            <w:tcW w:w="1559" w:type="dxa"/>
            <w:vAlign w:val="center"/>
          </w:tcPr>
          <w:p w14:paraId="6CF53825"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Agency theory, Pecking order theory, RBV and Institutional theory</w:t>
            </w:r>
          </w:p>
        </w:tc>
        <w:tc>
          <w:tcPr>
            <w:tcW w:w="1559" w:type="dxa"/>
            <w:vAlign w:val="center"/>
          </w:tcPr>
          <w:p w14:paraId="1677C3CD"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Mainly secondary data; unclear and inconsistent on primary data use.</w:t>
            </w:r>
          </w:p>
        </w:tc>
        <w:tc>
          <w:tcPr>
            <w:tcW w:w="1701" w:type="dxa"/>
            <w:vAlign w:val="center"/>
          </w:tcPr>
          <w:p w14:paraId="0B9F59BB"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SMEs face limited finance, low literacy, and cash-flow problems that hurt growth.</w:t>
            </w:r>
          </w:p>
        </w:tc>
        <w:tc>
          <w:tcPr>
            <w:tcW w:w="1560" w:type="dxa"/>
            <w:vAlign w:val="center"/>
          </w:tcPr>
          <w:p w14:paraId="7B420EA1" w14:textId="77777777" w:rsidR="00A26985" w:rsidRPr="000B78E1" w:rsidRDefault="00A26985" w:rsidP="00534212">
            <w:pPr>
              <w:spacing w:line="276" w:lineRule="auto"/>
              <w:rPr>
                <w:rFonts w:ascii="Arial" w:hAnsi="Arial" w:cs="Arial"/>
                <w:sz w:val="22"/>
                <w:szCs w:val="22"/>
              </w:rPr>
            </w:pPr>
            <w:r w:rsidRPr="000B78E1">
              <w:rPr>
                <w:rFonts w:ascii="Arial" w:hAnsi="Arial" w:cs="Arial"/>
                <w:sz w:val="22"/>
                <w:szCs w:val="22"/>
              </w:rPr>
              <w:t>Useful Bangladesh overview, but theory isn’t tested and methods are weak.</w:t>
            </w:r>
          </w:p>
        </w:tc>
        <w:tc>
          <w:tcPr>
            <w:tcW w:w="1701" w:type="dxa"/>
            <w:vAlign w:val="center"/>
          </w:tcPr>
          <w:p w14:paraId="3038436E"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Shows credit limits interact with weak capability and management in Bangladesh.</w:t>
            </w:r>
          </w:p>
        </w:tc>
      </w:tr>
      <w:tr w:rsidR="00A26985" w:rsidRPr="000B78E1" w14:paraId="4B710BDE" w14:textId="77777777" w:rsidTr="00500EEB">
        <w:tc>
          <w:tcPr>
            <w:tcW w:w="988" w:type="dxa"/>
            <w:vAlign w:val="center"/>
          </w:tcPr>
          <w:p w14:paraId="302C5C22" w14:textId="77777777" w:rsidR="00A26985" w:rsidRPr="000B78E1" w:rsidRDefault="00A26985" w:rsidP="00534212">
            <w:pPr>
              <w:spacing w:line="276" w:lineRule="auto"/>
              <w:rPr>
                <w:rFonts w:ascii="Arial" w:hAnsi="Arial" w:cs="Arial"/>
                <w:sz w:val="22"/>
                <w:szCs w:val="22"/>
              </w:rPr>
            </w:pPr>
            <w:r w:rsidRPr="000B78E1">
              <w:rPr>
                <w:rFonts w:ascii="Arial" w:hAnsi="Arial" w:cs="Arial"/>
                <w:sz w:val="22"/>
                <w:szCs w:val="22"/>
              </w:rPr>
              <w:t>Nikaido et al. (2015)</w:t>
            </w:r>
          </w:p>
        </w:tc>
        <w:tc>
          <w:tcPr>
            <w:tcW w:w="1559" w:type="dxa"/>
            <w:vAlign w:val="center"/>
          </w:tcPr>
          <w:p w14:paraId="30D7416B" w14:textId="77777777" w:rsidR="00A26985" w:rsidRPr="000B78E1" w:rsidRDefault="00A26985" w:rsidP="00534212">
            <w:pPr>
              <w:spacing w:line="276" w:lineRule="auto"/>
              <w:rPr>
                <w:rFonts w:ascii="Arial" w:hAnsi="Arial" w:cs="Arial"/>
                <w:sz w:val="22"/>
                <w:szCs w:val="22"/>
              </w:rPr>
            </w:pPr>
            <w:r w:rsidRPr="000B78E1">
              <w:rPr>
                <w:rFonts w:ascii="Arial" w:hAnsi="Arial" w:cs="Arial"/>
                <w:sz w:val="22"/>
                <w:szCs w:val="22"/>
              </w:rPr>
              <w:t>Formal credit depends more on firm capability and institutions than policy intent.</w:t>
            </w:r>
          </w:p>
        </w:tc>
        <w:tc>
          <w:tcPr>
            <w:tcW w:w="1559" w:type="dxa"/>
            <w:vAlign w:val="center"/>
          </w:tcPr>
          <w:p w14:paraId="4CF58122"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Credit rationing, Information asymmetry &amp; Transaction cost logic</w:t>
            </w:r>
          </w:p>
        </w:tc>
        <w:tc>
          <w:tcPr>
            <w:tcW w:w="1559" w:type="dxa"/>
            <w:vAlign w:val="center"/>
          </w:tcPr>
          <w:p w14:paraId="0167D856"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Large-scale cross-sectional econometric analysis using probit with sample selection.</w:t>
            </w:r>
          </w:p>
        </w:tc>
        <w:tc>
          <w:tcPr>
            <w:tcW w:w="1701" w:type="dxa"/>
            <w:vAlign w:val="center"/>
          </w:tcPr>
          <w:p w14:paraId="07E30CB3"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Larger, registered firms get more credit, female owned firms get less, with weak collateral and regional gaps.</w:t>
            </w:r>
          </w:p>
        </w:tc>
        <w:tc>
          <w:tcPr>
            <w:tcW w:w="1560" w:type="dxa"/>
            <w:vAlign w:val="center"/>
          </w:tcPr>
          <w:p w14:paraId="2C6ADE03"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cross-sectional and misses loan details and discouraged borrowers</w:t>
            </w:r>
          </w:p>
        </w:tc>
        <w:tc>
          <w:tcPr>
            <w:tcW w:w="1701" w:type="dxa"/>
            <w:vAlign w:val="center"/>
          </w:tcPr>
          <w:p w14:paraId="1AD3D3CC"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Shows how institutions and firm traits affect credit access.</w:t>
            </w:r>
          </w:p>
        </w:tc>
      </w:tr>
      <w:tr w:rsidR="00A26985" w:rsidRPr="000B78E1" w14:paraId="0FCA835B" w14:textId="77777777" w:rsidTr="00500EEB">
        <w:tc>
          <w:tcPr>
            <w:tcW w:w="988" w:type="dxa"/>
            <w:vAlign w:val="center"/>
          </w:tcPr>
          <w:p w14:paraId="4AE1222C" w14:textId="77777777" w:rsidR="00A26985" w:rsidRPr="000B78E1" w:rsidRDefault="00A26985" w:rsidP="00534212">
            <w:pPr>
              <w:spacing w:line="276" w:lineRule="auto"/>
              <w:jc w:val="both"/>
              <w:rPr>
                <w:rFonts w:ascii="Arial" w:hAnsi="Arial" w:cs="Arial"/>
                <w:sz w:val="22"/>
                <w:szCs w:val="22"/>
              </w:rPr>
            </w:pPr>
            <w:proofErr w:type="spellStart"/>
            <w:r w:rsidRPr="000B78E1">
              <w:rPr>
                <w:rFonts w:ascii="Arial" w:hAnsi="Arial" w:cs="Arial"/>
                <w:sz w:val="22"/>
                <w:szCs w:val="22"/>
              </w:rPr>
              <w:t>Harianto</w:t>
            </w:r>
            <w:proofErr w:type="spellEnd"/>
            <w:r w:rsidRPr="000B78E1">
              <w:rPr>
                <w:rFonts w:ascii="Arial" w:hAnsi="Arial" w:cs="Arial"/>
                <w:sz w:val="22"/>
                <w:szCs w:val="22"/>
              </w:rPr>
              <w:t xml:space="preserve"> et al. (2025)</w:t>
            </w:r>
          </w:p>
        </w:tc>
        <w:tc>
          <w:tcPr>
            <w:tcW w:w="1559" w:type="dxa"/>
            <w:vAlign w:val="center"/>
          </w:tcPr>
          <w:p w14:paraId="39E8BDF6"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Fintech adoption boosts SME sustainability by lowering risk and increasing confidence. .</w:t>
            </w:r>
          </w:p>
        </w:tc>
        <w:tc>
          <w:tcPr>
            <w:tcW w:w="1559" w:type="dxa"/>
            <w:vAlign w:val="center"/>
          </w:tcPr>
          <w:p w14:paraId="30CC6740"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Risk perception fintech adoption mediation logic</w:t>
            </w:r>
          </w:p>
        </w:tc>
        <w:tc>
          <w:tcPr>
            <w:tcW w:w="1559" w:type="dxa"/>
            <w:vAlign w:val="center"/>
          </w:tcPr>
          <w:p w14:paraId="2CA1D6C5"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Cross sectional survey, PLS-SEM</w:t>
            </w:r>
          </w:p>
        </w:tc>
        <w:tc>
          <w:tcPr>
            <w:tcW w:w="1701" w:type="dxa"/>
            <w:vAlign w:val="center"/>
          </w:tcPr>
          <w:p w14:paraId="57B91935"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Fintech adoption improves sustainability and links risk to sustainability.</w:t>
            </w:r>
          </w:p>
        </w:tc>
        <w:tc>
          <w:tcPr>
            <w:tcW w:w="1560" w:type="dxa"/>
            <w:vAlign w:val="center"/>
          </w:tcPr>
          <w:p w14:paraId="7308F7B1"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Useful link, but based on perceptions, small sample, and no credit outcomes.</w:t>
            </w:r>
          </w:p>
        </w:tc>
        <w:tc>
          <w:tcPr>
            <w:tcW w:w="1701" w:type="dxa"/>
            <w:vAlign w:val="center"/>
          </w:tcPr>
          <w:p w14:paraId="3A1341A7"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Digital finance may support sustainability, but results are indirect and depend on context.</w:t>
            </w:r>
          </w:p>
        </w:tc>
      </w:tr>
      <w:tr w:rsidR="00A26985" w:rsidRPr="000B78E1" w14:paraId="774D95A9" w14:textId="77777777" w:rsidTr="00500EEB">
        <w:tc>
          <w:tcPr>
            <w:tcW w:w="988" w:type="dxa"/>
            <w:vAlign w:val="center"/>
          </w:tcPr>
          <w:p w14:paraId="671DEBCF"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Chowdhury et al. (2022)</w:t>
            </w:r>
          </w:p>
        </w:tc>
        <w:tc>
          <w:tcPr>
            <w:tcW w:w="1559" w:type="dxa"/>
            <w:vAlign w:val="center"/>
          </w:tcPr>
          <w:p w14:paraId="01EC556C"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 xml:space="preserve">External finance improves SME </w:t>
            </w:r>
            <w:proofErr w:type="gramStart"/>
            <w:r w:rsidRPr="000B78E1">
              <w:rPr>
                <w:rFonts w:ascii="Arial" w:hAnsi="Arial" w:cs="Arial"/>
                <w:sz w:val="22"/>
                <w:szCs w:val="22"/>
              </w:rPr>
              <w:t>productivity</w:t>
            </w:r>
            <w:proofErr w:type="gramEnd"/>
            <w:r w:rsidRPr="000B78E1">
              <w:rPr>
                <w:rFonts w:ascii="Arial" w:hAnsi="Arial" w:cs="Arial"/>
                <w:sz w:val="22"/>
                <w:szCs w:val="22"/>
              </w:rPr>
              <w:t xml:space="preserve"> but firm signals have little effect.</w:t>
            </w:r>
          </w:p>
        </w:tc>
        <w:tc>
          <w:tcPr>
            <w:tcW w:w="1559" w:type="dxa"/>
            <w:vAlign w:val="center"/>
          </w:tcPr>
          <w:p w14:paraId="6295AEF4"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Information asymmetry, Credit rationing, Signalling logic</w:t>
            </w:r>
          </w:p>
        </w:tc>
        <w:tc>
          <w:tcPr>
            <w:tcW w:w="1559" w:type="dxa"/>
            <w:vAlign w:val="center"/>
          </w:tcPr>
          <w:p w14:paraId="2365B29E" w14:textId="77777777" w:rsidR="00A26985" w:rsidRPr="000B78E1" w:rsidRDefault="00A26985" w:rsidP="00534212">
            <w:pPr>
              <w:spacing w:line="276" w:lineRule="auto"/>
              <w:rPr>
                <w:rFonts w:ascii="Arial" w:hAnsi="Arial" w:cs="Arial"/>
                <w:sz w:val="22"/>
                <w:szCs w:val="22"/>
              </w:rPr>
            </w:pPr>
            <w:r w:rsidRPr="000B78E1">
              <w:rPr>
                <w:rFonts w:ascii="Arial" w:hAnsi="Arial" w:cs="Arial"/>
                <w:sz w:val="22"/>
                <w:szCs w:val="22"/>
              </w:rPr>
              <w:t>OLS with robust errors and Propensity Score Matching</w:t>
            </w:r>
          </w:p>
        </w:tc>
        <w:tc>
          <w:tcPr>
            <w:tcW w:w="1701" w:type="dxa"/>
            <w:vAlign w:val="center"/>
          </w:tcPr>
          <w:p w14:paraId="0F821811"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External finance boosts productivity</w:t>
            </w:r>
          </w:p>
        </w:tc>
        <w:tc>
          <w:tcPr>
            <w:tcW w:w="1560" w:type="dxa"/>
            <w:vAlign w:val="center"/>
          </w:tcPr>
          <w:p w14:paraId="0CE1EE4A"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Uses firm data and matching, but cross-sectional and based on older data.</w:t>
            </w:r>
          </w:p>
        </w:tc>
        <w:tc>
          <w:tcPr>
            <w:tcW w:w="1701" w:type="dxa"/>
            <w:vAlign w:val="center"/>
          </w:tcPr>
          <w:p w14:paraId="527F4381"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Finance improves SME performance, but quality signals don’t strengthen credit benefits.</w:t>
            </w:r>
          </w:p>
        </w:tc>
      </w:tr>
      <w:tr w:rsidR="00A26985" w:rsidRPr="000B78E1" w14:paraId="2EF5FC21" w14:textId="77777777" w:rsidTr="00500EEB">
        <w:tc>
          <w:tcPr>
            <w:tcW w:w="988" w:type="dxa"/>
            <w:vAlign w:val="center"/>
          </w:tcPr>
          <w:p w14:paraId="76736083"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Qi et al. (2021)</w:t>
            </w:r>
          </w:p>
        </w:tc>
        <w:tc>
          <w:tcPr>
            <w:tcW w:w="1559" w:type="dxa"/>
            <w:vAlign w:val="center"/>
          </w:tcPr>
          <w:p w14:paraId="434A85FD"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 xml:space="preserve">Formal bank finance supports employment generation in Bangladeshi </w:t>
            </w:r>
            <w:r w:rsidRPr="000B78E1">
              <w:rPr>
                <w:rFonts w:ascii="Arial" w:hAnsi="Arial" w:cs="Arial"/>
                <w:sz w:val="22"/>
                <w:szCs w:val="22"/>
              </w:rPr>
              <w:lastRenderedPageBreak/>
              <w:t>MSMEs, especially skilled employment.</w:t>
            </w:r>
          </w:p>
        </w:tc>
        <w:tc>
          <w:tcPr>
            <w:tcW w:w="1559" w:type="dxa"/>
            <w:vAlign w:val="center"/>
          </w:tcPr>
          <w:p w14:paraId="1D031341"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lastRenderedPageBreak/>
              <w:t>Finance–growth–employment logic</w:t>
            </w:r>
          </w:p>
        </w:tc>
        <w:tc>
          <w:tcPr>
            <w:tcW w:w="1559" w:type="dxa"/>
            <w:vAlign w:val="center"/>
          </w:tcPr>
          <w:p w14:paraId="1A065E03"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Before–after comparison using t-tests and Mann–Whitney tests</w:t>
            </w:r>
          </w:p>
        </w:tc>
        <w:tc>
          <w:tcPr>
            <w:tcW w:w="1701" w:type="dxa"/>
            <w:vAlign w:val="center"/>
          </w:tcPr>
          <w:p w14:paraId="015151D1"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Employment and skilled employment increased after receiving bank loans; low-</w:t>
            </w:r>
            <w:r w:rsidRPr="000B78E1">
              <w:rPr>
                <w:rFonts w:ascii="Arial" w:hAnsi="Arial" w:cs="Arial"/>
                <w:sz w:val="22"/>
                <w:szCs w:val="22"/>
              </w:rPr>
              <w:lastRenderedPageBreak/>
              <w:t>skilled employment did not rise significantly</w:t>
            </w:r>
          </w:p>
        </w:tc>
        <w:tc>
          <w:tcPr>
            <w:tcW w:w="1560" w:type="dxa"/>
            <w:vAlign w:val="center"/>
          </w:tcPr>
          <w:p w14:paraId="27BC5F4C" w14:textId="77777777" w:rsidR="00A26985" w:rsidRPr="000B78E1" w:rsidRDefault="00A26985" w:rsidP="00534212">
            <w:pPr>
              <w:spacing w:line="276" w:lineRule="auto"/>
              <w:rPr>
                <w:rFonts w:ascii="Arial" w:hAnsi="Arial" w:cs="Arial"/>
                <w:sz w:val="22"/>
                <w:szCs w:val="22"/>
              </w:rPr>
            </w:pPr>
            <w:r w:rsidRPr="000B78E1">
              <w:rPr>
                <w:rFonts w:ascii="Arial" w:hAnsi="Arial" w:cs="Arial"/>
                <w:sz w:val="22"/>
                <w:szCs w:val="22"/>
              </w:rPr>
              <w:lastRenderedPageBreak/>
              <w:t xml:space="preserve">Offers useful outcome evidence, but lacks a proper control group </w:t>
            </w:r>
            <w:r w:rsidRPr="000B78E1">
              <w:rPr>
                <w:rFonts w:ascii="Arial" w:hAnsi="Arial" w:cs="Arial"/>
                <w:sz w:val="22"/>
                <w:szCs w:val="22"/>
              </w:rPr>
              <w:lastRenderedPageBreak/>
              <w:t>and cannot isolate causal effects well</w:t>
            </w:r>
          </w:p>
        </w:tc>
        <w:tc>
          <w:tcPr>
            <w:tcW w:w="1701" w:type="dxa"/>
            <w:vAlign w:val="center"/>
          </w:tcPr>
          <w:p w14:paraId="00A0AC13"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lastRenderedPageBreak/>
              <w:t>Relevant because it connects credit access to a concrete sustainability-</w:t>
            </w:r>
            <w:r w:rsidRPr="000B78E1">
              <w:rPr>
                <w:rFonts w:ascii="Arial" w:hAnsi="Arial" w:cs="Arial"/>
                <w:sz w:val="22"/>
                <w:szCs w:val="22"/>
              </w:rPr>
              <w:lastRenderedPageBreak/>
              <w:t>related outcome: employment generation</w:t>
            </w:r>
          </w:p>
        </w:tc>
      </w:tr>
      <w:tr w:rsidR="00A26985" w:rsidRPr="000B78E1" w14:paraId="0A2A1C02" w14:textId="77777777" w:rsidTr="00500EEB">
        <w:tc>
          <w:tcPr>
            <w:tcW w:w="988" w:type="dxa"/>
            <w:vAlign w:val="center"/>
          </w:tcPr>
          <w:p w14:paraId="2DD6480F"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lastRenderedPageBreak/>
              <w:t>Alvi et al. (2025)</w:t>
            </w:r>
          </w:p>
        </w:tc>
        <w:tc>
          <w:tcPr>
            <w:tcW w:w="1559" w:type="dxa"/>
            <w:vAlign w:val="center"/>
          </w:tcPr>
          <w:p w14:paraId="1097286A"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Digital credit boosts resilience, but risks and uneven access remain.</w:t>
            </w:r>
          </w:p>
        </w:tc>
        <w:tc>
          <w:tcPr>
            <w:tcW w:w="1559" w:type="dxa"/>
            <w:vAlign w:val="center"/>
          </w:tcPr>
          <w:p w14:paraId="11F6307E"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Financial inclusion poverty alleviation logic</w:t>
            </w:r>
          </w:p>
        </w:tc>
        <w:tc>
          <w:tcPr>
            <w:tcW w:w="1559" w:type="dxa"/>
            <w:vAlign w:val="center"/>
          </w:tcPr>
          <w:p w14:paraId="2CAF1E47"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Mixed methods. Survey, regression, interviews, thematic analysis.</w:t>
            </w:r>
          </w:p>
        </w:tc>
        <w:tc>
          <w:tcPr>
            <w:tcW w:w="1701" w:type="dxa"/>
            <w:vAlign w:val="center"/>
          </w:tcPr>
          <w:p w14:paraId="55294EBA"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Improves access and income but faces literacy, privacy, cost, and regulatory barriers.</w:t>
            </w:r>
          </w:p>
          <w:p w14:paraId="2CBE139B" w14:textId="77777777" w:rsidR="00A26985" w:rsidRPr="000B78E1" w:rsidRDefault="00A26985" w:rsidP="00534212">
            <w:pPr>
              <w:spacing w:line="276" w:lineRule="auto"/>
              <w:jc w:val="both"/>
              <w:rPr>
                <w:rFonts w:ascii="Arial" w:hAnsi="Arial" w:cs="Arial"/>
                <w:sz w:val="22"/>
                <w:szCs w:val="22"/>
              </w:rPr>
            </w:pPr>
          </w:p>
        </w:tc>
        <w:tc>
          <w:tcPr>
            <w:tcW w:w="1560" w:type="dxa"/>
            <w:vAlign w:val="center"/>
          </w:tcPr>
          <w:p w14:paraId="1302F994"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 xml:space="preserve">Based </w:t>
            </w:r>
            <w:proofErr w:type="gramStart"/>
            <w:r w:rsidRPr="000B78E1">
              <w:rPr>
                <w:rFonts w:ascii="Arial" w:hAnsi="Arial" w:cs="Arial"/>
                <w:sz w:val="22"/>
                <w:szCs w:val="22"/>
              </w:rPr>
              <w:t>on  perception</w:t>
            </w:r>
            <w:proofErr w:type="gramEnd"/>
            <w:r w:rsidRPr="000B78E1">
              <w:rPr>
                <w:rFonts w:ascii="Arial" w:hAnsi="Arial" w:cs="Arial"/>
                <w:sz w:val="22"/>
                <w:szCs w:val="22"/>
              </w:rPr>
              <w:t xml:space="preserve"> and lacks loan data validation.</w:t>
            </w:r>
          </w:p>
        </w:tc>
        <w:tc>
          <w:tcPr>
            <w:tcW w:w="1701" w:type="dxa"/>
            <w:vAlign w:val="center"/>
          </w:tcPr>
          <w:p w14:paraId="742D5531"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Shows credit improves welfare, but sustainability depends on conditions.</w:t>
            </w:r>
          </w:p>
        </w:tc>
      </w:tr>
      <w:tr w:rsidR="00A26985" w:rsidRPr="000B78E1" w14:paraId="0E9B124C" w14:textId="77777777" w:rsidTr="00500EEB">
        <w:tc>
          <w:tcPr>
            <w:tcW w:w="988" w:type="dxa"/>
            <w:vAlign w:val="center"/>
          </w:tcPr>
          <w:p w14:paraId="0C813F16"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Zhou and Pacala (2025)</w:t>
            </w:r>
          </w:p>
        </w:tc>
        <w:tc>
          <w:tcPr>
            <w:tcW w:w="1559" w:type="dxa"/>
            <w:vAlign w:val="center"/>
          </w:tcPr>
          <w:p w14:paraId="555DF7F9"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Finance improves SME sustainability when it builds digital agility.</w:t>
            </w:r>
          </w:p>
        </w:tc>
        <w:tc>
          <w:tcPr>
            <w:tcW w:w="1559" w:type="dxa"/>
            <w:vAlign w:val="center"/>
          </w:tcPr>
          <w:p w14:paraId="10FEE227"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RBV, Triple Bottom Line</w:t>
            </w:r>
          </w:p>
        </w:tc>
        <w:tc>
          <w:tcPr>
            <w:tcW w:w="1559" w:type="dxa"/>
            <w:vAlign w:val="center"/>
          </w:tcPr>
          <w:p w14:paraId="1D36ABB7"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 xml:space="preserve">Cross </w:t>
            </w:r>
            <w:proofErr w:type="gramStart"/>
            <w:r w:rsidRPr="000B78E1">
              <w:rPr>
                <w:rFonts w:ascii="Arial" w:hAnsi="Arial" w:cs="Arial"/>
                <w:sz w:val="22"/>
                <w:szCs w:val="22"/>
              </w:rPr>
              <w:t>sectional  383</w:t>
            </w:r>
            <w:proofErr w:type="gramEnd"/>
            <w:r w:rsidRPr="000B78E1">
              <w:rPr>
                <w:rFonts w:ascii="Arial" w:hAnsi="Arial" w:cs="Arial"/>
                <w:sz w:val="22"/>
                <w:szCs w:val="22"/>
              </w:rPr>
              <w:t xml:space="preserve"> SME survey; PLS-SEM.</w:t>
            </w:r>
          </w:p>
        </w:tc>
        <w:tc>
          <w:tcPr>
            <w:tcW w:w="1701" w:type="dxa"/>
            <w:vAlign w:val="center"/>
          </w:tcPr>
          <w:p w14:paraId="55665223"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Finance boosts sustainability; digital agility mediates, Industry 5.0 strengthens</w:t>
            </w:r>
          </w:p>
        </w:tc>
        <w:tc>
          <w:tcPr>
            <w:tcW w:w="1560" w:type="dxa"/>
            <w:vAlign w:val="center"/>
          </w:tcPr>
          <w:p w14:paraId="5169ED91"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Strong design, but survey based, one country, and no finance quality data.</w:t>
            </w:r>
          </w:p>
        </w:tc>
        <w:tc>
          <w:tcPr>
            <w:tcW w:w="1701" w:type="dxa"/>
            <w:vAlign w:val="center"/>
          </w:tcPr>
          <w:p w14:paraId="67CBC03F" w14:textId="77777777" w:rsidR="00A26985" w:rsidRPr="000B78E1" w:rsidRDefault="00A26985" w:rsidP="00534212">
            <w:pPr>
              <w:spacing w:line="276" w:lineRule="auto"/>
              <w:jc w:val="both"/>
              <w:rPr>
                <w:rFonts w:ascii="Arial" w:hAnsi="Arial" w:cs="Arial"/>
                <w:sz w:val="22"/>
                <w:szCs w:val="22"/>
              </w:rPr>
            </w:pPr>
            <w:r w:rsidRPr="000B78E1">
              <w:rPr>
                <w:rFonts w:ascii="Arial" w:hAnsi="Arial" w:cs="Arial"/>
                <w:sz w:val="22"/>
                <w:szCs w:val="22"/>
              </w:rPr>
              <w:t>Shows finance supports sustainability through capability, not just capital.</w:t>
            </w:r>
          </w:p>
        </w:tc>
      </w:tr>
      <w:tr w:rsidR="00A26985" w:rsidRPr="000B78E1" w14:paraId="5CB6A2DE" w14:textId="77777777" w:rsidTr="00500EEB">
        <w:tc>
          <w:tcPr>
            <w:tcW w:w="988" w:type="dxa"/>
            <w:vAlign w:val="center"/>
          </w:tcPr>
          <w:p w14:paraId="6E19A62E" w14:textId="77777777" w:rsidR="00A26985" w:rsidRPr="000B78E1" w:rsidRDefault="00A26985" w:rsidP="00556295">
            <w:pPr>
              <w:spacing w:line="276" w:lineRule="auto"/>
              <w:jc w:val="both"/>
              <w:rPr>
                <w:rFonts w:ascii="Arial" w:hAnsi="Arial" w:cs="Arial"/>
                <w:sz w:val="22"/>
                <w:szCs w:val="22"/>
              </w:rPr>
            </w:pPr>
            <w:r w:rsidRPr="000B78E1">
              <w:rPr>
                <w:rFonts w:ascii="Arial" w:hAnsi="Arial" w:cs="Arial"/>
                <w:sz w:val="22"/>
                <w:szCs w:val="22"/>
              </w:rPr>
              <w:t>Kato et al. (2024)</w:t>
            </w:r>
          </w:p>
        </w:tc>
        <w:tc>
          <w:tcPr>
            <w:tcW w:w="1559" w:type="dxa"/>
            <w:vAlign w:val="center"/>
          </w:tcPr>
          <w:p w14:paraId="690911DE" w14:textId="77777777" w:rsidR="00A26985" w:rsidRPr="000B78E1" w:rsidRDefault="00A26985" w:rsidP="00556295">
            <w:pPr>
              <w:spacing w:line="276" w:lineRule="auto"/>
              <w:jc w:val="both"/>
              <w:rPr>
                <w:rFonts w:ascii="Arial" w:hAnsi="Arial" w:cs="Arial"/>
                <w:sz w:val="22"/>
                <w:szCs w:val="22"/>
              </w:rPr>
            </w:pPr>
            <w:r w:rsidRPr="000B78E1">
              <w:rPr>
                <w:rFonts w:ascii="Arial" w:hAnsi="Arial" w:cs="Arial"/>
                <w:sz w:val="22"/>
                <w:szCs w:val="22"/>
              </w:rPr>
              <w:t>Sustainable finance supports SMEs, but effects are partial and context dependent.</w:t>
            </w:r>
          </w:p>
        </w:tc>
        <w:tc>
          <w:tcPr>
            <w:tcW w:w="1559" w:type="dxa"/>
            <w:vAlign w:val="center"/>
          </w:tcPr>
          <w:p w14:paraId="1BFF65DD" w14:textId="77777777" w:rsidR="00A26985" w:rsidRPr="000B78E1" w:rsidRDefault="00A26985" w:rsidP="00556295">
            <w:pPr>
              <w:spacing w:line="276" w:lineRule="auto"/>
              <w:jc w:val="both"/>
              <w:rPr>
                <w:rFonts w:ascii="Arial" w:hAnsi="Arial" w:cs="Arial"/>
                <w:sz w:val="22"/>
                <w:szCs w:val="22"/>
              </w:rPr>
            </w:pPr>
            <w:r w:rsidRPr="000B78E1">
              <w:rPr>
                <w:rFonts w:ascii="Arial" w:hAnsi="Arial" w:cs="Arial"/>
                <w:sz w:val="22"/>
                <w:szCs w:val="22"/>
              </w:rPr>
              <w:t>ESG, sustainable finance logic</w:t>
            </w:r>
          </w:p>
        </w:tc>
        <w:tc>
          <w:tcPr>
            <w:tcW w:w="1559" w:type="dxa"/>
            <w:vAlign w:val="center"/>
          </w:tcPr>
          <w:p w14:paraId="2FF39E90" w14:textId="77777777" w:rsidR="00A26985" w:rsidRPr="000B78E1" w:rsidRDefault="00A26985" w:rsidP="00556295">
            <w:pPr>
              <w:spacing w:line="276" w:lineRule="auto"/>
              <w:jc w:val="both"/>
              <w:rPr>
                <w:rFonts w:ascii="Arial" w:hAnsi="Arial" w:cs="Arial"/>
                <w:sz w:val="22"/>
                <w:szCs w:val="22"/>
              </w:rPr>
            </w:pPr>
            <w:r w:rsidRPr="000B78E1">
              <w:rPr>
                <w:rFonts w:ascii="Arial" w:hAnsi="Arial" w:cs="Arial"/>
                <w:sz w:val="22"/>
                <w:szCs w:val="22"/>
              </w:rPr>
              <w:t>Mixed methods; multivariate regression; factor analysis; interviews</w:t>
            </w:r>
          </w:p>
        </w:tc>
        <w:tc>
          <w:tcPr>
            <w:tcW w:w="1701" w:type="dxa"/>
            <w:vAlign w:val="center"/>
          </w:tcPr>
          <w:p w14:paraId="3016B488" w14:textId="77777777" w:rsidR="00A26985" w:rsidRPr="000B78E1" w:rsidRDefault="00A26985" w:rsidP="00556295">
            <w:pPr>
              <w:spacing w:line="276" w:lineRule="auto"/>
              <w:jc w:val="both"/>
              <w:rPr>
                <w:rFonts w:ascii="Arial" w:hAnsi="Arial" w:cs="Arial"/>
                <w:sz w:val="22"/>
                <w:szCs w:val="22"/>
              </w:rPr>
            </w:pPr>
            <w:r w:rsidRPr="000B78E1">
              <w:rPr>
                <w:rFonts w:ascii="Arial" w:hAnsi="Arial" w:cs="Arial"/>
                <w:sz w:val="22"/>
                <w:szCs w:val="22"/>
              </w:rPr>
              <w:t>Sustainable finance and support improve SMEs, but effects are moderate.</w:t>
            </w:r>
          </w:p>
        </w:tc>
        <w:tc>
          <w:tcPr>
            <w:tcW w:w="1560" w:type="dxa"/>
            <w:vAlign w:val="center"/>
          </w:tcPr>
          <w:p w14:paraId="7218A46A" w14:textId="77777777" w:rsidR="00A26985" w:rsidRPr="000B78E1" w:rsidRDefault="00A26985" w:rsidP="00556295">
            <w:pPr>
              <w:spacing w:line="276" w:lineRule="auto"/>
              <w:jc w:val="both"/>
              <w:rPr>
                <w:rFonts w:ascii="Arial" w:hAnsi="Arial" w:cs="Arial"/>
                <w:sz w:val="22"/>
                <w:szCs w:val="22"/>
              </w:rPr>
            </w:pPr>
            <w:r w:rsidRPr="000B78E1">
              <w:rPr>
                <w:rFonts w:ascii="Arial" w:hAnsi="Arial" w:cs="Arial"/>
                <w:sz w:val="22"/>
                <w:szCs w:val="22"/>
              </w:rPr>
              <w:t>Links finance to sustainability but has unclear unit and weak causality.</w:t>
            </w:r>
          </w:p>
        </w:tc>
        <w:tc>
          <w:tcPr>
            <w:tcW w:w="1701" w:type="dxa"/>
            <w:vAlign w:val="center"/>
          </w:tcPr>
          <w:p w14:paraId="36685CA3" w14:textId="77777777" w:rsidR="00A26985" w:rsidRPr="000B78E1" w:rsidRDefault="00A26985" w:rsidP="00556295">
            <w:pPr>
              <w:spacing w:line="276" w:lineRule="auto"/>
              <w:jc w:val="both"/>
              <w:rPr>
                <w:rFonts w:ascii="Arial" w:hAnsi="Arial" w:cs="Arial"/>
                <w:sz w:val="22"/>
                <w:szCs w:val="22"/>
              </w:rPr>
            </w:pPr>
            <w:r w:rsidRPr="000B78E1">
              <w:rPr>
                <w:rFonts w:ascii="Arial" w:hAnsi="Arial" w:cs="Arial"/>
                <w:sz w:val="22"/>
                <w:szCs w:val="22"/>
              </w:rPr>
              <w:t>Broadens focus from access to finance quality and purpose.</w:t>
            </w:r>
          </w:p>
        </w:tc>
      </w:tr>
    </w:tbl>
    <w:p w14:paraId="62083476" w14:textId="3CC7D58D" w:rsidR="00A26985" w:rsidRPr="00534212" w:rsidRDefault="00A26985" w:rsidP="000B78E1">
      <w:pPr>
        <w:spacing w:line="360" w:lineRule="auto"/>
        <w:jc w:val="both"/>
        <w:rPr>
          <w:rFonts w:ascii="Arial" w:hAnsi="Arial" w:cs="Arial"/>
          <w:sz w:val="22"/>
          <w:szCs w:val="22"/>
        </w:rPr>
      </w:pPr>
      <w:r w:rsidRPr="00534212">
        <w:rPr>
          <w:rFonts w:ascii="Arial" w:hAnsi="Arial" w:cs="Arial"/>
          <w:b/>
          <w:bCs/>
          <w:sz w:val="22"/>
          <w:szCs w:val="22"/>
        </w:rPr>
        <w:t>Note:</w:t>
      </w:r>
      <w:r w:rsidRPr="00534212">
        <w:rPr>
          <w:rFonts w:ascii="Arial" w:hAnsi="Arial" w:cs="Arial"/>
          <w:sz w:val="22"/>
          <w:szCs w:val="22"/>
        </w:rPr>
        <w:t xml:space="preserve"> This table presents selected high-relevance studies. A full list of reviewed studies is available in Appendix </w:t>
      </w:r>
      <w:r w:rsidR="00327F40" w:rsidRPr="00534212">
        <w:rPr>
          <w:rFonts w:ascii="Arial" w:hAnsi="Arial" w:cs="Arial"/>
          <w:sz w:val="22"/>
          <w:szCs w:val="22"/>
        </w:rPr>
        <w:t>C</w:t>
      </w:r>
    </w:p>
    <w:p w14:paraId="57A14F12" w14:textId="77777777" w:rsidR="00534212" w:rsidRDefault="00534212" w:rsidP="000B78E1">
      <w:pPr>
        <w:spacing w:line="360" w:lineRule="auto"/>
        <w:jc w:val="both"/>
        <w:rPr>
          <w:rFonts w:ascii="Arial" w:hAnsi="Arial" w:cs="Arial"/>
          <w:sz w:val="22"/>
          <w:szCs w:val="22"/>
        </w:rPr>
      </w:pPr>
    </w:p>
    <w:p w14:paraId="0AAE6BE5" w14:textId="209419B2" w:rsidR="00C64B7E" w:rsidRPr="000B78E1" w:rsidRDefault="0098065F" w:rsidP="000B78E1">
      <w:pPr>
        <w:spacing w:line="360" w:lineRule="auto"/>
        <w:jc w:val="both"/>
        <w:rPr>
          <w:rFonts w:ascii="Arial" w:hAnsi="Arial" w:cs="Arial"/>
          <w:sz w:val="22"/>
          <w:szCs w:val="22"/>
        </w:rPr>
      </w:pPr>
      <w:r w:rsidRPr="000B78E1">
        <w:rPr>
          <w:rFonts w:ascii="Arial" w:hAnsi="Arial" w:cs="Arial"/>
          <w:sz w:val="22"/>
          <w:szCs w:val="22"/>
        </w:rPr>
        <w:t>Throughout the literature</w:t>
      </w:r>
      <w:r w:rsidR="00C64B7E" w:rsidRPr="000B78E1">
        <w:rPr>
          <w:rFonts w:ascii="Arial" w:hAnsi="Arial" w:cs="Arial"/>
          <w:sz w:val="22"/>
          <w:szCs w:val="22"/>
        </w:rPr>
        <w:t xml:space="preserve">, most studies agree that access to finance helps SMEs improve </w:t>
      </w:r>
      <w:proofErr w:type="gramStart"/>
      <w:r w:rsidR="00C64B7E" w:rsidRPr="000B78E1">
        <w:rPr>
          <w:rFonts w:ascii="Arial" w:hAnsi="Arial" w:cs="Arial"/>
          <w:sz w:val="22"/>
          <w:szCs w:val="22"/>
        </w:rPr>
        <w:t>performance</w:t>
      </w:r>
      <w:proofErr w:type="gramEnd"/>
      <w:r w:rsidRPr="000B78E1">
        <w:rPr>
          <w:rFonts w:ascii="Arial" w:hAnsi="Arial" w:cs="Arial"/>
          <w:sz w:val="22"/>
          <w:szCs w:val="22"/>
        </w:rPr>
        <w:t xml:space="preserve"> </w:t>
      </w:r>
      <w:r w:rsidR="00C64B7E" w:rsidRPr="000B78E1">
        <w:rPr>
          <w:rFonts w:ascii="Arial" w:hAnsi="Arial" w:cs="Arial"/>
          <w:sz w:val="22"/>
          <w:szCs w:val="22"/>
        </w:rPr>
        <w:t>but its impact is usually partial, not transformational. Many studies show that credit improves productivity, employment, liquidity</w:t>
      </w:r>
      <w:r w:rsidR="00880831" w:rsidRPr="000B78E1">
        <w:rPr>
          <w:rFonts w:ascii="Arial" w:hAnsi="Arial" w:cs="Arial"/>
          <w:sz w:val="22"/>
          <w:szCs w:val="22"/>
        </w:rPr>
        <w:t xml:space="preserve"> </w:t>
      </w:r>
      <w:r w:rsidR="00C64B7E" w:rsidRPr="000B78E1">
        <w:rPr>
          <w:rFonts w:ascii="Arial" w:hAnsi="Arial" w:cs="Arial"/>
          <w:sz w:val="22"/>
          <w:szCs w:val="22"/>
        </w:rPr>
        <w:t xml:space="preserve">and short-term performance. For example, external finance increases SME productivity in Bangladesh (Chowdhury et al., 2022) and formal bank loans support employment generation (Qi et al., 2021). Digital and mobile credit also improve short-term financial performance and cash flow (Thomas and Mwenda, 2025; </w:t>
      </w:r>
      <w:proofErr w:type="spellStart"/>
      <w:r w:rsidR="00C64B7E" w:rsidRPr="000B78E1">
        <w:rPr>
          <w:rFonts w:ascii="Arial" w:hAnsi="Arial" w:cs="Arial"/>
          <w:sz w:val="22"/>
          <w:szCs w:val="22"/>
        </w:rPr>
        <w:t>Alumasa</w:t>
      </w:r>
      <w:proofErr w:type="spellEnd"/>
      <w:r w:rsidR="00C64B7E" w:rsidRPr="000B78E1">
        <w:rPr>
          <w:rFonts w:ascii="Arial" w:hAnsi="Arial" w:cs="Arial"/>
          <w:sz w:val="22"/>
          <w:szCs w:val="22"/>
        </w:rPr>
        <w:t xml:space="preserve"> and </w:t>
      </w:r>
      <w:proofErr w:type="spellStart"/>
      <w:r w:rsidR="00C64B7E" w:rsidRPr="000B78E1">
        <w:rPr>
          <w:rFonts w:ascii="Arial" w:hAnsi="Arial" w:cs="Arial"/>
          <w:sz w:val="22"/>
          <w:szCs w:val="22"/>
        </w:rPr>
        <w:t>Muathe</w:t>
      </w:r>
      <w:proofErr w:type="spellEnd"/>
      <w:r w:rsidR="00C64B7E" w:rsidRPr="000B78E1">
        <w:rPr>
          <w:rFonts w:ascii="Arial" w:hAnsi="Arial" w:cs="Arial"/>
          <w:sz w:val="22"/>
          <w:szCs w:val="22"/>
        </w:rPr>
        <w:t xml:space="preserve">, 2021). In addition, digital finance and fintech can support sustainability by reducing financing constraints and improving efficiency (Liu and Zhang, 2020; Zhang et al., 2026; </w:t>
      </w:r>
      <w:proofErr w:type="spellStart"/>
      <w:r w:rsidR="00C64B7E" w:rsidRPr="000B78E1">
        <w:rPr>
          <w:rFonts w:ascii="Arial" w:hAnsi="Arial" w:cs="Arial"/>
          <w:sz w:val="22"/>
          <w:szCs w:val="22"/>
        </w:rPr>
        <w:t>Harianto</w:t>
      </w:r>
      <w:proofErr w:type="spellEnd"/>
      <w:r w:rsidR="00C64B7E" w:rsidRPr="000B78E1">
        <w:rPr>
          <w:rFonts w:ascii="Arial" w:hAnsi="Arial" w:cs="Arial"/>
          <w:sz w:val="22"/>
          <w:szCs w:val="22"/>
        </w:rPr>
        <w:t xml:space="preserve"> et al., 2025). Overall, finance is an important enabler of SME growth.</w:t>
      </w:r>
      <w:r w:rsidR="00534212">
        <w:rPr>
          <w:rFonts w:ascii="Arial" w:hAnsi="Arial" w:cs="Arial"/>
          <w:sz w:val="22"/>
          <w:szCs w:val="22"/>
        </w:rPr>
        <w:t xml:space="preserve"> But the</w:t>
      </w:r>
      <w:r w:rsidR="00C64B7E" w:rsidRPr="000B78E1">
        <w:rPr>
          <w:rFonts w:ascii="Arial" w:hAnsi="Arial" w:cs="Arial"/>
          <w:sz w:val="22"/>
          <w:szCs w:val="22"/>
        </w:rPr>
        <w:t xml:space="preserve"> findings are not always consistent. Some studies show strong positive effects, while </w:t>
      </w:r>
      <w:r w:rsidR="00563A3F" w:rsidRPr="000B78E1">
        <w:rPr>
          <w:rFonts w:ascii="Arial" w:hAnsi="Arial" w:cs="Arial"/>
          <w:sz w:val="22"/>
          <w:szCs w:val="22"/>
        </w:rPr>
        <w:lastRenderedPageBreak/>
        <w:t xml:space="preserve">depending on context </w:t>
      </w:r>
      <w:r w:rsidR="00C64B7E" w:rsidRPr="000B78E1">
        <w:rPr>
          <w:rFonts w:ascii="Arial" w:hAnsi="Arial" w:cs="Arial"/>
          <w:sz w:val="22"/>
          <w:szCs w:val="22"/>
        </w:rPr>
        <w:t>others find weak or uneven results (Zhou and Pacala, 2025; Kato et al., 2024). In some cases, formal credit improves performance only in certain countries and informal credit may reduce performance (</w:t>
      </w:r>
      <w:proofErr w:type="spellStart"/>
      <w:r w:rsidR="00C64B7E" w:rsidRPr="000B78E1">
        <w:rPr>
          <w:rFonts w:ascii="Arial" w:hAnsi="Arial" w:cs="Arial"/>
          <w:sz w:val="22"/>
          <w:szCs w:val="22"/>
        </w:rPr>
        <w:t>Mutsonziwa</w:t>
      </w:r>
      <w:proofErr w:type="spellEnd"/>
      <w:r w:rsidR="00C64B7E" w:rsidRPr="000B78E1">
        <w:rPr>
          <w:rFonts w:ascii="Arial" w:hAnsi="Arial" w:cs="Arial"/>
          <w:sz w:val="22"/>
          <w:szCs w:val="22"/>
        </w:rPr>
        <w:t xml:space="preserve"> and Fanta, 2021). Many SMEs use loans mainly for working capital, not long-term investment (</w:t>
      </w:r>
      <w:proofErr w:type="spellStart"/>
      <w:r w:rsidR="00C64B7E" w:rsidRPr="000B78E1">
        <w:rPr>
          <w:rFonts w:ascii="Arial" w:hAnsi="Arial" w:cs="Arial"/>
          <w:sz w:val="22"/>
          <w:szCs w:val="22"/>
        </w:rPr>
        <w:t>Alumasa</w:t>
      </w:r>
      <w:proofErr w:type="spellEnd"/>
      <w:r w:rsidR="00C64B7E" w:rsidRPr="000B78E1">
        <w:rPr>
          <w:rFonts w:ascii="Arial" w:hAnsi="Arial" w:cs="Arial"/>
          <w:sz w:val="22"/>
          <w:szCs w:val="22"/>
        </w:rPr>
        <w:t xml:space="preserve"> and </w:t>
      </w:r>
      <w:proofErr w:type="spellStart"/>
      <w:r w:rsidR="00C64B7E" w:rsidRPr="000B78E1">
        <w:rPr>
          <w:rFonts w:ascii="Arial" w:hAnsi="Arial" w:cs="Arial"/>
          <w:sz w:val="22"/>
          <w:szCs w:val="22"/>
        </w:rPr>
        <w:t>Muathe</w:t>
      </w:r>
      <w:proofErr w:type="spellEnd"/>
      <w:r w:rsidR="00C64B7E" w:rsidRPr="000B78E1">
        <w:rPr>
          <w:rFonts w:ascii="Arial" w:hAnsi="Arial" w:cs="Arial"/>
          <w:sz w:val="22"/>
          <w:szCs w:val="22"/>
        </w:rPr>
        <w:t xml:space="preserve">, 2021). </w:t>
      </w:r>
      <w:proofErr w:type="gramStart"/>
      <w:r w:rsidR="00C64B7E" w:rsidRPr="000B78E1">
        <w:rPr>
          <w:rFonts w:ascii="Arial" w:hAnsi="Arial" w:cs="Arial"/>
          <w:sz w:val="22"/>
          <w:szCs w:val="22"/>
        </w:rPr>
        <w:t>Also</w:t>
      </w:r>
      <w:proofErr w:type="gramEnd"/>
      <w:r w:rsidR="00C64B7E" w:rsidRPr="000B78E1">
        <w:rPr>
          <w:rFonts w:ascii="Arial" w:hAnsi="Arial" w:cs="Arial"/>
          <w:sz w:val="22"/>
          <w:szCs w:val="22"/>
        </w:rPr>
        <w:t xml:space="preserve"> firm quality does not always strengthen the impact of finance (Chowdhury et al., 2022).</w:t>
      </w:r>
    </w:p>
    <w:p w14:paraId="606DF007" w14:textId="27050CCE" w:rsidR="00C64B7E" w:rsidRPr="000B78E1" w:rsidRDefault="00C64B7E" w:rsidP="000B78E1">
      <w:pPr>
        <w:spacing w:line="360" w:lineRule="auto"/>
        <w:jc w:val="both"/>
        <w:rPr>
          <w:rFonts w:ascii="Arial" w:hAnsi="Arial" w:cs="Arial"/>
          <w:sz w:val="22"/>
          <w:szCs w:val="22"/>
        </w:rPr>
      </w:pPr>
      <w:r w:rsidRPr="000B78E1">
        <w:rPr>
          <w:rFonts w:ascii="Arial" w:hAnsi="Arial" w:cs="Arial"/>
          <w:sz w:val="22"/>
          <w:szCs w:val="22"/>
        </w:rPr>
        <w:t xml:space="preserve">Important gaps remain. Many studies do not explain how finance leads to long-term sustainability (Saad et al., 2021). There is little focus on loan quality, and many studies rely on survey data. Research on informal SMEs is also limited (Amin, 2024). </w:t>
      </w:r>
    </w:p>
    <w:p w14:paraId="1B8E4635" w14:textId="77777777" w:rsidR="00547592" w:rsidRPr="00AE42A5" w:rsidRDefault="00547592" w:rsidP="000B78E1">
      <w:pPr>
        <w:spacing w:line="360" w:lineRule="auto"/>
        <w:jc w:val="both"/>
        <w:rPr>
          <w:rFonts w:ascii="Arial" w:hAnsi="Arial" w:cs="Arial"/>
          <w:b/>
          <w:bCs/>
          <w:sz w:val="2"/>
          <w:szCs w:val="2"/>
        </w:rPr>
      </w:pPr>
    </w:p>
    <w:p w14:paraId="21B93A80" w14:textId="05FD71B7" w:rsidR="00327709" w:rsidRPr="000B78E1" w:rsidRDefault="001F1329" w:rsidP="000B78E1">
      <w:pPr>
        <w:spacing w:line="360" w:lineRule="auto"/>
        <w:jc w:val="both"/>
        <w:rPr>
          <w:rFonts w:ascii="Arial" w:hAnsi="Arial" w:cs="Arial"/>
          <w:b/>
          <w:bCs/>
          <w:sz w:val="22"/>
          <w:szCs w:val="22"/>
        </w:rPr>
      </w:pPr>
      <w:r w:rsidRPr="000B78E1">
        <w:rPr>
          <w:rFonts w:ascii="Arial" w:hAnsi="Arial" w:cs="Arial"/>
          <w:b/>
          <w:bCs/>
          <w:sz w:val="22"/>
          <w:szCs w:val="22"/>
        </w:rPr>
        <w:t>5.</w:t>
      </w:r>
      <w:r w:rsidR="00F0793A" w:rsidRPr="000B78E1">
        <w:rPr>
          <w:rFonts w:ascii="Arial" w:hAnsi="Arial" w:cs="Arial"/>
          <w:b/>
          <w:bCs/>
          <w:sz w:val="22"/>
          <w:szCs w:val="22"/>
        </w:rPr>
        <w:t>4</w:t>
      </w:r>
      <w:r w:rsidRPr="000B78E1">
        <w:rPr>
          <w:rFonts w:ascii="Arial" w:hAnsi="Arial" w:cs="Arial"/>
          <w:b/>
          <w:bCs/>
          <w:sz w:val="22"/>
          <w:szCs w:val="22"/>
        </w:rPr>
        <w:t>.</w:t>
      </w:r>
      <w:r w:rsidR="00F0793A" w:rsidRPr="000B78E1">
        <w:rPr>
          <w:rFonts w:ascii="Arial" w:hAnsi="Arial" w:cs="Arial"/>
          <w:b/>
          <w:bCs/>
          <w:sz w:val="22"/>
          <w:szCs w:val="22"/>
        </w:rPr>
        <w:t xml:space="preserve"> Constraints and Context Shaping the Impact of Digital Financial Services on SMEs</w:t>
      </w:r>
      <w:r w:rsidRPr="000B78E1">
        <w:rPr>
          <w:rFonts w:ascii="Arial" w:hAnsi="Arial" w:cs="Arial"/>
          <w:b/>
          <w:bCs/>
          <w:sz w:val="22"/>
          <w:szCs w:val="22"/>
        </w:rPr>
        <w:t>:</w:t>
      </w:r>
    </w:p>
    <w:p w14:paraId="057258B6" w14:textId="1608A85A" w:rsidR="00327F40" w:rsidRPr="00AE42A5" w:rsidRDefault="00327F40" w:rsidP="000B78E1">
      <w:pPr>
        <w:spacing w:line="360" w:lineRule="auto"/>
        <w:jc w:val="both"/>
        <w:rPr>
          <w:rFonts w:ascii="Arial" w:hAnsi="Arial" w:cs="Arial"/>
          <w:sz w:val="22"/>
          <w:szCs w:val="22"/>
        </w:rPr>
      </w:pPr>
      <w:r w:rsidRPr="00AE42A5">
        <w:rPr>
          <w:rFonts w:ascii="Arial" w:hAnsi="Arial" w:cs="Arial"/>
          <w:b/>
          <w:bCs/>
          <w:sz w:val="22"/>
          <w:szCs w:val="22"/>
        </w:rPr>
        <w:t>Table-4</w:t>
      </w:r>
      <w:r w:rsidRPr="00AE42A5">
        <w:rPr>
          <w:rFonts w:ascii="Arial" w:hAnsi="Arial" w:cs="Arial"/>
          <w:sz w:val="22"/>
          <w:szCs w:val="22"/>
        </w:rPr>
        <w:t>: Summary of Key Studies (Selected Sample)</w:t>
      </w:r>
    </w:p>
    <w:tbl>
      <w:tblPr>
        <w:tblStyle w:val="TableGrid"/>
        <w:tblpPr w:leftFromText="180" w:rightFromText="180" w:vertAnchor="text" w:horzAnchor="margin" w:tblpXSpec="center" w:tblpY="250"/>
        <w:tblW w:w="10627" w:type="dxa"/>
        <w:tblLayout w:type="fixed"/>
        <w:tblLook w:val="04A0" w:firstRow="1" w:lastRow="0" w:firstColumn="1" w:lastColumn="0" w:noHBand="0" w:noVBand="1"/>
      </w:tblPr>
      <w:tblGrid>
        <w:gridCol w:w="988"/>
        <w:gridCol w:w="1559"/>
        <w:gridCol w:w="1559"/>
        <w:gridCol w:w="1559"/>
        <w:gridCol w:w="1701"/>
        <w:gridCol w:w="1560"/>
        <w:gridCol w:w="1701"/>
      </w:tblGrid>
      <w:tr w:rsidR="00327F40" w:rsidRPr="00AE42A5" w14:paraId="4E636B68" w14:textId="77777777" w:rsidTr="00500EEB">
        <w:tc>
          <w:tcPr>
            <w:tcW w:w="988" w:type="dxa"/>
            <w:tcBorders>
              <w:top w:val="single" w:sz="8" w:space="0" w:color="auto"/>
              <w:left w:val="single" w:sz="8" w:space="0" w:color="auto"/>
              <w:bottom w:val="single" w:sz="8" w:space="0" w:color="auto"/>
              <w:right w:val="single" w:sz="8" w:space="0" w:color="auto"/>
            </w:tcBorders>
            <w:shd w:val="clear" w:color="auto" w:fill="E8E8E8" w:themeFill="background2"/>
          </w:tcPr>
          <w:p w14:paraId="11F2A110" w14:textId="77777777" w:rsidR="00327F40" w:rsidRPr="00AE42A5" w:rsidRDefault="00327F40" w:rsidP="00AE42A5">
            <w:pPr>
              <w:spacing w:line="276" w:lineRule="auto"/>
              <w:jc w:val="center"/>
              <w:rPr>
                <w:rFonts w:ascii="Arial" w:hAnsi="Arial" w:cs="Arial"/>
                <w:sz w:val="22"/>
                <w:szCs w:val="22"/>
              </w:rPr>
            </w:pPr>
            <w:r w:rsidRPr="00AE42A5">
              <w:rPr>
                <w:rFonts w:ascii="Arial" w:hAnsi="Arial" w:cs="Arial"/>
                <w:sz w:val="22"/>
                <w:szCs w:val="22"/>
              </w:rPr>
              <w:t>Citation</w:t>
            </w:r>
          </w:p>
        </w:tc>
        <w:tc>
          <w:tcPr>
            <w:tcW w:w="1559" w:type="dxa"/>
            <w:tcBorders>
              <w:top w:val="single" w:sz="8" w:space="0" w:color="auto"/>
              <w:left w:val="single" w:sz="8" w:space="0" w:color="auto"/>
              <w:bottom w:val="single" w:sz="8" w:space="0" w:color="auto"/>
              <w:right w:val="single" w:sz="8" w:space="0" w:color="auto"/>
            </w:tcBorders>
            <w:shd w:val="clear" w:color="auto" w:fill="E8E8E8" w:themeFill="background2"/>
          </w:tcPr>
          <w:p w14:paraId="2419A0EE" w14:textId="77777777" w:rsidR="00327F40" w:rsidRPr="00AE42A5" w:rsidRDefault="00327F40" w:rsidP="00AE42A5">
            <w:pPr>
              <w:spacing w:line="276" w:lineRule="auto"/>
              <w:jc w:val="center"/>
              <w:rPr>
                <w:rFonts w:ascii="Arial" w:hAnsi="Arial" w:cs="Arial"/>
                <w:sz w:val="22"/>
                <w:szCs w:val="22"/>
              </w:rPr>
            </w:pPr>
            <w:r w:rsidRPr="00AE42A5">
              <w:rPr>
                <w:rFonts w:ascii="Arial" w:hAnsi="Arial" w:cs="Arial"/>
                <w:sz w:val="22"/>
                <w:szCs w:val="22"/>
              </w:rPr>
              <w:t>Key Arguments</w:t>
            </w:r>
          </w:p>
        </w:tc>
        <w:tc>
          <w:tcPr>
            <w:tcW w:w="1559" w:type="dxa"/>
            <w:tcBorders>
              <w:top w:val="single" w:sz="8" w:space="0" w:color="auto"/>
              <w:left w:val="single" w:sz="8" w:space="0" w:color="auto"/>
              <w:bottom w:val="single" w:sz="8" w:space="0" w:color="auto"/>
              <w:right w:val="single" w:sz="8" w:space="0" w:color="auto"/>
            </w:tcBorders>
            <w:shd w:val="clear" w:color="auto" w:fill="E8E8E8" w:themeFill="background2"/>
          </w:tcPr>
          <w:p w14:paraId="063F9432" w14:textId="77777777" w:rsidR="00327F40" w:rsidRPr="00AE42A5" w:rsidRDefault="00327F40" w:rsidP="00AE42A5">
            <w:pPr>
              <w:spacing w:line="276" w:lineRule="auto"/>
              <w:jc w:val="center"/>
              <w:rPr>
                <w:rFonts w:ascii="Arial" w:hAnsi="Arial" w:cs="Arial"/>
                <w:sz w:val="22"/>
                <w:szCs w:val="22"/>
              </w:rPr>
            </w:pPr>
            <w:r w:rsidRPr="00AE42A5">
              <w:rPr>
                <w:rFonts w:ascii="Arial" w:hAnsi="Arial" w:cs="Arial"/>
                <w:sz w:val="22"/>
                <w:szCs w:val="22"/>
              </w:rPr>
              <w:t>Theoretical Lens</w:t>
            </w:r>
          </w:p>
        </w:tc>
        <w:tc>
          <w:tcPr>
            <w:tcW w:w="1559" w:type="dxa"/>
            <w:tcBorders>
              <w:top w:val="single" w:sz="8" w:space="0" w:color="auto"/>
              <w:left w:val="single" w:sz="8" w:space="0" w:color="auto"/>
              <w:bottom w:val="single" w:sz="8" w:space="0" w:color="auto"/>
              <w:right w:val="single" w:sz="8" w:space="0" w:color="auto"/>
            </w:tcBorders>
            <w:shd w:val="clear" w:color="auto" w:fill="E8E8E8" w:themeFill="background2"/>
          </w:tcPr>
          <w:p w14:paraId="5024EB73" w14:textId="77777777" w:rsidR="00327F40" w:rsidRPr="00AE42A5" w:rsidRDefault="00327F40" w:rsidP="00AE42A5">
            <w:pPr>
              <w:spacing w:line="276" w:lineRule="auto"/>
              <w:jc w:val="center"/>
              <w:rPr>
                <w:rFonts w:ascii="Arial" w:hAnsi="Arial" w:cs="Arial"/>
                <w:sz w:val="22"/>
                <w:szCs w:val="22"/>
              </w:rPr>
            </w:pPr>
            <w:r w:rsidRPr="00AE42A5">
              <w:rPr>
                <w:rFonts w:ascii="Arial" w:hAnsi="Arial" w:cs="Arial"/>
                <w:sz w:val="22"/>
                <w:szCs w:val="22"/>
              </w:rPr>
              <w:t>Methodology</w:t>
            </w:r>
          </w:p>
        </w:tc>
        <w:tc>
          <w:tcPr>
            <w:tcW w:w="1701" w:type="dxa"/>
            <w:tcBorders>
              <w:top w:val="single" w:sz="8" w:space="0" w:color="auto"/>
              <w:left w:val="single" w:sz="8" w:space="0" w:color="auto"/>
              <w:bottom w:val="single" w:sz="8" w:space="0" w:color="auto"/>
              <w:right w:val="single" w:sz="8" w:space="0" w:color="auto"/>
            </w:tcBorders>
            <w:shd w:val="clear" w:color="auto" w:fill="E8E8E8" w:themeFill="background2"/>
          </w:tcPr>
          <w:p w14:paraId="336977D7" w14:textId="77777777" w:rsidR="00327F40" w:rsidRPr="00AE42A5" w:rsidRDefault="00327F40" w:rsidP="00AE42A5">
            <w:pPr>
              <w:spacing w:line="276" w:lineRule="auto"/>
              <w:jc w:val="center"/>
              <w:rPr>
                <w:rFonts w:ascii="Arial" w:hAnsi="Arial" w:cs="Arial"/>
                <w:sz w:val="22"/>
                <w:szCs w:val="22"/>
              </w:rPr>
            </w:pPr>
            <w:r w:rsidRPr="00AE42A5">
              <w:rPr>
                <w:rFonts w:ascii="Arial" w:hAnsi="Arial" w:cs="Arial"/>
                <w:sz w:val="22"/>
                <w:szCs w:val="22"/>
              </w:rPr>
              <w:t>Key findings</w:t>
            </w:r>
          </w:p>
        </w:tc>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70273D82" w14:textId="77777777" w:rsidR="00327F40" w:rsidRPr="00AE42A5" w:rsidRDefault="00327F40" w:rsidP="00AE42A5">
            <w:pPr>
              <w:spacing w:line="276" w:lineRule="auto"/>
              <w:jc w:val="center"/>
              <w:rPr>
                <w:rFonts w:ascii="Arial" w:hAnsi="Arial" w:cs="Arial"/>
                <w:sz w:val="22"/>
                <w:szCs w:val="22"/>
              </w:rPr>
            </w:pPr>
            <w:r w:rsidRPr="00AE42A5">
              <w:rPr>
                <w:rFonts w:ascii="Arial" w:hAnsi="Arial" w:cs="Arial"/>
                <w:sz w:val="22"/>
                <w:szCs w:val="22"/>
              </w:rPr>
              <w:t>Critical Evaluation</w:t>
            </w:r>
          </w:p>
        </w:tc>
        <w:tc>
          <w:tcPr>
            <w:tcW w:w="1701" w:type="dxa"/>
            <w:tcBorders>
              <w:top w:val="single" w:sz="8" w:space="0" w:color="auto"/>
              <w:left w:val="single" w:sz="8" w:space="0" w:color="auto"/>
              <w:bottom w:val="single" w:sz="8" w:space="0" w:color="auto"/>
              <w:right w:val="single" w:sz="8" w:space="0" w:color="auto"/>
            </w:tcBorders>
            <w:shd w:val="clear" w:color="auto" w:fill="E8E8E8" w:themeFill="background2"/>
          </w:tcPr>
          <w:p w14:paraId="2C6F8C3B" w14:textId="77777777" w:rsidR="00327F40" w:rsidRPr="00AE42A5" w:rsidRDefault="00327F40" w:rsidP="00AE42A5">
            <w:pPr>
              <w:spacing w:line="276" w:lineRule="auto"/>
              <w:jc w:val="center"/>
              <w:rPr>
                <w:rFonts w:ascii="Arial" w:hAnsi="Arial" w:cs="Arial"/>
                <w:sz w:val="22"/>
                <w:szCs w:val="22"/>
              </w:rPr>
            </w:pPr>
            <w:r w:rsidRPr="00AE42A5">
              <w:rPr>
                <w:rFonts w:ascii="Arial" w:hAnsi="Arial" w:cs="Arial"/>
                <w:sz w:val="22"/>
                <w:szCs w:val="22"/>
              </w:rPr>
              <w:t>Study Relevance</w:t>
            </w:r>
          </w:p>
        </w:tc>
      </w:tr>
      <w:tr w:rsidR="00327F40" w:rsidRPr="00AE42A5" w14:paraId="4D2A07D5" w14:textId="77777777" w:rsidTr="00500EEB">
        <w:tc>
          <w:tcPr>
            <w:tcW w:w="988" w:type="dxa"/>
            <w:tcBorders>
              <w:top w:val="single" w:sz="8" w:space="0" w:color="auto"/>
            </w:tcBorders>
            <w:vAlign w:val="center"/>
          </w:tcPr>
          <w:p w14:paraId="571C428E"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Cruzado et al. (2023)</w:t>
            </w:r>
          </w:p>
        </w:tc>
        <w:tc>
          <w:tcPr>
            <w:tcW w:w="1559" w:type="dxa"/>
            <w:tcBorders>
              <w:top w:val="single" w:sz="8" w:space="0" w:color="auto"/>
            </w:tcBorders>
            <w:vAlign w:val="center"/>
          </w:tcPr>
          <w:p w14:paraId="72323041" w14:textId="77777777" w:rsidR="00327F40" w:rsidRPr="00AE42A5" w:rsidRDefault="00327F40" w:rsidP="00AE42A5">
            <w:pPr>
              <w:spacing w:line="276" w:lineRule="auto"/>
              <w:rPr>
                <w:rFonts w:ascii="Arial" w:hAnsi="Arial" w:cs="Arial"/>
                <w:sz w:val="22"/>
                <w:szCs w:val="22"/>
              </w:rPr>
            </w:pPr>
            <w:r w:rsidRPr="00AE42A5">
              <w:rPr>
                <w:rFonts w:ascii="Arial" w:hAnsi="Arial" w:cs="Arial"/>
                <w:sz w:val="22"/>
                <w:szCs w:val="22"/>
              </w:rPr>
              <w:t>MSME access to finance is constrained by institutional barriers rather than availability of financial products.</w:t>
            </w:r>
          </w:p>
        </w:tc>
        <w:tc>
          <w:tcPr>
            <w:tcW w:w="1559" w:type="dxa"/>
            <w:tcBorders>
              <w:top w:val="single" w:sz="8" w:space="0" w:color="auto"/>
            </w:tcBorders>
            <w:vAlign w:val="center"/>
          </w:tcPr>
          <w:p w14:paraId="0A721252"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Information asymmetry theory, pecking order theory, financial inclusion theory, financial intermediation theory</w:t>
            </w:r>
          </w:p>
        </w:tc>
        <w:tc>
          <w:tcPr>
            <w:tcW w:w="1559" w:type="dxa"/>
            <w:tcBorders>
              <w:top w:val="single" w:sz="8" w:space="0" w:color="auto"/>
            </w:tcBorders>
            <w:vAlign w:val="center"/>
          </w:tcPr>
          <w:p w14:paraId="55358C0F"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Quantitative survey of 363 NSMEs, descriptive design using self-structured questionnaires and correlation.</w:t>
            </w:r>
          </w:p>
        </w:tc>
        <w:tc>
          <w:tcPr>
            <w:tcW w:w="1701" w:type="dxa"/>
            <w:tcBorders>
              <w:top w:val="single" w:sz="8" w:space="0" w:color="auto"/>
            </w:tcBorders>
            <w:vAlign w:val="center"/>
          </w:tcPr>
          <w:p w14:paraId="024B051A"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 xml:space="preserve">Institutional factors significantly affect access, </w:t>
            </w:r>
            <w:proofErr w:type="gramStart"/>
            <w:r w:rsidRPr="00AE42A5">
              <w:rPr>
                <w:rFonts w:ascii="Arial" w:hAnsi="Arial" w:cs="Arial"/>
                <w:sz w:val="22"/>
                <w:szCs w:val="22"/>
              </w:rPr>
              <w:t>Both</w:t>
            </w:r>
            <w:proofErr w:type="gramEnd"/>
            <w:r w:rsidRPr="00AE42A5">
              <w:rPr>
                <w:rFonts w:ascii="Arial" w:hAnsi="Arial" w:cs="Arial"/>
                <w:sz w:val="22"/>
                <w:szCs w:val="22"/>
              </w:rPr>
              <w:t xml:space="preserve"> debt &amp; equity face same barriers. </w:t>
            </w:r>
          </w:p>
        </w:tc>
        <w:tc>
          <w:tcPr>
            <w:tcW w:w="1560" w:type="dxa"/>
            <w:tcBorders>
              <w:top w:val="single" w:sz="8" w:space="0" w:color="auto"/>
            </w:tcBorders>
            <w:vAlign w:val="center"/>
          </w:tcPr>
          <w:p w14:paraId="130F6E45" w14:textId="77777777" w:rsidR="00327F40" w:rsidRPr="00AE42A5" w:rsidRDefault="00327F40" w:rsidP="00AE42A5">
            <w:pPr>
              <w:spacing w:line="276" w:lineRule="auto"/>
              <w:rPr>
                <w:rFonts w:ascii="Arial" w:hAnsi="Arial" w:cs="Arial"/>
                <w:sz w:val="22"/>
                <w:szCs w:val="22"/>
              </w:rPr>
            </w:pPr>
            <w:r w:rsidRPr="00AE42A5">
              <w:rPr>
                <w:rFonts w:ascii="Arial" w:hAnsi="Arial" w:cs="Arial"/>
                <w:sz w:val="22"/>
                <w:szCs w:val="22"/>
              </w:rPr>
              <w:t>Lacks causal analysis, no actual loan data, geographically limited to one city</w:t>
            </w:r>
          </w:p>
        </w:tc>
        <w:tc>
          <w:tcPr>
            <w:tcW w:w="1701" w:type="dxa"/>
            <w:tcBorders>
              <w:top w:val="single" w:sz="8" w:space="0" w:color="auto"/>
            </w:tcBorders>
            <w:vAlign w:val="center"/>
          </w:tcPr>
          <w:p w14:paraId="52060CE8"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 xml:space="preserve">Strong evidence that institutional constraints override financial availability </w:t>
            </w:r>
          </w:p>
        </w:tc>
      </w:tr>
      <w:tr w:rsidR="00327F40" w:rsidRPr="00AE42A5" w14:paraId="76D2EC1F" w14:textId="77777777" w:rsidTr="00500EEB">
        <w:tc>
          <w:tcPr>
            <w:tcW w:w="988" w:type="dxa"/>
            <w:vAlign w:val="center"/>
          </w:tcPr>
          <w:p w14:paraId="607B5144" w14:textId="77777777" w:rsidR="00327F40" w:rsidRPr="00AE42A5" w:rsidRDefault="00327F40" w:rsidP="00AE42A5">
            <w:pPr>
              <w:spacing w:line="276" w:lineRule="auto"/>
              <w:rPr>
                <w:rFonts w:ascii="Arial" w:hAnsi="Arial" w:cs="Arial"/>
                <w:sz w:val="22"/>
                <w:szCs w:val="22"/>
              </w:rPr>
            </w:pPr>
            <w:r w:rsidRPr="00AE42A5">
              <w:rPr>
                <w:rFonts w:ascii="Arial" w:hAnsi="Arial" w:cs="Arial"/>
                <w:sz w:val="22"/>
                <w:szCs w:val="22"/>
              </w:rPr>
              <w:t>Angeles (2022)</w:t>
            </w:r>
          </w:p>
        </w:tc>
        <w:tc>
          <w:tcPr>
            <w:tcW w:w="1559" w:type="dxa"/>
            <w:vAlign w:val="center"/>
          </w:tcPr>
          <w:p w14:paraId="75E98434" w14:textId="77777777" w:rsidR="00327F40" w:rsidRPr="00AE42A5" w:rsidRDefault="00327F40" w:rsidP="00AE42A5">
            <w:pPr>
              <w:spacing w:line="276" w:lineRule="auto"/>
              <w:rPr>
                <w:rFonts w:ascii="Arial" w:hAnsi="Arial" w:cs="Arial"/>
                <w:sz w:val="22"/>
                <w:szCs w:val="22"/>
              </w:rPr>
            </w:pPr>
            <w:r w:rsidRPr="00AE42A5">
              <w:rPr>
                <w:rFonts w:ascii="Arial" w:hAnsi="Arial" w:cs="Arial"/>
                <w:sz w:val="22"/>
                <w:szCs w:val="22"/>
              </w:rPr>
              <w:t>DFS alone ineffective; literacy drives outcomes.</w:t>
            </w:r>
          </w:p>
        </w:tc>
        <w:tc>
          <w:tcPr>
            <w:tcW w:w="1559" w:type="dxa"/>
            <w:vAlign w:val="center"/>
          </w:tcPr>
          <w:p w14:paraId="1A81AB51"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 xml:space="preserve">TAM &amp; Perceived </w:t>
            </w:r>
            <w:proofErr w:type="spellStart"/>
            <w:r w:rsidRPr="00AE42A5">
              <w:rPr>
                <w:rFonts w:ascii="Arial" w:hAnsi="Arial" w:cs="Arial"/>
                <w:sz w:val="22"/>
                <w:szCs w:val="22"/>
              </w:rPr>
              <w:t>Behavioral</w:t>
            </w:r>
            <w:proofErr w:type="spellEnd"/>
            <w:r w:rsidRPr="00AE42A5">
              <w:rPr>
                <w:rFonts w:ascii="Arial" w:hAnsi="Arial" w:cs="Arial"/>
                <w:sz w:val="22"/>
                <w:szCs w:val="22"/>
              </w:rPr>
              <w:t xml:space="preserve"> Control</w:t>
            </w:r>
          </w:p>
        </w:tc>
        <w:tc>
          <w:tcPr>
            <w:tcW w:w="1559" w:type="dxa"/>
            <w:vAlign w:val="center"/>
          </w:tcPr>
          <w:p w14:paraId="7B95EF9B"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Survey of 678 MSMEs using correlation, regression, and moderation analysis.</w:t>
            </w:r>
          </w:p>
        </w:tc>
        <w:tc>
          <w:tcPr>
            <w:tcW w:w="1701" w:type="dxa"/>
            <w:vAlign w:val="center"/>
          </w:tcPr>
          <w:p w14:paraId="4215FB74"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DFS alone has limited impact, literacy and gender shape outcomes.</w:t>
            </w:r>
          </w:p>
        </w:tc>
        <w:tc>
          <w:tcPr>
            <w:tcW w:w="1560" w:type="dxa"/>
            <w:vAlign w:val="center"/>
          </w:tcPr>
          <w:p w14:paraId="605C6B94"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No lending focus or credit outcomes, cross-sectional survey.</w:t>
            </w:r>
          </w:p>
          <w:p w14:paraId="5497EFD2" w14:textId="77777777" w:rsidR="00327F40" w:rsidRPr="00AE42A5" w:rsidRDefault="00327F40" w:rsidP="00AE42A5">
            <w:pPr>
              <w:spacing w:line="276" w:lineRule="auto"/>
              <w:jc w:val="both"/>
              <w:rPr>
                <w:rFonts w:ascii="Arial" w:hAnsi="Arial" w:cs="Arial"/>
                <w:sz w:val="22"/>
                <w:szCs w:val="22"/>
              </w:rPr>
            </w:pPr>
          </w:p>
        </w:tc>
        <w:tc>
          <w:tcPr>
            <w:tcW w:w="1701" w:type="dxa"/>
            <w:vAlign w:val="center"/>
          </w:tcPr>
          <w:p w14:paraId="63D82A12"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DFS alone doesn’t ensure credit access without capability factors.</w:t>
            </w:r>
          </w:p>
        </w:tc>
      </w:tr>
      <w:tr w:rsidR="00327F40" w:rsidRPr="00AE42A5" w14:paraId="489E8578" w14:textId="77777777" w:rsidTr="00500EEB">
        <w:tc>
          <w:tcPr>
            <w:tcW w:w="988" w:type="dxa"/>
            <w:vAlign w:val="center"/>
          </w:tcPr>
          <w:p w14:paraId="14B95D92"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Affandi et al. (2024)</w:t>
            </w:r>
          </w:p>
        </w:tc>
        <w:tc>
          <w:tcPr>
            <w:tcW w:w="1559" w:type="dxa"/>
            <w:vAlign w:val="center"/>
          </w:tcPr>
          <w:p w14:paraId="26476AB4"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Boosts performance and literacy but depends on infrastructure and trust.</w:t>
            </w:r>
          </w:p>
        </w:tc>
        <w:tc>
          <w:tcPr>
            <w:tcW w:w="1559" w:type="dxa"/>
            <w:vAlign w:val="center"/>
          </w:tcPr>
          <w:p w14:paraId="1CD54BDE"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No single theory is tested &amp; adoption is modelled using multiple factors.</w:t>
            </w:r>
          </w:p>
        </w:tc>
        <w:tc>
          <w:tcPr>
            <w:tcW w:w="1559" w:type="dxa"/>
            <w:vAlign w:val="center"/>
          </w:tcPr>
          <w:p w14:paraId="3DCC3A46" w14:textId="77777777" w:rsidR="00327F40" w:rsidRPr="00AE42A5" w:rsidRDefault="00327F40" w:rsidP="00AE42A5">
            <w:pPr>
              <w:spacing w:line="276" w:lineRule="auto"/>
              <w:rPr>
                <w:rFonts w:ascii="Arial" w:hAnsi="Arial" w:cs="Arial"/>
                <w:sz w:val="22"/>
                <w:szCs w:val="22"/>
              </w:rPr>
            </w:pPr>
            <w:r w:rsidRPr="00AE42A5">
              <w:rPr>
                <w:rFonts w:ascii="Arial" w:hAnsi="Arial" w:cs="Arial"/>
                <w:sz w:val="22"/>
                <w:szCs w:val="22"/>
              </w:rPr>
              <w:t>Survey of 5,035 firms, builds a digital adoption, index uses OLS and 2SLS.</w:t>
            </w:r>
          </w:p>
        </w:tc>
        <w:tc>
          <w:tcPr>
            <w:tcW w:w="1701" w:type="dxa"/>
            <w:vAlign w:val="center"/>
          </w:tcPr>
          <w:p w14:paraId="5EE452DD"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Adoption varies by firm and context, linked to higher sales and financial literacy.</w:t>
            </w:r>
          </w:p>
        </w:tc>
        <w:tc>
          <w:tcPr>
            <w:tcW w:w="1560" w:type="dxa"/>
            <w:vAlign w:val="center"/>
          </w:tcPr>
          <w:p w14:paraId="784BD467"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No direct credit access measurement. weak theoretical integration.</w:t>
            </w:r>
          </w:p>
        </w:tc>
        <w:tc>
          <w:tcPr>
            <w:tcW w:w="1701" w:type="dxa"/>
            <w:vAlign w:val="center"/>
          </w:tcPr>
          <w:p w14:paraId="102077BF"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Digital adoption does not automatically lead to credit access due to missing conversion mechanism.</w:t>
            </w:r>
          </w:p>
        </w:tc>
      </w:tr>
      <w:tr w:rsidR="00327F40" w:rsidRPr="00AE42A5" w14:paraId="50F13B42" w14:textId="77777777" w:rsidTr="00500EEB">
        <w:tc>
          <w:tcPr>
            <w:tcW w:w="988" w:type="dxa"/>
            <w:vAlign w:val="center"/>
          </w:tcPr>
          <w:p w14:paraId="04733772"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lastRenderedPageBreak/>
              <w:t>Pingali et al. (2023)</w:t>
            </w:r>
          </w:p>
        </w:tc>
        <w:tc>
          <w:tcPr>
            <w:tcW w:w="1559" w:type="dxa"/>
            <w:vAlign w:val="center"/>
          </w:tcPr>
          <w:p w14:paraId="5322C4A3"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Digital readiness drives SME performance</w:t>
            </w:r>
          </w:p>
        </w:tc>
        <w:tc>
          <w:tcPr>
            <w:tcW w:w="1559" w:type="dxa"/>
            <w:vAlign w:val="center"/>
          </w:tcPr>
          <w:p w14:paraId="77DE9234"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Digital readiness depends on market orientation, dynamic capabilities and strategic flexibility.</w:t>
            </w:r>
          </w:p>
        </w:tc>
        <w:tc>
          <w:tcPr>
            <w:tcW w:w="1559" w:type="dxa"/>
            <w:vAlign w:val="center"/>
          </w:tcPr>
          <w:p w14:paraId="309BD1CC" w14:textId="77777777" w:rsidR="00327F40" w:rsidRPr="00AE42A5" w:rsidRDefault="00327F40" w:rsidP="00AE42A5">
            <w:pPr>
              <w:spacing w:line="276" w:lineRule="auto"/>
              <w:jc w:val="both"/>
              <w:rPr>
                <w:rFonts w:ascii="Arial" w:hAnsi="Arial" w:cs="Arial"/>
                <w:sz w:val="22"/>
                <w:szCs w:val="22"/>
              </w:rPr>
            </w:pPr>
            <w:proofErr w:type="gramStart"/>
            <w:r w:rsidRPr="00AE42A5">
              <w:rPr>
                <w:rFonts w:ascii="Arial" w:hAnsi="Arial" w:cs="Arial"/>
                <w:sz w:val="22"/>
                <w:szCs w:val="22"/>
              </w:rPr>
              <w:t>Mixed-method</w:t>
            </w:r>
            <w:proofErr w:type="gramEnd"/>
            <w:r w:rsidRPr="00AE42A5">
              <w:rPr>
                <w:rFonts w:ascii="Arial" w:hAnsi="Arial" w:cs="Arial"/>
                <w:sz w:val="22"/>
                <w:szCs w:val="22"/>
              </w:rPr>
              <w:t xml:space="preserve"> (interviews &amp; surveys)</w:t>
            </w:r>
          </w:p>
        </w:tc>
        <w:tc>
          <w:tcPr>
            <w:tcW w:w="1701" w:type="dxa"/>
            <w:vAlign w:val="center"/>
          </w:tcPr>
          <w:p w14:paraId="64CC5127"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Defines digital readiness, develops a 20-item scale and shows it improves firm performance.</w:t>
            </w:r>
          </w:p>
        </w:tc>
        <w:tc>
          <w:tcPr>
            <w:tcW w:w="1560" w:type="dxa"/>
            <w:vAlign w:val="center"/>
          </w:tcPr>
          <w:p w14:paraId="0D524167" w14:textId="77777777" w:rsidR="00327F40" w:rsidRPr="00AE42A5" w:rsidRDefault="00327F40" w:rsidP="00AE42A5">
            <w:pPr>
              <w:spacing w:line="276" w:lineRule="auto"/>
              <w:rPr>
                <w:rFonts w:ascii="Arial" w:hAnsi="Arial" w:cs="Arial"/>
                <w:sz w:val="22"/>
                <w:szCs w:val="22"/>
              </w:rPr>
            </w:pPr>
            <w:r w:rsidRPr="00AE42A5">
              <w:rPr>
                <w:rFonts w:ascii="Arial" w:hAnsi="Arial" w:cs="Arial"/>
                <w:sz w:val="22"/>
                <w:szCs w:val="22"/>
              </w:rPr>
              <w:t>Lacks institutional finance perspective.</w:t>
            </w:r>
          </w:p>
        </w:tc>
        <w:tc>
          <w:tcPr>
            <w:tcW w:w="1701" w:type="dxa"/>
            <w:vAlign w:val="center"/>
          </w:tcPr>
          <w:p w14:paraId="27A3C60A"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Supports that capability is key moderator.</w:t>
            </w:r>
          </w:p>
        </w:tc>
      </w:tr>
      <w:tr w:rsidR="00327F40" w:rsidRPr="00AE42A5" w14:paraId="6DA255D8" w14:textId="77777777" w:rsidTr="00500EEB">
        <w:tc>
          <w:tcPr>
            <w:tcW w:w="988" w:type="dxa"/>
            <w:vAlign w:val="center"/>
          </w:tcPr>
          <w:p w14:paraId="517B33B5"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Hasan et al. (2024)</w:t>
            </w:r>
          </w:p>
        </w:tc>
        <w:tc>
          <w:tcPr>
            <w:tcW w:w="1559" w:type="dxa"/>
            <w:vAlign w:val="center"/>
          </w:tcPr>
          <w:p w14:paraId="7E7B93B2"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SME finance literature dominated by constraints, fintech is emerging but underexplored.</w:t>
            </w:r>
          </w:p>
        </w:tc>
        <w:tc>
          <w:tcPr>
            <w:tcW w:w="1559" w:type="dxa"/>
            <w:vAlign w:val="center"/>
          </w:tcPr>
          <w:p w14:paraId="65DE17E9"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No single theory, draws on asymmetry, collateral and capital structure.</w:t>
            </w:r>
          </w:p>
        </w:tc>
        <w:tc>
          <w:tcPr>
            <w:tcW w:w="1559" w:type="dxa"/>
            <w:vAlign w:val="center"/>
          </w:tcPr>
          <w:p w14:paraId="1448366A"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Scopus bibliometric of 812 papers.</w:t>
            </w:r>
          </w:p>
        </w:tc>
        <w:tc>
          <w:tcPr>
            <w:tcW w:w="1701" w:type="dxa"/>
            <w:vAlign w:val="center"/>
          </w:tcPr>
          <w:p w14:paraId="315C4225"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The field is growing rapidly, led by UK &amp; USA, focusing on SME finance, with increasing attention to digital financial inclusion over time.</w:t>
            </w:r>
          </w:p>
        </w:tc>
        <w:tc>
          <w:tcPr>
            <w:tcW w:w="1560" w:type="dxa"/>
            <w:vAlign w:val="center"/>
          </w:tcPr>
          <w:p w14:paraId="3B6263C7"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No causal insights, purely descriptive mapping.</w:t>
            </w:r>
          </w:p>
        </w:tc>
        <w:tc>
          <w:tcPr>
            <w:tcW w:w="1701" w:type="dxa"/>
            <w:vAlign w:val="center"/>
          </w:tcPr>
          <w:p w14:paraId="489A9711"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Emphasises the novelty of examining the DFS - credit conversion gap.</w:t>
            </w:r>
          </w:p>
        </w:tc>
      </w:tr>
      <w:tr w:rsidR="00327F40" w:rsidRPr="00AE42A5" w14:paraId="533693BC" w14:textId="77777777" w:rsidTr="00500EEB">
        <w:tc>
          <w:tcPr>
            <w:tcW w:w="988" w:type="dxa"/>
            <w:vAlign w:val="center"/>
          </w:tcPr>
          <w:p w14:paraId="07C4242D"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Gunawan et al. (2023)</w:t>
            </w:r>
          </w:p>
        </w:tc>
        <w:tc>
          <w:tcPr>
            <w:tcW w:w="1559" w:type="dxa"/>
            <w:vAlign w:val="center"/>
          </w:tcPr>
          <w:p w14:paraId="0AAC8A9F"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FinTech boosts performance, inclusion has weak mediation.</w:t>
            </w:r>
          </w:p>
        </w:tc>
        <w:tc>
          <w:tcPr>
            <w:tcW w:w="1559" w:type="dxa"/>
            <w:vAlign w:val="center"/>
          </w:tcPr>
          <w:p w14:paraId="184EB90D"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Conceptual framing, no strong theory used.</w:t>
            </w:r>
          </w:p>
        </w:tc>
        <w:tc>
          <w:tcPr>
            <w:tcW w:w="1559" w:type="dxa"/>
            <w:vAlign w:val="center"/>
          </w:tcPr>
          <w:p w14:paraId="1F1DDF8C"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Survey 100 SMEs using PLS-SEM with reliability tests and mediation analysis.</w:t>
            </w:r>
          </w:p>
        </w:tc>
        <w:tc>
          <w:tcPr>
            <w:tcW w:w="1701" w:type="dxa"/>
            <w:vAlign w:val="center"/>
          </w:tcPr>
          <w:p w14:paraId="5815BDB2"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FinTech significant; inclusion insignificant</w:t>
            </w:r>
          </w:p>
        </w:tc>
        <w:tc>
          <w:tcPr>
            <w:tcW w:w="1560" w:type="dxa"/>
            <w:vAlign w:val="center"/>
          </w:tcPr>
          <w:p w14:paraId="551B4C93"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Data inconsistency, weak design &amp; small sample.</w:t>
            </w:r>
          </w:p>
        </w:tc>
        <w:tc>
          <w:tcPr>
            <w:tcW w:w="1701" w:type="dxa"/>
            <w:vAlign w:val="center"/>
          </w:tcPr>
          <w:p w14:paraId="1355875C"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Inclusion does not guarantee outcomes.</w:t>
            </w:r>
          </w:p>
        </w:tc>
      </w:tr>
      <w:tr w:rsidR="00327F40" w:rsidRPr="00AE42A5" w14:paraId="30B2631D" w14:textId="77777777" w:rsidTr="00500EEB">
        <w:tc>
          <w:tcPr>
            <w:tcW w:w="988" w:type="dxa"/>
            <w:vAlign w:val="center"/>
          </w:tcPr>
          <w:p w14:paraId="6FCE7FCA"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Abu et al. (2025)</w:t>
            </w:r>
          </w:p>
        </w:tc>
        <w:tc>
          <w:tcPr>
            <w:tcW w:w="1559" w:type="dxa"/>
            <w:vAlign w:val="center"/>
          </w:tcPr>
          <w:p w14:paraId="6009692F"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FinTech &amp; government policy must work together to improve SME finance.</w:t>
            </w:r>
          </w:p>
        </w:tc>
        <w:tc>
          <w:tcPr>
            <w:tcW w:w="1559" w:type="dxa"/>
            <w:vAlign w:val="center"/>
          </w:tcPr>
          <w:p w14:paraId="64151334"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No theory. PRISMA-based review with bibliometric and thematic analysis.</w:t>
            </w:r>
          </w:p>
        </w:tc>
        <w:tc>
          <w:tcPr>
            <w:tcW w:w="1559" w:type="dxa"/>
            <w:vAlign w:val="center"/>
          </w:tcPr>
          <w:p w14:paraId="178E97A5"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PRISMA SLR of 54 studies.</w:t>
            </w:r>
          </w:p>
        </w:tc>
        <w:tc>
          <w:tcPr>
            <w:tcW w:w="1701" w:type="dxa"/>
            <w:vAlign w:val="center"/>
          </w:tcPr>
          <w:p w14:paraId="545C620B"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Govt FinTech collaboration improves SME finance, but depends on policy, regulation, infrastructure, and trust.</w:t>
            </w:r>
          </w:p>
        </w:tc>
        <w:tc>
          <w:tcPr>
            <w:tcW w:w="1560" w:type="dxa"/>
            <w:vAlign w:val="center"/>
          </w:tcPr>
          <w:p w14:paraId="772A164F"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Biased toward developed FinTech contexts.</w:t>
            </w:r>
          </w:p>
        </w:tc>
        <w:tc>
          <w:tcPr>
            <w:tcW w:w="1701" w:type="dxa"/>
            <w:vAlign w:val="center"/>
          </w:tcPr>
          <w:p w14:paraId="24A6DE7F"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Supports that the key gap is the interaction between policy and technology.</w:t>
            </w:r>
          </w:p>
        </w:tc>
      </w:tr>
      <w:tr w:rsidR="00327F40" w:rsidRPr="00AE42A5" w14:paraId="08D82FD9" w14:textId="77777777" w:rsidTr="00500EEB">
        <w:tc>
          <w:tcPr>
            <w:tcW w:w="988" w:type="dxa"/>
            <w:vAlign w:val="center"/>
          </w:tcPr>
          <w:p w14:paraId="4691131F" w14:textId="77777777" w:rsidR="00327F40" w:rsidRPr="00AE42A5" w:rsidRDefault="00327F40" w:rsidP="00AE42A5">
            <w:pPr>
              <w:spacing w:line="276" w:lineRule="auto"/>
              <w:jc w:val="both"/>
              <w:rPr>
                <w:rFonts w:ascii="Arial" w:hAnsi="Arial" w:cs="Arial"/>
                <w:sz w:val="22"/>
                <w:szCs w:val="22"/>
              </w:rPr>
            </w:pPr>
            <w:proofErr w:type="spellStart"/>
            <w:r w:rsidRPr="00AE42A5">
              <w:rPr>
                <w:rFonts w:ascii="Arial" w:hAnsi="Arial" w:cs="Arial"/>
                <w:sz w:val="22"/>
                <w:szCs w:val="22"/>
              </w:rPr>
              <w:t>Tandilino</w:t>
            </w:r>
            <w:proofErr w:type="spellEnd"/>
            <w:r w:rsidRPr="00AE42A5">
              <w:rPr>
                <w:rFonts w:ascii="Arial" w:hAnsi="Arial" w:cs="Arial"/>
                <w:sz w:val="22"/>
                <w:szCs w:val="22"/>
              </w:rPr>
              <w:t xml:space="preserve"> et al. (2025)</w:t>
            </w:r>
          </w:p>
        </w:tc>
        <w:tc>
          <w:tcPr>
            <w:tcW w:w="1559" w:type="dxa"/>
            <w:vAlign w:val="center"/>
          </w:tcPr>
          <w:p w14:paraId="46975FF5"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Digital financial inclusion works only when literacy &amp; government support exist.</w:t>
            </w:r>
          </w:p>
        </w:tc>
        <w:tc>
          <w:tcPr>
            <w:tcW w:w="1559" w:type="dxa"/>
            <w:vAlign w:val="center"/>
          </w:tcPr>
          <w:p w14:paraId="38490FB9"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Uses RBV as the main theory, with TPB as a supporting lens.</w:t>
            </w:r>
          </w:p>
        </w:tc>
        <w:tc>
          <w:tcPr>
            <w:tcW w:w="1559" w:type="dxa"/>
            <w:vAlign w:val="center"/>
          </w:tcPr>
          <w:p w14:paraId="65ECFE40"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Survey 260 SMEs using PLS-SEM with bootstrapping and validity checks.</w:t>
            </w:r>
          </w:p>
          <w:p w14:paraId="4FE2D97B" w14:textId="77777777" w:rsidR="00327F40" w:rsidRPr="00AE42A5" w:rsidRDefault="00327F40" w:rsidP="00AE42A5">
            <w:pPr>
              <w:spacing w:line="276" w:lineRule="auto"/>
              <w:jc w:val="both"/>
              <w:rPr>
                <w:rFonts w:ascii="Arial" w:hAnsi="Arial" w:cs="Arial"/>
                <w:sz w:val="22"/>
                <w:szCs w:val="22"/>
              </w:rPr>
            </w:pPr>
          </w:p>
        </w:tc>
        <w:tc>
          <w:tcPr>
            <w:tcW w:w="1701" w:type="dxa"/>
            <w:vAlign w:val="center"/>
          </w:tcPr>
          <w:p w14:paraId="4CBE23AB"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Government support strongest driver with DFI mediation.</w:t>
            </w:r>
          </w:p>
        </w:tc>
        <w:tc>
          <w:tcPr>
            <w:tcW w:w="1560" w:type="dxa"/>
            <w:vAlign w:val="center"/>
          </w:tcPr>
          <w:p w14:paraId="356B24BF"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No credit-level validation.</w:t>
            </w:r>
          </w:p>
        </w:tc>
        <w:tc>
          <w:tcPr>
            <w:tcW w:w="1701" w:type="dxa"/>
            <w:vAlign w:val="center"/>
          </w:tcPr>
          <w:p w14:paraId="6A6D941E" w14:textId="77777777" w:rsidR="00327F40" w:rsidRPr="00AE42A5" w:rsidRDefault="00327F40" w:rsidP="00AE42A5">
            <w:pPr>
              <w:spacing w:line="276" w:lineRule="auto"/>
              <w:jc w:val="both"/>
              <w:rPr>
                <w:rFonts w:ascii="Arial" w:hAnsi="Arial" w:cs="Arial"/>
                <w:sz w:val="22"/>
                <w:szCs w:val="22"/>
              </w:rPr>
            </w:pPr>
            <w:r w:rsidRPr="00AE42A5">
              <w:rPr>
                <w:rFonts w:ascii="Arial" w:hAnsi="Arial" w:cs="Arial"/>
                <w:sz w:val="22"/>
                <w:szCs w:val="22"/>
              </w:rPr>
              <w:t>Institutions and capabilities must align.</w:t>
            </w:r>
          </w:p>
        </w:tc>
      </w:tr>
    </w:tbl>
    <w:p w14:paraId="1BEEA0E2" w14:textId="6073972E" w:rsidR="00327F40" w:rsidRPr="00AE42A5" w:rsidRDefault="00327F40" w:rsidP="000B78E1">
      <w:pPr>
        <w:spacing w:line="360" w:lineRule="auto"/>
        <w:jc w:val="both"/>
        <w:rPr>
          <w:rFonts w:ascii="Arial" w:hAnsi="Arial" w:cs="Arial"/>
          <w:sz w:val="22"/>
          <w:szCs w:val="22"/>
        </w:rPr>
      </w:pPr>
      <w:r w:rsidRPr="00AE42A5">
        <w:rPr>
          <w:rFonts w:ascii="Arial" w:hAnsi="Arial" w:cs="Arial"/>
          <w:b/>
          <w:bCs/>
          <w:sz w:val="22"/>
          <w:szCs w:val="22"/>
        </w:rPr>
        <w:t>Note:</w:t>
      </w:r>
      <w:r w:rsidRPr="00AE42A5">
        <w:rPr>
          <w:rFonts w:ascii="Arial" w:hAnsi="Arial" w:cs="Arial"/>
          <w:sz w:val="22"/>
          <w:szCs w:val="22"/>
        </w:rPr>
        <w:t xml:space="preserve"> This table presents selected high-relevance studies. A full list of reviewed studies is available in Appendix D</w:t>
      </w:r>
    </w:p>
    <w:p w14:paraId="475D9B53" w14:textId="15EBF8ED" w:rsidR="00D21584" w:rsidRPr="000B78E1" w:rsidRDefault="00D21584" w:rsidP="000B78E1">
      <w:pPr>
        <w:spacing w:line="360" w:lineRule="auto"/>
        <w:jc w:val="both"/>
        <w:rPr>
          <w:rFonts w:ascii="Arial" w:hAnsi="Arial" w:cs="Arial"/>
          <w:sz w:val="22"/>
          <w:szCs w:val="22"/>
        </w:rPr>
      </w:pPr>
      <w:r w:rsidRPr="000B78E1">
        <w:rPr>
          <w:rFonts w:ascii="Arial" w:hAnsi="Arial" w:cs="Arial"/>
          <w:sz w:val="22"/>
          <w:szCs w:val="22"/>
        </w:rPr>
        <w:lastRenderedPageBreak/>
        <w:t xml:space="preserve">The studies reviewed show a strong common understanding that access to finance, performance and sustainability do not depend only on financial services or digital tools, instead they depend on context and supporting conditions. Many studies agree that factors like collateral requirements, financial sector structure, information gaps, digital literacy, infrastructure and government support play a key role in shaping outcomes. For example, MSMEs still face difficulty accessing finance due to institutional barriers and low awareness even when financial products are available (Cruzado et al., 2023). Similarly, DFS and financial inclusion improve outcomes only when SMEs have the capability and environment to use them effectively (Angeles, 2022; </w:t>
      </w:r>
      <w:proofErr w:type="spellStart"/>
      <w:r w:rsidRPr="000B78E1">
        <w:rPr>
          <w:rFonts w:ascii="Arial" w:hAnsi="Arial" w:cs="Arial"/>
          <w:sz w:val="22"/>
          <w:szCs w:val="22"/>
        </w:rPr>
        <w:t>Tandilino</w:t>
      </w:r>
      <w:proofErr w:type="spellEnd"/>
      <w:r w:rsidRPr="000B78E1">
        <w:rPr>
          <w:rFonts w:ascii="Arial" w:hAnsi="Arial" w:cs="Arial"/>
          <w:sz w:val="22"/>
          <w:szCs w:val="22"/>
        </w:rPr>
        <w:t xml:space="preserve"> et al., 2025). Overall, the literature agrees that DFS or financial inclusion alone does not guarantee better credit access or improved performance (Hasan et al., 2024).</w:t>
      </w:r>
    </w:p>
    <w:p w14:paraId="7D655719" w14:textId="4D888210" w:rsidR="00D21584" w:rsidRPr="000B78E1" w:rsidRDefault="00D21584" w:rsidP="000B78E1">
      <w:pPr>
        <w:spacing w:line="360" w:lineRule="auto"/>
        <w:jc w:val="both"/>
        <w:rPr>
          <w:rFonts w:ascii="Arial" w:hAnsi="Arial" w:cs="Arial"/>
          <w:sz w:val="22"/>
          <w:szCs w:val="22"/>
        </w:rPr>
      </w:pPr>
      <w:r w:rsidRPr="000B78E1">
        <w:rPr>
          <w:rFonts w:ascii="Arial" w:hAnsi="Arial" w:cs="Arial"/>
          <w:sz w:val="22"/>
          <w:szCs w:val="22"/>
        </w:rPr>
        <w:t>However, there are clear differences among studies. Some research finds that financial inclusion and digital finance positively affect SME performance, especially when supported by technology adoption and capability factors (</w:t>
      </w:r>
      <w:proofErr w:type="spellStart"/>
      <w:r w:rsidRPr="000B78E1">
        <w:rPr>
          <w:rFonts w:ascii="Arial" w:hAnsi="Arial" w:cs="Arial"/>
          <w:sz w:val="22"/>
          <w:szCs w:val="22"/>
        </w:rPr>
        <w:t>Thathsarani</w:t>
      </w:r>
      <w:proofErr w:type="spellEnd"/>
      <w:r w:rsidRPr="000B78E1">
        <w:rPr>
          <w:rFonts w:ascii="Arial" w:hAnsi="Arial" w:cs="Arial"/>
          <w:sz w:val="22"/>
          <w:szCs w:val="22"/>
        </w:rPr>
        <w:t xml:space="preserve"> &amp; Jianguo, 2022). In contrast, other studies show that DFS has weak or no direct effect on saving, borrowing or business performance and financial inclusion does not always lead to better outcomes (Gunawan et al., 2023; Angeles, 2022). This creates a contradiction that when some studies suggest digital finance works, others show it does not work without the right conditions. In addition, evidence from banking studies suggests that FinTech may raise risk at first but improve stability later indicating uneven effects (Ahsan et al., 2026).</w:t>
      </w:r>
      <w:r w:rsidR="00556295">
        <w:rPr>
          <w:rFonts w:ascii="Arial" w:hAnsi="Arial" w:cs="Arial"/>
          <w:sz w:val="22"/>
          <w:szCs w:val="22"/>
        </w:rPr>
        <w:t xml:space="preserve"> </w:t>
      </w:r>
      <w:r w:rsidRPr="000B78E1">
        <w:rPr>
          <w:rFonts w:ascii="Arial" w:hAnsi="Arial" w:cs="Arial"/>
          <w:sz w:val="22"/>
          <w:szCs w:val="22"/>
        </w:rPr>
        <w:t>A major gap in the literature is the lack of explanation of how digital finance leads to formal credit access. Most studies do not explain the full pathway how DFS use leads to actual loan outcomes. They rely mainly on survey data and rarely use loan-level or transactional data (Affandi et al., 2024). Importantly, very few studies explain how banks and regulators recognise and trust digital data for lending decisions (Pingali et al., 2023).</w:t>
      </w:r>
    </w:p>
    <w:p w14:paraId="4E3ECE2C" w14:textId="15BD6DE1" w:rsidR="00CA4A02" w:rsidRPr="000B78E1" w:rsidRDefault="00D21584" w:rsidP="000B78E1">
      <w:pPr>
        <w:spacing w:line="360" w:lineRule="auto"/>
        <w:jc w:val="both"/>
        <w:rPr>
          <w:rFonts w:ascii="Arial" w:hAnsi="Arial" w:cs="Arial"/>
          <w:sz w:val="22"/>
          <w:szCs w:val="22"/>
        </w:rPr>
      </w:pPr>
      <w:r w:rsidRPr="000B78E1">
        <w:rPr>
          <w:rFonts w:ascii="Arial" w:hAnsi="Arial" w:cs="Arial"/>
          <w:sz w:val="22"/>
          <w:szCs w:val="22"/>
        </w:rPr>
        <w:t>Overall, the literature shows that SME outcomes are not automatic. Success depends on the alignment between technology, institutions and user capability but this relationship remains underdeveloped in existing research.</w:t>
      </w:r>
    </w:p>
    <w:p w14:paraId="504C6CF6" w14:textId="77777777" w:rsidR="00CA4A02" w:rsidRPr="000B78E1" w:rsidRDefault="004D7413" w:rsidP="000B78E1">
      <w:pPr>
        <w:spacing w:after="0" w:line="360" w:lineRule="auto"/>
        <w:jc w:val="both"/>
        <w:rPr>
          <w:rFonts w:ascii="Arial" w:hAnsi="Arial" w:cs="Arial"/>
          <w:b/>
          <w:bCs/>
          <w:sz w:val="22"/>
          <w:szCs w:val="22"/>
        </w:rPr>
      </w:pPr>
      <w:r w:rsidRPr="000B78E1">
        <w:rPr>
          <w:rFonts w:ascii="Arial" w:hAnsi="Arial" w:cs="Arial"/>
          <w:b/>
          <w:bCs/>
          <w:sz w:val="22"/>
          <w:szCs w:val="22"/>
        </w:rPr>
        <w:t>5.1. Gap Matrix:</w:t>
      </w:r>
    </w:p>
    <w:p w14:paraId="3C21660E" w14:textId="00037596" w:rsidR="005E4FD6" w:rsidRPr="005F3D2E" w:rsidRDefault="005E4FD6" w:rsidP="000B78E1">
      <w:pPr>
        <w:spacing w:after="0" w:line="360" w:lineRule="auto"/>
        <w:jc w:val="both"/>
        <w:rPr>
          <w:rFonts w:ascii="Arial" w:hAnsi="Arial" w:cs="Arial"/>
          <w:sz w:val="12"/>
          <w:szCs w:val="12"/>
        </w:rPr>
      </w:pPr>
    </w:p>
    <w:p w14:paraId="3661376C" w14:textId="41B90A52" w:rsidR="003211D2" w:rsidRPr="000B78E1" w:rsidRDefault="00E96785" w:rsidP="000B78E1">
      <w:pPr>
        <w:spacing w:after="0" w:line="360" w:lineRule="auto"/>
        <w:jc w:val="both"/>
        <w:rPr>
          <w:rFonts w:ascii="Arial" w:hAnsi="Arial" w:cs="Arial"/>
          <w:sz w:val="22"/>
          <w:szCs w:val="22"/>
        </w:rPr>
      </w:pPr>
      <w:r w:rsidRPr="000B78E1">
        <w:rPr>
          <w:rFonts w:ascii="Arial" w:hAnsi="Arial" w:cs="Arial"/>
          <w:sz w:val="22"/>
          <w:szCs w:val="22"/>
        </w:rPr>
        <w:t xml:space="preserve">The reviewed literature reveals </w:t>
      </w:r>
      <w:r w:rsidR="00C75BB6" w:rsidRPr="000B78E1">
        <w:rPr>
          <w:rFonts w:ascii="Arial" w:hAnsi="Arial" w:cs="Arial"/>
          <w:sz w:val="22"/>
          <w:szCs w:val="22"/>
        </w:rPr>
        <w:t xml:space="preserve">theoretical gap </w:t>
      </w:r>
      <w:r w:rsidR="00C63FDF" w:rsidRPr="000B78E1">
        <w:rPr>
          <w:rFonts w:ascii="Arial" w:hAnsi="Arial" w:cs="Arial"/>
          <w:sz w:val="22"/>
          <w:szCs w:val="22"/>
        </w:rPr>
        <w:t>as DFS adoption theories (e.g., Technology Acceptance Model, UTAUT) are not linked with bank lending theories (e.g., Financial Intermediation, Information Asymmetry)</w:t>
      </w:r>
      <w:r w:rsidR="00C75BB6" w:rsidRPr="000B78E1">
        <w:rPr>
          <w:rFonts w:ascii="Arial" w:hAnsi="Arial" w:cs="Arial"/>
          <w:sz w:val="22"/>
          <w:szCs w:val="22"/>
        </w:rPr>
        <w:t xml:space="preserve">, limiting understanding of how digital usage translates into credit decisions. </w:t>
      </w:r>
      <w:r w:rsidR="003211D2" w:rsidRPr="000B78E1">
        <w:rPr>
          <w:rFonts w:ascii="Arial" w:hAnsi="Arial" w:cs="Arial"/>
          <w:sz w:val="22"/>
          <w:szCs w:val="22"/>
        </w:rPr>
        <w:t>Then</w:t>
      </w:r>
      <w:r w:rsidR="00C75BB6" w:rsidRPr="000B78E1">
        <w:rPr>
          <w:rFonts w:ascii="Arial" w:hAnsi="Arial" w:cs="Arial"/>
          <w:sz w:val="22"/>
          <w:szCs w:val="22"/>
        </w:rPr>
        <w:t xml:space="preserve"> methodological gap</w:t>
      </w:r>
      <w:r w:rsidR="003211D2" w:rsidRPr="000B78E1">
        <w:rPr>
          <w:rFonts w:ascii="Arial" w:hAnsi="Arial" w:cs="Arial"/>
          <w:sz w:val="22"/>
          <w:szCs w:val="22"/>
        </w:rPr>
        <w:t xml:space="preserve"> due to cross-sectional, perception-based studies</w:t>
      </w:r>
      <w:r w:rsidR="00FC328A" w:rsidRPr="000B78E1">
        <w:rPr>
          <w:rFonts w:ascii="Arial" w:hAnsi="Arial" w:cs="Arial"/>
          <w:sz w:val="22"/>
          <w:szCs w:val="22"/>
        </w:rPr>
        <w:t xml:space="preserve"> with limited use of loan-level or longitudinal data</w:t>
      </w:r>
      <w:r w:rsidR="003211D2" w:rsidRPr="000B78E1">
        <w:rPr>
          <w:rFonts w:ascii="Arial" w:hAnsi="Arial" w:cs="Arial"/>
          <w:sz w:val="22"/>
          <w:szCs w:val="22"/>
        </w:rPr>
        <w:t xml:space="preserve">. </w:t>
      </w:r>
      <w:r w:rsidR="00FC328A" w:rsidRPr="000B78E1">
        <w:rPr>
          <w:rFonts w:ascii="Arial" w:hAnsi="Arial" w:cs="Arial"/>
          <w:sz w:val="22"/>
          <w:szCs w:val="22"/>
        </w:rPr>
        <w:t xml:space="preserve">And </w:t>
      </w:r>
      <w:r w:rsidR="003211D2" w:rsidRPr="000B78E1">
        <w:rPr>
          <w:rFonts w:ascii="Arial" w:hAnsi="Arial" w:cs="Arial"/>
          <w:sz w:val="22"/>
          <w:szCs w:val="22"/>
        </w:rPr>
        <w:t xml:space="preserve">contextual </w:t>
      </w:r>
      <w:proofErr w:type="gramStart"/>
      <w:r w:rsidR="003211D2" w:rsidRPr="000B78E1">
        <w:rPr>
          <w:rFonts w:ascii="Arial" w:hAnsi="Arial" w:cs="Arial"/>
          <w:sz w:val="22"/>
          <w:szCs w:val="22"/>
        </w:rPr>
        <w:t>gap</w:t>
      </w:r>
      <w:r w:rsidR="00FC328A" w:rsidRPr="000B78E1">
        <w:rPr>
          <w:rFonts w:ascii="Arial" w:hAnsi="Arial" w:cs="Arial"/>
          <w:sz w:val="22"/>
          <w:szCs w:val="22"/>
        </w:rPr>
        <w:t xml:space="preserve"> </w:t>
      </w:r>
      <w:r w:rsidR="003211D2" w:rsidRPr="000B78E1">
        <w:rPr>
          <w:rFonts w:ascii="Arial" w:hAnsi="Arial" w:cs="Arial"/>
          <w:sz w:val="22"/>
          <w:szCs w:val="22"/>
        </w:rPr>
        <w:t xml:space="preserve"> as</w:t>
      </w:r>
      <w:proofErr w:type="gramEnd"/>
      <w:r w:rsidR="003211D2" w:rsidRPr="000B78E1">
        <w:rPr>
          <w:rFonts w:ascii="Arial" w:hAnsi="Arial" w:cs="Arial"/>
          <w:sz w:val="22"/>
          <w:szCs w:val="22"/>
        </w:rPr>
        <w:t xml:space="preserve"> bank-led systems like Bangladesh are underexplored.</w:t>
      </w:r>
    </w:p>
    <w:p w14:paraId="5DCB81E5" w14:textId="4A97F4DD" w:rsidR="003211D2" w:rsidRPr="005F3D2E" w:rsidRDefault="003211D2" w:rsidP="000B78E1">
      <w:pPr>
        <w:spacing w:after="0" w:line="360" w:lineRule="auto"/>
        <w:jc w:val="both"/>
        <w:rPr>
          <w:rFonts w:ascii="Arial" w:hAnsi="Arial" w:cs="Arial"/>
          <w:b/>
          <w:bCs/>
          <w:sz w:val="10"/>
          <w:szCs w:val="10"/>
        </w:rPr>
      </w:pPr>
    </w:p>
    <w:tbl>
      <w:tblPr>
        <w:tblStyle w:val="TableGrid"/>
        <w:tblW w:w="0" w:type="auto"/>
        <w:tblLook w:val="04A0" w:firstRow="1" w:lastRow="0" w:firstColumn="1" w:lastColumn="0" w:noHBand="0" w:noVBand="1"/>
      </w:tblPr>
      <w:tblGrid>
        <w:gridCol w:w="1671"/>
        <w:gridCol w:w="1756"/>
        <w:gridCol w:w="1530"/>
        <w:gridCol w:w="1842"/>
        <w:gridCol w:w="2217"/>
      </w:tblGrid>
      <w:tr w:rsidR="00565E65" w:rsidRPr="000B78E1" w14:paraId="3B68FDBE" w14:textId="77777777" w:rsidTr="0020646E">
        <w:tc>
          <w:tcPr>
            <w:tcW w:w="1671" w:type="dxa"/>
          </w:tcPr>
          <w:p w14:paraId="51B38EC2" w14:textId="77777777" w:rsidR="00F459EA" w:rsidRPr="000B78E1" w:rsidRDefault="00F459EA" w:rsidP="005F3D2E">
            <w:pPr>
              <w:spacing w:line="276" w:lineRule="auto"/>
              <w:jc w:val="center"/>
              <w:rPr>
                <w:rFonts w:ascii="Arial" w:hAnsi="Arial" w:cs="Arial"/>
                <w:b/>
                <w:bCs/>
                <w:sz w:val="22"/>
                <w:szCs w:val="22"/>
              </w:rPr>
            </w:pPr>
            <w:r w:rsidRPr="000B78E1">
              <w:rPr>
                <w:rFonts w:ascii="Arial" w:hAnsi="Arial" w:cs="Arial"/>
                <w:b/>
                <w:bCs/>
                <w:sz w:val="22"/>
                <w:szCs w:val="22"/>
              </w:rPr>
              <w:t>Study</w:t>
            </w:r>
          </w:p>
        </w:tc>
        <w:tc>
          <w:tcPr>
            <w:tcW w:w="1756" w:type="dxa"/>
          </w:tcPr>
          <w:p w14:paraId="7078932C" w14:textId="77777777" w:rsidR="00F459EA" w:rsidRPr="000B78E1" w:rsidRDefault="00F459EA" w:rsidP="005F3D2E">
            <w:pPr>
              <w:spacing w:line="276" w:lineRule="auto"/>
              <w:jc w:val="center"/>
              <w:rPr>
                <w:rFonts w:ascii="Arial" w:hAnsi="Arial" w:cs="Arial"/>
                <w:b/>
                <w:bCs/>
                <w:sz w:val="22"/>
                <w:szCs w:val="22"/>
              </w:rPr>
            </w:pPr>
            <w:r w:rsidRPr="000B78E1">
              <w:rPr>
                <w:rFonts w:ascii="Arial" w:hAnsi="Arial" w:cs="Arial"/>
                <w:b/>
                <w:bCs/>
                <w:sz w:val="22"/>
                <w:szCs w:val="22"/>
              </w:rPr>
              <w:t>Theory gap</w:t>
            </w:r>
          </w:p>
        </w:tc>
        <w:tc>
          <w:tcPr>
            <w:tcW w:w="1530" w:type="dxa"/>
          </w:tcPr>
          <w:p w14:paraId="5CB2F1FF" w14:textId="77777777" w:rsidR="00F459EA" w:rsidRPr="000B78E1" w:rsidRDefault="00F459EA" w:rsidP="005F3D2E">
            <w:pPr>
              <w:spacing w:line="276" w:lineRule="auto"/>
              <w:jc w:val="center"/>
              <w:rPr>
                <w:rFonts w:ascii="Arial" w:hAnsi="Arial" w:cs="Arial"/>
                <w:b/>
                <w:bCs/>
                <w:sz w:val="22"/>
                <w:szCs w:val="22"/>
              </w:rPr>
            </w:pPr>
            <w:r w:rsidRPr="000B78E1">
              <w:rPr>
                <w:rFonts w:ascii="Arial" w:hAnsi="Arial" w:cs="Arial"/>
                <w:b/>
                <w:bCs/>
                <w:sz w:val="22"/>
                <w:szCs w:val="22"/>
              </w:rPr>
              <w:t>Method gap</w:t>
            </w:r>
          </w:p>
        </w:tc>
        <w:tc>
          <w:tcPr>
            <w:tcW w:w="1842" w:type="dxa"/>
          </w:tcPr>
          <w:p w14:paraId="57FABCF2" w14:textId="77777777" w:rsidR="00F459EA" w:rsidRPr="000B78E1" w:rsidRDefault="00F459EA" w:rsidP="005F3D2E">
            <w:pPr>
              <w:spacing w:line="276" w:lineRule="auto"/>
              <w:jc w:val="center"/>
              <w:rPr>
                <w:rFonts w:ascii="Arial" w:hAnsi="Arial" w:cs="Arial"/>
                <w:b/>
                <w:bCs/>
                <w:sz w:val="22"/>
                <w:szCs w:val="22"/>
              </w:rPr>
            </w:pPr>
            <w:r w:rsidRPr="000B78E1">
              <w:rPr>
                <w:rFonts w:ascii="Arial" w:hAnsi="Arial" w:cs="Arial"/>
                <w:b/>
                <w:bCs/>
                <w:sz w:val="22"/>
                <w:szCs w:val="22"/>
              </w:rPr>
              <w:t>Context gap</w:t>
            </w:r>
          </w:p>
        </w:tc>
        <w:tc>
          <w:tcPr>
            <w:tcW w:w="2217" w:type="dxa"/>
          </w:tcPr>
          <w:p w14:paraId="492F6CAD" w14:textId="77777777" w:rsidR="00F459EA" w:rsidRPr="000B78E1" w:rsidRDefault="00F459EA" w:rsidP="005F3D2E">
            <w:pPr>
              <w:spacing w:line="276" w:lineRule="auto"/>
              <w:jc w:val="center"/>
              <w:rPr>
                <w:rFonts w:ascii="Arial" w:hAnsi="Arial" w:cs="Arial"/>
                <w:b/>
                <w:bCs/>
                <w:sz w:val="22"/>
                <w:szCs w:val="22"/>
              </w:rPr>
            </w:pPr>
            <w:r w:rsidRPr="000B78E1">
              <w:rPr>
                <w:rFonts w:ascii="Arial" w:hAnsi="Arial" w:cs="Arial"/>
                <w:b/>
                <w:bCs/>
                <w:sz w:val="22"/>
                <w:szCs w:val="22"/>
              </w:rPr>
              <w:t>Key Insight</w:t>
            </w:r>
          </w:p>
        </w:tc>
      </w:tr>
      <w:tr w:rsidR="003D59A9" w:rsidRPr="000B78E1" w14:paraId="3559C13D" w14:textId="77777777" w:rsidTr="0020646E">
        <w:tc>
          <w:tcPr>
            <w:tcW w:w="1671" w:type="dxa"/>
            <w:vAlign w:val="center"/>
          </w:tcPr>
          <w:p w14:paraId="45DB3425" w14:textId="19AFDCAE" w:rsidR="003D59A9" w:rsidRPr="000B78E1" w:rsidRDefault="003D59A9" w:rsidP="005F3D2E">
            <w:pPr>
              <w:spacing w:line="276" w:lineRule="auto"/>
              <w:jc w:val="both"/>
              <w:rPr>
                <w:rFonts w:ascii="Arial" w:hAnsi="Arial" w:cs="Arial"/>
                <w:sz w:val="22"/>
                <w:szCs w:val="22"/>
              </w:rPr>
            </w:pPr>
            <w:proofErr w:type="spellStart"/>
            <w:r w:rsidRPr="000B78E1">
              <w:rPr>
                <w:rFonts w:ascii="Arial" w:hAnsi="Arial" w:cs="Arial"/>
                <w:sz w:val="22"/>
                <w:szCs w:val="22"/>
              </w:rPr>
              <w:t>Tengeh</w:t>
            </w:r>
            <w:proofErr w:type="spellEnd"/>
            <w:r w:rsidRPr="000B78E1">
              <w:rPr>
                <w:rFonts w:ascii="Arial" w:hAnsi="Arial" w:cs="Arial"/>
                <w:sz w:val="22"/>
                <w:szCs w:val="22"/>
              </w:rPr>
              <w:t xml:space="preserve"> &amp; </w:t>
            </w:r>
            <w:proofErr w:type="spellStart"/>
            <w:r w:rsidRPr="000B78E1">
              <w:rPr>
                <w:rFonts w:ascii="Arial" w:hAnsi="Arial" w:cs="Arial"/>
                <w:sz w:val="22"/>
                <w:szCs w:val="22"/>
              </w:rPr>
              <w:t>Gahapa</w:t>
            </w:r>
            <w:proofErr w:type="spellEnd"/>
            <w:r w:rsidRPr="000B78E1">
              <w:rPr>
                <w:rFonts w:ascii="Arial" w:hAnsi="Arial" w:cs="Arial"/>
                <w:sz w:val="22"/>
                <w:szCs w:val="22"/>
              </w:rPr>
              <w:t xml:space="preserve"> </w:t>
            </w:r>
            <w:proofErr w:type="spellStart"/>
            <w:r w:rsidRPr="000B78E1">
              <w:rPr>
                <w:rFonts w:ascii="Arial" w:hAnsi="Arial" w:cs="Arial"/>
                <w:sz w:val="22"/>
                <w:szCs w:val="22"/>
              </w:rPr>
              <w:t>Talom</w:t>
            </w:r>
            <w:proofErr w:type="spellEnd"/>
            <w:r w:rsidRPr="000B78E1">
              <w:rPr>
                <w:rFonts w:ascii="Arial" w:hAnsi="Arial" w:cs="Arial"/>
                <w:sz w:val="22"/>
                <w:szCs w:val="22"/>
              </w:rPr>
              <w:t xml:space="preserve"> (2020)</w:t>
            </w:r>
          </w:p>
        </w:tc>
        <w:tc>
          <w:tcPr>
            <w:tcW w:w="1756" w:type="dxa"/>
            <w:vAlign w:val="center"/>
          </w:tcPr>
          <w:p w14:paraId="056C4C48" w14:textId="0AB1C4E6" w:rsidR="003D59A9" w:rsidRPr="000B78E1" w:rsidRDefault="003D59A9" w:rsidP="005F3D2E">
            <w:pPr>
              <w:spacing w:line="276" w:lineRule="auto"/>
              <w:jc w:val="both"/>
              <w:rPr>
                <w:rFonts w:ascii="Arial" w:hAnsi="Arial" w:cs="Arial"/>
                <w:sz w:val="22"/>
                <w:szCs w:val="22"/>
              </w:rPr>
            </w:pPr>
            <w:r w:rsidRPr="000B78E1">
              <w:rPr>
                <w:rFonts w:ascii="Arial" w:hAnsi="Arial" w:cs="Arial"/>
                <w:sz w:val="22"/>
                <w:szCs w:val="22"/>
              </w:rPr>
              <w:t>No link between adoption and formal credit</w:t>
            </w:r>
          </w:p>
        </w:tc>
        <w:tc>
          <w:tcPr>
            <w:tcW w:w="1530" w:type="dxa"/>
            <w:vAlign w:val="center"/>
          </w:tcPr>
          <w:p w14:paraId="26B71BA8" w14:textId="60DB5C2E" w:rsidR="003D59A9" w:rsidRPr="000B78E1" w:rsidRDefault="003D59A9" w:rsidP="005F3D2E">
            <w:pPr>
              <w:spacing w:line="276" w:lineRule="auto"/>
              <w:jc w:val="both"/>
              <w:rPr>
                <w:rFonts w:ascii="Arial" w:hAnsi="Arial" w:cs="Arial"/>
                <w:sz w:val="22"/>
                <w:szCs w:val="22"/>
              </w:rPr>
            </w:pPr>
            <w:r w:rsidRPr="000B78E1">
              <w:rPr>
                <w:rFonts w:ascii="Arial" w:hAnsi="Arial" w:cs="Arial"/>
                <w:sz w:val="22"/>
                <w:szCs w:val="22"/>
              </w:rPr>
              <w:t>No causal modelling</w:t>
            </w:r>
          </w:p>
        </w:tc>
        <w:tc>
          <w:tcPr>
            <w:tcW w:w="1842" w:type="dxa"/>
            <w:vAlign w:val="center"/>
          </w:tcPr>
          <w:p w14:paraId="59ACCA08" w14:textId="5A6C4C7E" w:rsidR="003D59A9" w:rsidRPr="000B78E1" w:rsidRDefault="003D59A9" w:rsidP="005F3D2E">
            <w:pPr>
              <w:spacing w:line="276" w:lineRule="auto"/>
              <w:jc w:val="both"/>
              <w:rPr>
                <w:rFonts w:ascii="Arial" w:hAnsi="Arial" w:cs="Arial"/>
                <w:sz w:val="22"/>
                <w:szCs w:val="22"/>
              </w:rPr>
            </w:pPr>
            <w:r w:rsidRPr="000B78E1">
              <w:rPr>
                <w:rFonts w:ascii="Arial" w:hAnsi="Arial" w:cs="Arial"/>
                <w:sz w:val="22"/>
                <w:szCs w:val="22"/>
              </w:rPr>
              <w:t>Single-city informal SMEs</w:t>
            </w:r>
          </w:p>
        </w:tc>
        <w:tc>
          <w:tcPr>
            <w:tcW w:w="2217" w:type="dxa"/>
            <w:vAlign w:val="center"/>
          </w:tcPr>
          <w:p w14:paraId="54CF721E" w14:textId="2AB7864D" w:rsidR="003D59A9" w:rsidRPr="000B78E1" w:rsidRDefault="003D59A9" w:rsidP="005F3D2E">
            <w:pPr>
              <w:spacing w:line="276" w:lineRule="auto"/>
              <w:jc w:val="both"/>
              <w:rPr>
                <w:rFonts w:ascii="Arial" w:hAnsi="Arial" w:cs="Arial"/>
                <w:sz w:val="22"/>
                <w:szCs w:val="22"/>
              </w:rPr>
            </w:pPr>
            <w:r w:rsidRPr="000B78E1">
              <w:rPr>
                <w:rFonts w:ascii="Arial" w:hAnsi="Arial" w:cs="Arial"/>
                <w:sz w:val="22"/>
                <w:szCs w:val="22"/>
              </w:rPr>
              <w:t>DFS improves transactions, not loans</w:t>
            </w:r>
            <w:r w:rsidR="00A46072" w:rsidRPr="000B78E1">
              <w:rPr>
                <w:rFonts w:ascii="Arial" w:hAnsi="Arial" w:cs="Arial"/>
                <w:sz w:val="22"/>
                <w:szCs w:val="22"/>
              </w:rPr>
              <w:t>.</w:t>
            </w:r>
          </w:p>
        </w:tc>
      </w:tr>
      <w:tr w:rsidR="00BF10DA" w:rsidRPr="000B78E1" w14:paraId="7A62999C" w14:textId="77777777" w:rsidTr="0020646E">
        <w:tc>
          <w:tcPr>
            <w:tcW w:w="1671" w:type="dxa"/>
            <w:vAlign w:val="center"/>
          </w:tcPr>
          <w:p w14:paraId="4F5720EB" w14:textId="4AAA53E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Abbasi et al. (2021)</w:t>
            </w:r>
          </w:p>
        </w:tc>
        <w:tc>
          <w:tcPr>
            <w:tcW w:w="1756" w:type="dxa"/>
            <w:vAlign w:val="center"/>
          </w:tcPr>
          <w:p w14:paraId="5C96B674" w14:textId="0362841E" w:rsidR="00BF10DA" w:rsidRPr="000B78E1" w:rsidRDefault="00BF10DA" w:rsidP="005F3D2E">
            <w:pPr>
              <w:spacing w:line="276" w:lineRule="auto"/>
              <w:rPr>
                <w:rFonts w:ascii="Arial" w:hAnsi="Arial" w:cs="Arial"/>
                <w:sz w:val="22"/>
                <w:szCs w:val="22"/>
              </w:rPr>
            </w:pPr>
            <w:r w:rsidRPr="000B78E1">
              <w:rPr>
                <w:rFonts w:ascii="Arial" w:hAnsi="Arial" w:cs="Arial"/>
                <w:sz w:val="22"/>
                <w:szCs w:val="22"/>
              </w:rPr>
              <w:t>No integration of DFS with credit theory</w:t>
            </w:r>
          </w:p>
        </w:tc>
        <w:tc>
          <w:tcPr>
            <w:tcW w:w="1530" w:type="dxa"/>
            <w:vAlign w:val="center"/>
          </w:tcPr>
          <w:p w14:paraId="1CE26D3D" w14:textId="75731E47"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No longitudinal impact</w:t>
            </w:r>
          </w:p>
        </w:tc>
        <w:tc>
          <w:tcPr>
            <w:tcW w:w="1842" w:type="dxa"/>
            <w:vAlign w:val="center"/>
          </w:tcPr>
          <w:p w14:paraId="3585829F" w14:textId="5C5D9083"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OECD bias</w:t>
            </w:r>
          </w:p>
        </w:tc>
        <w:tc>
          <w:tcPr>
            <w:tcW w:w="2217" w:type="dxa"/>
            <w:vAlign w:val="center"/>
          </w:tcPr>
          <w:p w14:paraId="5DF0CFD9" w14:textId="5C61B05B"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FinTech expands credit only with strong institutions</w:t>
            </w:r>
            <w:r w:rsidR="00A46072" w:rsidRPr="000B78E1">
              <w:rPr>
                <w:rFonts w:ascii="Arial" w:hAnsi="Arial" w:cs="Arial"/>
                <w:sz w:val="22"/>
                <w:szCs w:val="22"/>
              </w:rPr>
              <w:t>.</w:t>
            </w:r>
          </w:p>
        </w:tc>
      </w:tr>
      <w:tr w:rsidR="00BF10DA" w:rsidRPr="000B78E1" w14:paraId="6AC2926A" w14:textId="77777777" w:rsidTr="0020646E">
        <w:tc>
          <w:tcPr>
            <w:tcW w:w="1671" w:type="dxa"/>
            <w:vAlign w:val="center"/>
          </w:tcPr>
          <w:p w14:paraId="33ABF773" w14:textId="545BE551"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Fadeyi et al. (2025)</w:t>
            </w:r>
          </w:p>
        </w:tc>
        <w:tc>
          <w:tcPr>
            <w:tcW w:w="1756" w:type="dxa"/>
            <w:vAlign w:val="center"/>
          </w:tcPr>
          <w:p w14:paraId="6740C154" w14:textId="64793B00"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DFS not treated as credit mechanism</w:t>
            </w:r>
          </w:p>
        </w:tc>
        <w:tc>
          <w:tcPr>
            <w:tcW w:w="1530" w:type="dxa"/>
            <w:vAlign w:val="center"/>
          </w:tcPr>
          <w:p w14:paraId="3A45A974" w14:textId="19D96264"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No causal credit modelling</w:t>
            </w:r>
          </w:p>
        </w:tc>
        <w:tc>
          <w:tcPr>
            <w:tcW w:w="1842" w:type="dxa"/>
            <w:vAlign w:val="center"/>
          </w:tcPr>
          <w:p w14:paraId="1D829D3C" w14:textId="43A065A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Nigeria-specific</w:t>
            </w:r>
          </w:p>
        </w:tc>
        <w:tc>
          <w:tcPr>
            <w:tcW w:w="2217" w:type="dxa"/>
            <w:vAlign w:val="center"/>
          </w:tcPr>
          <w:p w14:paraId="36D6D553" w14:textId="22CAE28B"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DFS supports payments, not formal lending</w:t>
            </w:r>
            <w:r w:rsidR="00A46072" w:rsidRPr="000B78E1">
              <w:rPr>
                <w:rFonts w:ascii="Arial" w:hAnsi="Arial" w:cs="Arial"/>
                <w:sz w:val="22"/>
                <w:szCs w:val="22"/>
              </w:rPr>
              <w:t>.</w:t>
            </w:r>
          </w:p>
        </w:tc>
      </w:tr>
      <w:tr w:rsidR="00BF10DA" w:rsidRPr="000B78E1" w14:paraId="4F23E863" w14:textId="77777777" w:rsidTr="0020646E">
        <w:tc>
          <w:tcPr>
            <w:tcW w:w="1671" w:type="dxa"/>
            <w:vAlign w:val="center"/>
          </w:tcPr>
          <w:p w14:paraId="4577CE5D" w14:textId="1A2F74F2"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Xie &amp; Liu (2022)</w:t>
            </w:r>
          </w:p>
        </w:tc>
        <w:tc>
          <w:tcPr>
            <w:tcW w:w="1756" w:type="dxa"/>
            <w:vAlign w:val="center"/>
          </w:tcPr>
          <w:p w14:paraId="2034A82B" w14:textId="29A62821"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Ignores bank lending behaviour theory</w:t>
            </w:r>
          </w:p>
        </w:tc>
        <w:tc>
          <w:tcPr>
            <w:tcW w:w="1530" w:type="dxa"/>
            <w:vAlign w:val="center"/>
          </w:tcPr>
          <w:p w14:paraId="1F24400E" w14:textId="665E4703"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Uses proxy indices</w:t>
            </w:r>
          </w:p>
        </w:tc>
        <w:tc>
          <w:tcPr>
            <w:tcW w:w="1842" w:type="dxa"/>
            <w:vAlign w:val="center"/>
          </w:tcPr>
          <w:p w14:paraId="4CBA2909" w14:textId="49D733C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China-specific</w:t>
            </w:r>
          </w:p>
        </w:tc>
        <w:tc>
          <w:tcPr>
            <w:tcW w:w="2217" w:type="dxa"/>
            <w:vAlign w:val="center"/>
          </w:tcPr>
          <w:p w14:paraId="1CC510D8" w14:textId="5FEB2706"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DFS improves efficiency, not direct credit</w:t>
            </w:r>
          </w:p>
        </w:tc>
      </w:tr>
      <w:tr w:rsidR="00BF10DA" w:rsidRPr="000B78E1" w14:paraId="219B462A" w14:textId="77777777" w:rsidTr="0020646E">
        <w:tc>
          <w:tcPr>
            <w:tcW w:w="1671" w:type="dxa"/>
            <w:vAlign w:val="center"/>
          </w:tcPr>
          <w:p w14:paraId="2F970777" w14:textId="5B44EC11"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Sarker &amp; Rahman (2025)</w:t>
            </w:r>
          </w:p>
        </w:tc>
        <w:tc>
          <w:tcPr>
            <w:tcW w:w="1756" w:type="dxa"/>
            <w:vAlign w:val="center"/>
          </w:tcPr>
          <w:p w14:paraId="5006307A" w14:textId="7E212EA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No lending behaviour theorisation</w:t>
            </w:r>
          </w:p>
        </w:tc>
        <w:tc>
          <w:tcPr>
            <w:tcW w:w="1530" w:type="dxa"/>
            <w:vAlign w:val="center"/>
          </w:tcPr>
          <w:p w14:paraId="187EA6C4" w14:textId="5A088F45"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Macro-level data only</w:t>
            </w:r>
          </w:p>
        </w:tc>
        <w:tc>
          <w:tcPr>
            <w:tcW w:w="1842" w:type="dxa"/>
            <w:vAlign w:val="center"/>
          </w:tcPr>
          <w:p w14:paraId="4DD07D00" w14:textId="156D1D9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Bangladesh-specific</w:t>
            </w:r>
          </w:p>
        </w:tc>
        <w:tc>
          <w:tcPr>
            <w:tcW w:w="2217" w:type="dxa"/>
            <w:vAlign w:val="center"/>
          </w:tcPr>
          <w:p w14:paraId="525853FF" w14:textId="7B4D4D50"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 xml:space="preserve">Inclusion </w:t>
            </w:r>
            <w:proofErr w:type="gramStart"/>
            <w:r w:rsidRPr="000B78E1">
              <w:rPr>
                <w:rFonts w:ascii="Arial" w:hAnsi="Arial" w:cs="Arial"/>
                <w:sz w:val="22"/>
                <w:szCs w:val="22"/>
              </w:rPr>
              <w:t>improves,</w:t>
            </w:r>
            <w:proofErr w:type="gramEnd"/>
            <w:r w:rsidRPr="000B78E1">
              <w:rPr>
                <w:rFonts w:ascii="Arial" w:hAnsi="Arial" w:cs="Arial"/>
                <w:sz w:val="22"/>
                <w:szCs w:val="22"/>
              </w:rPr>
              <w:t xml:space="preserve"> credit does not</w:t>
            </w:r>
            <w:r w:rsidR="00A46072" w:rsidRPr="000B78E1">
              <w:rPr>
                <w:rFonts w:ascii="Arial" w:hAnsi="Arial" w:cs="Arial"/>
                <w:sz w:val="22"/>
                <w:szCs w:val="22"/>
              </w:rPr>
              <w:t>.</w:t>
            </w:r>
          </w:p>
        </w:tc>
      </w:tr>
      <w:tr w:rsidR="000366DB" w:rsidRPr="000B78E1" w14:paraId="5753B16F" w14:textId="77777777" w:rsidTr="00727279">
        <w:tc>
          <w:tcPr>
            <w:tcW w:w="1671" w:type="dxa"/>
            <w:vAlign w:val="center"/>
          </w:tcPr>
          <w:p w14:paraId="5CDF7BA5" w14:textId="5F054736"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Saha et al. (2025)</w:t>
            </w:r>
          </w:p>
        </w:tc>
        <w:tc>
          <w:tcPr>
            <w:tcW w:w="1756" w:type="dxa"/>
            <w:vAlign w:val="center"/>
          </w:tcPr>
          <w:p w14:paraId="0497403D" w14:textId="6889DE19"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Adoption theory ignores real outcomes</w:t>
            </w:r>
          </w:p>
        </w:tc>
        <w:tc>
          <w:tcPr>
            <w:tcW w:w="1530" w:type="dxa"/>
            <w:vAlign w:val="center"/>
          </w:tcPr>
          <w:p w14:paraId="398808BA" w14:textId="0C1A4C1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Small cross-sectional sample</w:t>
            </w:r>
          </w:p>
        </w:tc>
        <w:tc>
          <w:tcPr>
            <w:tcW w:w="1842" w:type="dxa"/>
            <w:vAlign w:val="center"/>
          </w:tcPr>
          <w:p w14:paraId="32C393A0" w14:textId="67E69EA5"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Limited locations</w:t>
            </w:r>
          </w:p>
        </w:tc>
        <w:tc>
          <w:tcPr>
            <w:tcW w:w="2217" w:type="dxa"/>
            <w:vAlign w:val="center"/>
          </w:tcPr>
          <w:p w14:paraId="1403229E" w14:textId="5F9BF49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 xml:space="preserve">Adoption intention </w:t>
            </w:r>
            <w:proofErr w:type="gramStart"/>
            <w:r w:rsidR="001342D2" w:rsidRPr="000B78E1">
              <w:rPr>
                <w:rFonts w:ascii="Arial" w:hAnsi="Arial" w:cs="Arial"/>
                <w:sz w:val="22"/>
                <w:szCs w:val="22"/>
              </w:rPr>
              <w:t>do</w:t>
            </w:r>
            <w:proofErr w:type="gramEnd"/>
            <w:r w:rsidR="001342D2" w:rsidRPr="000B78E1">
              <w:rPr>
                <w:rFonts w:ascii="Arial" w:hAnsi="Arial" w:cs="Arial"/>
                <w:sz w:val="22"/>
                <w:szCs w:val="22"/>
              </w:rPr>
              <w:t xml:space="preserve"> not</w:t>
            </w:r>
            <w:r w:rsidR="00727279" w:rsidRPr="000B78E1">
              <w:rPr>
                <w:rFonts w:ascii="Arial" w:hAnsi="Arial" w:cs="Arial"/>
                <w:sz w:val="22"/>
                <w:szCs w:val="22"/>
              </w:rPr>
              <w:t xml:space="preserve"> lead</w:t>
            </w:r>
            <w:r w:rsidRPr="000B78E1">
              <w:rPr>
                <w:rFonts w:ascii="Arial" w:hAnsi="Arial" w:cs="Arial"/>
                <w:sz w:val="22"/>
                <w:szCs w:val="22"/>
              </w:rPr>
              <w:t xml:space="preserve"> credit access</w:t>
            </w:r>
            <w:r w:rsidR="00A46072" w:rsidRPr="000B78E1">
              <w:rPr>
                <w:rFonts w:ascii="Arial" w:hAnsi="Arial" w:cs="Arial"/>
                <w:sz w:val="22"/>
                <w:szCs w:val="22"/>
              </w:rPr>
              <w:t>.</w:t>
            </w:r>
          </w:p>
        </w:tc>
      </w:tr>
      <w:tr w:rsidR="00BF10DA" w:rsidRPr="000B78E1" w14:paraId="38C2858C" w14:textId="77777777" w:rsidTr="0020646E">
        <w:tc>
          <w:tcPr>
            <w:tcW w:w="1671" w:type="dxa"/>
            <w:vAlign w:val="center"/>
          </w:tcPr>
          <w:p w14:paraId="40CAC558" w14:textId="44D3F9E5" w:rsidR="00BF10DA" w:rsidRPr="000B78E1" w:rsidRDefault="00BF10DA" w:rsidP="005F3D2E">
            <w:pPr>
              <w:spacing w:line="276" w:lineRule="auto"/>
              <w:jc w:val="both"/>
              <w:rPr>
                <w:rFonts w:ascii="Arial" w:hAnsi="Arial" w:cs="Arial"/>
                <w:sz w:val="22"/>
                <w:szCs w:val="22"/>
              </w:rPr>
            </w:pPr>
            <w:proofErr w:type="spellStart"/>
            <w:r w:rsidRPr="000B78E1">
              <w:rPr>
                <w:rFonts w:ascii="Arial" w:hAnsi="Arial" w:cs="Arial"/>
                <w:sz w:val="22"/>
                <w:szCs w:val="22"/>
              </w:rPr>
              <w:t>Omokhoa</w:t>
            </w:r>
            <w:proofErr w:type="spellEnd"/>
            <w:r w:rsidRPr="000B78E1">
              <w:rPr>
                <w:rFonts w:ascii="Arial" w:hAnsi="Arial" w:cs="Arial"/>
                <w:sz w:val="22"/>
                <w:szCs w:val="22"/>
              </w:rPr>
              <w:t xml:space="preserve"> et al. (2024)</w:t>
            </w:r>
          </w:p>
        </w:tc>
        <w:tc>
          <w:tcPr>
            <w:tcW w:w="1756" w:type="dxa"/>
            <w:vAlign w:val="center"/>
          </w:tcPr>
          <w:p w14:paraId="5BDF686D" w14:textId="1326B251"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No theory of digital-to-credit conversion</w:t>
            </w:r>
          </w:p>
        </w:tc>
        <w:tc>
          <w:tcPr>
            <w:tcW w:w="1530" w:type="dxa"/>
            <w:vAlign w:val="center"/>
          </w:tcPr>
          <w:p w14:paraId="24B5FF15" w14:textId="4E938506"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Conceptual, no data</w:t>
            </w:r>
          </w:p>
        </w:tc>
        <w:tc>
          <w:tcPr>
            <w:tcW w:w="1842" w:type="dxa"/>
            <w:vAlign w:val="center"/>
          </w:tcPr>
          <w:p w14:paraId="7507882A" w14:textId="0C63087B" w:rsidR="00BF10DA" w:rsidRPr="000B78E1" w:rsidRDefault="00BF10DA" w:rsidP="005F3D2E">
            <w:pPr>
              <w:spacing w:line="276" w:lineRule="auto"/>
              <w:rPr>
                <w:rFonts w:ascii="Arial" w:hAnsi="Arial" w:cs="Arial"/>
                <w:sz w:val="22"/>
                <w:szCs w:val="22"/>
              </w:rPr>
            </w:pPr>
            <w:r w:rsidRPr="000B78E1">
              <w:rPr>
                <w:rFonts w:ascii="Arial" w:hAnsi="Arial" w:cs="Arial"/>
                <w:sz w:val="22"/>
                <w:szCs w:val="22"/>
              </w:rPr>
              <w:t>Generalised emerging markets</w:t>
            </w:r>
          </w:p>
        </w:tc>
        <w:tc>
          <w:tcPr>
            <w:tcW w:w="2217" w:type="dxa"/>
            <w:vAlign w:val="center"/>
          </w:tcPr>
          <w:p w14:paraId="3CFFB4A9" w14:textId="7D04234B"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Data useful only with strong institutions</w:t>
            </w:r>
            <w:r w:rsidR="00A46072" w:rsidRPr="000B78E1">
              <w:rPr>
                <w:rFonts w:ascii="Arial" w:hAnsi="Arial" w:cs="Arial"/>
                <w:sz w:val="22"/>
                <w:szCs w:val="22"/>
              </w:rPr>
              <w:t>.</w:t>
            </w:r>
          </w:p>
        </w:tc>
      </w:tr>
      <w:tr w:rsidR="00BF10DA" w:rsidRPr="000B78E1" w14:paraId="105DBEE2" w14:textId="77777777" w:rsidTr="0020646E">
        <w:tc>
          <w:tcPr>
            <w:tcW w:w="1671" w:type="dxa"/>
            <w:vAlign w:val="center"/>
          </w:tcPr>
          <w:p w14:paraId="198A10A5" w14:textId="638D7343"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Yang et al. (2024)</w:t>
            </w:r>
          </w:p>
        </w:tc>
        <w:tc>
          <w:tcPr>
            <w:tcW w:w="1756" w:type="dxa"/>
            <w:vAlign w:val="center"/>
          </w:tcPr>
          <w:p w14:paraId="60AD5A0A" w14:textId="41B5D232"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No explanation of risk dynamics</w:t>
            </w:r>
            <w:r w:rsidR="001061BF" w:rsidRPr="000B78E1">
              <w:rPr>
                <w:rFonts w:ascii="Arial" w:hAnsi="Arial" w:cs="Arial"/>
                <w:sz w:val="22"/>
                <w:szCs w:val="22"/>
              </w:rPr>
              <w:t>.</w:t>
            </w:r>
          </w:p>
        </w:tc>
        <w:tc>
          <w:tcPr>
            <w:tcW w:w="1530" w:type="dxa"/>
            <w:vAlign w:val="center"/>
          </w:tcPr>
          <w:p w14:paraId="75641223" w14:textId="408E4EB7"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Regional proxy data</w:t>
            </w:r>
          </w:p>
        </w:tc>
        <w:tc>
          <w:tcPr>
            <w:tcW w:w="1842" w:type="dxa"/>
            <w:vAlign w:val="center"/>
          </w:tcPr>
          <w:p w14:paraId="1B18C71F" w14:textId="2E6E974D"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China-dependent</w:t>
            </w:r>
          </w:p>
        </w:tc>
        <w:tc>
          <w:tcPr>
            <w:tcW w:w="2217" w:type="dxa"/>
            <w:vAlign w:val="center"/>
          </w:tcPr>
          <w:p w14:paraId="209BB439" w14:textId="5DA7F962"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DFS works when institutions recognise data</w:t>
            </w:r>
            <w:r w:rsidR="00A46072" w:rsidRPr="000B78E1">
              <w:rPr>
                <w:rFonts w:ascii="Arial" w:hAnsi="Arial" w:cs="Arial"/>
                <w:sz w:val="22"/>
                <w:szCs w:val="22"/>
              </w:rPr>
              <w:t>.</w:t>
            </w:r>
          </w:p>
        </w:tc>
      </w:tr>
      <w:tr w:rsidR="00BF10DA" w:rsidRPr="000B78E1" w14:paraId="333489FE" w14:textId="77777777" w:rsidTr="0020646E">
        <w:tc>
          <w:tcPr>
            <w:tcW w:w="1671" w:type="dxa"/>
            <w:vAlign w:val="center"/>
          </w:tcPr>
          <w:p w14:paraId="7770A536" w14:textId="52D61C95" w:rsidR="00BF10DA" w:rsidRPr="000B78E1" w:rsidRDefault="00BF10DA" w:rsidP="005F3D2E">
            <w:pPr>
              <w:spacing w:line="276" w:lineRule="auto"/>
              <w:jc w:val="both"/>
              <w:rPr>
                <w:rFonts w:ascii="Arial" w:hAnsi="Arial" w:cs="Arial"/>
                <w:sz w:val="22"/>
                <w:szCs w:val="22"/>
              </w:rPr>
            </w:pPr>
            <w:proofErr w:type="spellStart"/>
            <w:r w:rsidRPr="000B78E1">
              <w:rPr>
                <w:rFonts w:ascii="Arial" w:hAnsi="Arial" w:cs="Arial"/>
                <w:sz w:val="22"/>
                <w:szCs w:val="22"/>
              </w:rPr>
              <w:t>Abiduzzaman</w:t>
            </w:r>
            <w:proofErr w:type="spellEnd"/>
            <w:r w:rsidRPr="000B78E1">
              <w:rPr>
                <w:rFonts w:ascii="Arial" w:hAnsi="Arial" w:cs="Arial"/>
                <w:sz w:val="22"/>
                <w:szCs w:val="22"/>
              </w:rPr>
              <w:t xml:space="preserve"> (2025)</w:t>
            </w:r>
          </w:p>
        </w:tc>
        <w:tc>
          <w:tcPr>
            <w:tcW w:w="1756" w:type="dxa"/>
            <w:vAlign w:val="center"/>
          </w:tcPr>
          <w:p w14:paraId="377F02E7" w14:textId="7532384E"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No theory linking data to repayment</w:t>
            </w:r>
            <w:r w:rsidR="001061BF" w:rsidRPr="000B78E1">
              <w:rPr>
                <w:rFonts w:ascii="Arial" w:hAnsi="Arial" w:cs="Arial"/>
                <w:sz w:val="22"/>
                <w:szCs w:val="22"/>
              </w:rPr>
              <w:t>.</w:t>
            </w:r>
          </w:p>
        </w:tc>
        <w:tc>
          <w:tcPr>
            <w:tcW w:w="1530" w:type="dxa"/>
            <w:vAlign w:val="center"/>
          </w:tcPr>
          <w:p w14:paraId="1E9F1C2E" w14:textId="30AE8DEC"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No loan-level modelling</w:t>
            </w:r>
          </w:p>
        </w:tc>
        <w:tc>
          <w:tcPr>
            <w:tcW w:w="1842" w:type="dxa"/>
            <w:vAlign w:val="center"/>
          </w:tcPr>
          <w:p w14:paraId="5908D665" w14:textId="33876230"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Homogeneous user assumption</w:t>
            </w:r>
          </w:p>
        </w:tc>
        <w:tc>
          <w:tcPr>
            <w:tcW w:w="2217" w:type="dxa"/>
            <w:vAlign w:val="center"/>
          </w:tcPr>
          <w:p w14:paraId="4315B7AF" w14:textId="10171466" w:rsidR="00BF10DA" w:rsidRPr="000B78E1" w:rsidRDefault="00BF10DA" w:rsidP="005F3D2E">
            <w:pPr>
              <w:spacing w:line="276" w:lineRule="auto"/>
              <w:jc w:val="both"/>
              <w:rPr>
                <w:rFonts w:ascii="Arial" w:hAnsi="Arial" w:cs="Arial"/>
                <w:sz w:val="22"/>
                <w:szCs w:val="22"/>
              </w:rPr>
            </w:pPr>
            <w:r w:rsidRPr="000B78E1">
              <w:rPr>
                <w:rFonts w:ascii="Arial" w:hAnsi="Arial" w:cs="Arial"/>
                <w:sz w:val="22"/>
                <w:szCs w:val="22"/>
              </w:rPr>
              <w:t>Digital data improves risk only if accepted</w:t>
            </w:r>
            <w:r w:rsidR="00A46072" w:rsidRPr="000B78E1">
              <w:rPr>
                <w:rFonts w:ascii="Arial" w:hAnsi="Arial" w:cs="Arial"/>
                <w:sz w:val="22"/>
                <w:szCs w:val="22"/>
              </w:rPr>
              <w:t>.</w:t>
            </w:r>
          </w:p>
        </w:tc>
      </w:tr>
      <w:tr w:rsidR="00FC4DEE" w:rsidRPr="000B78E1" w14:paraId="5F0CF0B3" w14:textId="77777777" w:rsidTr="0020646E">
        <w:tc>
          <w:tcPr>
            <w:tcW w:w="1671" w:type="dxa"/>
            <w:vAlign w:val="center"/>
          </w:tcPr>
          <w:p w14:paraId="019EB1D0" w14:textId="7AB49DB2" w:rsidR="00FC4DEE" w:rsidRPr="000B78E1" w:rsidRDefault="00FC4DEE" w:rsidP="005F3D2E">
            <w:pPr>
              <w:spacing w:line="276" w:lineRule="auto"/>
              <w:jc w:val="both"/>
              <w:rPr>
                <w:rFonts w:ascii="Arial" w:hAnsi="Arial" w:cs="Arial"/>
                <w:sz w:val="22"/>
                <w:szCs w:val="22"/>
              </w:rPr>
            </w:pPr>
            <w:proofErr w:type="spellStart"/>
            <w:r w:rsidRPr="000B78E1">
              <w:rPr>
                <w:rFonts w:ascii="Arial" w:hAnsi="Arial" w:cs="Arial"/>
                <w:sz w:val="22"/>
                <w:szCs w:val="22"/>
              </w:rPr>
              <w:t>Soremekun</w:t>
            </w:r>
            <w:proofErr w:type="spellEnd"/>
            <w:r w:rsidRPr="000B78E1">
              <w:rPr>
                <w:rFonts w:ascii="Arial" w:hAnsi="Arial" w:cs="Arial"/>
                <w:sz w:val="22"/>
                <w:szCs w:val="22"/>
              </w:rPr>
              <w:t xml:space="preserve"> et al. (2024)</w:t>
            </w:r>
          </w:p>
        </w:tc>
        <w:tc>
          <w:tcPr>
            <w:tcW w:w="1756" w:type="dxa"/>
            <w:vAlign w:val="center"/>
          </w:tcPr>
          <w:p w14:paraId="4018388D" w14:textId="22A71162"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Weak theory on trust &amp; governance</w:t>
            </w:r>
            <w:r w:rsidR="001061BF" w:rsidRPr="000B78E1">
              <w:rPr>
                <w:rFonts w:ascii="Arial" w:hAnsi="Arial" w:cs="Arial"/>
                <w:sz w:val="22"/>
                <w:szCs w:val="22"/>
              </w:rPr>
              <w:t>.</w:t>
            </w:r>
          </w:p>
        </w:tc>
        <w:tc>
          <w:tcPr>
            <w:tcW w:w="1530" w:type="dxa"/>
            <w:vAlign w:val="center"/>
          </w:tcPr>
          <w:p w14:paraId="7C3E57B4" w14:textId="2BAD3BDE"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Conceptual only</w:t>
            </w:r>
          </w:p>
        </w:tc>
        <w:tc>
          <w:tcPr>
            <w:tcW w:w="1842" w:type="dxa"/>
            <w:vAlign w:val="center"/>
          </w:tcPr>
          <w:p w14:paraId="7EB7A1ED" w14:textId="2FDE78F5"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US-centric</w:t>
            </w:r>
          </w:p>
        </w:tc>
        <w:tc>
          <w:tcPr>
            <w:tcW w:w="2217" w:type="dxa"/>
            <w:vAlign w:val="center"/>
          </w:tcPr>
          <w:p w14:paraId="65CC05F2" w14:textId="607640D4"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Credit needs regulation, trust, explainability</w:t>
            </w:r>
            <w:r w:rsidR="00A46072" w:rsidRPr="000B78E1">
              <w:rPr>
                <w:rFonts w:ascii="Arial" w:hAnsi="Arial" w:cs="Arial"/>
                <w:sz w:val="22"/>
                <w:szCs w:val="22"/>
              </w:rPr>
              <w:t>.</w:t>
            </w:r>
          </w:p>
        </w:tc>
      </w:tr>
      <w:tr w:rsidR="00FC4DEE" w:rsidRPr="000B78E1" w14:paraId="4C768D0E" w14:textId="77777777" w:rsidTr="0020646E">
        <w:tc>
          <w:tcPr>
            <w:tcW w:w="1671" w:type="dxa"/>
            <w:vAlign w:val="center"/>
          </w:tcPr>
          <w:p w14:paraId="0E7AF06D" w14:textId="33EC96FA"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Yao &amp; Yang (2022)</w:t>
            </w:r>
          </w:p>
        </w:tc>
        <w:tc>
          <w:tcPr>
            <w:tcW w:w="1756" w:type="dxa"/>
            <w:vAlign w:val="center"/>
          </w:tcPr>
          <w:p w14:paraId="1D664092" w14:textId="7E52989E"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No lender acceptance theory</w:t>
            </w:r>
            <w:r w:rsidR="001061BF" w:rsidRPr="000B78E1">
              <w:rPr>
                <w:rFonts w:ascii="Arial" w:hAnsi="Arial" w:cs="Arial"/>
                <w:sz w:val="22"/>
                <w:szCs w:val="22"/>
              </w:rPr>
              <w:t>.</w:t>
            </w:r>
          </w:p>
        </w:tc>
        <w:tc>
          <w:tcPr>
            <w:tcW w:w="1530" w:type="dxa"/>
            <w:vAlign w:val="center"/>
          </w:tcPr>
          <w:p w14:paraId="76C7D2A3" w14:textId="4DEC99A5"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Indirect measures only</w:t>
            </w:r>
          </w:p>
        </w:tc>
        <w:tc>
          <w:tcPr>
            <w:tcW w:w="1842" w:type="dxa"/>
            <w:vAlign w:val="center"/>
          </w:tcPr>
          <w:p w14:paraId="6AE8C0DB" w14:textId="08CF215E"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China ecosystem bias</w:t>
            </w:r>
          </w:p>
        </w:tc>
        <w:tc>
          <w:tcPr>
            <w:tcW w:w="2217" w:type="dxa"/>
            <w:vAlign w:val="center"/>
          </w:tcPr>
          <w:p w14:paraId="7E3B8552" w14:textId="33A1F290"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DFS improves outcomes, mechanism unclear</w:t>
            </w:r>
            <w:r w:rsidR="00A46072" w:rsidRPr="000B78E1">
              <w:rPr>
                <w:rFonts w:ascii="Arial" w:hAnsi="Arial" w:cs="Arial"/>
                <w:sz w:val="22"/>
                <w:szCs w:val="22"/>
              </w:rPr>
              <w:t>.</w:t>
            </w:r>
          </w:p>
        </w:tc>
      </w:tr>
      <w:tr w:rsidR="00FC4DEE" w:rsidRPr="000B78E1" w14:paraId="4A9F313A" w14:textId="77777777" w:rsidTr="0020646E">
        <w:tc>
          <w:tcPr>
            <w:tcW w:w="1671" w:type="dxa"/>
            <w:vAlign w:val="center"/>
          </w:tcPr>
          <w:p w14:paraId="7B0E2C12" w14:textId="619446BA" w:rsidR="00FC4DEE" w:rsidRPr="000B78E1" w:rsidRDefault="00FC4DEE" w:rsidP="005F3D2E">
            <w:pPr>
              <w:spacing w:line="276" w:lineRule="auto"/>
              <w:jc w:val="both"/>
              <w:rPr>
                <w:rFonts w:ascii="Arial" w:hAnsi="Arial" w:cs="Arial"/>
                <w:sz w:val="22"/>
                <w:szCs w:val="22"/>
              </w:rPr>
            </w:pPr>
            <w:proofErr w:type="spellStart"/>
            <w:r w:rsidRPr="000B78E1">
              <w:rPr>
                <w:rFonts w:ascii="Arial" w:hAnsi="Arial" w:cs="Arial"/>
                <w:sz w:val="22"/>
                <w:szCs w:val="22"/>
              </w:rPr>
              <w:t>Pamisetty</w:t>
            </w:r>
            <w:proofErr w:type="spellEnd"/>
            <w:r w:rsidRPr="000B78E1">
              <w:rPr>
                <w:rFonts w:ascii="Arial" w:hAnsi="Arial" w:cs="Arial"/>
                <w:sz w:val="22"/>
                <w:szCs w:val="22"/>
              </w:rPr>
              <w:t xml:space="preserve"> et al. (2025)</w:t>
            </w:r>
          </w:p>
        </w:tc>
        <w:tc>
          <w:tcPr>
            <w:tcW w:w="1756" w:type="dxa"/>
            <w:vAlign w:val="center"/>
          </w:tcPr>
          <w:p w14:paraId="69BDB482" w14:textId="106A4370"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No institutional credit theory</w:t>
            </w:r>
          </w:p>
        </w:tc>
        <w:tc>
          <w:tcPr>
            <w:tcW w:w="1530" w:type="dxa"/>
            <w:vAlign w:val="center"/>
          </w:tcPr>
          <w:p w14:paraId="2DC2D6BD" w14:textId="57A9C873"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Synthetic data only</w:t>
            </w:r>
          </w:p>
        </w:tc>
        <w:tc>
          <w:tcPr>
            <w:tcW w:w="1842" w:type="dxa"/>
            <w:vAlign w:val="center"/>
          </w:tcPr>
          <w:p w14:paraId="26B4DFA3" w14:textId="277BB66D"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Advanced systems bias</w:t>
            </w:r>
          </w:p>
        </w:tc>
        <w:tc>
          <w:tcPr>
            <w:tcW w:w="2217" w:type="dxa"/>
            <w:vAlign w:val="center"/>
          </w:tcPr>
          <w:p w14:paraId="03F434EE" w14:textId="66E34737"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AI improves accuracy, needs trust</w:t>
            </w:r>
            <w:r w:rsidR="00A46072" w:rsidRPr="000B78E1">
              <w:rPr>
                <w:rFonts w:ascii="Arial" w:hAnsi="Arial" w:cs="Arial"/>
                <w:sz w:val="22"/>
                <w:szCs w:val="22"/>
              </w:rPr>
              <w:t>.</w:t>
            </w:r>
          </w:p>
        </w:tc>
      </w:tr>
      <w:tr w:rsidR="00FC4DEE" w:rsidRPr="000B78E1" w14:paraId="2590163E" w14:textId="77777777" w:rsidTr="0020646E">
        <w:tc>
          <w:tcPr>
            <w:tcW w:w="1671" w:type="dxa"/>
            <w:vAlign w:val="center"/>
          </w:tcPr>
          <w:p w14:paraId="583062B3" w14:textId="65745E6C"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Pereira et al. (2026)</w:t>
            </w:r>
          </w:p>
        </w:tc>
        <w:tc>
          <w:tcPr>
            <w:tcW w:w="1756" w:type="dxa"/>
            <w:vAlign w:val="center"/>
          </w:tcPr>
          <w:p w14:paraId="534744B1" w14:textId="3C574C39"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Weak institutional gatekeeping theory</w:t>
            </w:r>
          </w:p>
        </w:tc>
        <w:tc>
          <w:tcPr>
            <w:tcW w:w="1530" w:type="dxa"/>
            <w:vAlign w:val="center"/>
          </w:tcPr>
          <w:p w14:paraId="70232811" w14:textId="7C13EB43"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Short panel, limited validation</w:t>
            </w:r>
          </w:p>
        </w:tc>
        <w:tc>
          <w:tcPr>
            <w:tcW w:w="1842" w:type="dxa"/>
            <w:vAlign w:val="center"/>
          </w:tcPr>
          <w:p w14:paraId="0FC5185A" w14:textId="23357143"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Developed economy bias</w:t>
            </w:r>
          </w:p>
        </w:tc>
        <w:tc>
          <w:tcPr>
            <w:tcW w:w="2217" w:type="dxa"/>
            <w:vAlign w:val="center"/>
          </w:tcPr>
          <w:p w14:paraId="1743F80F" w14:textId="382FFF11"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Trust enables credit conversion</w:t>
            </w:r>
            <w:r w:rsidR="00A46072" w:rsidRPr="000B78E1">
              <w:rPr>
                <w:rFonts w:ascii="Arial" w:hAnsi="Arial" w:cs="Arial"/>
                <w:sz w:val="22"/>
                <w:szCs w:val="22"/>
              </w:rPr>
              <w:t>.</w:t>
            </w:r>
          </w:p>
        </w:tc>
      </w:tr>
      <w:tr w:rsidR="000366DB" w:rsidRPr="000B78E1" w14:paraId="70696A9A" w14:textId="77777777" w:rsidTr="00F6206D">
        <w:tc>
          <w:tcPr>
            <w:tcW w:w="1671" w:type="dxa"/>
            <w:vAlign w:val="center"/>
          </w:tcPr>
          <w:p w14:paraId="23B2043E" w14:textId="55683975" w:rsidR="00FC4DEE" w:rsidRPr="000B78E1" w:rsidRDefault="009029CD" w:rsidP="005F3D2E">
            <w:pPr>
              <w:spacing w:line="276" w:lineRule="auto"/>
              <w:jc w:val="both"/>
              <w:rPr>
                <w:rFonts w:ascii="Arial" w:hAnsi="Arial" w:cs="Arial"/>
                <w:sz w:val="22"/>
                <w:szCs w:val="22"/>
              </w:rPr>
            </w:pPr>
            <w:r w:rsidRPr="000B78E1">
              <w:rPr>
                <w:rFonts w:ascii="Arial" w:hAnsi="Arial" w:cs="Arial"/>
                <w:sz w:val="22"/>
                <w:szCs w:val="22"/>
              </w:rPr>
              <w:t>Zhang, Jin &amp; Li (2025)</w:t>
            </w:r>
          </w:p>
        </w:tc>
        <w:tc>
          <w:tcPr>
            <w:tcW w:w="1756" w:type="dxa"/>
            <w:vAlign w:val="center"/>
          </w:tcPr>
          <w:p w14:paraId="7F598F71" w14:textId="727EFBFA"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Assumes DFI = credit access</w:t>
            </w:r>
          </w:p>
        </w:tc>
        <w:tc>
          <w:tcPr>
            <w:tcW w:w="1530" w:type="dxa"/>
            <w:vAlign w:val="center"/>
          </w:tcPr>
          <w:p w14:paraId="29E0E8D9" w14:textId="0C95AD98"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No loan-level data</w:t>
            </w:r>
          </w:p>
        </w:tc>
        <w:tc>
          <w:tcPr>
            <w:tcW w:w="1842" w:type="dxa"/>
            <w:vAlign w:val="center"/>
          </w:tcPr>
          <w:p w14:paraId="34519DFB" w14:textId="653158CA"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China-specific</w:t>
            </w:r>
          </w:p>
        </w:tc>
        <w:tc>
          <w:tcPr>
            <w:tcW w:w="2217" w:type="dxa"/>
            <w:vAlign w:val="center"/>
          </w:tcPr>
          <w:p w14:paraId="3A267529" w14:textId="24591335"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Conversion depends on institutions</w:t>
            </w:r>
            <w:r w:rsidR="00A46072" w:rsidRPr="000B78E1">
              <w:rPr>
                <w:rFonts w:ascii="Arial" w:hAnsi="Arial" w:cs="Arial"/>
                <w:sz w:val="22"/>
                <w:szCs w:val="22"/>
              </w:rPr>
              <w:t>.</w:t>
            </w:r>
          </w:p>
        </w:tc>
      </w:tr>
      <w:tr w:rsidR="00FC4DEE" w:rsidRPr="000B78E1" w14:paraId="524669D4" w14:textId="77777777" w:rsidTr="0020646E">
        <w:tc>
          <w:tcPr>
            <w:tcW w:w="1671" w:type="dxa"/>
            <w:vAlign w:val="center"/>
          </w:tcPr>
          <w:p w14:paraId="172B8571" w14:textId="6ADBCE32"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lastRenderedPageBreak/>
              <w:t>Amin (2024)</w:t>
            </w:r>
          </w:p>
        </w:tc>
        <w:tc>
          <w:tcPr>
            <w:tcW w:w="1756" w:type="dxa"/>
            <w:vAlign w:val="center"/>
          </w:tcPr>
          <w:p w14:paraId="7BAAFE50" w14:textId="0D823BDE"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Theory descriptive, not tested</w:t>
            </w:r>
          </w:p>
        </w:tc>
        <w:tc>
          <w:tcPr>
            <w:tcW w:w="1530" w:type="dxa"/>
            <w:vAlign w:val="center"/>
          </w:tcPr>
          <w:p w14:paraId="69EB4117" w14:textId="583F761C"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Secondary data only</w:t>
            </w:r>
          </w:p>
        </w:tc>
        <w:tc>
          <w:tcPr>
            <w:tcW w:w="1842" w:type="dxa"/>
            <w:vAlign w:val="center"/>
          </w:tcPr>
          <w:p w14:paraId="012CFD48" w14:textId="15A2EE6F"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Bangladesh generalisation</w:t>
            </w:r>
          </w:p>
        </w:tc>
        <w:tc>
          <w:tcPr>
            <w:tcW w:w="2217" w:type="dxa"/>
            <w:vAlign w:val="center"/>
          </w:tcPr>
          <w:p w14:paraId="35FD522D" w14:textId="08429E8A"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Constraints are structural</w:t>
            </w:r>
            <w:r w:rsidR="00A46072" w:rsidRPr="000B78E1">
              <w:rPr>
                <w:rFonts w:ascii="Arial" w:hAnsi="Arial" w:cs="Arial"/>
                <w:sz w:val="22"/>
                <w:szCs w:val="22"/>
              </w:rPr>
              <w:t>.</w:t>
            </w:r>
          </w:p>
        </w:tc>
      </w:tr>
      <w:tr w:rsidR="00FC4DEE" w:rsidRPr="000B78E1" w14:paraId="06097557" w14:textId="77777777" w:rsidTr="00C34D36">
        <w:tc>
          <w:tcPr>
            <w:tcW w:w="1671" w:type="dxa"/>
            <w:vAlign w:val="center"/>
          </w:tcPr>
          <w:p w14:paraId="598F5EFB" w14:textId="2AF9E7C8" w:rsidR="00FC4DEE" w:rsidRPr="000B78E1" w:rsidRDefault="00FC4DEE" w:rsidP="005F3D2E">
            <w:pPr>
              <w:spacing w:line="276" w:lineRule="auto"/>
              <w:jc w:val="both"/>
              <w:rPr>
                <w:rFonts w:ascii="Arial" w:hAnsi="Arial" w:cs="Arial"/>
                <w:b/>
                <w:bCs/>
                <w:sz w:val="22"/>
                <w:szCs w:val="22"/>
              </w:rPr>
            </w:pPr>
            <w:r w:rsidRPr="000B78E1">
              <w:rPr>
                <w:rFonts w:ascii="Arial" w:hAnsi="Arial" w:cs="Arial"/>
                <w:sz w:val="22"/>
                <w:szCs w:val="22"/>
              </w:rPr>
              <w:t>Nikaido et al. (2015)</w:t>
            </w:r>
          </w:p>
        </w:tc>
        <w:tc>
          <w:tcPr>
            <w:tcW w:w="1756" w:type="dxa"/>
            <w:vAlign w:val="center"/>
          </w:tcPr>
          <w:p w14:paraId="6C3BA543" w14:textId="503DA19F"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Limited institutional explanation</w:t>
            </w:r>
          </w:p>
        </w:tc>
        <w:tc>
          <w:tcPr>
            <w:tcW w:w="1530" w:type="dxa"/>
            <w:vAlign w:val="center"/>
          </w:tcPr>
          <w:p w14:paraId="473FF2A0" w14:textId="676E32EA"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Cross-sectional only</w:t>
            </w:r>
          </w:p>
        </w:tc>
        <w:tc>
          <w:tcPr>
            <w:tcW w:w="1842" w:type="dxa"/>
            <w:vAlign w:val="center"/>
          </w:tcPr>
          <w:p w14:paraId="7B4BC48E" w14:textId="09A43944"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India-specific</w:t>
            </w:r>
          </w:p>
        </w:tc>
        <w:tc>
          <w:tcPr>
            <w:tcW w:w="2217" w:type="dxa"/>
            <w:vAlign w:val="center"/>
          </w:tcPr>
          <w:p w14:paraId="24C07306" w14:textId="63251875" w:rsidR="00FC4DEE" w:rsidRPr="000B78E1" w:rsidRDefault="00C34D36" w:rsidP="005F3D2E">
            <w:pPr>
              <w:spacing w:line="276" w:lineRule="auto"/>
              <w:jc w:val="both"/>
              <w:rPr>
                <w:rFonts w:ascii="Arial" w:hAnsi="Arial" w:cs="Arial"/>
                <w:sz w:val="22"/>
                <w:szCs w:val="22"/>
              </w:rPr>
            </w:pPr>
            <w:r w:rsidRPr="000B78E1">
              <w:rPr>
                <w:rFonts w:ascii="Arial" w:hAnsi="Arial" w:cs="Arial"/>
                <w:sz w:val="22"/>
                <w:szCs w:val="22"/>
              </w:rPr>
              <w:t>Credit access depends more on capability and institutional quality than policy intent.</w:t>
            </w:r>
          </w:p>
        </w:tc>
      </w:tr>
      <w:tr w:rsidR="00FC4DEE" w:rsidRPr="000B78E1" w14:paraId="0E871389" w14:textId="77777777" w:rsidTr="0020646E">
        <w:tc>
          <w:tcPr>
            <w:tcW w:w="1671" w:type="dxa"/>
            <w:vAlign w:val="center"/>
          </w:tcPr>
          <w:p w14:paraId="2897AAA5" w14:textId="2FA1271E" w:rsidR="00FC4DEE" w:rsidRPr="000B78E1" w:rsidRDefault="00FC4DEE" w:rsidP="005F3D2E">
            <w:pPr>
              <w:spacing w:line="276" w:lineRule="auto"/>
              <w:jc w:val="both"/>
              <w:rPr>
                <w:rFonts w:ascii="Arial" w:hAnsi="Arial" w:cs="Arial"/>
                <w:b/>
                <w:bCs/>
                <w:sz w:val="22"/>
                <w:szCs w:val="22"/>
              </w:rPr>
            </w:pPr>
            <w:r w:rsidRPr="000B78E1">
              <w:rPr>
                <w:rFonts w:ascii="Arial" w:hAnsi="Arial" w:cs="Arial"/>
                <w:sz w:val="22"/>
                <w:szCs w:val="22"/>
              </w:rPr>
              <w:t>Chowdhury et al. (2022)</w:t>
            </w:r>
          </w:p>
        </w:tc>
        <w:tc>
          <w:tcPr>
            <w:tcW w:w="1756" w:type="dxa"/>
            <w:vAlign w:val="center"/>
          </w:tcPr>
          <w:p w14:paraId="5D7A4BBD" w14:textId="54666E75"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Weak lender signal theory</w:t>
            </w:r>
          </w:p>
        </w:tc>
        <w:tc>
          <w:tcPr>
            <w:tcW w:w="1530" w:type="dxa"/>
            <w:vAlign w:val="center"/>
          </w:tcPr>
          <w:p w14:paraId="37B87CA9" w14:textId="78A8600F"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No loan detail</w:t>
            </w:r>
          </w:p>
        </w:tc>
        <w:tc>
          <w:tcPr>
            <w:tcW w:w="1842" w:type="dxa"/>
            <w:vAlign w:val="center"/>
          </w:tcPr>
          <w:p w14:paraId="3B93218F" w14:textId="6E7A0C51"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Formal SMEs only</w:t>
            </w:r>
          </w:p>
        </w:tc>
        <w:tc>
          <w:tcPr>
            <w:tcW w:w="2217" w:type="dxa"/>
            <w:vAlign w:val="center"/>
          </w:tcPr>
          <w:p w14:paraId="167B2D57" w14:textId="7EC8D624"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Credit improves productivity partially</w:t>
            </w:r>
            <w:r w:rsidR="00A46072" w:rsidRPr="000B78E1">
              <w:rPr>
                <w:rFonts w:ascii="Arial" w:hAnsi="Arial" w:cs="Arial"/>
                <w:sz w:val="22"/>
                <w:szCs w:val="22"/>
              </w:rPr>
              <w:t>.</w:t>
            </w:r>
          </w:p>
        </w:tc>
      </w:tr>
      <w:tr w:rsidR="00FC4DEE" w:rsidRPr="000B78E1" w14:paraId="47D64076" w14:textId="77777777" w:rsidTr="0020646E">
        <w:tc>
          <w:tcPr>
            <w:tcW w:w="1671" w:type="dxa"/>
            <w:vAlign w:val="center"/>
          </w:tcPr>
          <w:p w14:paraId="493CA938" w14:textId="7ABADA25" w:rsidR="00FC4DEE" w:rsidRPr="000B78E1" w:rsidRDefault="00FC4DEE" w:rsidP="005F3D2E">
            <w:pPr>
              <w:spacing w:line="276" w:lineRule="auto"/>
              <w:jc w:val="both"/>
              <w:rPr>
                <w:rFonts w:ascii="Arial" w:hAnsi="Arial" w:cs="Arial"/>
                <w:b/>
                <w:bCs/>
                <w:sz w:val="22"/>
                <w:szCs w:val="22"/>
              </w:rPr>
            </w:pPr>
            <w:proofErr w:type="spellStart"/>
            <w:r w:rsidRPr="000B78E1">
              <w:rPr>
                <w:rFonts w:ascii="Arial" w:hAnsi="Arial" w:cs="Arial"/>
                <w:sz w:val="22"/>
                <w:szCs w:val="22"/>
              </w:rPr>
              <w:t>Mutsonziwa</w:t>
            </w:r>
            <w:proofErr w:type="spellEnd"/>
            <w:r w:rsidRPr="000B78E1">
              <w:rPr>
                <w:rFonts w:ascii="Arial" w:hAnsi="Arial" w:cs="Arial"/>
                <w:sz w:val="22"/>
                <w:szCs w:val="22"/>
              </w:rPr>
              <w:t xml:space="preserve"> &amp; Fanta (2021)</w:t>
            </w:r>
          </w:p>
        </w:tc>
        <w:tc>
          <w:tcPr>
            <w:tcW w:w="1756" w:type="dxa"/>
            <w:vAlign w:val="center"/>
          </w:tcPr>
          <w:p w14:paraId="3734A61B" w14:textId="6D4FC74F"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No cross-country credit theory</w:t>
            </w:r>
          </w:p>
        </w:tc>
        <w:tc>
          <w:tcPr>
            <w:tcW w:w="1530" w:type="dxa"/>
            <w:vAlign w:val="center"/>
          </w:tcPr>
          <w:p w14:paraId="79D52EB3" w14:textId="289E03EF"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Binary credit measure</w:t>
            </w:r>
          </w:p>
        </w:tc>
        <w:tc>
          <w:tcPr>
            <w:tcW w:w="1842" w:type="dxa"/>
            <w:vAlign w:val="center"/>
          </w:tcPr>
          <w:p w14:paraId="026D8184" w14:textId="5109A065"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SADC-specific</w:t>
            </w:r>
          </w:p>
        </w:tc>
        <w:tc>
          <w:tcPr>
            <w:tcW w:w="2217" w:type="dxa"/>
            <w:vAlign w:val="center"/>
          </w:tcPr>
          <w:p w14:paraId="3E0E5B6D" w14:textId="79CC2440" w:rsidR="00FC4DEE" w:rsidRPr="000B78E1" w:rsidRDefault="00FC4DEE" w:rsidP="005F3D2E">
            <w:pPr>
              <w:spacing w:line="276" w:lineRule="auto"/>
              <w:jc w:val="both"/>
              <w:rPr>
                <w:rFonts w:ascii="Arial" w:hAnsi="Arial" w:cs="Arial"/>
                <w:sz w:val="22"/>
                <w:szCs w:val="22"/>
              </w:rPr>
            </w:pPr>
            <w:r w:rsidRPr="000B78E1">
              <w:rPr>
                <w:rFonts w:ascii="Arial" w:hAnsi="Arial" w:cs="Arial"/>
                <w:sz w:val="22"/>
                <w:szCs w:val="22"/>
              </w:rPr>
              <w:t xml:space="preserve">Credit impact is </w:t>
            </w:r>
            <w:proofErr w:type="gramStart"/>
            <w:r w:rsidRPr="000B78E1">
              <w:rPr>
                <w:rFonts w:ascii="Arial" w:hAnsi="Arial" w:cs="Arial"/>
                <w:sz w:val="22"/>
                <w:szCs w:val="22"/>
              </w:rPr>
              <w:t>context-dependent</w:t>
            </w:r>
            <w:proofErr w:type="gramEnd"/>
            <w:r w:rsidR="00A46072" w:rsidRPr="000B78E1">
              <w:rPr>
                <w:rFonts w:ascii="Arial" w:hAnsi="Arial" w:cs="Arial"/>
                <w:sz w:val="22"/>
                <w:szCs w:val="22"/>
              </w:rPr>
              <w:t>.</w:t>
            </w:r>
          </w:p>
        </w:tc>
      </w:tr>
      <w:tr w:rsidR="00FC4DEE" w:rsidRPr="000B78E1" w14:paraId="77358DFD" w14:textId="77777777" w:rsidTr="0020646E">
        <w:tc>
          <w:tcPr>
            <w:tcW w:w="1671" w:type="dxa"/>
            <w:vAlign w:val="center"/>
          </w:tcPr>
          <w:p w14:paraId="3CCF53D4" w14:textId="382E75E6" w:rsidR="00FC4DEE" w:rsidRPr="000B78E1" w:rsidRDefault="00FC4DEE" w:rsidP="000B78E1">
            <w:pPr>
              <w:spacing w:line="360" w:lineRule="auto"/>
              <w:jc w:val="both"/>
              <w:rPr>
                <w:rFonts w:ascii="Arial" w:hAnsi="Arial" w:cs="Arial"/>
                <w:b/>
                <w:bCs/>
                <w:sz w:val="22"/>
                <w:szCs w:val="22"/>
              </w:rPr>
            </w:pPr>
            <w:r w:rsidRPr="000B78E1">
              <w:rPr>
                <w:rFonts w:ascii="Arial" w:hAnsi="Arial" w:cs="Arial"/>
                <w:sz w:val="22"/>
                <w:szCs w:val="22"/>
              </w:rPr>
              <w:t>Thomas &amp; Mwenda (2025)</w:t>
            </w:r>
          </w:p>
        </w:tc>
        <w:tc>
          <w:tcPr>
            <w:tcW w:w="1756" w:type="dxa"/>
            <w:vAlign w:val="center"/>
          </w:tcPr>
          <w:p w14:paraId="78CFC2EE" w14:textId="4491875C"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 xml:space="preserve">Assumes digital credit </w:t>
            </w:r>
            <w:r w:rsidR="00C71123" w:rsidRPr="000B78E1">
              <w:rPr>
                <w:rFonts w:ascii="Arial" w:hAnsi="Arial" w:cs="Arial"/>
                <w:sz w:val="22"/>
                <w:szCs w:val="22"/>
              </w:rPr>
              <w:t>leads to</w:t>
            </w:r>
            <w:r w:rsidRPr="000B78E1">
              <w:rPr>
                <w:rFonts w:ascii="Arial" w:hAnsi="Arial" w:cs="Arial"/>
                <w:sz w:val="22"/>
                <w:szCs w:val="22"/>
              </w:rPr>
              <w:t xml:space="preserve"> inclusion</w:t>
            </w:r>
          </w:p>
        </w:tc>
        <w:tc>
          <w:tcPr>
            <w:tcW w:w="1530" w:type="dxa"/>
            <w:vAlign w:val="center"/>
          </w:tcPr>
          <w:p w14:paraId="55761946" w14:textId="31842886"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Self-reported survey</w:t>
            </w:r>
          </w:p>
        </w:tc>
        <w:tc>
          <w:tcPr>
            <w:tcW w:w="1842" w:type="dxa"/>
            <w:vAlign w:val="center"/>
          </w:tcPr>
          <w:p w14:paraId="2EB4732A" w14:textId="361376D2"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Kenya-specific</w:t>
            </w:r>
          </w:p>
        </w:tc>
        <w:tc>
          <w:tcPr>
            <w:tcW w:w="2217" w:type="dxa"/>
            <w:vAlign w:val="center"/>
          </w:tcPr>
          <w:p w14:paraId="5BB2D8D7" w14:textId="2797B126"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Credit improves short-term only</w:t>
            </w:r>
            <w:r w:rsidR="00A46072" w:rsidRPr="000B78E1">
              <w:rPr>
                <w:rFonts w:ascii="Arial" w:hAnsi="Arial" w:cs="Arial"/>
                <w:sz w:val="22"/>
                <w:szCs w:val="22"/>
              </w:rPr>
              <w:t>.</w:t>
            </w:r>
          </w:p>
        </w:tc>
      </w:tr>
      <w:tr w:rsidR="00FC4DEE" w:rsidRPr="000B78E1" w14:paraId="165478DC" w14:textId="77777777" w:rsidTr="0020646E">
        <w:tc>
          <w:tcPr>
            <w:tcW w:w="1671" w:type="dxa"/>
            <w:vAlign w:val="center"/>
          </w:tcPr>
          <w:p w14:paraId="4E9865BC" w14:textId="68F173DC" w:rsidR="00FC4DEE" w:rsidRPr="000B78E1" w:rsidRDefault="00FC4DEE" w:rsidP="000B78E1">
            <w:pPr>
              <w:spacing w:line="360" w:lineRule="auto"/>
              <w:jc w:val="both"/>
              <w:rPr>
                <w:rFonts w:ascii="Arial" w:hAnsi="Arial" w:cs="Arial"/>
                <w:b/>
                <w:bCs/>
                <w:sz w:val="22"/>
                <w:szCs w:val="22"/>
              </w:rPr>
            </w:pPr>
            <w:r w:rsidRPr="000B78E1">
              <w:rPr>
                <w:rFonts w:ascii="Arial" w:hAnsi="Arial" w:cs="Arial"/>
                <w:sz w:val="22"/>
                <w:szCs w:val="22"/>
              </w:rPr>
              <w:t>Cruzado et al. (2023)</w:t>
            </w:r>
          </w:p>
        </w:tc>
        <w:tc>
          <w:tcPr>
            <w:tcW w:w="1756" w:type="dxa"/>
            <w:vAlign w:val="center"/>
          </w:tcPr>
          <w:p w14:paraId="4783A9A6" w14:textId="11F6B503"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No unified credit framework</w:t>
            </w:r>
          </w:p>
        </w:tc>
        <w:tc>
          <w:tcPr>
            <w:tcW w:w="1530" w:type="dxa"/>
            <w:vAlign w:val="center"/>
          </w:tcPr>
          <w:p w14:paraId="211022AB" w14:textId="408AF1C2"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Descriptive, no causality</w:t>
            </w:r>
          </w:p>
        </w:tc>
        <w:tc>
          <w:tcPr>
            <w:tcW w:w="1842" w:type="dxa"/>
            <w:vAlign w:val="center"/>
          </w:tcPr>
          <w:p w14:paraId="030EBA0A" w14:textId="2D6965C3"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Single-city context</w:t>
            </w:r>
          </w:p>
        </w:tc>
        <w:tc>
          <w:tcPr>
            <w:tcW w:w="2217" w:type="dxa"/>
            <w:vAlign w:val="center"/>
          </w:tcPr>
          <w:p w14:paraId="6703C2C9" w14:textId="25F9A4C1" w:rsidR="00FC4DEE" w:rsidRPr="000B78E1" w:rsidRDefault="00FC4DEE" w:rsidP="000B78E1">
            <w:pPr>
              <w:spacing w:line="360" w:lineRule="auto"/>
              <w:jc w:val="both"/>
              <w:rPr>
                <w:rFonts w:ascii="Arial" w:hAnsi="Arial" w:cs="Arial"/>
                <w:sz w:val="22"/>
                <w:szCs w:val="22"/>
              </w:rPr>
            </w:pPr>
            <w:r w:rsidRPr="000B78E1">
              <w:rPr>
                <w:rFonts w:ascii="Arial" w:hAnsi="Arial" w:cs="Arial"/>
                <w:sz w:val="22"/>
                <w:szCs w:val="22"/>
              </w:rPr>
              <w:t>Collateral &amp; awareness dominate access</w:t>
            </w:r>
            <w:r w:rsidR="001061BF" w:rsidRPr="000B78E1">
              <w:rPr>
                <w:rFonts w:ascii="Arial" w:hAnsi="Arial" w:cs="Arial"/>
                <w:sz w:val="22"/>
                <w:szCs w:val="22"/>
              </w:rPr>
              <w:t>.</w:t>
            </w:r>
          </w:p>
        </w:tc>
      </w:tr>
    </w:tbl>
    <w:p w14:paraId="2544A57C" w14:textId="0C3E3B58" w:rsidR="00CC6F01" w:rsidRPr="000B78E1" w:rsidRDefault="00CC6F01" w:rsidP="000B78E1">
      <w:pPr>
        <w:spacing w:after="0" w:line="360" w:lineRule="auto"/>
        <w:jc w:val="both"/>
        <w:rPr>
          <w:rFonts w:ascii="Arial" w:hAnsi="Arial" w:cs="Arial"/>
          <w:sz w:val="22"/>
          <w:szCs w:val="22"/>
        </w:rPr>
      </w:pPr>
    </w:p>
    <w:p w14:paraId="66BBDFBC" w14:textId="53E96CD8" w:rsidR="00AE51A5" w:rsidRPr="000B78E1" w:rsidRDefault="00655DC8" w:rsidP="000B78E1">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t xml:space="preserve"> Literature Review:</w:t>
      </w:r>
    </w:p>
    <w:p w14:paraId="7A791C25" w14:textId="77777777" w:rsidR="00DB3D14" w:rsidRPr="000B78E1" w:rsidRDefault="00DB3D14" w:rsidP="000B78E1">
      <w:pPr>
        <w:pStyle w:val="ListParagraph"/>
        <w:spacing w:line="360" w:lineRule="auto"/>
        <w:jc w:val="both"/>
        <w:rPr>
          <w:rFonts w:ascii="Arial" w:hAnsi="Arial" w:cs="Arial"/>
          <w:b/>
          <w:bCs/>
          <w:sz w:val="22"/>
          <w:szCs w:val="22"/>
        </w:rPr>
      </w:pPr>
    </w:p>
    <w:p w14:paraId="05124805" w14:textId="4F0BBF09" w:rsidR="000E21F4" w:rsidRPr="000B78E1" w:rsidRDefault="00DB6E0C" w:rsidP="000B78E1">
      <w:pPr>
        <w:pStyle w:val="ListParagraph"/>
        <w:numPr>
          <w:ilvl w:val="1"/>
          <w:numId w:val="6"/>
        </w:numPr>
        <w:spacing w:line="360" w:lineRule="auto"/>
        <w:jc w:val="both"/>
        <w:rPr>
          <w:rFonts w:ascii="Arial" w:hAnsi="Arial" w:cs="Arial"/>
          <w:b/>
          <w:bCs/>
          <w:sz w:val="22"/>
          <w:szCs w:val="22"/>
        </w:rPr>
      </w:pPr>
      <w:r w:rsidRPr="000B78E1">
        <w:rPr>
          <w:rFonts w:ascii="Arial" w:hAnsi="Arial" w:cs="Arial"/>
          <w:b/>
          <w:bCs/>
          <w:sz w:val="22"/>
          <w:szCs w:val="22"/>
        </w:rPr>
        <w:t>DFS as a</w:t>
      </w:r>
      <w:r w:rsidR="004727C8" w:rsidRPr="000B78E1">
        <w:rPr>
          <w:rFonts w:ascii="Arial" w:hAnsi="Arial" w:cs="Arial"/>
          <w:b/>
          <w:bCs/>
          <w:sz w:val="22"/>
          <w:szCs w:val="22"/>
        </w:rPr>
        <w:t xml:space="preserve"> </w:t>
      </w:r>
      <w:r w:rsidR="00EA1F1D" w:rsidRPr="000B78E1">
        <w:rPr>
          <w:rFonts w:ascii="Arial" w:hAnsi="Arial" w:cs="Arial"/>
          <w:b/>
          <w:bCs/>
          <w:sz w:val="22"/>
          <w:szCs w:val="22"/>
        </w:rPr>
        <w:t xml:space="preserve">tool of </w:t>
      </w:r>
      <w:r w:rsidRPr="000B78E1">
        <w:rPr>
          <w:rFonts w:ascii="Arial" w:hAnsi="Arial" w:cs="Arial"/>
          <w:b/>
          <w:bCs/>
          <w:sz w:val="22"/>
          <w:szCs w:val="22"/>
        </w:rPr>
        <w:t xml:space="preserve">Credit Access </w:t>
      </w:r>
      <w:r w:rsidR="00144DCA" w:rsidRPr="000B78E1">
        <w:rPr>
          <w:rFonts w:ascii="Arial" w:hAnsi="Arial" w:cs="Arial"/>
          <w:b/>
          <w:bCs/>
          <w:sz w:val="22"/>
          <w:szCs w:val="22"/>
        </w:rPr>
        <w:t>for SME:</w:t>
      </w:r>
    </w:p>
    <w:p w14:paraId="574BC748" w14:textId="40A079B8" w:rsidR="000E21F4" w:rsidRPr="000B78E1" w:rsidRDefault="000E5887" w:rsidP="000B78E1">
      <w:pPr>
        <w:spacing w:after="0" w:line="360" w:lineRule="auto"/>
        <w:jc w:val="both"/>
        <w:rPr>
          <w:rFonts w:ascii="Arial" w:hAnsi="Arial" w:cs="Arial"/>
          <w:sz w:val="22"/>
          <w:szCs w:val="22"/>
        </w:rPr>
      </w:pPr>
      <w:r>
        <w:rPr>
          <w:rFonts w:ascii="Arial" w:hAnsi="Arial" w:cs="Arial"/>
          <w:sz w:val="22"/>
          <w:szCs w:val="22"/>
        </w:rPr>
        <w:t>The</w:t>
      </w:r>
      <w:r w:rsidR="000E21F4" w:rsidRPr="000B78E1">
        <w:rPr>
          <w:rFonts w:ascii="Arial" w:hAnsi="Arial" w:cs="Arial"/>
          <w:sz w:val="22"/>
          <w:szCs w:val="22"/>
        </w:rPr>
        <w:t xml:space="preserve"> literatures most</w:t>
      </w:r>
      <w:r>
        <w:rPr>
          <w:rFonts w:ascii="Arial" w:hAnsi="Arial" w:cs="Arial"/>
          <w:sz w:val="22"/>
          <w:szCs w:val="22"/>
        </w:rPr>
        <w:t>ly</w:t>
      </w:r>
      <w:r w:rsidR="000E21F4" w:rsidRPr="000B78E1">
        <w:rPr>
          <w:rFonts w:ascii="Arial" w:hAnsi="Arial" w:cs="Arial"/>
          <w:sz w:val="22"/>
          <w:szCs w:val="22"/>
        </w:rPr>
        <w:t xml:space="preserve"> rely on technology adoption theories such as TAM, UTAUT and Diffusion of Innovation to explain why SMEs adopt digital tools like mobile money and fintech platforms. These theories highlight factors such as ease of use, perceived usefulness and trust as key drivers of adoption (</w:t>
      </w:r>
      <w:proofErr w:type="spellStart"/>
      <w:r w:rsidR="000E21F4" w:rsidRPr="000B78E1">
        <w:rPr>
          <w:rFonts w:ascii="Arial" w:hAnsi="Arial" w:cs="Arial"/>
          <w:sz w:val="22"/>
          <w:szCs w:val="22"/>
        </w:rPr>
        <w:t>Tengeh</w:t>
      </w:r>
      <w:proofErr w:type="spellEnd"/>
      <w:r w:rsidR="000E21F4" w:rsidRPr="000B78E1">
        <w:rPr>
          <w:rFonts w:ascii="Arial" w:hAnsi="Arial" w:cs="Arial"/>
          <w:sz w:val="22"/>
          <w:szCs w:val="22"/>
        </w:rPr>
        <w:t xml:space="preserve"> &amp; </w:t>
      </w:r>
      <w:proofErr w:type="spellStart"/>
      <w:r w:rsidR="000E21F4" w:rsidRPr="000B78E1">
        <w:rPr>
          <w:rFonts w:ascii="Arial" w:hAnsi="Arial" w:cs="Arial"/>
          <w:sz w:val="22"/>
          <w:szCs w:val="22"/>
        </w:rPr>
        <w:t>Gahapa</w:t>
      </w:r>
      <w:proofErr w:type="spellEnd"/>
      <w:r w:rsidR="000E21F4" w:rsidRPr="000B78E1">
        <w:rPr>
          <w:rFonts w:ascii="Arial" w:hAnsi="Arial" w:cs="Arial"/>
          <w:sz w:val="22"/>
          <w:szCs w:val="22"/>
        </w:rPr>
        <w:t xml:space="preserve"> </w:t>
      </w:r>
      <w:proofErr w:type="spellStart"/>
      <w:r w:rsidR="000E21F4" w:rsidRPr="000B78E1">
        <w:rPr>
          <w:rFonts w:ascii="Arial" w:hAnsi="Arial" w:cs="Arial"/>
          <w:sz w:val="22"/>
          <w:szCs w:val="22"/>
        </w:rPr>
        <w:t>Talom</w:t>
      </w:r>
      <w:proofErr w:type="spellEnd"/>
      <w:r w:rsidR="000E21F4" w:rsidRPr="000B78E1">
        <w:rPr>
          <w:rFonts w:ascii="Arial" w:hAnsi="Arial" w:cs="Arial"/>
          <w:sz w:val="22"/>
          <w:szCs w:val="22"/>
        </w:rPr>
        <w:t xml:space="preserve">, 2020; Saha et al., 2025). On the other hand, research on SME credit is largely grounded in financial intermediation and information asymmetry theories, which focus on how lenders assess risk and make lending decisions (Abbasi et al., 2021). However, these two line of </w:t>
      </w:r>
      <w:proofErr w:type="gramStart"/>
      <w:r w:rsidR="000E21F4" w:rsidRPr="000B78E1">
        <w:rPr>
          <w:rFonts w:ascii="Arial" w:hAnsi="Arial" w:cs="Arial"/>
          <w:sz w:val="22"/>
          <w:szCs w:val="22"/>
        </w:rPr>
        <w:t>researches</w:t>
      </w:r>
      <w:proofErr w:type="gramEnd"/>
      <w:r w:rsidR="000E21F4" w:rsidRPr="000B78E1">
        <w:rPr>
          <w:rFonts w:ascii="Arial" w:hAnsi="Arial" w:cs="Arial"/>
          <w:sz w:val="22"/>
          <w:szCs w:val="22"/>
        </w:rPr>
        <w:t xml:space="preserve"> remain disconnected as existing theories do not clearly explain how DFS adoption translates into actual access to formal credit.</w:t>
      </w:r>
    </w:p>
    <w:p w14:paraId="6EC0CC21" w14:textId="2D4D8715" w:rsidR="000E21F4" w:rsidRPr="000B78E1" w:rsidRDefault="000E21F4" w:rsidP="000B78E1">
      <w:pPr>
        <w:spacing w:after="0" w:line="360" w:lineRule="auto"/>
        <w:jc w:val="both"/>
        <w:rPr>
          <w:rFonts w:ascii="Arial" w:hAnsi="Arial" w:cs="Arial"/>
          <w:sz w:val="22"/>
          <w:szCs w:val="22"/>
        </w:rPr>
      </w:pPr>
    </w:p>
    <w:p w14:paraId="6E1150FF" w14:textId="14CBF6B7" w:rsidR="000E21F4" w:rsidRPr="000B78E1" w:rsidRDefault="000E21F4" w:rsidP="000B78E1">
      <w:pPr>
        <w:spacing w:after="0" w:line="360" w:lineRule="auto"/>
        <w:jc w:val="both"/>
        <w:rPr>
          <w:rFonts w:ascii="Arial" w:hAnsi="Arial" w:cs="Arial"/>
          <w:sz w:val="22"/>
          <w:szCs w:val="22"/>
        </w:rPr>
      </w:pPr>
      <w:r w:rsidRPr="000B78E1">
        <w:rPr>
          <w:rFonts w:ascii="Arial" w:hAnsi="Arial" w:cs="Arial"/>
          <w:sz w:val="22"/>
          <w:szCs w:val="22"/>
        </w:rPr>
        <w:t xml:space="preserve">Empirically, many studies show that DFS improves SME operations by reducing transaction costs, enhancing </w:t>
      </w:r>
      <w:r w:rsidR="00AA59A5" w:rsidRPr="000B78E1">
        <w:rPr>
          <w:rFonts w:ascii="Arial" w:hAnsi="Arial" w:cs="Arial"/>
          <w:sz w:val="22"/>
          <w:szCs w:val="22"/>
        </w:rPr>
        <w:t>liquidity and</w:t>
      </w:r>
      <w:r w:rsidRPr="000B78E1">
        <w:rPr>
          <w:rFonts w:ascii="Arial" w:hAnsi="Arial" w:cs="Arial"/>
          <w:sz w:val="22"/>
          <w:szCs w:val="22"/>
        </w:rPr>
        <w:t xml:space="preserve"> supporting financial management. For example, digitalisation has been found to improve SME performance and resilience, particularly during crisis periods such as COVID-19 (Savvakis et al., </w:t>
      </w:r>
      <w:proofErr w:type="gramStart"/>
      <w:r w:rsidRPr="000B78E1">
        <w:rPr>
          <w:rFonts w:ascii="Arial" w:hAnsi="Arial" w:cs="Arial"/>
          <w:sz w:val="22"/>
          <w:szCs w:val="22"/>
        </w:rPr>
        <w:t>2024 )</w:t>
      </w:r>
      <w:proofErr w:type="gramEnd"/>
      <w:r w:rsidRPr="000B78E1">
        <w:rPr>
          <w:rFonts w:ascii="Arial" w:hAnsi="Arial" w:cs="Arial"/>
          <w:sz w:val="22"/>
          <w:szCs w:val="22"/>
        </w:rPr>
        <w:t xml:space="preserve">. Some evidence also suggests that fintech solutions, especially P2P lending can increase access to finance in developed markets (Abbasi et al., 2021). However, most studies rely on indirect measures such as usage, adoption or firm performance rather than directly examining loan approval, loan size or </w:t>
      </w:r>
      <w:r w:rsidRPr="000B78E1">
        <w:rPr>
          <w:rFonts w:ascii="Arial" w:hAnsi="Arial" w:cs="Arial"/>
          <w:sz w:val="22"/>
          <w:szCs w:val="22"/>
        </w:rPr>
        <w:lastRenderedPageBreak/>
        <w:t xml:space="preserve">borrowing conditions. In case of context like Bangladesh, although DFS adoption is high, its impact on formal SME credit remains limited and uneven (Sadik &amp; Rahman, </w:t>
      </w:r>
      <w:proofErr w:type="gramStart"/>
      <w:r w:rsidRPr="000B78E1">
        <w:rPr>
          <w:rFonts w:ascii="Arial" w:hAnsi="Arial" w:cs="Arial"/>
          <w:sz w:val="22"/>
          <w:szCs w:val="22"/>
        </w:rPr>
        <w:t>2024 )</w:t>
      </w:r>
      <w:proofErr w:type="gramEnd"/>
      <w:r w:rsidRPr="000B78E1">
        <w:rPr>
          <w:rFonts w:ascii="Arial" w:hAnsi="Arial" w:cs="Arial"/>
          <w:sz w:val="22"/>
          <w:szCs w:val="22"/>
        </w:rPr>
        <w:t>.</w:t>
      </w:r>
      <w:r w:rsidR="00014F7B">
        <w:rPr>
          <w:rFonts w:ascii="Arial" w:hAnsi="Arial" w:cs="Arial"/>
          <w:sz w:val="22"/>
          <w:szCs w:val="22"/>
        </w:rPr>
        <w:t xml:space="preserve"> </w:t>
      </w:r>
      <w:r w:rsidRPr="000B78E1">
        <w:rPr>
          <w:rFonts w:ascii="Arial" w:hAnsi="Arial" w:cs="Arial"/>
          <w:sz w:val="22"/>
          <w:szCs w:val="22"/>
        </w:rPr>
        <w:t>This leads to a major contradiction in the literature. While some studies assume that improved financial access automatically results in increased credit, others clearly show that DFS mainly supports payments, trust and inclusion rather than actual lending. In many cases, SMEs become more financially active but still fail to secure bank loans. This suggests that there is no direct relationship between DFS and credit access and cannot be taken for granted that DFS ensures credit access.</w:t>
      </w:r>
    </w:p>
    <w:p w14:paraId="295D2C8A" w14:textId="77777777" w:rsidR="000E21F4" w:rsidRPr="00014F7B" w:rsidRDefault="000E21F4" w:rsidP="000B78E1">
      <w:pPr>
        <w:spacing w:after="0" w:line="360" w:lineRule="auto"/>
        <w:jc w:val="both"/>
        <w:rPr>
          <w:rFonts w:ascii="Arial" w:hAnsi="Arial" w:cs="Arial"/>
          <w:sz w:val="12"/>
          <w:szCs w:val="12"/>
        </w:rPr>
      </w:pPr>
    </w:p>
    <w:p w14:paraId="7682852B" w14:textId="77777777" w:rsidR="000E21F4" w:rsidRPr="000B78E1" w:rsidRDefault="000E21F4" w:rsidP="000B78E1">
      <w:pPr>
        <w:spacing w:after="0" w:line="360" w:lineRule="auto"/>
        <w:jc w:val="both"/>
        <w:rPr>
          <w:rFonts w:ascii="Arial" w:hAnsi="Arial" w:cs="Arial"/>
          <w:sz w:val="22"/>
          <w:szCs w:val="22"/>
        </w:rPr>
      </w:pPr>
      <w:proofErr w:type="gramStart"/>
      <w:r w:rsidRPr="000B78E1">
        <w:rPr>
          <w:rFonts w:ascii="Arial" w:hAnsi="Arial" w:cs="Arial"/>
          <w:sz w:val="22"/>
          <w:szCs w:val="22"/>
        </w:rPr>
        <w:t>Similarly</w:t>
      </w:r>
      <w:proofErr w:type="gramEnd"/>
      <w:r w:rsidRPr="000B78E1">
        <w:rPr>
          <w:rFonts w:ascii="Arial" w:hAnsi="Arial" w:cs="Arial"/>
          <w:sz w:val="22"/>
          <w:szCs w:val="22"/>
        </w:rPr>
        <w:t xml:space="preserve"> the effectiveness of DFS varies significantly across contexts. In developed economies with strong institutions and regulatory support, fintech has shown a clearer link to credit expansion. In contrast, in developing countries such as Bangladesh, institutional constraints, regulatory limitations and high informality reduce the ability of DFS to translate into formal lending.</w:t>
      </w:r>
    </w:p>
    <w:p w14:paraId="083BB710" w14:textId="77777777" w:rsidR="000E21F4" w:rsidRPr="000B78E1" w:rsidRDefault="000E21F4" w:rsidP="000B78E1">
      <w:pPr>
        <w:spacing w:after="0" w:line="360" w:lineRule="auto"/>
        <w:jc w:val="both"/>
        <w:rPr>
          <w:rFonts w:ascii="Arial" w:hAnsi="Arial" w:cs="Arial"/>
          <w:sz w:val="22"/>
          <w:szCs w:val="22"/>
        </w:rPr>
      </w:pPr>
    </w:p>
    <w:p w14:paraId="12F18A1A" w14:textId="58027CD8" w:rsidR="000E21F4" w:rsidRPr="000B78E1" w:rsidRDefault="000E21F4" w:rsidP="000B78E1">
      <w:pPr>
        <w:spacing w:after="0" w:line="360" w:lineRule="auto"/>
        <w:jc w:val="both"/>
        <w:rPr>
          <w:rFonts w:ascii="Arial" w:hAnsi="Arial" w:cs="Arial"/>
          <w:sz w:val="22"/>
          <w:szCs w:val="22"/>
        </w:rPr>
      </w:pPr>
      <w:r w:rsidRPr="000B78E1">
        <w:rPr>
          <w:rFonts w:ascii="Arial" w:hAnsi="Arial" w:cs="Arial"/>
          <w:sz w:val="22"/>
          <w:szCs w:val="22"/>
        </w:rPr>
        <w:t xml:space="preserve">Overall, the literature agrees that DFS has strong </w:t>
      </w:r>
      <w:proofErr w:type="gramStart"/>
      <w:r w:rsidRPr="000B78E1">
        <w:rPr>
          <w:rFonts w:ascii="Arial" w:hAnsi="Arial" w:cs="Arial"/>
          <w:sz w:val="22"/>
          <w:szCs w:val="22"/>
        </w:rPr>
        <w:t>potential</w:t>
      </w:r>
      <w:proofErr w:type="gramEnd"/>
      <w:r w:rsidRPr="000B78E1">
        <w:rPr>
          <w:rFonts w:ascii="Arial" w:hAnsi="Arial" w:cs="Arial"/>
          <w:sz w:val="22"/>
          <w:szCs w:val="22"/>
        </w:rPr>
        <w:t xml:space="preserve"> but it also highlights a critical gap that digital tools improve access and efficiency but there is limited evidence explaining how these benefits are converted into actual SME credit.</w:t>
      </w:r>
    </w:p>
    <w:p w14:paraId="24275E71" w14:textId="77777777" w:rsidR="00343274" w:rsidRPr="000B78E1" w:rsidRDefault="00343274" w:rsidP="000B78E1">
      <w:pPr>
        <w:spacing w:after="0" w:line="360" w:lineRule="auto"/>
        <w:jc w:val="both"/>
        <w:rPr>
          <w:rFonts w:ascii="Arial" w:hAnsi="Arial" w:cs="Arial"/>
          <w:sz w:val="22"/>
          <w:szCs w:val="22"/>
        </w:rPr>
      </w:pPr>
    </w:p>
    <w:p w14:paraId="11B69C3C" w14:textId="30F99AED" w:rsidR="00386845" w:rsidRPr="000B78E1" w:rsidRDefault="00386845" w:rsidP="000B78E1">
      <w:pPr>
        <w:pStyle w:val="ListParagraph"/>
        <w:numPr>
          <w:ilvl w:val="1"/>
          <w:numId w:val="6"/>
        </w:numPr>
        <w:spacing w:line="360" w:lineRule="auto"/>
        <w:jc w:val="both"/>
        <w:rPr>
          <w:rFonts w:ascii="Arial" w:hAnsi="Arial" w:cs="Arial"/>
          <w:b/>
          <w:bCs/>
          <w:sz w:val="22"/>
          <w:szCs w:val="22"/>
        </w:rPr>
      </w:pPr>
      <w:r w:rsidRPr="000B78E1">
        <w:rPr>
          <w:rFonts w:ascii="Arial" w:hAnsi="Arial" w:cs="Arial"/>
          <w:b/>
          <w:bCs/>
          <w:sz w:val="22"/>
          <w:szCs w:val="22"/>
        </w:rPr>
        <w:t xml:space="preserve">Conversion of </w:t>
      </w:r>
      <w:r w:rsidR="00D82377" w:rsidRPr="000B78E1">
        <w:rPr>
          <w:rFonts w:ascii="Arial" w:hAnsi="Arial" w:cs="Arial"/>
          <w:b/>
          <w:bCs/>
          <w:sz w:val="22"/>
          <w:szCs w:val="22"/>
        </w:rPr>
        <w:t xml:space="preserve">use of </w:t>
      </w:r>
      <w:r w:rsidRPr="000B78E1">
        <w:rPr>
          <w:rFonts w:ascii="Arial" w:hAnsi="Arial" w:cs="Arial"/>
          <w:b/>
          <w:bCs/>
          <w:sz w:val="22"/>
          <w:szCs w:val="22"/>
        </w:rPr>
        <w:t>DFS into Credit</w:t>
      </w:r>
      <w:r w:rsidR="00450359" w:rsidRPr="000B78E1">
        <w:rPr>
          <w:rFonts w:ascii="Arial" w:hAnsi="Arial" w:cs="Arial"/>
          <w:b/>
          <w:bCs/>
          <w:sz w:val="22"/>
          <w:szCs w:val="22"/>
        </w:rPr>
        <w:t xml:space="preserve"> </w:t>
      </w:r>
    </w:p>
    <w:p w14:paraId="71A12AFC" w14:textId="70E92382" w:rsidR="00037AB7" w:rsidRPr="000B78E1" w:rsidRDefault="00037AB7" w:rsidP="000B78E1">
      <w:pPr>
        <w:spacing w:after="0" w:line="360" w:lineRule="auto"/>
        <w:jc w:val="both"/>
        <w:rPr>
          <w:rFonts w:ascii="Arial" w:hAnsi="Arial" w:cs="Arial"/>
          <w:sz w:val="22"/>
          <w:szCs w:val="22"/>
        </w:rPr>
      </w:pPr>
      <w:r w:rsidRPr="000B78E1">
        <w:rPr>
          <w:rFonts w:ascii="Arial" w:hAnsi="Arial" w:cs="Arial"/>
          <w:sz w:val="22"/>
          <w:szCs w:val="22"/>
        </w:rPr>
        <w:t>Across the literatures some studies show that the process of DFS conversion into actual credit access is not simple and cannot be taken for granted. At the conceptual level, many studies use information asymmetry and financial intermediation theories to explain how digital data can reduce the gap between borrowers and lenders (Agyekum et al., 2022; Yang et al., 2024). These theories suggest that when more information is available lenders can better assess risk and may become more willing to provide credit. At the same time newer studies introduce fintech tools such as AI-based credit scoring, digital lending platforms and mobile banking data as ways to turn digital activity into lending decisions (</w:t>
      </w:r>
      <w:proofErr w:type="spellStart"/>
      <w:r w:rsidRPr="000B78E1">
        <w:rPr>
          <w:rFonts w:ascii="Arial" w:hAnsi="Arial" w:cs="Arial"/>
          <w:sz w:val="22"/>
          <w:szCs w:val="22"/>
        </w:rPr>
        <w:t>Abiduzzaman</w:t>
      </w:r>
      <w:proofErr w:type="spellEnd"/>
      <w:r w:rsidRPr="000B78E1">
        <w:rPr>
          <w:rFonts w:ascii="Arial" w:hAnsi="Arial" w:cs="Arial"/>
          <w:sz w:val="22"/>
          <w:szCs w:val="22"/>
        </w:rPr>
        <w:t xml:space="preserve">, 2025; </w:t>
      </w:r>
      <w:proofErr w:type="spellStart"/>
      <w:r w:rsidRPr="000B78E1">
        <w:rPr>
          <w:rFonts w:ascii="Arial" w:hAnsi="Arial" w:cs="Arial"/>
          <w:sz w:val="22"/>
          <w:szCs w:val="22"/>
        </w:rPr>
        <w:t>Pamisetty</w:t>
      </w:r>
      <w:proofErr w:type="spellEnd"/>
      <w:r w:rsidRPr="000B78E1">
        <w:rPr>
          <w:rFonts w:ascii="Arial" w:hAnsi="Arial" w:cs="Arial"/>
          <w:sz w:val="22"/>
          <w:szCs w:val="22"/>
        </w:rPr>
        <w:t xml:space="preserve"> et al., 2025). However, not all studies agree with this direct link. Some researchers argue that even if digital data exists, it will not lead to credit unless banks and regulators trust and accept that data (</w:t>
      </w:r>
      <w:proofErr w:type="spellStart"/>
      <w:r w:rsidRPr="000B78E1">
        <w:rPr>
          <w:rFonts w:ascii="Arial" w:hAnsi="Arial" w:cs="Arial"/>
          <w:sz w:val="22"/>
          <w:szCs w:val="22"/>
        </w:rPr>
        <w:t>Soremekun</w:t>
      </w:r>
      <w:proofErr w:type="spellEnd"/>
      <w:r w:rsidRPr="000B78E1">
        <w:rPr>
          <w:rFonts w:ascii="Arial" w:hAnsi="Arial" w:cs="Arial"/>
          <w:sz w:val="22"/>
          <w:szCs w:val="22"/>
        </w:rPr>
        <w:t xml:space="preserve"> et al., 2024; </w:t>
      </w:r>
      <w:proofErr w:type="spellStart"/>
      <w:r w:rsidRPr="000B78E1">
        <w:rPr>
          <w:rFonts w:ascii="Arial" w:hAnsi="Arial" w:cs="Arial"/>
          <w:sz w:val="22"/>
          <w:szCs w:val="22"/>
        </w:rPr>
        <w:t>Omowole</w:t>
      </w:r>
      <w:proofErr w:type="spellEnd"/>
      <w:r w:rsidRPr="000B78E1">
        <w:rPr>
          <w:rFonts w:ascii="Arial" w:hAnsi="Arial" w:cs="Arial"/>
          <w:sz w:val="22"/>
          <w:szCs w:val="22"/>
        </w:rPr>
        <w:t xml:space="preserve"> et al., 2024). This shows that the theoretical understanding is still incomplete because it does not fully explain how digital use becomes actual lending decisions.</w:t>
      </w:r>
    </w:p>
    <w:p w14:paraId="4EFAE993" w14:textId="77777777" w:rsidR="00037AB7" w:rsidRDefault="00037AB7" w:rsidP="000B78E1">
      <w:pPr>
        <w:spacing w:after="0" w:line="360" w:lineRule="auto"/>
        <w:jc w:val="both"/>
        <w:rPr>
          <w:rFonts w:ascii="Arial" w:hAnsi="Arial" w:cs="Arial"/>
          <w:sz w:val="22"/>
          <w:szCs w:val="22"/>
        </w:rPr>
      </w:pPr>
      <w:r w:rsidRPr="000B78E1">
        <w:rPr>
          <w:rFonts w:ascii="Arial" w:hAnsi="Arial" w:cs="Arial"/>
          <w:sz w:val="22"/>
          <w:szCs w:val="22"/>
        </w:rPr>
        <w:t xml:space="preserve">Empirical evidence wise some studies find that fintech development can reduce financing constraints and improve SME performance especially in countries with strong digital systems like China (Yang et al., 2024). Similarly, basic digital tools such as websites and email can increase the chances of SMEs getting access to finance by improving transparency (Agyekum </w:t>
      </w:r>
      <w:r w:rsidRPr="000B78E1">
        <w:rPr>
          <w:rFonts w:ascii="Arial" w:hAnsi="Arial" w:cs="Arial"/>
          <w:sz w:val="22"/>
          <w:szCs w:val="22"/>
        </w:rPr>
        <w:lastRenderedPageBreak/>
        <w:t>et al., 2022). Other studies highlight that mobile banking data can help identify creditworthy borrowers who do not have traditional credit histories (</w:t>
      </w:r>
      <w:proofErr w:type="spellStart"/>
      <w:r w:rsidRPr="000B78E1">
        <w:rPr>
          <w:rFonts w:ascii="Arial" w:hAnsi="Arial" w:cs="Arial"/>
          <w:sz w:val="22"/>
          <w:szCs w:val="22"/>
        </w:rPr>
        <w:t>Abiduzzaman</w:t>
      </w:r>
      <w:proofErr w:type="spellEnd"/>
      <w:r w:rsidRPr="000B78E1">
        <w:rPr>
          <w:rFonts w:ascii="Arial" w:hAnsi="Arial" w:cs="Arial"/>
          <w:sz w:val="22"/>
          <w:szCs w:val="22"/>
        </w:rPr>
        <w:t>, 2025). However, most of these studies do not directly measure real loan outcomes such as loan approval, loan size or interest rates but they focus on indirect measures like probability of access or reduction in financing constraints. This means the evidence shows potential benefits but does not fully prove that DFS leads to actual credit.</w:t>
      </w:r>
    </w:p>
    <w:p w14:paraId="60C7A167" w14:textId="77777777" w:rsidR="00542FE8" w:rsidRPr="000B78E1" w:rsidRDefault="00542FE8" w:rsidP="000B78E1">
      <w:pPr>
        <w:spacing w:after="0" w:line="360" w:lineRule="auto"/>
        <w:jc w:val="both"/>
        <w:rPr>
          <w:rFonts w:ascii="Arial" w:hAnsi="Arial" w:cs="Arial"/>
          <w:sz w:val="22"/>
          <w:szCs w:val="22"/>
        </w:rPr>
      </w:pPr>
    </w:p>
    <w:p w14:paraId="0ADF9920" w14:textId="275202FA" w:rsidR="00037AB7" w:rsidRDefault="00542FE8" w:rsidP="000B78E1">
      <w:pPr>
        <w:spacing w:after="0" w:line="360" w:lineRule="auto"/>
        <w:jc w:val="both"/>
        <w:rPr>
          <w:rFonts w:ascii="Arial" w:hAnsi="Arial" w:cs="Arial"/>
          <w:sz w:val="22"/>
          <w:szCs w:val="22"/>
        </w:rPr>
      </w:pPr>
      <w:r>
        <w:rPr>
          <w:rFonts w:ascii="Arial" w:hAnsi="Arial" w:cs="Arial"/>
          <w:sz w:val="22"/>
          <w:szCs w:val="22"/>
        </w:rPr>
        <w:t>Looking at the contradi</w:t>
      </w:r>
      <w:r w:rsidR="00764025">
        <w:rPr>
          <w:rFonts w:ascii="Arial" w:hAnsi="Arial" w:cs="Arial"/>
          <w:sz w:val="22"/>
          <w:szCs w:val="22"/>
        </w:rPr>
        <w:t>ction, s</w:t>
      </w:r>
      <w:r w:rsidR="00037AB7" w:rsidRPr="000B78E1">
        <w:rPr>
          <w:rFonts w:ascii="Arial" w:hAnsi="Arial" w:cs="Arial"/>
          <w:sz w:val="22"/>
          <w:szCs w:val="22"/>
        </w:rPr>
        <w:t>ome studies strongly support the idea that fintech can expand inclusive lending and improve credit access (</w:t>
      </w:r>
      <w:proofErr w:type="spellStart"/>
      <w:r w:rsidR="00037AB7" w:rsidRPr="000B78E1">
        <w:rPr>
          <w:rFonts w:ascii="Arial" w:hAnsi="Arial" w:cs="Arial"/>
          <w:sz w:val="22"/>
          <w:szCs w:val="22"/>
        </w:rPr>
        <w:t>Soremekun</w:t>
      </w:r>
      <w:proofErr w:type="spellEnd"/>
      <w:r w:rsidR="00037AB7" w:rsidRPr="000B78E1">
        <w:rPr>
          <w:rFonts w:ascii="Arial" w:hAnsi="Arial" w:cs="Arial"/>
          <w:sz w:val="22"/>
          <w:szCs w:val="22"/>
        </w:rPr>
        <w:t xml:space="preserve"> et al., 2024; Oreoluwa et al., 2025)</w:t>
      </w:r>
      <w:r w:rsidR="00764025">
        <w:rPr>
          <w:rFonts w:ascii="Arial" w:hAnsi="Arial" w:cs="Arial"/>
          <w:sz w:val="22"/>
          <w:szCs w:val="22"/>
        </w:rPr>
        <w:t>.</w:t>
      </w:r>
      <w:r w:rsidR="00037AB7" w:rsidRPr="000B78E1">
        <w:rPr>
          <w:rFonts w:ascii="Arial" w:hAnsi="Arial" w:cs="Arial"/>
          <w:sz w:val="22"/>
          <w:szCs w:val="22"/>
        </w:rPr>
        <w:t xml:space="preserve"> </w:t>
      </w:r>
      <w:r w:rsidR="00764025">
        <w:rPr>
          <w:rFonts w:ascii="Arial" w:hAnsi="Arial" w:cs="Arial"/>
          <w:sz w:val="22"/>
          <w:szCs w:val="22"/>
        </w:rPr>
        <w:t>But i</w:t>
      </w:r>
      <w:r w:rsidR="00037AB7" w:rsidRPr="000B78E1">
        <w:rPr>
          <w:rFonts w:ascii="Arial" w:hAnsi="Arial" w:cs="Arial"/>
          <w:sz w:val="22"/>
          <w:szCs w:val="22"/>
        </w:rPr>
        <w:t>n contrast to that other studies show that credit conversion often fails because of regulatory barriers, lack of trust and poor data quality (</w:t>
      </w:r>
      <w:proofErr w:type="spellStart"/>
      <w:r w:rsidR="00037AB7" w:rsidRPr="000B78E1">
        <w:rPr>
          <w:rFonts w:ascii="Arial" w:hAnsi="Arial" w:cs="Arial"/>
          <w:sz w:val="22"/>
          <w:szCs w:val="22"/>
        </w:rPr>
        <w:t>Abiduzzaman</w:t>
      </w:r>
      <w:proofErr w:type="spellEnd"/>
      <w:r w:rsidR="00037AB7" w:rsidRPr="000B78E1">
        <w:rPr>
          <w:rFonts w:ascii="Arial" w:hAnsi="Arial" w:cs="Arial"/>
          <w:sz w:val="22"/>
          <w:szCs w:val="22"/>
        </w:rPr>
        <w:t xml:space="preserve">, 2025; Naiya, 2025) highlighting a gap between what technology can do and what </w:t>
      </w:r>
      <w:proofErr w:type="gramStart"/>
      <w:r w:rsidR="00037AB7" w:rsidRPr="000B78E1">
        <w:rPr>
          <w:rFonts w:ascii="Arial" w:hAnsi="Arial" w:cs="Arial"/>
          <w:sz w:val="22"/>
          <w:szCs w:val="22"/>
        </w:rPr>
        <w:t>actually happens</w:t>
      </w:r>
      <w:proofErr w:type="gramEnd"/>
      <w:r w:rsidR="00037AB7" w:rsidRPr="000B78E1">
        <w:rPr>
          <w:rFonts w:ascii="Arial" w:hAnsi="Arial" w:cs="Arial"/>
          <w:sz w:val="22"/>
          <w:szCs w:val="22"/>
        </w:rPr>
        <w:t xml:space="preserve"> in practice.</w:t>
      </w:r>
    </w:p>
    <w:p w14:paraId="5C7B6EF4" w14:textId="77777777" w:rsidR="00764025" w:rsidRPr="000B78E1" w:rsidRDefault="00764025" w:rsidP="000B78E1">
      <w:pPr>
        <w:spacing w:after="0" w:line="360" w:lineRule="auto"/>
        <w:jc w:val="both"/>
        <w:rPr>
          <w:rFonts w:ascii="Arial" w:hAnsi="Arial" w:cs="Arial"/>
          <w:sz w:val="22"/>
          <w:szCs w:val="22"/>
        </w:rPr>
      </w:pPr>
    </w:p>
    <w:p w14:paraId="5102F600" w14:textId="0B9C44EA" w:rsidR="00037AB7" w:rsidRDefault="00037AB7" w:rsidP="000B78E1">
      <w:pPr>
        <w:spacing w:after="0" w:line="360" w:lineRule="auto"/>
        <w:jc w:val="both"/>
        <w:rPr>
          <w:rFonts w:ascii="Arial" w:hAnsi="Arial" w:cs="Arial"/>
          <w:sz w:val="22"/>
          <w:szCs w:val="22"/>
        </w:rPr>
      </w:pPr>
      <w:r w:rsidRPr="000B78E1">
        <w:rPr>
          <w:rFonts w:ascii="Arial" w:hAnsi="Arial" w:cs="Arial"/>
          <w:sz w:val="22"/>
          <w:szCs w:val="22"/>
        </w:rPr>
        <w:t>From contextual perspective, in countries like China, where digital platforms are well integrated with banks, fintech can reduce financing constraints more effectively (Yang et al., 2024). However, in countries like Bangladesh, where the system is more bank-led and regulatory control is strong, the conversion of DFS into credit remains limited (</w:t>
      </w:r>
      <w:proofErr w:type="spellStart"/>
      <w:r w:rsidRPr="000B78E1">
        <w:rPr>
          <w:rFonts w:ascii="Arial" w:hAnsi="Arial" w:cs="Arial"/>
          <w:sz w:val="22"/>
          <w:szCs w:val="22"/>
        </w:rPr>
        <w:t>Abiduzzaman</w:t>
      </w:r>
      <w:proofErr w:type="spellEnd"/>
      <w:r w:rsidRPr="000B78E1">
        <w:rPr>
          <w:rFonts w:ascii="Arial" w:hAnsi="Arial" w:cs="Arial"/>
          <w:sz w:val="22"/>
          <w:szCs w:val="22"/>
        </w:rPr>
        <w:t>, 2025; Rahman &amp; Sadik, 2025).</w:t>
      </w:r>
      <w:r w:rsidR="00764025">
        <w:rPr>
          <w:rFonts w:ascii="Arial" w:hAnsi="Arial" w:cs="Arial"/>
          <w:sz w:val="22"/>
          <w:szCs w:val="22"/>
        </w:rPr>
        <w:t xml:space="preserve"> </w:t>
      </w:r>
      <w:r w:rsidR="00D564CA">
        <w:rPr>
          <w:rFonts w:ascii="Arial" w:hAnsi="Arial" w:cs="Arial"/>
          <w:sz w:val="22"/>
          <w:szCs w:val="22"/>
        </w:rPr>
        <w:t xml:space="preserve">To sum up, </w:t>
      </w:r>
      <w:r w:rsidRPr="000B78E1">
        <w:rPr>
          <w:rFonts w:ascii="Arial" w:hAnsi="Arial" w:cs="Arial"/>
          <w:sz w:val="22"/>
          <w:szCs w:val="22"/>
        </w:rPr>
        <w:t>while DFS creates opportunities for credit access, the real challenge lies in whether institutions recognise and trust digital data which ultimately determines whether credit is provided or not.</w:t>
      </w:r>
    </w:p>
    <w:p w14:paraId="7A48F7E2" w14:textId="76EAFEE9" w:rsidR="000666D7" w:rsidRPr="000666D7" w:rsidRDefault="000666D7" w:rsidP="000B78E1">
      <w:pPr>
        <w:spacing w:after="0" w:line="360" w:lineRule="auto"/>
        <w:jc w:val="both"/>
        <w:rPr>
          <w:rFonts w:ascii="Arial" w:hAnsi="Arial" w:cs="Arial"/>
          <w:sz w:val="10"/>
          <w:szCs w:val="10"/>
        </w:rPr>
      </w:pPr>
    </w:p>
    <w:p w14:paraId="2D44C58A" w14:textId="095E0FA7" w:rsidR="0018686E" w:rsidRPr="000B78E1" w:rsidRDefault="0018686E" w:rsidP="000B78E1">
      <w:pPr>
        <w:pStyle w:val="ListParagraph"/>
        <w:numPr>
          <w:ilvl w:val="1"/>
          <w:numId w:val="6"/>
        </w:numPr>
        <w:spacing w:line="360" w:lineRule="auto"/>
        <w:jc w:val="both"/>
        <w:rPr>
          <w:rFonts w:ascii="Arial" w:hAnsi="Arial" w:cs="Arial"/>
          <w:b/>
          <w:bCs/>
          <w:sz w:val="22"/>
          <w:szCs w:val="22"/>
        </w:rPr>
      </w:pPr>
      <w:r w:rsidRPr="000B78E1">
        <w:rPr>
          <w:rFonts w:ascii="Arial" w:hAnsi="Arial" w:cs="Arial"/>
          <w:b/>
          <w:bCs/>
          <w:sz w:val="22"/>
          <w:szCs w:val="22"/>
        </w:rPr>
        <w:t>Credit Access and SME Sustainability Outcomes</w:t>
      </w:r>
    </w:p>
    <w:p w14:paraId="36E5D35D" w14:textId="77777777" w:rsidR="00EA4661" w:rsidRPr="000B78E1" w:rsidRDefault="00EA4661" w:rsidP="000B78E1">
      <w:pPr>
        <w:spacing w:after="0" w:line="360" w:lineRule="auto"/>
        <w:jc w:val="both"/>
        <w:rPr>
          <w:rFonts w:ascii="Arial" w:hAnsi="Arial" w:cs="Arial"/>
          <w:sz w:val="22"/>
          <w:szCs w:val="22"/>
        </w:rPr>
      </w:pPr>
      <w:r w:rsidRPr="000B78E1">
        <w:rPr>
          <w:rFonts w:ascii="Arial" w:hAnsi="Arial" w:cs="Arial"/>
          <w:sz w:val="22"/>
          <w:szCs w:val="22"/>
        </w:rPr>
        <w:t xml:space="preserve">Some literatures argue that finance plays an important role in improving business </w:t>
      </w:r>
      <w:proofErr w:type="gramStart"/>
      <w:r w:rsidRPr="000B78E1">
        <w:rPr>
          <w:rFonts w:ascii="Arial" w:hAnsi="Arial" w:cs="Arial"/>
          <w:sz w:val="22"/>
          <w:szCs w:val="22"/>
        </w:rPr>
        <w:t>outcomes</w:t>
      </w:r>
      <w:proofErr w:type="gramEnd"/>
      <w:r w:rsidRPr="000B78E1">
        <w:rPr>
          <w:rFonts w:ascii="Arial" w:hAnsi="Arial" w:cs="Arial"/>
          <w:sz w:val="22"/>
          <w:szCs w:val="22"/>
        </w:rPr>
        <w:t xml:space="preserve"> but its effects are not always consistent or sufficient. At the conceptual level, studies draw on multiple theories such as information asymmetry, pecking order theory, resource-based view (RBV) and institutional theory to explain how access to finance influences SME growth and sustainability (Amin, </w:t>
      </w:r>
      <w:proofErr w:type="gramStart"/>
      <w:r w:rsidRPr="000B78E1">
        <w:rPr>
          <w:rFonts w:ascii="Arial" w:hAnsi="Arial" w:cs="Arial"/>
          <w:sz w:val="22"/>
          <w:szCs w:val="22"/>
        </w:rPr>
        <w:t>2024 ;</w:t>
      </w:r>
      <w:proofErr w:type="gramEnd"/>
      <w:r w:rsidRPr="000B78E1">
        <w:rPr>
          <w:rFonts w:ascii="Arial" w:hAnsi="Arial" w:cs="Arial"/>
          <w:sz w:val="22"/>
          <w:szCs w:val="22"/>
        </w:rPr>
        <w:t xml:space="preserve"> Chowdhury et al., 2022). These perspectives suggest that finance helps firms invest, manage liquidity and improve performance. However, some studies highlight that finance alone is not enough and outcomes depend on firm capability, institutional environment and financial management practices (Nikaido et al., 2015; Zhou &amp; Pacala, 2025). </w:t>
      </w:r>
      <w:proofErr w:type="gramStart"/>
      <w:r w:rsidRPr="000B78E1">
        <w:rPr>
          <w:rFonts w:ascii="Arial" w:hAnsi="Arial" w:cs="Arial"/>
          <w:sz w:val="22"/>
          <w:szCs w:val="22"/>
        </w:rPr>
        <w:t>So</w:t>
      </w:r>
      <w:proofErr w:type="gramEnd"/>
      <w:r w:rsidRPr="000B78E1">
        <w:rPr>
          <w:rFonts w:ascii="Arial" w:hAnsi="Arial" w:cs="Arial"/>
          <w:sz w:val="22"/>
          <w:szCs w:val="22"/>
        </w:rPr>
        <w:t xml:space="preserve"> this shows that when some studies agree on the importance of finance at the same </w:t>
      </w:r>
      <w:proofErr w:type="gramStart"/>
      <w:r w:rsidRPr="000B78E1">
        <w:rPr>
          <w:rFonts w:ascii="Arial" w:hAnsi="Arial" w:cs="Arial"/>
          <w:sz w:val="22"/>
          <w:szCs w:val="22"/>
        </w:rPr>
        <w:t>time</w:t>
      </w:r>
      <w:proofErr w:type="gramEnd"/>
      <w:r w:rsidRPr="000B78E1">
        <w:rPr>
          <w:rFonts w:ascii="Arial" w:hAnsi="Arial" w:cs="Arial"/>
          <w:sz w:val="22"/>
          <w:szCs w:val="22"/>
        </w:rPr>
        <w:t xml:space="preserve"> they differ on how and when it leads to sustainable outcomes.</w:t>
      </w:r>
    </w:p>
    <w:p w14:paraId="29EA7A5E" w14:textId="77777777" w:rsidR="00EA4661" w:rsidRPr="000B78E1" w:rsidRDefault="00EA4661" w:rsidP="000B78E1">
      <w:pPr>
        <w:spacing w:after="0" w:line="360" w:lineRule="auto"/>
        <w:jc w:val="both"/>
        <w:rPr>
          <w:rFonts w:ascii="Arial" w:hAnsi="Arial" w:cs="Arial"/>
          <w:sz w:val="22"/>
          <w:szCs w:val="22"/>
        </w:rPr>
      </w:pPr>
    </w:p>
    <w:p w14:paraId="23652AFD" w14:textId="54DEE9F8" w:rsidR="00EA4661" w:rsidRPr="000B78E1" w:rsidRDefault="003421CC" w:rsidP="000B78E1">
      <w:pPr>
        <w:spacing w:after="0" w:line="360" w:lineRule="auto"/>
        <w:jc w:val="both"/>
        <w:rPr>
          <w:rFonts w:ascii="Arial" w:hAnsi="Arial" w:cs="Arial"/>
          <w:sz w:val="22"/>
          <w:szCs w:val="22"/>
        </w:rPr>
      </w:pPr>
      <w:r>
        <w:rPr>
          <w:rFonts w:ascii="Arial" w:hAnsi="Arial" w:cs="Arial"/>
          <w:sz w:val="22"/>
          <w:szCs w:val="22"/>
        </w:rPr>
        <w:t>S</w:t>
      </w:r>
      <w:r w:rsidR="00EA4661" w:rsidRPr="000B78E1">
        <w:rPr>
          <w:rFonts w:ascii="Arial" w:hAnsi="Arial" w:cs="Arial"/>
          <w:sz w:val="22"/>
          <w:szCs w:val="22"/>
        </w:rPr>
        <w:t xml:space="preserve">everal studies </w:t>
      </w:r>
      <w:r>
        <w:rPr>
          <w:rFonts w:ascii="Arial" w:hAnsi="Arial" w:cs="Arial"/>
          <w:sz w:val="22"/>
          <w:szCs w:val="22"/>
        </w:rPr>
        <w:t>argues</w:t>
      </w:r>
      <w:r w:rsidR="00EA4661" w:rsidRPr="000B78E1">
        <w:rPr>
          <w:rFonts w:ascii="Arial" w:hAnsi="Arial" w:cs="Arial"/>
          <w:sz w:val="22"/>
          <w:szCs w:val="22"/>
        </w:rPr>
        <w:t xml:space="preserve"> that access to formal finance improves SME performance, productivity and employment. For example, in Bangladesh access to bank finance is positively linked with higher productivity and employment generation (Chowdhury et al., 2022; Qi et al., 2021). Similarly, studies in Europe and China show that finance supports sustainability, especially </w:t>
      </w:r>
      <w:r w:rsidR="00EA4661" w:rsidRPr="000B78E1">
        <w:rPr>
          <w:rFonts w:ascii="Arial" w:hAnsi="Arial" w:cs="Arial"/>
          <w:sz w:val="22"/>
          <w:szCs w:val="22"/>
        </w:rPr>
        <w:lastRenderedPageBreak/>
        <w:t xml:space="preserve">when combined with digital capability and innovation (Zhou &amp; Pacala, 2025; Liu &amp; Zhang, 2020). On the other </w:t>
      </w:r>
      <w:proofErr w:type="gramStart"/>
      <w:r w:rsidR="00EA4661" w:rsidRPr="000B78E1">
        <w:rPr>
          <w:rFonts w:ascii="Arial" w:hAnsi="Arial" w:cs="Arial"/>
          <w:sz w:val="22"/>
          <w:szCs w:val="22"/>
        </w:rPr>
        <w:t>hand</w:t>
      </w:r>
      <w:proofErr w:type="gramEnd"/>
      <w:r w:rsidR="00EA4661" w:rsidRPr="000B78E1">
        <w:rPr>
          <w:rFonts w:ascii="Arial" w:hAnsi="Arial" w:cs="Arial"/>
          <w:sz w:val="22"/>
          <w:szCs w:val="22"/>
        </w:rPr>
        <w:t xml:space="preserve"> some studies show informal credit may reduce performance due to high costs and digital credit often improves only short-term liquidity rather than long-term growth (</w:t>
      </w:r>
      <w:proofErr w:type="spellStart"/>
      <w:r w:rsidR="00EA4661" w:rsidRPr="000B78E1">
        <w:rPr>
          <w:rFonts w:ascii="Arial" w:hAnsi="Arial" w:cs="Arial"/>
          <w:sz w:val="22"/>
          <w:szCs w:val="22"/>
        </w:rPr>
        <w:t>Mutsonziwa</w:t>
      </w:r>
      <w:proofErr w:type="spellEnd"/>
      <w:r w:rsidR="00EA4661" w:rsidRPr="000B78E1">
        <w:rPr>
          <w:rFonts w:ascii="Arial" w:hAnsi="Arial" w:cs="Arial"/>
          <w:sz w:val="22"/>
          <w:szCs w:val="22"/>
        </w:rPr>
        <w:t xml:space="preserve"> &amp; Fanta, 2021; Thomas &amp; Mwenda, 2025). In Bangladesh, SMEs continue to face structural challenges such as poor financial management, limited literacy and regulatory burdens, which reduce the effectiveness of finance (Amin, </w:t>
      </w:r>
      <w:proofErr w:type="gramStart"/>
      <w:r w:rsidR="00EA4661" w:rsidRPr="000B78E1">
        <w:rPr>
          <w:rFonts w:ascii="Arial" w:hAnsi="Arial" w:cs="Arial"/>
          <w:sz w:val="22"/>
          <w:szCs w:val="22"/>
        </w:rPr>
        <w:t>2024 )</w:t>
      </w:r>
      <w:proofErr w:type="gramEnd"/>
      <w:r w:rsidR="00EA4661" w:rsidRPr="000B78E1">
        <w:rPr>
          <w:rFonts w:ascii="Arial" w:hAnsi="Arial" w:cs="Arial"/>
          <w:sz w:val="22"/>
          <w:szCs w:val="22"/>
        </w:rPr>
        <w:t>. Overall, the evidence is strong in showing positive relation but weaker in proving long-term sustainability effects.</w:t>
      </w:r>
    </w:p>
    <w:p w14:paraId="7B2EE048" w14:textId="76776AF8" w:rsidR="00EA4661" w:rsidRPr="0066253D" w:rsidRDefault="00EA4661" w:rsidP="000B78E1">
      <w:pPr>
        <w:spacing w:after="0" w:line="360" w:lineRule="auto"/>
        <w:jc w:val="both"/>
        <w:rPr>
          <w:rFonts w:ascii="Arial" w:hAnsi="Arial" w:cs="Arial"/>
          <w:sz w:val="14"/>
          <w:szCs w:val="14"/>
        </w:rPr>
      </w:pPr>
    </w:p>
    <w:p w14:paraId="505F2916" w14:textId="77777777" w:rsidR="00EA4661" w:rsidRPr="000B78E1" w:rsidRDefault="00EA4661" w:rsidP="000B78E1">
      <w:pPr>
        <w:spacing w:after="0" w:line="360" w:lineRule="auto"/>
        <w:jc w:val="both"/>
        <w:rPr>
          <w:rFonts w:ascii="Arial" w:hAnsi="Arial" w:cs="Arial"/>
          <w:sz w:val="22"/>
          <w:szCs w:val="22"/>
        </w:rPr>
      </w:pPr>
      <w:r w:rsidRPr="000B78E1">
        <w:rPr>
          <w:rFonts w:ascii="Arial" w:hAnsi="Arial" w:cs="Arial"/>
          <w:sz w:val="22"/>
          <w:szCs w:val="22"/>
        </w:rPr>
        <w:t xml:space="preserve">Contradictions </w:t>
      </w:r>
      <w:proofErr w:type="gramStart"/>
      <w:r w:rsidRPr="000B78E1">
        <w:rPr>
          <w:rFonts w:ascii="Arial" w:hAnsi="Arial" w:cs="Arial"/>
          <w:sz w:val="22"/>
          <w:szCs w:val="22"/>
        </w:rPr>
        <w:t>is</w:t>
      </w:r>
      <w:proofErr w:type="gramEnd"/>
      <w:r w:rsidRPr="000B78E1">
        <w:rPr>
          <w:rFonts w:ascii="Arial" w:hAnsi="Arial" w:cs="Arial"/>
          <w:sz w:val="22"/>
          <w:szCs w:val="22"/>
        </w:rPr>
        <w:t xml:space="preserve"> also evident. Some research suggests that access to finance directly improves SME performance and sustainability, while others argue that the impact is partial, uneven or even negative depending on conditions. For example, while formal credit improves productivity in Bangladesh, it does not always enhance firm quality or long-term competitiveness (Chowdhury et al., 2022). Similarly, digital credit improves financial performance in the short term but may not support sustainable growth due to repayment pressure and cost (</w:t>
      </w:r>
      <w:proofErr w:type="spellStart"/>
      <w:r w:rsidRPr="000B78E1">
        <w:rPr>
          <w:rFonts w:ascii="Arial" w:hAnsi="Arial" w:cs="Arial"/>
          <w:sz w:val="22"/>
          <w:szCs w:val="22"/>
        </w:rPr>
        <w:t>Alumasa</w:t>
      </w:r>
      <w:proofErr w:type="spellEnd"/>
      <w:r w:rsidRPr="000B78E1">
        <w:rPr>
          <w:rFonts w:ascii="Arial" w:hAnsi="Arial" w:cs="Arial"/>
          <w:sz w:val="22"/>
          <w:szCs w:val="22"/>
        </w:rPr>
        <w:t xml:space="preserve"> &amp; </w:t>
      </w:r>
      <w:proofErr w:type="spellStart"/>
      <w:r w:rsidRPr="000B78E1">
        <w:rPr>
          <w:rFonts w:ascii="Arial" w:hAnsi="Arial" w:cs="Arial"/>
          <w:sz w:val="22"/>
          <w:szCs w:val="22"/>
        </w:rPr>
        <w:t>Muathe</w:t>
      </w:r>
      <w:proofErr w:type="spellEnd"/>
      <w:r w:rsidRPr="000B78E1">
        <w:rPr>
          <w:rFonts w:ascii="Arial" w:hAnsi="Arial" w:cs="Arial"/>
          <w:sz w:val="22"/>
          <w:szCs w:val="22"/>
        </w:rPr>
        <w:t>, 2021). This suggests that finance does not automatically lead to better outcomes.</w:t>
      </w:r>
    </w:p>
    <w:p w14:paraId="6DB7FF71" w14:textId="606AFE36" w:rsidR="00EA4661" w:rsidRPr="0066253D" w:rsidRDefault="00EA4661" w:rsidP="000B78E1">
      <w:pPr>
        <w:spacing w:after="0" w:line="360" w:lineRule="auto"/>
        <w:jc w:val="both"/>
        <w:rPr>
          <w:rFonts w:ascii="Arial" w:hAnsi="Arial" w:cs="Arial"/>
          <w:sz w:val="16"/>
          <w:szCs w:val="16"/>
        </w:rPr>
      </w:pPr>
    </w:p>
    <w:p w14:paraId="46CF72B5" w14:textId="00F0644F" w:rsidR="00EA4661" w:rsidRDefault="00E277E0" w:rsidP="000B78E1">
      <w:pPr>
        <w:spacing w:after="0" w:line="360" w:lineRule="auto"/>
        <w:jc w:val="both"/>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i</w:t>
      </w:r>
      <w:r w:rsidR="00DD313D">
        <w:rPr>
          <w:rFonts w:ascii="Arial" w:hAnsi="Arial" w:cs="Arial"/>
          <w:sz w:val="22"/>
          <w:szCs w:val="22"/>
        </w:rPr>
        <w:t>n</w:t>
      </w:r>
      <w:r w:rsidR="00EA4661" w:rsidRPr="000B78E1">
        <w:rPr>
          <w:rFonts w:ascii="Arial" w:hAnsi="Arial" w:cs="Arial"/>
          <w:sz w:val="22"/>
          <w:szCs w:val="22"/>
        </w:rPr>
        <w:t xml:space="preserve"> developed and well-regulated systems, finance is more effectively translated into sustainability outcomes </w:t>
      </w:r>
      <w:r w:rsidR="001B6083" w:rsidRPr="000B78E1">
        <w:rPr>
          <w:rFonts w:ascii="Arial" w:hAnsi="Arial" w:cs="Arial"/>
          <w:sz w:val="22"/>
          <w:szCs w:val="22"/>
        </w:rPr>
        <w:t>but in</w:t>
      </w:r>
      <w:r w:rsidR="00EA4661" w:rsidRPr="000B78E1">
        <w:rPr>
          <w:rFonts w:ascii="Arial" w:hAnsi="Arial" w:cs="Arial"/>
          <w:sz w:val="22"/>
          <w:szCs w:val="22"/>
        </w:rPr>
        <w:t xml:space="preserve"> developing countries such as Bangladesh, India and African economies, outcomes are influenced by factors such as institutional quality, financial literacy, infrastructure and regulatory systems (Nikaido et al., 2015; Kato et al., 2024). Differences also exist across sectors and firm types, with smaller and informal firms facing greater constraints.</w:t>
      </w:r>
    </w:p>
    <w:p w14:paraId="0A6020E1" w14:textId="77777777" w:rsidR="00DD313D" w:rsidRPr="000B78E1" w:rsidRDefault="00DD313D" w:rsidP="000B78E1">
      <w:pPr>
        <w:spacing w:after="0" w:line="360" w:lineRule="auto"/>
        <w:jc w:val="both"/>
        <w:rPr>
          <w:rFonts w:ascii="Arial" w:hAnsi="Arial" w:cs="Arial"/>
          <w:sz w:val="22"/>
          <w:szCs w:val="22"/>
        </w:rPr>
      </w:pPr>
    </w:p>
    <w:p w14:paraId="0AFD6A5B" w14:textId="392C6A84" w:rsidR="00EA4661" w:rsidRDefault="00322A05" w:rsidP="007E4611">
      <w:pPr>
        <w:spacing w:after="0" w:line="360" w:lineRule="auto"/>
        <w:jc w:val="both"/>
        <w:rPr>
          <w:rFonts w:ascii="Arial" w:hAnsi="Arial" w:cs="Arial"/>
          <w:sz w:val="22"/>
          <w:szCs w:val="22"/>
        </w:rPr>
      </w:pPr>
      <w:proofErr w:type="gramStart"/>
      <w:r>
        <w:rPr>
          <w:rFonts w:ascii="Arial" w:hAnsi="Arial" w:cs="Arial"/>
          <w:sz w:val="22"/>
          <w:szCs w:val="22"/>
        </w:rPr>
        <w:t>However</w:t>
      </w:r>
      <w:proofErr w:type="gramEnd"/>
      <w:r w:rsidR="00EA4661" w:rsidRPr="000B78E1">
        <w:rPr>
          <w:rFonts w:ascii="Arial" w:hAnsi="Arial" w:cs="Arial"/>
          <w:sz w:val="22"/>
          <w:szCs w:val="22"/>
        </w:rPr>
        <w:t xml:space="preserve"> the literature</w:t>
      </w:r>
      <w:r w:rsidR="00B27747">
        <w:rPr>
          <w:rFonts w:ascii="Arial" w:hAnsi="Arial" w:cs="Arial"/>
          <w:sz w:val="22"/>
          <w:szCs w:val="22"/>
        </w:rPr>
        <w:t>s collectively suggest</w:t>
      </w:r>
      <w:r w:rsidR="00EA4661" w:rsidRPr="000B78E1">
        <w:rPr>
          <w:rFonts w:ascii="Arial" w:hAnsi="Arial" w:cs="Arial"/>
          <w:sz w:val="22"/>
          <w:szCs w:val="22"/>
        </w:rPr>
        <w:t xml:space="preserve"> credit access impact on sustainability is conditional and </w:t>
      </w:r>
      <w:proofErr w:type="gramStart"/>
      <w:r w:rsidR="00EA4661" w:rsidRPr="000B78E1">
        <w:rPr>
          <w:rFonts w:ascii="Arial" w:hAnsi="Arial" w:cs="Arial"/>
          <w:sz w:val="22"/>
          <w:szCs w:val="22"/>
        </w:rPr>
        <w:t>context-dependent</w:t>
      </w:r>
      <w:proofErr w:type="gramEnd"/>
      <w:r w:rsidR="00EA4661" w:rsidRPr="000B78E1">
        <w:rPr>
          <w:rFonts w:ascii="Arial" w:hAnsi="Arial" w:cs="Arial"/>
          <w:sz w:val="22"/>
          <w:szCs w:val="22"/>
        </w:rPr>
        <w:t xml:space="preserve"> as finance can support growth but without strong capability, institutional support and proper financial management it </w:t>
      </w:r>
      <w:r w:rsidR="00B27747" w:rsidRPr="000B78E1">
        <w:rPr>
          <w:rFonts w:ascii="Arial" w:hAnsi="Arial" w:cs="Arial"/>
          <w:sz w:val="22"/>
          <w:szCs w:val="22"/>
        </w:rPr>
        <w:t>cannot</w:t>
      </w:r>
      <w:r w:rsidR="00EA4661" w:rsidRPr="000B78E1">
        <w:rPr>
          <w:rFonts w:ascii="Arial" w:hAnsi="Arial" w:cs="Arial"/>
          <w:sz w:val="22"/>
          <w:szCs w:val="22"/>
        </w:rPr>
        <w:t xml:space="preserve"> guarantee long-term sustainability.</w:t>
      </w:r>
    </w:p>
    <w:p w14:paraId="112CBE82" w14:textId="77777777" w:rsidR="007E4611" w:rsidRPr="000B78E1" w:rsidRDefault="007E4611" w:rsidP="007E4611">
      <w:pPr>
        <w:spacing w:after="0" w:line="360" w:lineRule="auto"/>
        <w:jc w:val="both"/>
        <w:rPr>
          <w:rFonts w:ascii="Arial" w:hAnsi="Arial" w:cs="Arial"/>
          <w:sz w:val="22"/>
          <w:szCs w:val="22"/>
        </w:rPr>
      </w:pPr>
    </w:p>
    <w:p w14:paraId="59DD80F0" w14:textId="14ED5FB9" w:rsidR="00695866" w:rsidRPr="000B78E1" w:rsidRDefault="005749BC" w:rsidP="000B78E1">
      <w:pPr>
        <w:pStyle w:val="ListParagraph"/>
        <w:numPr>
          <w:ilvl w:val="1"/>
          <w:numId w:val="6"/>
        </w:numPr>
        <w:spacing w:line="360" w:lineRule="auto"/>
        <w:jc w:val="both"/>
        <w:rPr>
          <w:rFonts w:ascii="Arial" w:hAnsi="Arial" w:cs="Arial"/>
          <w:b/>
          <w:bCs/>
          <w:sz w:val="22"/>
          <w:szCs w:val="22"/>
        </w:rPr>
      </w:pPr>
      <w:r w:rsidRPr="000B78E1">
        <w:rPr>
          <w:rFonts w:ascii="Arial" w:hAnsi="Arial" w:cs="Arial"/>
          <w:b/>
          <w:bCs/>
          <w:sz w:val="22"/>
          <w:szCs w:val="22"/>
        </w:rPr>
        <w:t>Constraints and Context Shaping the Impact of Digital Financial Services on SMEs</w:t>
      </w:r>
      <w:r w:rsidR="005D282C" w:rsidRPr="000B78E1">
        <w:rPr>
          <w:rFonts w:ascii="Arial" w:hAnsi="Arial" w:cs="Arial"/>
          <w:b/>
          <w:bCs/>
          <w:sz w:val="22"/>
          <w:szCs w:val="22"/>
        </w:rPr>
        <w:t>:</w:t>
      </w:r>
    </w:p>
    <w:p w14:paraId="2F00F345" w14:textId="2811ED95" w:rsidR="00A90094" w:rsidRPr="000B78E1" w:rsidRDefault="00FC32EA" w:rsidP="000B78E1">
      <w:pPr>
        <w:spacing w:line="360" w:lineRule="auto"/>
        <w:jc w:val="both"/>
        <w:rPr>
          <w:rFonts w:ascii="Arial" w:hAnsi="Arial" w:cs="Arial"/>
          <w:sz w:val="22"/>
          <w:szCs w:val="22"/>
        </w:rPr>
      </w:pPr>
      <w:r>
        <w:rPr>
          <w:rFonts w:ascii="Arial" w:hAnsi="Arial" w:cs="Arial"/>
          <w:sz w:val="22"/>
          <w:szCs w:val="22"/>
        </w:rPr>
        <w:t>A</w:t>
      </w:r>
      <w:r w:rsidR="00A90094" w:rsidRPr="000B78E1">
        <w:rPr>
          <w:rFonts w:ascii="Arial" w:hAnsi="Arial" w:cs="Arial"/>
          <w:sz w:val="22"/>
          <w:szCs w:val="22"/>
        </w:rPr>
        <w:t xml:space="preserve">ccess to finance and DFS outcomes are not automatic but depend heavily on institutional, capability and environmental conditions. Most studies are grounded in information asymmetry theory, pecking order theory, financial inclusion theory and Technology Acceptance Model (TAM). These theories explain why SMEs face financing barriers such as lack of collateral, limited information, and low trust between lenders and borrowers (Cruzado et al., 2023). However, some argue that even when financial services are available, user capability like </w:t>
      </w:r>
      <w:r w:rsidR="00A90094" w:rsidRPr="000B78E1">
        <w:rPr>
          <w:rFonts w:ascii="Arial" w:hAnsi="Arial" w:cs="Arial"/>
          <w:sz w:val="22"/>
          <w:szCs w:val="22"/>
        </w:rPr>
        <w:lastRenderedPageBreak/>
        <w:t xml:space="preserve">financial literacy, digital skills and institutional quality like regulation, banking structure determine whether these services lead to real outcomes (Angeles, 2022; </w:t>
      </w:r>
      <w:proofErr w:type="spellStart"/>
      <w:r w:rsidR="00A90094" w:rsidRPr="000B78E1">
        <w:rPr>
          <w:rFonts w:ascii="Arial" w:hAnsi="Arial" w:cs="Arial"/>
          <w:sz w:val="22"/>
          <w:szCs w:val="22"/>
        </w:rPr>
        <w:t>Tandilino</w:t>
      </w:r>
      <w:proofErr w:type="spellEnd"/>
      <w:r w:rsidR="00A90094" w:rsidRPr="000B78E1">
        <w:rPr>
          <w:rFonts w:ascii="Arial" w:hAnsi="Arial" w:cs="Arial"/>
          <w:sz w:val="22"/>
          <w:szCs w:val="22"/>
        </w:rPr>
        <w:t xml:space="preserve"> et al., 2025). This shows that theory is moving from “access” to “effective use” and “contextual dependency.”</w:t>
      </w:r>
    </w:p>
    <w:p w14:paraId="5281597C" w14:textId="015B0978" w:rsidR="00A90094" w:rsidRPr="000B78E1" w:rsidRDefault="0045245F" w:rsidP="000B78E1">
      <w:pPr>
        <w:spacing w:line="360" w:lineRule="auto"/>
        <w:jc w:val="both"/>
        <w:rPr>
          <w:rFonts w:ascii="Arial" w:hAnsi="Arial" w:cs="Arial"/>
          <w:sz w:val="22"/>
          <w:szCs w:val="22"/>
        </w:rPr>
      </w:pPr>
      <w:r>
        <w:rPr>
          <w:rFonts w:ascii="Arial" w:hAnsi="Arial" w:cs="Arial"/>
          <w:sz w:val="22"/>
          <w:szCs w:val="22"/>
        </w:rPr>
        <w:t>Empirically</w:t>
      </w:r>
      <w:r w:rsidR="00A90094" w:rsidRPr="000B78E1">
        <w:rPr>
          <w:rFonts w:ascii="Arial" w:hAnsi="Arial" w:cs="Arial"/>
          <w:sz w:val="22"/>
          <w:szCs w:val="22"/>
        </w:rPr>
        <w:t xml:space="preserve"> some studies </w:t>
      </w:r>
      <w:r w:rsidR="00E27A57">
        <w:rPr>
          <w:rFonts w:ascii="Arial" w:hAnsi="Arial" w:cs="Arial"/>
          <w:sz w:val="22"/>
          <w:szCs w:val="22"/>
        </w:rPr>
        <w:t>find</w:t>
      </w:r>
      <w:r w:rsidR="00A90094" w:rsidRPr="000B78E1">
        <w:rPr>
          <w:rFonts w:ascii="Arial" w:hAnsi="Arial" w:cs="Arial"/>
          <w:sz w:val="22"/>
          <w:szCs w:val="22"/>
        </w:rPr>
        <w:t xml:space="preserve"> that improving financial infrastructure, digital finance and government support can enhance SME performance and financial inclusion (</w:t>
      </w:r>
      <w:proofErr w:type="spellStart"/>
      <w:r w:rsidR="00A90094" w:rsidRPr="000B78E1">
        <w:rPr>
          <w:rFonts w:ascii="Arial" w:hAnsi="Arial" w:cs="Arial"/>
          <w:sz w:val="22"/>
          <w:szCs w:val="22"/>
        </w:rPr>
        <w:t>Thathsarani</w:t>
      </w:r>
      <w:proofErr w:type="spellEnd"/>
      <w:r w:rsidR="00A90094" w:rsidRPr="000B78E1">
        <w:rPr>
          <w:rFonts w:ascii="Arial" w:hAnsi="Arial" w:cs="Arial"/>
          <w:sz w:val="22"/>
          <w:szCs w:val="22"/>
        </w:rPr>
        <w:t xml:space="preserve"> &amp; Jianguo, 2022; </w:t>
      </w:r>
      <w:proofErr w:type="spellStart"/>
      <w:r w:rsidR="00A90094" w:rsidRPr="000B78E1">
        <w:rPr>
          <w:rFonts w:ascii="Arial" w:hAnsi="Arial" w:cs="Arial"/>
          <w:sz w:val="22"/>
          <w:szCs w:val="22"/>
        </w:rPr>
        <w:t>Tandilino</w:t>
      </w:r>
      <w:proofErr w:type="spellEnd"/>
      <w:r w:rsidR="00A90094" w:rsidRPr="000B78E1">
        <w:rPr>
          <w:rFonts w:ascii="Arial" w:hAnsi="Arial" w:cs="Arial"/>
          <w:sz w:val="22"/>
          <w:szCs w:val="22"/>
        </w:rPr>
        <w:t xml:space="preserve"> et al., 2025). Similarly, digital adoption and financial literacy are positively associated with business growth and better financial behaviour (Affandi et al., 2024). However, other studies like Angeles, (2022) shows that DFS does not always improve saving, borrowing or investment behaviour unless supported by literacy and capability. In some cases, financial inclusion does not improve performance much which shows that access alone is not enough (Gunawan et al., 2023).</w:t>
      </w:r>
    </w:p>
    <w:p w14:paraId="4752C576" w14:textId="7D885F18" w:rsidR="00A90094" w:rsidRPr="000B78E1" w:rsidRDefault="00A6084D" w:rsidP="000B78E1">
      <w:pPr>
        <w:spacing w:line="360" w:lineRule="auto"/>
        <w:jc w:val="both"/>
        <w:rPr>
          <w:rFonts w:ascii="Arial" w:hAnsi="Arial" w:cs="Arial"/>
          <w:sz w:val="22"/>
          <w:szCs w:val="22"/>
        </w:rPr>
      </w:pPr>
      <w:r>
        <w:rPr>
          <w:rFonts w:ascii="Arial" w:hAnsi="Arial" w:cs="Arial"/>
          <w:sz w:val="22"/>
          <w:szCs w:val="22"/>
        </w:rPr>
        <w:t xml:space="preserve">While some studies argue that </w:t>
      </w:r>
      <w:r w:rsidR="00A90094" w:rsidRPr="000B78E1">
        <w:rPr>
          <w:rFonts w:ascii="Arial" w:hAnsi="Arial" w:cs="Arial"/>
          <w:sz w:val="22"/>
          <w:szCs w:val="22"/>
        </w:rPr>
        <w:t>DFS and financial inclusion directly improve SME outcomes, others show that their impact is indirect, conditional or even insignificant. For instance, while financial inclusion improves SME performance in Sri Lanka, it fails to mediate performance outcomes in Indonesia (</w:t>
      </w:r>
      <w:proofErr w:type="spellStart"/>
      <w:r w:rsidR="00A90094" w:rsidRPr="000B78E1">
        <w:rPr>
          <w:rFonts w:ascii="Arial" w:hAnsi="Arial" w:cs="Arial"/>
          <w:sz w:val="22"/>
          <w:szCs w:val="22"/>
        </w:rPr>
        <w:t>Thathsarani</w:t>
      </w:r>
      <w:proofErr w:type="spellEnd"/>
      <w:r w:rsidR="00A90094" w:rsidRPr="000B78E1">
        <w:rPr>
          <w:rFonts w:ascii="Arial" w:hAnsi="Arial" w:cs="Arial"/>
          <w:sz w:val="22"/>
          <w:szCs w:val="22"/>
        </w:rPr>
        <w:t xml:space="preserve"> &amp; Jianguo, 2022; Gunawan et al., 2023). Similarly, digital finance can initially increase risks such as credit instability before stabilising over time (Ahsan et al., 2026). These contradictions suggest that the relationship between finance and outcomes is complex and non-linear.</w:t>
      </w:r>
    </w:p>
    <w:p w14:paraId="4D6E0A6C" w14:textId="14E3D708" w:rsidR="00A90094" w:rsidRPr="000B78E1" w:rsidRDefault="00A90094" w:rsidP="000B78E1">
      <w:pPr>
        <w:spacing w:line="360" w:lineRule="auto"/>
        <w:jc w:val="both"/>
        <w:rPr>
          <w:rFonts w:ascii="Arial" w:hAnsi="Arial" w:cs="Arial"/>
          <w:sz w:val="22"/>
          <w:szCs w:val="22"/>
        </w:rPr>
      </w:pPr>
      <w:r w:rsidRPr="000B78E1">
        <w:rPr>
          <w:rFonts w:ascii="Arial" w:hAnsi="Arial" w:cs="Arial"/>
          <w:sz w:val="22"/>
          <w:szCs w:val="22"/>
        </w:rPr>
        <w:t>From contextual perspectives in developing countries such as Bangladesh, Philippines and Indonesia, factors like collateral requirements, financial literacy, infrastructure quality and regulatory systems strongly influence access to finance (Cruzado et al., 2023). Differences also exist across firm size, gender and geography where smaller firms and disadvantaged groups face greater constraints. In contrast, more developed systems show stronger conversion of financial access into outcomes due to better institutional support.</w:t>
      </w:r>
    </w:p>
    <w:p w14:paraId="1192A0D0" w14:textId="4272AE8A" w:rsidR="00A90094" w:rsidRPr="000B78E1" w:rsidRDefault="00A90094" w:rsidP="000B78E1">
      <w:pPr>
        <w:spacing w:line="360" w:lineRule="auto"/>
        <w:jc w:val="both"/>
        <w:rPr>
          <w:rFonts w:ascii="Arial" w:hAnsi="Arial" w:cs="Arial"/>
          <w:sz w:val="22"/>
          <w:szCs w:val="22"/>
        </w:rPr>
      </w:pPr>
      <w:r w:rsidRPr="000B78E1">
        <w:rPr>
          <w:rFonts w:ascii="Arial" w:hAnsi="Arial" w:cs="Arial"/>
          <w:sz w:val="22"/>
          <w:szCs w:val="22"/>
        </w:rPr>
        <w:t xml:space="preserve">Overall, the literature suggests that financial access and DFS outcomes are highly context-dependent and simply providing financial services is not enough. Capability, institutional support and governance conditions determine whether SMEs can </w:t>
      </w:r>
      <w:proofErr w:type="gramStart"/>
      <w:r w:rsidRPr="000B78E1">
        <w:rPr>
          <w:rFonts w:ascii="Arial" w:hAnsi="Arial" w:cs="Arial"/>
          <w:sz w:val="22"/>
          <w:szCs w:val="22"/>
        </w:rPr>
        <w:t>actually benefit</w:t>
      </w:r>
      <w:proofErr w:type="gramEnd"/>
      <w:r w:rsidRPr="000B78E1">
        <w:rPr>
          <w:rFonts w:ascii="Arial" w:hAnsi="Arial" w:cs="Arial"/>
          <w:sz w:val="22"/>
          <w:szCs w:val="22"/>
        </w:rPr>
        <w:t>.</w:t>
      </w:r>
    </w:p>
    <w:p w14:paraId="4C31547B" w14:textId="22B088FB" w:rsidR="00F0766F" w:rsidRPr="007E4611" w:rsidRDefault="00F0766F" w:rsidP="000B78E1">
      <w:pPr>
        <w:spacing w:after="0" w:line="360" w:lineRule="auto"/>
        <w:jc w:val="both"/>
        <w:rPr>
          <w:rFonts w:ascii="Arial" w:hAnsi="Arial" w:cs="Arial"/>
          <w:sz w:val="6"/>
          <w:szCs w:val="6"/>
        </w:rPr>
      </w:pPr>
    </w:p>
    <w:p w14:paraId="023BAEEA" w14:textId="41830364" w:rsidR="00800CC1" w:rsidRPr="000B78E1" w:rsidRDefault="00800CC1" w:rsidP="000B78E1">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t>Conceptual Framework:</w:t>
      </w:r>
    </w:p>
    <w:p w14:paraId="7155BA3F" w14:textId="05FC9CB6" w:rsidR="005D0D7C" w:rsidRPr="000B78E1" w:rsidRDefault="000674B8" w:rsidP="000B78E1">
      <w:pPr>
        <w:spacing w:line="360" w:lineRule="auto"/>
        <w:jc w:val="both"/>
        <w:rPr>
          <w:rFonts w:ascii="Arial" w:hAnsi="Arial" w:cs="Arial"/>
          <w:sz w:val="22"/>
          <w:szCs w:val="22"/>
        </w:rPr>
      </w:pPr>
      <w:r w:rsidRPr="000B78E1">
        <w:rPr>
          <w:rFonts w:ascii="Arial" w:hAnsi="Arial" w:cs="Arial"/>
          <w:sz w:val="22"/>
          <w:szCs w:val="22"/>
        </w:rPr>
        <w:t>The li</w:t>
      </w:r>
      <w:r w:rsidR="00BC25D5" w:rsidRPr="000B78E1">
        <w:rPr>
          <w:rFonts w:ascii="Arial" w:hAnsi="Arial" w:cs="Arial"/>
          <w:sz w:val="22"/>
          <w:szCs w:val="22"/>
        </w:rPr>
        <w:t xml:space="preserve">terature review and the findings </w:t>
      </w:r>
      <w:r w:rsidR="00474726" w:rsidRPr="000B78E1">
        <w:rPr>
          <w:rFonts w:ascii="Arial" w:hAnsi="Arial" w:cs="Arial"/>
          <w:sz w:val="22"/>
          <w:szCs w:val="22"/>
        </w:rPr>
        <w:t>lead</w:t>
      </w:r>
      <w:r w:rsidR="00BC25D5" w:rsidRPr="000B78E1">
        <w:rPr>
          <w:rFonts w:ascii="Arial" w:hAnsi="Arial" w:cs="Arial"/>
          <w:sz w:val="22"/>
          <w:szCs w:val="22"/>
        </w:rPr>
        <w:t xml:space="preserve"> to the </w:t>
      </w:r>
      <w:r w:rsidR="005D0D7C" w:rsidRPr="000B78E1">
        <w:rPr>
          <w:rFonts w:ascii="Arial" w:hAnsi="Arial" w:cs="Arial"/>
          <w:sz w:val="22"/>
          <w:szCs w:val="22"/>
        </w:rPr>
        <w:t xml:space="preserve">following </w:t>
      </w:r>
      <w:r w:rsidR="00BC25D5" w:rsidRPr="000B78E1">
        <w:rPr>
          <w:rFonts w:ascii="Arial" w:hAnsi="Arial" w:cs="Arial"/>
          <w:sz w:val="22"/>
          <w:szCs w:val="22"/>
        </w:rPr>
        <w:t xml:space="preserve">conceptual </w:t>
      </w:r>
      <w:r w:rsidR="00BD7A90" w:rsidRPr="000B78E1">
        <w:rPr>
          <w:rFonts w:ascii="Arial" w:hAnsi="Arial" w:cs="Arial"/>
          <w:sz w:val="22"/>
          <w:szCs w:val="22"/>
        </w:rPr>
        <w:t>framework</w:t>
      </w:r>
      <w:r w:rsidR="005D0D7C" w:rsidRPr="000B78E1">
        <w:rPr>
          <w:rFonts w:ascii="Arial" w:hAnsi="Arial" w:cs="Arial"/>
          <w:sz w:val="22"/>
          <w:szCs w:val="22"/>
        </w:rPr>
        <w:t xml:space="preserve">: </w:t>
      </w:r>
    </w:p>
    <w:p w14:paraId="51BE50A0" w14:textId="6031A672" w:rsidR="005D0D7C" w:rsidRPr="000B78E1" w:rsidRDefault="00643D76"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661824" behindDoc="0" locked="0" layoutInCell="1" allowOverlap="1" wp14:anchorId="68E68583" wp14:editId="705577CE">
                <wp:simplePos x="0" y="0"/>
                <wp:positionH relativeFrom="column">
                  <wp:posOffset>1016000</wp:posOffset>
                </wp:positionH>
                <wp:positionV relativeFrom="paragraph">
                  <wp:posOffset>59055</wp:posOffset>
                </wp:positionV>
                <wp:extent cx="3409950" cy="546100"/>
                <wp:effectExtent l="0" t="0" r="19050" b="25400"/>
                <wp:wrapSquare wrapText="bothSides"/>
                <wp:docPr id="8619260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46100"/>
                        </a:xfrm>
                        <a:prstGeom prst="rect">
                          <a:avLst/>
                        </a:prstGeom>
                        <a:solidFill>
                          <a:schemeClr val="bg2"/>
                        </a:solidFill>
                        <a:ln w="9525">
                          <a:solidFill>
                            <a:srgbClr val="000000"/>
                          </a:solidFill>
                          <a:miter lim="800000"/>
                          <a:headEnd/>
                          <a:tailEnd/>
                        </a:ln>
                      </wps:spPr>
                      <wps:txbx>
                        <w:txbxContent>
                          <w:p w14:paraId="7101B673" w14:textId="06C55D4C" w:rsidR="00643D76" w:rsidRPr="0076042F" w:rsidRDefault="00D23A18" w:rsidP="00594115">
                            <w:pPr>
                              <w:spacing w:after="0"/>
                              <w:jc w:val="center"/>
                            </w:pPr>
                            <w:r w:rsidRPr="0076042F">
                              <w:t xml:space="preserve">Digital Financial Services </w:t>
                            </w:r>
                            <w:r w:rsidR="00594115" w:rsidRPr="0076042F">
                              <w:t>Adoption</w:t>
                            </w:r>
                          </w:p>
                          <w:p w14:paraId="726E9FEB" w14:textId="4B400CE5" w:rsidR="00594115" w:rsidRPr="0076042F" w:rsidRDefault="00594115" w:rsidP="00594115">
                            <w:pPr>
                              <w:spacing w:after="0"/>
                              <w:jc w:val="center"/>
                              <w:rPr>
                                <w:sz w:val="22"/>
                                <w:szCs w:val="22"/>
                              </w:rPr>
                            </w:pPr>
                            <w:r w:rsidRPr="0076042F">
                              <w:rPr>
                                <w:sz w:val="22"/>
                                <w:szCs w:val="22"/>
                              </w:rPr>
                              <w:t>(mobile banking, agent banking, digital payment)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68583" id="_x0000_s1037" type="#_x0000_t202" style="position:absolute;left:0;text-align:left;margin-left:80pt;margin-top:4.65pt;width:268.5pt;height:43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" fillcolor="#e8e8e8 [3214]">
                <v:textbox>
                  <w:txbxContent>
                    <w:p w14:paraId="7101B673" w14:textId="06C55D4C" w:rsidR="00643D76" w:rsidRPr="0076042F" w:rsidRDefault="00D23A18" w:rsidP="00594115">
                      <w:pPr>
                        <w:spacing w:after="0"/>
                        <w:jc w:val="center"/>
                      </w:pPr>
                      <w:r w:rsidRPr="0076042F">
                        <w:t xml:space="preserve">Digital Financial Services </w:t>
                      </w:r>
                      <w:r w:rsidR="00594115" w:rsidRPr="0076042F">
                        <w:t>Adoption</w:t>
                      </w:r>
                    </w:p>
                    <w:p w14:paraId="726E9FEB" w14:textId="4B400CE5" w:rsidR="00594115" w:rsidRPr="0076042F" w:rsidRDefault="00594115" w:rsidP="00594115">
                      <w:pPr>
                        <w:spacing w:after="0"/>
                        <w:jc w:val="center"/>
                        <w:rPr>
                          <w:sz w:val="22"/>
                          <w:szCs w:val="22"/>
                        </w:rPr>
                      </w:pPr>
                      <w:r w:rsidRPr="0076042F">
                        <w:rPr>
                          <w:sz w:val="22"/>
                          <w:szCs w:val="22"/>
                        </w:rPr>
                        <w:t>(mobile banking, agent banking, digital payment)</w:t>
                      </w:r>
                    </w:p>
                  </w:txbxContent>
                </v:textbox>
                <w10:wrap type="square"/>
              </v:shape>
            </w:pict>
          </mc:Fallback>
        </mc:AlternateContent>
      </w:r>
    </w:p>
    <w:p w14:paraId="5B2551D0" w14:textId="0CF53CB4" w:rsidR="00643D76" w:rsidRPr="000B78E1" w:rsidRDefault="00643D76" w:rsidP="000B78E1">
      <w:pPr>
        <w:spacing w:line="360" w:lineRule="auto"/>
        <w:jc w:val="both"/>
        <w:rPr>
          <w:rFonts w:ascii="Arial" w:hAnsi="Arial" w:cs="Arial"/>
          <w:b/>
          <w:bCs/>
          <w:sz w:val="22"/>
          <w:szCs w:val="22"/>
        </w:rPr>
      </w:pPr>
    </w:p>
    <w:p w14:paraId="1DC45966" w14:textId="37268934" w:rsidR="00643D76" w:rsidRPr="000B78E1" w:rsidRDefault="00DC2195"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710976" behindDoc="0" locked="0" layoutInCell="1" allowOverlap="1" wp14:anchorId="1DCFA1C8" wp14:editId="4996518C">
                <wp:simplePos x="0" y="0"/>
                <wp:positionH relativeFrom="column">
                  <wp:posOffset>2768600</wp:posOffset>
                </wp:positionH>
                <wp:positionV relativeFrom="paragraph">
                  <wp:posOffset>50800</wp:posOffset>
                </wp:positionV>
                <wp:extent cx="5773" cy="209550"/>
                <wp:effectExtent l="76200" t="0" r="70485" b="57150"/>
                <wp:wrapNone/>
                <wp:docPr id="910476707" name="Straight Arrow Connector 20"/>
                <wp:cNvGraphicFramePr/>
                <a:graphic xmlns:a="http://schemas.openxmlformats.org/drawingml/2006/main">
                  <a:graphicData uri="http://schemas.microsoft.com/office/word/2010/wordprocessingShape">
                    <wps:wsp>
                      <wps:cNvCnPr/>
                      <wps:spPr>
                        <a:xfrm flipH="1">
                          <a:off x="0" y="0"/>
                          <a:ext cx="5773" cy="20955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6E2DDD" id="_x0000_t32" coordsize="21600,21600" o:spt="32" o:oned="t" path="m,l21600,21600e" filled="f">
                <v:path arrowok="t" fillok="f" o:connecttype="none"/>
                <o:lock v:ext="edit" shapetype="t"/>
              </v:shapetype>
              <v:shape id="Straight Arrow Connector 20" o:spid="_x0000_s1026" type="#_x0000_t32" style="position:absolute;margin-left:218pt;margin-top:4pt;width:.45pt;height:16.5pt;flip:x;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" strokecolor="black [3213]" strokeweight="1.5pt">
                <v:stroke endarrow="block" joinstyle="miter"/>
              </v:shape>
            </w:pict>
          </mc:Fallback>
        </mc:AlternateContent>
      </w:r>
    </w:p>
    <w:p w14:paraId="5A44810A" w14:textId="0E3E61D7" w:rsidR="00643D76" w:rsidRPr="000B78E1" w:rsidRDefault="00594115" w:rsidP="000B78E1">
      <w:pPr>
        <w:spacing w:line="360" w:lineRule="auto"/>
        <w:jc w:val="both"/>
        <w:rPr>
          <w:rFonts w:ascii="Arial" w:hAnsi="Arial" w:cs="Arial"/>
          <w:b/>
          <w:bCs/>
          <w:sz w:val="22"/>
          <w:szCs w:val="22"/>
        </w:rPr>
      </w:pPr>
      <w:r w:rsidRPr="000B78E1">
        <w:rPr>
          <w:rFonts w:ascii="Arial" w:hAnsi="Arial" w:cs="Arial"/>
          <w:b/>
          <w:bCs/>
          <w:noProof/>
          <w:sz w:val="22"/>
          <w:szCs w:val="22"/>
        </w:rPr>
        <w:lastRenderedPageBreak/>
        <mc:AlternateContent>
          <mc:Choice Requires="wps">
            <w:drawing>
              <wp:anchor distT="45720" distB="45720" distL="114300" distR="114300" simplePos="0" relativeHeight="251664896" behindDoc="0" locked="0" layoutInCell="1" allowOverlap="1" wp14:anchorId="7D242200" wp14:editId="5EB3F21B">
                <wp:simplePos x="0" y="0"/>
                <wp:positionH relativeFrom="column">
                  <wp:posOffset>1009650</wp:posOffset>
                </wp:positionH>
                <wp:positionV relativeFrom="paragraph">
                  <wp:posOffset>58420</wp:posOffset>
                </wp:positionV>
                <wp:extent cx="3409950" cy="546100"/>
                <wp:effectExtent l="0" t="0" r="19050" b="25400"/>
                <wp:wrapSquare wrapText="bothSides"/>
                <wp:docPr id="10398135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46100"/>
                        </a:xfrm>
                        <a:prstGeom prst="rect">
                          <a:avLst/>
                        </a:prstGeom>
                        <a:solidFill>
                          <a:schemeClr val="bg2"/>
                        </a:solidFill>
                        <a:ln w="9525">
                          <a:solidFill>
                            <a:srgbClr val="000000"/>
                          </a:solidFill>
                          <a:miter lim="800000"/>
                          <a:headEnd/>
                          <a:tailEnd/>
                        </a:ln>
                      </wps:spPr>
                      <wps:txbx>
                        <w:txbxContent>
                          <w:p w14:paraId="5F30CD4E" w14:textId="6F7D401F" w:rsidR="00594115" w:rsidRPr="0076042F" w:rsidRDefault="00594115" w:rsidP="00594115">
                            <w:pPr>
                              <w:spacing w:after="0"/>
                              <w:jc w:val="center"/>
                            </w:pPr>
                            <w:r w:rsidRPr="0076042F">
                              <w:t xml:space="preserve">Digital </w:t>
                            </w:r>
                            <w:r w:rsidR="00D01601" w:rsidRPr="0076042F">
                              <w:t>Activity</w:t>
                            </w:r>
                            <w:r w:rsidR="000721C6" w:rsidRPr="0076042F">
                              <w:t xml:space="preserve"> &amp; Digital Footprint</w:t>
                            </w:r>
                          </w:p>
                          <w:p w14:paraId="6E411A53" w14:textId="71679C3B" w:rsidR="00594115" w:rsidRPr="0076042F" w:rsidRDefault="00594115" w:rsidP="00594115">
                            <w:pPr>
                              <w:spacing w:after="0"/>
                              <w:jc w:val="center"/>
                              <w:rPr>
                                <w:sz w:val="22"/>
                                <w:szCs w:val="22"/>
                              </w:rPr>
                            </w:pPr>
                            <w:r w:rsidRPr="0076042F">
                              <w:rPr>
                                <w:sz w:val="22"/>
                                <w:szCs w:val="22"/>
                              </w:rPr>
                              <w:t>(</w:t>
                            </w:r>
                            <w:r w:rsidR="00964BC5" w:rsidRPr="0076042F">
                              <w:rPr>
                                <w:sz w:val="22"/>
                                <w:szCs w:val="22"/>
                              </w:rPr>
                              <w:t>Transaction</w:t>
                            </w:r>
                            <w:r w:rsidR="00D01601" w:rsidRPr="0076042F">
                              <w:rPr>
                                <w:sz w:val="22"/>
                                <w:szCs w:val="22"/>
                              </w:rPr>
                              <w:t xml:space="preserve"> data</w:t>
                            </w:r>
                            <w:r w:rsidR="00964BC5" w:rsidRPr="0076042F">
                              <w:rPr>
                                <w:sz w:val="22"/>
                                <w:szCs w:val="22"/>
                              </w:rPr>
                              <w:t xml:space="preserve">, </w:t>
                            </w:r>
                            <w:r w:rsidRPr="0076042F">
                              <w:rPr>
                                <w:sz w:val="22"/>
                                <w:szCs w:val="22"/>
                              </w:rPr>
                              <w:t>payment</w:t>
                            </w:r>
                            <w:r w:rsidR="00964BC5" w:rsidRPr="0076042F">
                              <w:rPr>
                                <w:sz w:val="22"/>
                                <w:szCs w:val="22"/>
                              </w:rPr>
                              <w:t>, account</w:t>
                            </w:r>
                            <w:r w:rsidR="00CE6C5C" w:rsidRPr="0076042F">
                              <w:rPr>
                                <w:sz w:val="22"/>
                                <w:szCs w:val="22"/>
                              </w:rPr>
                              <w:t xml:space="preserve"> activity</w:t>
                            </w:r>
                            <w:r w:rsidRPr="0076042F">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242200" id="_x0000_s1038" type="#_x0000_t202" style="position:absolute;left:0;text-align:left;margin-left:79.5pt;margin-top:4.6pt;width:268.5pt;height:43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" fillcolor="#e8e8e8 [3214]">
                <v:textbox>
                  <w:txbxContent>
                    <w:p w14:paraId="5F30CD4E" w14:textId="6F7D401F" w:rsidR="00594115" w:rsidRPr="0076042F" w:rsidRDefault="00594115" w:rsidP="00594115">
                      <w:pPr>
                        <w:spacing w:after="0"/>
                        <w:jc w:val="center"/>
                      </w:pPr>
                      <w:r w:rsidRPr="0076042F">
                        <w:t xml:space="preserve">Digital </w:t>
                      </w:r>
                      <w:r w:rsidR="00D01601" w:rsidRPr="0076042F">
                        <w:t>Activity</w:t>
                      </w:r>
                      <w:r w:rsidR="000721C6" w:rsidRPr="0076042F">
                        <w:t xml:space="preserve"> &amp; Digital Footprint</w:t>
                      </w:r>
                    </w:p>
                    <w:p w14:paraId="6E411A53" w14:textId="71679C3B" w:rsidR="00594115" w:rsidRPr="0076042F" w:rsidRDefault="00594115" w:rsidP="00594115">
                      <w:pPr>
                        <w:spacing w:after="0"/>
                        <w:jc w:val="center"/>
                        <w:rPr>
                          <w:sz w:val="22"/>
                          <w:szCs w:val="22"/>
                        </w:rPr>
                      </w:pPr>
                      <w:r w:rsidRPr="0076042F">
                        <w:rPr>
                          <w:sz w:val="22"/>
                          <w:szCs w:val="22"/>
                        </w:rPr>
                        <w:t>(</w:t>
                      </w:r>
                      <w:r w:rsidR="00964BC5" w:rsidRPr="0076042F">
                        <w:rPr>
                          <w:sz w:val="22"/>
                          <w:szCs w:val="22"/>
                        </w:rPr>
                        <w:t>Transaction</w:t>
                      </w:r>
                      <w:r w:rsidR="00D01601" w:rsidRPr="0076042F">
                        <w:rPr>
                          <w:sz w:val="22"/>
                          <w:szCs w:val="22"/>
                        </w:rPr>
                        <w:t xml:space="preserve"> data</w:t>
                      </w:r>
                      <w:r w:rsidR="00964BC5" w:rsidRPr="0076042F">
                        <w:rPr>
                          <w:sz w:val="22"/>
                          <w:szCs w:val="22"/>
                        </w:rPr>
                        <w:t xml:space="preserve">, </w:t>
                      </w:r>
                      <w:r w:rsidRPr="0076042F">
                        <w:rPr>
                          <w:sz w:val="22"/>
                          <w:szCs w:val="22"/>
                        </w:rPr>
                        <w:t>payment</w:t>
                      </w:r>
                      <w:r w:rsidR="00964BC5" w:rsidRPr="0076042F">
                        <w:rPr>
                          <w:sz w:val="22"/>
                          <w:szCs w:val="22"/>
                        </w:rPr>
                        <w:t>, account</w:t>
                      </w:r>
                      <w:r w:rsidR="00CE6C5C" w:rsidRPr="0076042F">
                        <w:rPr>
                          <w:sz w:val="22"/>
                          <w:szCs w:val="22"/>
                        </w:rPr>
                        <w:t xml:space="preserve"> activity</w:t>
                      </w:r>
                      <w:r w:rsidRPr="0076042F">
                        <w:rPr>
                          <w:sz w:val="22"/>
                          <w:szCs w:val="22"/>
                        </w:rPr>
                        <w:t>)</w:t>
                      </w:r>
                    </w:p>
                  </w:txbxContent>
                </v:textbox>
                <w10:wrap type="square"/>
              </v:shape>
            </w:pict>
          </mc:Fallback>
        </mc:AlternateContent>
      </w:r>
    </w:p>
    <w:p w14:paraId="572724EB" w14:textId="549E9351" w:rsidR="00594115" w:rsidRPr="000B78E1" w:rsidRDefault="00594115" w:rsidP="000B78E1">
      <w:pPr>
        <w:spacing w:line="360" w:lineRule="auto"/>
        <w:jc w:val="both"/>
        <w:rPr>
          <w:rFonts w:ascii="Arial" w:hAnsi="Arial" w:cs="Arial"/>
          <w:b/>
          <w:bCs/>
          <w:sz w:val="22"/>
          <w:szCs w:val="22"/>
        </w:rPr>
      </w:pPr>
    </w:p>
    <w:p w14:paraId="4C6EE527" w14:textId="62865A26" w:rsidR="00594115" w:rsidRPr="000B78E1" w:rsidRDefault="00DC2195"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714048" behindDoc="0" locked="0" layoutInCell="1" allowOverlap="1" wp14:anchorId="7FAFB2DF" wp14:editId="77A76568">
                <wp:simplePos x="0" y="0"/>
                <wp:positionH relativeFrom="column">
                  <wp:posOffset>2768600</wp:posOffset>
                </wp:positionH>
                <wp:positionV relativeFrom="paragraph">
                  <wp:posOffset>44450</wp:posOffset>
                </wp:positionV>
                <wp:extent cx="5773" cy="209550"/>
                <wp:effectExtent l="76200" t="0" r="70485" b="57150"/>
                <wp:wrapNone/>
                <wp:docPr id="2002743514" name="Straight Arrow Connector 20"/>
                <wp:cNvGraphicFramePr/>
                <a:graphic xmlns:a="http://schemas.openxmlformats.org/drawingml/2006/main">
                  <a:graphicData uri="http://schemas.microsoft.com/office/word/2010/wordprocessingShape">
                    <wps:wsp>
                      <wps:cNvCnPr/>
                      <wps:spPr>
                        <a:xfrm flipH="1">
                          <a:off x="0" y="0"/>
                          <a:ext cx="5773" cy="20955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758CDB" id="Straight Arrow Connector 20" o:spid="_x0000_s1026" type="#_x0000_t32" style="position:absolute;margin-left:218pt;margin-top:3.5pt;width:.45pt;height:16.5pt;flip:x;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" strokecolor="black [3213]" strokeweight="1.5pt">
                <v:stroke endarrow="block" joinstyle="miter"/>
              </v:shape>
            </w:pict>
          </mc:Fallback>
        </mc:AlternateContent>
      </w:r>
    </w:p>
    <w:p w14:paraId="7477D49F" w14:textId="0A264192" w:rsidR="00594115" w:rsidRPr="000B78E1" w:rsidRDefault="007461A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667968" behindDoc="0" locked="0" layoutInCell="1" allowOverlap="1" wp14:anchorId="5CC9E041" wp14:editId="10C1DF45">
                <wp:simplePos x="0" y="0"/>
                <wp:positionH relativeFrom="column">
                  <wp:posOffset>1009650</wp:posOffset>
                </wp:positionH>
                <wp:positionV relativeFrom="paragraph">
                  <wp:posOffset>9525</wp:posOffset>
                </wp:positionV>
                <wp:extent cx="3409950" cy="533400"/>
                <wp:effectExtent l="0" t="0" r="19050" b="19050"/>
                <wp:wrapSquare wrapText="bothSides"/>
                <wp:docPr id="19792949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33400"/>
                        </a:xfrm>
                        <a:prstGeom prst="rect">
                          <a:avLst/>
                        </a:prstGeom>
                        <a:solidFill>
                          <a:schemeClr val="accent1">
                            <a:lumMod val="20000"/>
                            <a:lumOff val="80000"/>
                          </a:schemeClr>
                        </a:solidFill>
                        <a:ln w="9525">
                          <a:solidFill>
                            <a:srgbClr val="000000"/>
                          </a:solidFill>
                          <a:miter lim="800000"/>
                          <a:headEnd/>
                          <a:tailEnd/>
                        </a:ln>
                      </wps:spPr>
                      <wps:txbx>
                        <w:txbxContent>
                          <w:p w14:paraId="09C1D8EF" w14:textId="6EDABF16" w:rsidR="007461A1" w:rsidRPr="0076042F" w:rsidRDefault="007461A1" w:rsidP="007461A1">
                            <w:pPr>
                              <w:spacing w:after="0"/>
                              <w:jc w:val="center"/>
                            </w:pPr>
                            <w:r w:rsidRPr="0076042F">
                              <w:t xml:space="preserve">Reduced Information </w:t>
                            </w:r>
                            <w:r w:rsidR="00A37CAC" w:rsidRPr="0076042F">
                              <w:t>Asymmetry</w:t>
                            </w:r>
                          </w:p>
                          <w:p w14:paraId="6CAC01FE" w14:textId="0673B318" w:rsidR="007461A1" w:rsidRPr="0076042F" w:rsidRDefault="007461A1" w:rsidP="007461A1">
                            <w:pPr>
                              <w:spacing w:after="0"/>
                              <w:jc w:val="center"/>
                              <w:rPr>
                                <w:sz w:val="22"/>
                                <w:szCs w:val="22"/>
                              </w:rPr>
                            </w:pPr>
                            <w:r w:rsidRPr="0076042F">
                              <w:rPr>
                                <w:sz w:val="22"/>
                                <w:szCs w:val="22"/>
                              </w:rPr>
                              <w:t>(</w:t>
                            </w:r>
                            <w:r w:rsidR="00A37CAC" w:rsidRPr="0076042F">
                              <w:rPr>
                                <w:sz w:val="22"/>
                                <w:szCs w:val="22"/>
                              </w:rPr>
                              <w:t>Better Risk management, Improved Transparency</w:t>
                            </w:r>
                            <w:r w:rsidRPr="0076042F">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9E041" id="_x0000_s1039" type="#_x0000_t202" style="position:absolute;left:0;text-align:left;margin-left:79.5pt;margin-top:.75pt;width:268.5pt;height:42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" fillcolor="#c1e4f5 [660]">
                <v:textbox>
                  <w:txbxContent>
                    <w:p w14:paraId="09C1D8EF" w14:textId="6EDABF16" w:rsidR="007461A1" w:rsidRPr="0076042F" w:rsidRDefault="007461A1" w:rsidP="007461A1">
                      <w:pPr>
                        <w:spacing w:after="0"/>
                        <w:jc w:val="center"/>
                      </w:pPr>
                      <w:r w:rsidRPr="0076042F">
                        <w:t xml:space="preserve">Reduced Information </w:t>
                      </w:r>
                      <w:r w:rsidR="00A37CAC" w:rsidRPr="0076042F">
                        <w:t>Asymmetry</w:t>
                      </w:r>
                    </w:p>
                    <w:p w14:paraId="6CAC01FE" w14:textId="0673B318" w:rsidR="007461A1" w:rsidRPr="0076042F" w:rsidRDefault="007461A1" w:rsidP="007461A1">
                      <w:pPr>
                        <w:spacing w:after="0"/>
                        <w:jc w:val="center"/>
                        <w:rPr>
                          <w:sz w:val="22"/>
                          <w:szCs w:val="22"/>
                        </w:rPr>
                      </w:pPr>
                      <w:r w:rsidRPr="0076042F">
                        <w:rPr>
                          <w:sz w:val="22"/>
                          <w:szCs w:val="22"/>
                        </w:rPr>
                        <w:t>(</w:t>
                      </w:r>
                      <w:r w:rsidR="00A37CAC" w:rsidRPr="0076042F">
                        <w:rPr>
                          <w:sz w:val="22"/>
                          <w:szCs w:val="22"/>
                        </w:rPr>
                        <w:t>Better Risk management, Improved Transparency</w:t>
                      </w:r>
                      <w:r w:rsidRPr="0076042F">
                        <w:rPr>
                          <w:sz w:val="22"/>
                          <w:szCs w:val="22"/>
                        </w:rPr>
                        <w:t>)</w:t>
                      </w:r>
                    </w:p>
                  </w:txbxContent>
                </v:textbox>
                <w10:wrap type="square"/>
              </v:shape>
            </w:pict>
          </mc:Fallback>
        </mc:AlternateContent>
      </w:r>
    </w:p>
    <w:p w14:paraId="00B81BEF" w14:textId="591C7FF6" w:rsidR="00594115" w:rsidRPr="000B78E1" w:rsidRDefault="00A9068A"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695616" behindDoc="0" locked="0" layoutInCell="1" allowOverlap="1" wp14:anchorId="074CEC76" wp14:editId="0F2513EB">
                <wp:simplePos x="0" y="0"/>
                <wp:positionH relativeFrom="column">
                  <wp:posOffset>2743200</wp:posOffset>
                </wp:positionH>
                <wp:positionV relativeFrom="paragraph">
                  <wp:posOffset>208915</wp:posOffset>
                </wp:positionV>
                <wp:extent cx="0" cy="215900"/>
                <wp:effectExtent l="0" t="0" r="38100" b="31750"/>
                <wp:wrapNone/>
                <wp:docPr id="756837924" name="Straight Connector 19"/>
                <wp:cNvGraphicFramePr/>
                <a:graphic xmlns:a="http://schemas.openxmlformats.org/drawingml/2006/main">
                  <a:graphicData uri="http://schemas.microsoft.com/office/word/2010/wordprocessingShape">
                    <wps:wsp>
                      <wps:cNvCnPr/>
                      <wps:spPr>
                        <a:xfrm>
                          <a:off x="0" y="0"/>
                          <a:ext cx="0" cy="2159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550157" id="Straight Connector 19"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6.45pt" to="3in,3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" strokecolor="black [3213]" strokeweight="1.5pt">
                <v:stroke joinstyle="miter"/>
              </v:line>
            </w:pict>
          </mc:Fallback>
        </mc:AlternateContent>
      </w:r>
    </w:p>
    <w:p w14:paraId="52509130" w14:textId="7ED804E8" w:rsidR="00594115" w:rsidRPr="000B78E1" w:rsidRDefault="00A9068A"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701760" behindDoc="0" locked="0" layoutInCell="1" allowOverlap="1" wp14:anchorId="404137E2" wp14:editId="2027700C">
                <wp:simplePos x="0" y="0"/>
                <wp:positionH relativeFrom="column">
                  <wp:posOffset>4387850</wp:posOffset>
                </wp:positionH>
                <wp:positionV relativeFrom="paragraph">
                  <wp:posOffset>95250</wp:posOffset>
                </wp:positionV>
                <wp:extent cx="6350" cy="209550"/>
                <wp:effectExtent l="76200" t="0" r="69850" b="57150"/>
                <wp:wrapNone/>
                <wp:docPr id="478443809" name="Straight Arrow Connector 20"/>
                <wp:cNvGraphicFramePr/>
                <a:graphic xmlns:a="http://schemas.openxmlformats.org/drawingml/2006/main">
                  <a:graphicData uri="http://schemas.microsoft.com/office/word/2010/wordprocessingShape">
                    <wps:wsp>
                      <wps:cNvCnPr/>
                      <wps:spPr>
                        <a:xfrm flipH="1">
                          <a:off x="0" y="0"/>
                          <a:ext cx="6350" cy="20955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5D2072" id="Straight Arrow Connector 20" o:spid="_x0000_s1026" type="#_x0000_t32" style="position:absolute;margin-left:345.5pt;margin-top:7.5pt;width:.5pt;height:16.5pt;flip:x;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" strokecolor="black [3213]" strokeweight="1.5pt">
                <v:stroke endarrow="block" joinstyle="miter"/>
              </v:shape>
            </w:pict>
          </mc:Fallback>
        </mc:AlternateContent>
      </w:r>
      <w:r w:rsidRPr="000B78E1">
        <w:rPr>
          <w:rFonts w:ascii="Arial" w:hAnsi="Arial" w:cs="Arial"/>
          <w:b/>
          <w:bCs/>
          <w:noProof/>
          <w:sz w:val="22"/>
          <w:szCs w:val="22"/>
        </w:rPr>
        <mc:AlternateContent>
          <mc:Choice Requires="wps">
            <w:drawing>
              <wp:anchor distT="0" distB="0" distL="114300" distR="114300" simplePos="0" relativeHeight="251698688" behindDoc="0" locked="0" layoutInCell="1" allowOverlap="1" wp14:anchorId="1807E052" wp14:editId="66CEA1F0">
                <wp:simplePos x="0" y="0"/>
                <wp:positionH relativeFrom="column">
                  <wp:posOffset>1060450</wp:posOffset>
                </wp:positionH>
                <wp:positionV relativeFrom="paragraph">
                  <wp:posOffset>105410</wp:posOffset>
                </wp:positionV>
                <wp:extent cx="6350" cy="209550"/>
                <wp:effectExtent l="76200" t="0" r="69850" b="57150"/>
                <wp:wrapNone/>
                <wp:docPr id="158403702" name="Straight Arrow Connector 20"/>
                <wp:cNvGraphicFramePr/>
                <a:graphic xmlns:a="http://schemas.openxmlformats.org/drawingml/2006/main">
                  <a:graphicData uri="http://schemas.microsoft.com/office/word/2010/wordprocessingShape">
                    <wps:wsp>
                      <wps:cNvCnPr/>
                      <wps:spPr>
                        <a:xfrm flipH="1">
                          <a:off x="0" y="0"/>
                          <a:ext cx="6350" cy="20955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42A2366" id="Straight Arrow Connector 20" o:spid="_x0000_s1026" type="#_x0000_t32" style="position:absolute;margin-left:83.5pt;margin-top:8.3pt;width:.5pt;height:16.5pt;flip:x;z-index:251698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" strokecolor="black [3213]" strokeweight="1.5pt">
                <v:stroke endarrow="block" joinstyle="miter"/>
              </v:shape>
            </w:pict>
          </mc:Fallback>
        </mc:AlternateContent>
      </w:r>
      <w:r w:rsidR="00D318D5" w:rsidRPr="000B78E1">
        <w:rPr>
          <w:rFonts w:ascii="Arial" w:hAnsi="Arial" w:cs="Arial"/>
          <w:b/>
          <w:bCs/>
          <w:noProof/>
          <w:sz w:val="22"/>
          <w:szCs w:val="22"/>
        </w:rPr>
        <mc:AlternateContent>
          <mc:Choice Requires="wps">
            <w:drawing>
              <wp:anchor distT="0" distB="0" distL="114300" distR="114300" simplePos="0" relativeHeight="251692544" behindDoc="0" locked="0" layoutInCell="1" allowOverlap="1" wp14:anchorId="5E2B85BF" wp14:editId="3AAF6692">
                <wp:simplePos x="0" y="0"/>
                <wp:positionH relativeFrom="column">
                  <wp:posOffset>1054100</wp:posOffset>
                </wp:positionH>
                <wp:positionV relativeFrom="paragraph">
                  <wp:posOffset>101600</wp:posOffset>
                </wp:positionV>
                <wp:extent cx="3321050" cy="12700"/>
                <wp:effectExtent l="0" t="0" r="31750" b="25400"/>
                <wp:wrapNone/>
                <wp:docPr id="617078406" name="Straight Connector 18"/>
                <wp:cNvGraphicFramePr/>
                <a:graphic xmlns:a="http://schemas.openxmlformats.org/drawingml/2006/main">
                  <a:graphicData uri="http://schemas.microsoft.com/office/word/2010/wordprocessingShape">
                    <wps:wsp>
                      <wps:cNvCnPr/>
                      <wps:spPr>
                        <a:xfrm>
                          <a:off x="0" y="0"/>
                          <a:ext cx="3321050" cy="127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4751AF" id="Straight Connector 18"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pt,8pt" to="34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" strokecolor="black [3213]" strokeweight="1.5pt">
                <v:stroke joinstyle="miter"/>
              </v:line>
            </w:pict>
          </mc:Fallback>
        </mc:AlternateContent>
      </w:r>
    </w:p>
    <w:p w14:paraId="35158B97" w14:textId="4BE6FEE3" w:rsidR="00594115" w:rsidRPr="000B78E1" w:rsidRDefault="00A9068A"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671040" behindDoc="0" locked="0" layoutInCell="1" allowOverlap="1" wp14:anchorId="25D14842" wp14:editId="6ADD8D30">
                <wp:simplePos x="0" y="0"/>
                <wp:positionH relativeFrom="column">
                  <wp:posOffset>165100</wp:posOffset>
                </wp:positionH>
                <wp:positionV relativeFrom="paragraph">
                  <wp:posOffset>3810</wp:posOffset>
                </wp:positionV>
                <wp:extent cx="2070100" cy="1035050"/>
                <wp:effectExtent l="0" t="0" r="25400" b="12700"/>
                <wp:wrapSquare wrapText="bothSides"/>
                <wp:docPr id="894928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0" cy="1035050"/>
                        </a:xfrm>
                        <a:prstGeom prst="rect">
                          <a:avLst/>
                        </a:prstGeom>
                        <a:solidFill>
                          <a:schemeClr val="accent6">
                            <a:lumMod val="40000"/>
                            <a:lumOff val="60000"/>
                          </a:schemeClr>
                        </a:solidFill>
                        <a:ln w="9525">
                          <a:solidFill>
                            <a:srgbClr val="000000"/>
                          </a:solidFill>
                          <a:miter lim="800000"/>
                          <a:headEnd/>
                          <a:tailEnd/>
                        </a:ln>
                      </wps:spPr>
                      <wps:txbx>
                        <w:txbxContent>
                          <w:p w14:paraId="3576FA56" w14:textId="1DE44ECF" w:rsidR="008E72F2" w:rsidRPr="0076042F" w:rsidRDefault="00324DCE" w:rsidP="005A4749">
                            <w:pPr>
                              <w:spacing w:after="0"/>
                              <w:jc w:val="center"/>
                            </w:pPr>
                            <w:r w:rsidRPr="0076042F">
                              <w:t>Institutional</w:t>
                            </w:r>
                            <w:r w:rsidR="00294454" w:rsidRPr="0076042F">
                              <w:t xml:space="preserve"> Condition</w:t>
                            </w:r>
                            <w:r w:rsidRPr="0076042F">
                              <w:t xml:space="preserve"> as Moderators</w:t>
                            </w:r>
                          </w:p>
                          <w:p w14:paraId="340C7C86" w14:textId="02C47B8B" w:rsidR="00324DCE" w:rsidRPr="0076042F" w:rsidRDefault="00324DCE" w:rsidP="005A4749">
                            <w:pPr>
                              <w:spacing w:after="0"/>
                              <w:jc w:val="center"/>
                              <w:rPr>
                                <w:sz w:val="22"/>
                                <w:szCs w:val="22"/>
                              </w:rPr>
                            </w:pPr>
                            <w:r w:rsidRPr="0076042F">
                              <w:rPr>
                                <w:sz w:val="22"/>
                                <w:szCs w:val="22"/>
                              </w:rPr>
                              <w:t>(</w:t>
                            </w:r>
                            <w:r w:rsidR="005A4749" w:rsidRPr="0076042F">
                              <w:rPr>
                                <w:sz w:val="22"/>
                                <w:szCs w:val="22"/>
                              </w:rPr>
                              <w:t>Regulation, Bank Policies, Trust in DFS)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D14842" id="_x0000_s1040" type="#_x0000_t202" style="position:absolute;left:0;text-align:left;margin-left:13pt;margin-top:.3pt;width:163pt;height:81.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" fillcolor="#b3e5a1 [1305]">
                <v:textbox>
                  <w:txbxContent>
                    <w:p w14:paraId="3576FA56" w14:textId="1DE44ECF" w:rsidR="008E72F2" w:rsidRPr="0076042F" w:rsidRDefault="00324DCE" w:rsidP="005A4749">
                      <w:pPr>
                        <w:spacing w:after="0"/>
                        <w:jc w:val="center"/>
                      </w:pPr>
                      <w:r w:rsidRPr="0076042F">
                        <w:t>Institutional</w:t>
                      </w:r>
                      <w:r w:rsidR="00294454" w:rsidRPr="0076042F">
                        <w:t xml:space="preserve"> Condition</w:t>
                      </w:r>
                      <w:r w:rsidRPr="0076042F">
                        <w:t xml:space="preserve"> as Moderators</w:t>
                      </w:r>
                    </w:p>
                    <w:p w14:paraId="340C7C86" w14:textId="02C47B8B" w:rsidR="00324DCE" w:rsidRPr="0076042F" w:rsidRDefault="00324DCE" w:rsidP="005A4749">
                      <w:pPr>
                        <w:spacing w:after="0"/>
                        <w:jc w:val="center"/>
                        <w:rPr>
                          <w:sz w:val="22"/>
                          <w:szCs w:val="22"/>
                        </w:rPr>
                      </w:pPr>
                      <w:r w:rsidRPr="0076042F">
                        <w:rPr>
                          <w:sz w:val="22"/>
                          <w:szCs w:val="22"/>
                        </w:rPr>
                        <w:t>(</w:t>
                      </w:r>
                      <w:r w:rsidR="005A4749" w:rsidRPr="0076042F">
                        <w:rPr>
                          <w:sz w:val="22"/>
                          <w:szCs w:val="22"/>
                        </w:rPr>
                        <w:t>Regulation, Bank Policies, Trust in DFS)</w:t>
                      </w:r>
                    </w:p>
                  </w:txbxContent>
                </v:textbox>
                <w10:wrap type="square"/>
              </v:shape>
            </w:pict>
          </mc:Fallback>
        </mc:AlternateContent>
      </w:r>
      <w:r w:rsidR="000638EE" w:rsidRPr="000B78E1">
        <w:rPr>
          <w:rFonts w:ascii="Arial" w:hAnsi="Arial" w:cs="Arial"/>
          <w:b/>
          <w:bCs/>
          <w:noProof/>
          <w:sz w:val="22"/>
          <w:szCs w:val="22"/>
        </w:rPr>
        <mc:AlternateContent>
          <mc:Choice Requires="wps">
            <w:drawing>
              <wp:anchor distT="45720" distB="45720" distL="114300" distR="114300" simplePos="0" relativeHeight="251674112" behindDoc="0" locked="0" layoutInCell="1" allowOverlap="1" wp14:anchorId="1B23C273" wp14:editId="1902530A">
                <wp:simplePos x="0" y="0"/>
                <wp:positionH relativeFrom="column">
                  <wp:posOffset>3232150</wp:posOffset>
                </wp:positionH>
                <wp:positionV relativeFrom="paragraph">
                  <wp:posOffset>3810</wp:posOffset>
                </wp:positionV>
                <wp:extent cx="2110740" cy="1073150"/>
                <wp:effectExtent l="0" t="0" r="22860" b="12700"/>
                <wp:wrapSquare wrapText="bothSides"/>
                <wp:docPr id="6597027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740" cy="1073150"/>
                        </a:xfrm>
                        <a:prstGeom prst="rect">
                          <a:avLst/>
                        </a:prstGeom>
                        <a:solidFill>
                          <a:schemeClr val="accent6">
                            <a:lumMod val="40000"/>
                            <a:lumOff val="60000"/>
                          </a:schemeClr>
                        </a:solidFill>
                        <a:ln w="9525">
                          <a:solidFill>
                            <a:srgbClr val="000000"/>
                          </a:solidFill>
                          <a:miter lim="800000"/>
                          <a:headEnd/>
                          <a:tailEnd/>
                        </a:ln>
                      </wps:spPr>
                      <wps:txbx>
                        <w:txbxContent>
                          <w:p w14:paraId="62231C85" w14:textId="2DB73AEA" w:rsidR="008E72F2" w:rsidRPr="0076042F" w:rsidRDefault="00126792" w:rsidP="000638EE">
                            <w:pPr>
                              <w:spacing w:after="0"/>
                              <w:jc w:val="center"/>
                            </w:pPr>
                            <w:r w:rsidRPr="0076042F">
                              <w:t>SME Capabilities</w:t>
                            </w:r>
                            <w:r w:rsidR="00736FF4" w:rsidRPr="0076042F">
                              <w:t xml:space="preserve"> as Moderators</w:t>
                            </w:r>
                          </w:p>
                          <w:p w14:paraId="064B21AD" w14:textId="4C8FFB33" w:rsidR="00736FF4" w:rsidRPr="0076042F" w:rsidRDefault="00736FF4" w:rsidP="000638EE">
                            <w:pPr>
                              <w:spacing w:after="0"/>
                              <w:jc w:val="center"/>
                            </w:pPr>
                            <w:r w:rsidRPr="0076042F">
                              <w:rPr>
                                <w:sz w:val="22"/>
                                <w:szCs w:val="22"/>
                              </w:rPr>
                              <w:t>(</w:t>
                            </w:r>
                            <w:r w:rsidR="000638EE" w:rsidRPr="0076042F">
                              <w:rPr>
                                <w:sz w:val="22"/>
                                <w:szCs w:val="22"/>
                              </w:rPr>
                              <w:t>Financial</w:t>
                            </w:r>
                            <w:r w:rsidRPr="0076042F">
                              <w:rPr>
                                <w:sz w:val="22"/>
                                <w:szCs w:val="22"/>
                              </w:rPr>
                              <w:t xml:space="preserve"> literacy, </w:t>
                            </w:r>
                            <w:r w:rsidR="000638EE" w:rsidRPr="0076042F">
                              <w:rPr>
                                <w:sz w:val="22"/>
                                <w:szCs w:val="22"/>
                              </w:rPr>
                              <w:t>Digital</w:t>
                            </w:r>
                            <w:r w:rsidRPr="0076042F">
                              <w:rPr>
                                <w:sz w:val="22"/>
                                <w:szCs w:val="22"/>
                              </w:rPr>
                              <w:t xml:space="preserve"> Skill, </w:t>
                            </w:r>
                            <w:r w:rsidR="000638EE" w:rsidRPr="0076042F">
                              <w:rPr>
                                <w:sz w:val="22"/>
                                <w:szCs w:val="22"/>
                              </w:rPr>
                              <w:t>Business readiness, Formality</w:t>
                            </w:r>
                            <w:r w:rsidR="000638EE" w:rsidRPr="0076042F">
                              <w:t xml:space="preserve"> </w:t>
                            </w:r>
                            <w:r w:rsidR="000638EE" w:rsidRPr="0076042F">
                              <w:rPr>
                                <w:sz w:val="22"/>
                                <w:szCs w:val="22"/>
                              </w:rPr>
                              <w:t>Status)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3C273" id="_x0000_s1041" type="#_x0000_t202" style="position:absolute;left:0;text-align:left;margin-left:254.5pt;margin-top:.3pt;width:166.2pt;height:84.5pt;z-index:251674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" fillcolor="#b3e5a1 [1305]">
                <v:textbox>
                  <w:txbxContent>
                    <w:p w14:paraId="62231C85" w14:textId="2DB73AEA" w:rsidR="008E72F2" w:rsidRPr="0076042F" w:rsidRDefault="00126792" w:rsidP="000638EE">
                      <w:pPr>
                        <w:spacing w:after="0"/>
                        <w:jc w:val="center"/>
                      </w:pPr>
                      <w:r w:rsidRPr="0076042F">
                        <w:t>SME Capabilities</w:t>
                      </w:r>
                      <w:r w:rsidR="00736FF4" w:rsidRPr="0076042F">
                        <w:t xml:space="preserve"> as Moderators</w:t>
                      </w:r>
                    </w:p>
                    <w:p w14:paraId="064B21AD" w14:textId="4C8FFB33" w:rsidR="00736FF4" w:rsidRPr="0076042F" w:rsidRDefault="00736FF4" w:rsidP="000638EE">
                      <w:pPr>
                        <w:spacing w:after="0"/>
                        <w:jc w:val="center"/>
                      </w:pPr>
                      <w:r w:rsidRPr="0076042F">
                        <w:rPr>
                          <w:sz w:val="22"/>
                          <w:szCs w:val="22"/>
                        </w:rPr>
                        <w:t>(</w:t>
                      </w:r>
                      <w:r w:rsidR="000638EE" w:rsidRPr="0076042F">
                        <w:rPr>
                          <w:sz w:val="22"/>
                          <w:szCs w:val="22"/>
                        </w:rPr>
                        <w:t>Financial</w:t>
                      </w:r>
                      <w:r w:rsidRPr="0076042F">
                        <w:rPr>
                          <w:sz w:val="22"/>
                          <w:szCs w:val="22"/>
                        </w:rPr>
                        <w:t xml:space="preserve"> literacy, </w:t>
                      </w:r>
                      <w:r w:rsidR="000638EE" w:rsidRPr="0076042F">
                        <w:rPr>
                          <w:sz w:val="22"/>
                          <w:szCs w:val="22"/>
                        </w:rPr>
                        <w:t>Digital</w:t>
                      </w:r>
                      <w:r w:rsidRPr="0076042F">
                        <w:rPr>
                          <w:sz w:val="22"/>
                          <w:szCs w:val="22"/>
                        </w:rPr>
                        <w:t xml:space="preserve"> Skill, </w:t>
                      </w:r>
                      <w:r w:rsidR="000638EE" w:rsidRPr="0076042F">
                        <w:rPr>
                          <w:sz w:val="22"/>
                          <w:szCs w:val="22"/>
                        </w:rPr>
                        <w:t>Business readiness, Formality</w:t>
                      </w:r>
                      <w:r w:rsidR="000638EE" w:rsidRPr="0076042F">
                        <w:t xml:space="preserve"> </w:t>
                      </w:r>
                      <w:r w:rsidR="000638EE" w:rsidRPr="0076042F">
                        <w:rPr>
                          <w:sz w:val="22"/>
                          <w:szCs w:val="22"/>
                        </w:rPr>
                        <w:t>Status)</w:t>
                      </w:r>
                    </w:p>
                  </w:txbxContent>
                </v:textbox>
                <w10:wrap type="square"/>
              </v:shape>
            </w:pict>
          </mc:Fallback>
        </mc:AlternateContent>
      </w:r>
    </w:p>
    <w:p w14:paraId="03C18995" w14:textId="307E4FB0" w:rsidR="00594115" w:rsidRPr="000B78E1" w:rsidRDefault="00594115" w:rsidP="000B78E1">
      <w:pPr>
        <w:spacing w:line="360" w:lineRule="auto"/>
        <w:jc w:val="both"/>
        <w:rPr>
          <w:rFonts w:ascii="Arial" w:hAnsi="Arial" w:cs="Arial"/>
          <w:b/>
          <w:bCs/>
          <w:sz w:val="22"/>
          <w:szCs w:val="22"/>
        </w:rPr>
      </w:pPr>
    </w:p>
    <w:p w14:paraId="77693617" w14:textId="4F0868F2" w:rsidR="008E72F2" w:rsidRPr="000B78E1" w:rsidRDefault="008E72F2" w:rsidP="000B78E1">
      <w:pPr>
        <w:spacing w:line="360" w:lineRule="auto"/>
        <w:jc w:val="both"/>
        <w:rPr>
          <w:rFonts w:ascii="Arial" w:hAnsi="Arial" w:cs="Arial"/>
          <w:b/>
          <w:bCs/>
          <w:sz w:val="22"/>
          <w:szCs w:val="22"/>
        </w:rPr>
      </w:pPr>
    </w:p>
    <w:p w14:paraId="38AD4934" w14:textId="7C19F5CE" w:rsidR="00594115" w:rsidRPr="000B78E1" w:rsidRDefault="00B83AC3"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689472" behindDoc="0" locked="0" layoutInCell="1" allowOverlap="1" wp14:anchorId="5C16461E" wp14:editId="464E2E67">
                <wp:simplePos x="0" y="0"/>
                <wp:positionH relativeFrom="column">
                  <wp:posOffset>4457700</wp:posOffset>
                </wp:positionH>
                <wp:positionV relativeFrom="paragraph">
                  <wp:posOffset>175895</wp:posOffset>
                </wp:positionV>
                <wp:extent cx="0" cy="215900"/>
                <wp:effectExtent l="0" t="0" r="38100" b="31750"/>
                <wp:wrapNone/>
                <wp:docPr id="247367937" name="Straight Connector 19"/>
                <wp:cNvGraphicFramePr/>
                <a:graphic xmlns:a="http://schemas.openxmlformats.org/drawingml/2006/main">
                  <a:graphicData uri="http://schemas.microsoft.com/office/word/2010/wordprocessingShape">
                    <wps:wsp>
                      <wps:cNvCnPr/>
                      <wps:spPr>
                        <a:xfrm>
                          <a:off x="0" y="0"/>
                          <a:ext cx="0" cy="2159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306D81" id="Straight Connector 19"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1pt,13.85pt" to="351pt,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" strokecolor="black [3213]" strokeweight="1.5pt">
                <v:stroke joinstyle="miter"/>
              </v:line>
            </w:pict>
          </mc:Fallback>
        </mc:AlternateContent>
      </w:r>
      <w:r w:rsidRPr="000B78E1">
        <w:rPr>
          <w:rFonts w:ascii="Arial" w:hAnsi="Arial" w:cs="Arial"/>
          <w:b/>
          <w:bCs/>
          <w:noProof/>
          <w:sz w:val="22"/>
          <w:szCs w:val="22"/>
        </w:rPr>
        <mc:AlternateContent>
          <mc:Choice Requires="wps">
            <w:drawing>
              <wp:anchor distT="0" distB="0" distL="114300" distR="114300" simplePos="0" relativeHeight="251686400" behindDoc="0" locked="0" layoutInCell="1" allowOverlap="1" wp14:anchorId="117BFA88" wp14:editId="01CE5081">
                <wp:simplePos x="0" y="0"/>
                <wp:positionH relativeFrom="column">
                  <wp:posOffset>1136650</wp:posOffset>
                </wp:positionH>
                <wp:positionV relativeFrom="paragraph">
                  <wp:posOffset>118745</wp:posOffset>
                </wp:positionV>
                <wp:extent cx="6350" cy="260350"/>
                <wp:effectExtent l="0" t="0" r="31750" b="25400"/>
                <wp:wrapNone/>
                <wp:docPr id="1552647441" name="Straight Connector 19"/>
                <wp:cNvGraphicFramePr/>
                <a:graphic xmlns:a="http://schemas.openxmlformats.org/drawingml/2006/main">
                  <a:graphicData uri="http://schemas.microsoft.com/office/word/2010/wordprocessingShape">
                    <wps:wsp>
                      <wps:cNvCnPr/>
                      <wps:spPr>
                        <a:xfrm>
                          <a:off x="0" y="0"/>
                          <a:ext cx="6350" cy="26035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3E27026" id="Straight Connector 19" o:spid="_x0000_s1026" style="position:absolute;z-index:251686400;visibility:visible;mso-wrap-style:square;mso-wrap-distance-left:9pt;mso-wrap-distance-top:0;mso-wrap-distance-right:9pt;mso-wrap-distance-bottom:0;mso-position-horizontal:absolute;mso-position-horizontal-relative:text;mso-position-vertical:absolute;mso-position-vertical-relative:text" from="89.5pt,9.35pt" to="90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" strokecolor="black [3213]" strokeweight="1.5pt">
                <v:stroke joinstyle="miter"/>
              </v:line>
            </w:pict>
          </mc:Fallback>
        </mc:AlternateContent>
      </w:r>
    </w:p>
    <w:p w14:paraId="7194A86B" w14:textId="422EA911" w:rsidR="0041108F" w:rsidRPr="000B78E1" w:rsidRDefault="00DC2195"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707904" behindDoc="0" locked="0" layoutInCell="1" allowOverlap="1" wp14:anchorId="1318DB47" wp14:editId="4197CC81">
                <wp:simplePos x="0" y="0"/>
                <wp:positionH relativeFrom="column">
                  <wp:posOffset>2813050</wp:posOffset>
                </wp:positionH>
                <wp:positionV relativeFrom="paragraph">
                  <wp:posOffset>112395</wp:posOffset>
                </wp:positionV>
                <wp:extent cx="6350" cy="177800"/>
                <wp:effectExtent l="76200" t="0" r="69850" b="50800"/>
                <wp:wrapNone/>
                <wp:docPr id="1126221276" name="Straight Arrow Connector 21"/>
                <wp:cNvGraphicFramePr/>
                <a:graphic xmlns:a="http://schemas.openxmlformats.org/drawingml/2006/main">
                  <a:graphicData uri="http://schemas.microsoft.com/office/word/2010/wordprocessingShape">
                    <wps:wsp>
                      <wps:cNvCnPr/>
                      <wps:spPr>
                        <a:xfrm>
                          <a:off x="0" y="0"/>
                          <a:ext cx="6350" cy="17780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AA60848" id="Straight Arrow Connector 21" o:spid="_x0000_s1026" type="#_x0000_t32" style="position:absolute;margin-left:221.5pt;margin-top:8.85pt;width:.5pt;height:14pt;z-index:25170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" strokecolor="black [3213]" strokeweight="1.5pt">
                <v:stroke endarrow="block" joinstyle="miter"/>
              </v:shape>
            </w:pict>
          </mc:Fallback>
        </mc:AlternateContent>
      </w:r>
      <w:r w:rsidR="004E5B40" w:rsidRPr="000B78E1">
        <w:rPr>
          <w:rFonts w:ascii="Arial" w:hAnsi="Arial" w:cs="Arial"/>
          <w:b/>
          <w:bCs/>
          <w:noProof/>
          <w:sz w:val="22"/>
          <w:szCs w:val="22"/>
        </w:rPr>
        <mc:AlternateContent>
          <mc:Choice Requires="wps">
            <w:drawing>
              <wp:anchor distT="0" distB="0" distL="114300" distR="114300" simplePos="0" relativeHeight="251683328" behindDoc="0" locked="0" layoutInCell="1" allowOverlap="1" wp14:anchorId="1580F91D" wp14:editId="6C63675C">
                <wp:simplePos x="0" y="0"/>
                <wp:positionH relativeFrom="column">
                  <wp:posOffset>1130300</wp:posOffset>
                </wp:positionH>
                <wp:positionV relativeFrom="paragraph">
                  <wp:posOffset>55245</wp:posOffset>
                </wp:positionV>
                <wp:extent cx="3321050" cy="12700"/>
                <wp:effectExtent l="0" t="0" r="31750" b="25400"/>
                <wp:wrapNone/>
                <wp:docPr id="1276191423" name="Straight Connector 18"/>
                <wp:cNvGraphicFramePr/>
                <a:graphic xmlns:a="http://schemas.openxmlformats.org/drawingml/2006/main">
                  <a:graphicData uri="http://schemas.microsoft.com/office/word/2010/wordprocessingShape">
                    <wps:wsp>
                      <wps:cNvCnPr/>
                      <wps:spPr>
                        <a:xfrm>
                          <a:off x="0" y="0"/>
                          <a:ext cx="3321050" cy="1270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B2E140" id="Straight Connector 18"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pt,4.35pt" to="350.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" strokecolor="black [3213]" strokeweight="1.5pt">
                <v:stroke joinstyle="miter"/>
              </v:line>
            </w:pict>
          </mc:Fallback>
        </mc:AlternateContent>
      </w:r>
    </w:p>
    <w:p w14:paraId="435A33F3" w14:textId="43D8B89D" w:rsidR="001535EC" w:rsidRPr="000B78E1" w:rsidRDefault="00E40A41"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45720" distB="45720" distL="114300" distR="114300" simplePos="0" relativeHeight="251677184" behindDoc="0" locked="0" layoutInCell="1" allowOverlap="1" wp14:anchorId="7F18BCB0" wp14:editId="055283BB">
                <wp:simplePos x="0" y="0"/>
                <wp:positionH relativeFrom="column">
                  <wp:posOffset>1073150</wp:posOffset>
                </wp:positionH>
                <wp:positionV relativeFrom="paragraph">
                  <wp:posOffset>6985</wp:posOffset>
                </wp:positionV>
                <wp:extent cx="3409950" cy="533400"/>
                <wp:effectExtent l="0" t="0" r="19050" b="19050"/>
                <wp:wrapSquare wrapText="bothSides"/>
                <wp:docPr id="10046577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33400"/>
                        </a:xfrm>
                        <a:prstGeom prst="rect">
                          <a:avLst/>
                        </a:prstGeom>
                        <a:solidFill>
                          <a:schemeClr val="tx2">
                            <a:lumMod val="25000"/>
                            <a:lumOff val="75000"/>
                          </a:schemeClr>
                        </a:solidFill>
                        <a:ln w="9525">
                          <a:solidFill>
                            <a:srgbClr val="000000"/>
                          </a:solidFill>
                          <a:miter lim="800000"/>
                          <a:headEnd/>
                          <a:tailEnd/>
                        </a:ln>
                      </wps:spPr>
                      <wps:txbx>
                        <w:txbxContent>
                          <w:p w14:paraId="4EFE7117" w14:textId="6D84E22D" w:rsidR="001535EC" w:rsidRPr="0076042F" w:rsidRDefault="00ED52B8" w:rsidP="001535EC">
                            <w:pPr>
                              <w:spacing w:after="0"/>
                              <w:jc w:val="center"/>
                              <w:rPr>
                                <w:sz w:val="22"/>
                                <w:szCs w:val="22"/>
                              </w:rPr>
                            </w:pPr>
                            <w:r w:rsidRPr="0076042F">
                              <w:t xml:space="preserve">Conversion of DFS activity </w:t>
                            </w:r>
                            <w:r w:rsidR="00302BB2" w:rsidRPr="0076042F">
                              <w:t xml:space="preserve">into Formal Credit access </w:t>
                            </w:r>
                            <w:r w:rsidR="00302BB2" w:rsidRPr="0076042F">
                              <w:rPr>
                                <w:sz w:val="22"/>
                                <w:szCs w:val="22"/>
                              </w:rPr>
                              <w:t>(Loan approval, size and terms)</w:t>
                            </w:r>
                          </w:p>
                          <w:p w14:paraId="12457200" w14:textId="77777777" w:rsidR="001535EC" w:rsidRPr="00A37CAC" w:rsidRDefault="001535EC" w:rsidP="001535EC">
                            <w:pPr>
                              <w:spacing w:after="0"/>
                              <w:jc w:val="center"/>
                              <w:rPr>
                                <w:sz w:val="22"/>
                                <w:szCs w:val="22"/>
                              </w:rPr>
                            </w:pPr>
                            <w:r w:rsidRPr="00A37CAC">
                              <w:rPr>
                                <w:sz w:val="22"/>
                                <w:szCs w:val="22"/>
                              </w:rPr>
                              <w:t>(Better Risk management, Improved Transparency)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8BCB0" id="_x0000_s1042" type="#_x0000_t202" style="position:absolute;left:0;text-align:left;margin-left:84.5pt;margin-top:.55pt;width:268.5pt;height:42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" fillcolor="#a7caec [831]">
                <v:textbox>
                  <w:txbxContent>
                    <w:p w14:paraId="4EFE7117" w14:textId="6D84E22D" w:rsidR="001535EC" w:rsidRPr="0076042F" w:rsidRDefault="00ED52B8" w:rsidP="001535EC">
                      <w:pPr>
                        <w:spacing w:after="0"/>
                        <w:jc w:val="center"/>
                        <w:rPr>
                          <w:sz w:val="22"/>
                          <w:szCs w:val="22"/>
                        </w:rPr>
                      </w:pPr>
                      <w:r w:rsidRPr="0076042F">
                        <w:t xml:space="preserve">Conversion of DFS activity </w:t>
                      </w:r>
                      <w:r w:rsidR="00302BB2" w:rsidRPr="0076042F">
                        <w:t xml:space="preserve">into Formal Credit access </w:t>
                      </w:r>
                      <w:r w:rsidR="00302BB2" w:rsidRPr="0076042F">
                        <w:rPr>
                          <w:sz w:val="22"/>
                          <w:szCs w:val="22"/>
                        </w:rPr>
                        <w:t>(Loan approval, size and terms)</w:t>
                      </w:r>
                    </w:p>
                    <w:p w14:paraId="12457200" w14:textId="77777777" w:rsidR="001535EC" w:rsidRPr="00A37CAC" w:rsidRDefault="001535EC" w:rsidP="001535EC">
                      <w:pPr>
                        <w:spacing w:after="0"/>
                        <w:jc w:val="center"/>
                        <w:rPr>
                          <w:sz w:val="22"/>
                          <w:szCs w:val="22"/>
                        </w:rPr>
                      </w:pPr>
                      <w:r w:rsidRPr="00A37CAC">
                        <w:rPr>
                          <w:sz w:val="22"/>
                          <w:szCs w:val="22"/>
                        </w:rPr>
                        <w:t>(Better Risk management, Improved Transparency)</w:t>
                      </w:r>
                    </w:p>
                  </w:txbxContent>
                </v:textbox>
                <w10:wrap type="square"/>
              </v:shape>
            </w:pict>
          </mc:Fallback>
        </mc:AlternateContent>
      </w:r>
    </w:p>
    <w:p w14:paraId="2299A6A1" w14:textId="5248F848" w:rsidR="001535EC" w:rsidRPr="000B78E1" w:rsidRDefault="001535EC" w:rsidP="000B78E1">
      <w:pPr>
        <w:spacing w:line="360" w:lineRule="auto"/>
        <w:jc w:val="both"/>
        <w:rPr>
          <w:rFonts w:ascii="Arial" w:hAnsi="Arial" w:cs="Arial"/>
          <w:b/>
          <w:bCs/>
          <w:sz w:val="22"/>
          <w:szCs w:val="22"/>
        </w:rPr>
      </w:pPr>
    </w:p>
    <w:p w14:paraId="651E1AFE" w14:textId="5469CA3B" w:rsidR="001535EC" w:rsidRPr="000B78E1" w:rsidRDefault="00DC2195" w:rsidP="000B78E1">
      <w:pPr>
        <w:spacing w:line="360" w:lineRule="auto"/>
        <w:jc w:val="both"/>
        <w:rPr>
          <w:rFonts w:ascii="Arial" w:hAnsi="Arial" w:cs="Arial"/>
          <w:b/>
          <w:bCs/>
          <w:sz w:val="22"/>
          <w:szCs w:val="22"/>
        </w:rPr>
      </w:pPr>
      <w:r w:rsidRPr="000B78E1">
        <w:rPr>
          <w:rFonts w:ascii="Arial" w:hAnsi="Arial" w:cs="Arial"/>
          <w:b/>
          <w:bCs/>
          <w:noProof/>
          <w:sz w:val="22"/>
          <w:szCs w:val="22"/>
        </w:rPr>
        <mc:AlternateContent>
          <mc:Choice Requires="wps">
            <w:drawing>
              <wp:anchor distT="0" distB="0" distL="114300" distR="114300" simplePos="0" relativeHeight="251704832" behindDoc="0" locked="0" layoutInCell="1" allowOverlap="1" wp14:anchorId="3CA8FDD7" wp14:editId="6C1D4434">
                <wp:simplePos x="0" y="0"/>
                <wp:positionH relativeFrom="column">
                  <wp:posOffset>2819400</wp:posOffset>
                </wp:positionH>
                <wp:positionV relativeFrom="paragraph">
                  <wp:posOffset>5715</wp:posOffset>
                </wp:positionV>
                <wp:extent cx="5773" cy="209550"/>
                <wp:effectExtent l="76200" t="0" r="70485" b="57150"/>
                <wp:wrapNone/>
                <wp:docPr id="929273890" name="Straight Arrow Connector 20"/>
                <wp:cNvGraphicFramePr/>
                <a:graphic xmlns:a="http://schemas.openxmlformats.org/drawingml/2006/main">
                  <a:graphicData uri="http://schemas.microsoft.com/office/word/2010/wordprocessingShape">
                    <wps:wsp>
                      <wps:cNvCnPr/>
                      <wps:spPr>
                        <a:xfrm flipH="1">
                          <a:off x="0" y="0"/>
                          <a:ext cx="5773" cy="209550"/>
                        </a:xfrm>
                        <a:prstGeom prst="straightConnector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C688E0" id="Straight Arrow Connector 20" o:spid="_x0000_s1026" type="#_x0000_t32" style="position:absolute;margin-left:222pt;margin-top:.45pt;width:.45pt;height:16.5pt;flip:x;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" strokecolor="black [3213]" strokeweight="1.5pt">
                <v:stroke endarrow="block" joinstyle="miter"/>
              </v:shape>
            </w:pict>
          </mc:Fallback>
        </mc:AlternateContent>
      </w:r>
      <w:r w:rsidR="001535EC" w:rsidRPr="000B78E1">
        <w:rPr>
          <w:rFonts w:ascii="Arial" w:hAnsi="Arial" w:cs="Arial"/>
          <w:b/>
          <w:bCs/>
          <w:noProof/>
          <w:sz w:val="22"/>
          <w:szCs w:val="22"/>
        </w:rPr>
        <mc:AlternateContent>
          <mc:Choice Requires="wps">
            <w:drawing>
              <wp:anchor distT="45720" distB="45720" distL="114300" distR="114300" simplePos="0" relativeHeight="251680256" behindDoc="0" locked="0" layoutInCell="1" allowOverlap="1" wp14:anchorId="5B57B96C" wp14:editId="0C2D0CF8">
                <wp:simplePos x="0" y="0"/>
                <wp:positionH relativeFrom="column">
                  <wp:posOffset>1085850</wp:posOffset>
                </wp:positionH>
                <wp:positionV relativeFrom="paragraph">
                  <wp:posOffset>265430</wp:posOffset>
                </wp:positionV>
                <wp:extent cx="3409950" cy="666750"/>
                <wp:effectExtent l="0" t="0" r="19050" b="19050"/>
                <wp:wrapSquare wrapText="bothSides"/>
                <wp:docPr id="314642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666750"/>
                        </a:xfrm>
                        <a:prstGeom prst="rect">
                          <a:avLst/>
                        </a:prstGeom>
                        <a:solidFill>
                          <a:schemeClr val="tx2">
                            <a:lumMod val="25000"/>
                            <a:lumOff val="75000"/>
                          </a:schemeClr>
                        </a:solidFill>
                        <a:ln w="9525">
                          <a:solidFill>
                            <a:srgbClr val="000000"/>
                          </a:solidFill>
                          <a:miter lim="800000"/>
                          <a:headEnd/>
                          <a:tailEnd/>
                        </a:ln>
                      </wps:spPr>
                      <wps:txbx>
                        <w:txbxContent>
                          <w:p w14:paraId="4FFE48C2" w14:textId="72D9A4F0" w:rsidR="001535EC" w:rsidRPr="0076042F" w:rsidRDefault="00103208" w:rsidP="001535EC">
                            <w:pPr>
                              <w:spacing w:after="0"/>
                              <w:jc w:val="center"/>
                            </w:pPr>
                            <w:r w:rsidRPr="0076042F">
                              <w:t>SME Performance &amp; sustainability Outcome</w:t>
                            </w:r>
                          </w:p>
                          <w:p w14:paraId="693A203A" w14:textId="21904F8B" w:rsidR="001535EC" w:rsidRPr="0076042F" w:rsidRDefault="001535EC" w:rsidP="001535EC">
                            <w:pPr>
                              <w:spacing w:after="0"/>
                              <w:jc w:val="center"/>
                              <w:rPr>
                                <w:sz w:val="22"/>
                                <w:szCs w:val="22"/>
                              </w:rPr>
                            </w:pPr>
                            <w:r w:rsidRPr="0076042F">
                              <w:rPr>
                                <w:sz w:val="22"/>
                                <w:szCs w:val="22"/>
                              </w:rPr>
                              <w:t>(</w:t>
                            </w:r>
                            <w:r w:rsidR="00FD1FFC" w:rsidRPr="0076042F">
                              <w:rPr>
                                <w:sz w:val="22"/>
                                <w:szCs w:val="22"/>
                              </w:rPr>
                              <w:t>Business growth, investment capacity, survival &amp; resilience</w:t>
                            </w:r>
                            <w:r w:rsidRPr="0076042F">
                              <w:rPr>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57B96C" id="_x0000_s1043" type="#_x0000_t202" style="position:absolute;left:0;text-align:left;margin-left:85.5pt;margin-top:20.9pt;width:268.5pt;height:52.5pt;z-index:251680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" fillcolor="#a7caec [831]">
                <v:textbox>
                  <w:txbxContent>
                    <w:p w14:paraId="4FFE48C2" w14:textId="72D9A4F0" w:rsidR="001535EC" w:rsidRPr="0076042F" w:rsidRDefault="00103208" w:rsidP="001535EC">
                      <w:pPr>
                        <w:spacing w:after="0"/>
                        <w:jc w:val="center"/>
                      </w:pPr>
                      <w:r w:rsidRPr="0076042F">
                        <w:t>SME Performance &amp; sustainability Outcome</w:t>
                      </w:r>
                    </w:p>
                    <w:p w14:paraId="693A203A" w14:textId="21904F8B" w:rsidR="001535EC" w:rsidRPr="0076042F" w:rsidRDefault="001535EC" w:rsidP="001535EC">
                      <w:pPr>
                        <w:spacing w:after="0"/>
                        <w:jc w:val="center"/>
                        <w:rPr>
                          <w:sz w:val="22"/>
                          <w:szCs w:val="22"/>
                        </w:rPr>
                      </w:pPr>
                      <w:r w:rsidRPr="0076042F">
                        <w:rPr>
                          <w:sz w:val="22"/>
                          <w:szCs w:val="22"/>
                        </w:rPr>
                        <w:t>(</w:t>
                      </w:r>
                      <w:r w:rsidR="00FD1FFC" w:rsidRPr="0076042F">
                        <w:rPr>
                          <w:sz w:val="22"/>
                          <w:szCs w:val="22"/>
                        </w:rPr>
                        <w:t>Business growth, investment capacity, survival &amp; resilience</w:t>
                      </w:r>
                      <w:r w:rsidRPr="0076042F">
                        <w:rPr>
                          <w:sz w:val="22"/>
                          <w:szCs w:val="22"/>
                        </w:rPr>
                        <w:t>)</w:t>
                      </w:r>
                    </w:p>
                  </w:txbxContent>
                </v:textbox>
                <w10:wrap type="square"/>
              </v:shape>
            </w:pict>
          </mc:Fallback>
        </mc:AlternateContent>
      </w:r>
    </w:p>
    <w:p w14:paraId="55862EF8" w14:textId="02413976" w:rsidR="001535EC" w:rsidRPr="000B78E1" w:rsidRDefault="001535EC" w:rsidP="000B78E1">
      <w:pPr>
        <w:spacing w:line="360" w:lineRule="auto"/>
        <w:jc w:val="both"/>
        <w:rPr>
          <w:rFonts w:ascii="Arial" w:hAnsi="Arial" w:cs="Arial"/>
          <w:b/>
          <w:bCs/>
          <w:sz w:val="22"/>
          <w:szCs w:val="22"/>
        </w:rPr>
      </w:pPr>
    </w:p>
    <w:p w14:paraId="15434016" w14:textId="77777777" w:rsidR="001535EC" w:rsidRPr="000B78E1" w:rsidRDefault="001535EC" w:rsidP="000B78E1">
      <w:pPr>
        <w:spacing w:line="360" w:lineRule="auto"/>
        <w:jc w:val="both"/>
        <w:rPr>
          <w:rFonts w:ascii="Arial" w:hAnsi="Arial" w:cs="Arial"/>
          <w:b/>
          <w:bCs/>
          <w:sz w:val="22"/>
          <w:szCs w:val="22"/>
        </w:rPr>
      </w:pPr>
    </w:p>
    <w:p w14:paraId="087E456A" w14:textId="4B002DA5" w:rsidR="0041108F" w:rsidRPr="000B78E1" w:rsidRDefault="0041108F" w:rsidP="000B78E1">
      <w:pPr>
        <w:spacing w:line="360" w:lineRule="auto"/>
        <w:jc w:val="both"/>
        <w:rPr>
          <w:rFonts w:ascii="Arial" w:hAnsi="Arial" w:cs="Arial"/>
          <w:b/>
          <w:bCs/>
          <w:sz w:val="22"/>
          <w:szCs w:val="22"/>
        </w:rPr>
      </w:pPr>
    </w:p>
    <w:p w14:paraId="188F2FDF" w14:textId="1E624193" w:rsidR="00474726" w:rsidRPr="000B78E1" w:rsidRDefault="00474726" w:rsidP="000B78E1">
      <w:pPr>
        <w:spacing w:line="360" w:lineRule="auto"/>
        <w:jc w:val="center"/>
        <w:rPr>
          <w:rFonts w:ascii="Arial" w:hAnsi="Arial" w:cs="Arial"/>
          <w:sz w:val="22"/>
          <w:szCs w:val="22"/>
        </w:rPr>
      </w:pPr>
      <w:r w:rsidRPr="000B78E1">
        <w:rPr>
          <w:rFonts w:ascii="Arial" w:hAnsi="Arial" w:cs="Arial"/>
          <w:sz w:val="22"/>
          <w:szCs w:val="22"/>
        </w:rPr>
        <w:t>Figure-2: Conceptual Framework</w:t>
      </w:r>
    </w:p>
    <w:p w14:paraId="0EACAE2B" w14:textId="6F0E090E" w:rsidR="00395440" w:rsidRPr="000B78E1" w:rsidRDefault="00BD7A90" w:rsidP="000B78E1">
      <w:pPr>
        <w:spacing w:line="360" w:lineRule="auto"/>
        <w:jc w:val="both"/>
        <w:rPr>
          <w:rFonts w:ascii="Arial" w:hAnsi="Arial" w:cs="Arial"/>
          <w:b/>
          <w:bCs/>
          <w:sz w:val="22"/>
          <w:szCs w:val="22"/>
        </w:rPr>
      </w:pPr>
      <w:r w:rsidRPr="000B78E1">
        <w:rPr>
          <w:rFonts w:ascii="Arial" w:hAnsi="Arial" w:cs="Arial"/>
          <w:sz w:val="22"/>
          <w:szCs w:val="22"/>
        </w:rPr>
        <w:t>DFS can influence SME credit access and sustainability through a multi-stage process</w:t>
      </w:r>
      <w:r w:rsidR="00663BF5" w:rsidRPr="000B78E1">
        <w:rPr>
          <w:rFonts w:ascii="Arial" w:hAnsi="Arial" w:cs="Arial"/>
          <w:sz w:val="22"/>
          <w:szCs w:val="22"/>
        </w:rPr>
        <w:t>.</w:t>
      </w:r>
      <w:r w:rsidR="00395440" w:rsidRPr="000B78E1">
        <w:rPr>
          <w:rFonts w:ascii="Arial" w:hAnsi="Arial" w:cs="Arial"/>
          <w:sz w:val="22"/>
          <w:szCs w:val="22"/>
        </w:rPr>
        <w:t xml:space="preserve"> First, DFS adoption </w:t>
      </w:r>
      <w:r w:rsidR="00663BF5" w:rsidRPr="000B78E1">
        <w:rPr>
          <w:rFonts w:ascii="Arial" w:hAnsi="Arial" w:cs="Arial"/>
          <w:sz w:val="22"/>
          <w:szCs w:val="22"/>
        </w:rPr>
        <w:t>i.e.</w:t>
      </w:r>
      <w:r w:rsidR="00395440" w:rsidRPr="000B78E1">
        <w:rPr>
          <w:rFonts w:ascii="Arial" w:hAnsi="Arial" w:cs="Arial"/>
          <w:sz w:val="22"/>
          <w:szCs w:val="22"/>
        </w:rPr>
        <w:t xml:space="preserve"> mobile banking, agent banking, digital payments</w:t>
      </w:r>
      <w:r w:rsidR="00625F88" w:rsidRPr="000B78E1">
        <w:rPr>
          <w:rFonts w:ascii="Arial" w:hAnsi="Arial" w:cs="Arial"/>
          <w:sz w:val="22"/>
          <w:szCs w:val="22"/>
        </w:rPr>
        <w:t xml:space="preserve"> etc. </w:t>
      </w:r>
      <w:r w:rsidR="00395440" w:rsidRPr="000B78E1">
        <w:rPr>
          <w:rFonts w:ascii="Arial" w:hAnsi="Arial" w:cs="Arial"/>
          <w:sz w:val="22"/>
          <w:szCs w:val="22"/>
        </w:rPr>
        <w:t>improves financial access and creates digital transaction data. This data can reduce information asymmetry between SMEs and banks. However, this does not automatically lead to credit. The framework highlights that institutional factors</w:t>
      </w:r>
      <w:r w:rsidR="00625F88" w:rsidRPr="000B78E1">
        <w:rPr>
          <w:rFonts w:ascii="Arial" w:hAnsi="Arial" w:cs="Arial"/>
          <w:sz w:val="22"/>
          <w:szCs w:val="22"/>
        </w:rPr>
        <w:t xml:space="preserve"> </w:t>
      </w:r>
      <w:r w:rsidR="00395440" w:rsidRPr="000B78E1">
        <w:rPr>
          <w:rFonts w:ascii="Arial" w:hAnsi="Arial" w:cs="Arial"/>
          <w:sz w:val="22"/>
          <w:szCs w:val="22"/>
        </w:rPr>
        <w:t>such as bank policies, regulatory support</w:t>
      </w:r>
      <w:r w:rsidR="00625F88" w:rsidRPr="000B78E1">
        <w:rPr>
          <w:rFonts w:ascii="Arial" w:hAnsi="Arial" w:cs="Arial"/>
          <w:sz w:val="22"/>
          <w:szCs w:val="22"/>
        </w:rPr>
        <w:t xml:space="preserve"> </w:t>
      </w:r>
      <w:r w:rsidR="00395440" w:rsidRPr="000B78E1">
        <w:rPr>
          <w:rFonts w:ascii="Arial" w:hAnsi="Arial" w:cs="Arial"/>
          <w:sz w:val="22"/>
          <w:szCs w:val="22"/>
        </w:rPr>
        <w:t>and trust in digital data</w:t>
      </w:r>
      <w:r w:rsidR="00625F88" w:rsidRPr="000B78E1">
        <w:rPr>
          <w:rFonts w:ascii="Arial" w:hAnsi="Arial" w:cs="Arial"/>
          <w:sz w:val="22"/>
          <w:szCs w:val="22"/>
        </w:rPr>
        <w:t xml:space="preserve"> </w:t>
      </w:r>
      <w:r w:rsidR="00395440" w:rsidRPr="000B78E1">
        <w:rPr>
          <w:rFonts w:ascii="Arial" w:hAnsi="Arial" w:cs="Arial"/>
          <w:sz w:val="22"/>
          <w:szCs w:val="22"/>
        </w:rPr>
        <w:t>play a critical role in converting digital activity into formal lending decisions. At the same time, firm-level capabilities, including financial literacy, digital skills, and business readiness, influence how effectively SMEs use DFS. When these conditions are aligned, DFS can improve credit access, which in turn supports SME performance and sustainability. Therefore, the framework emphasises that the relationship is conditional, not direct and depends on the interaction between technology, institutions and user capability.</w:t>
      </w:r>
    </w:p>
    <w:p w14:paraId="58914BDE" w14:textId="37AFD481" w:rsidR="00A90C8A" w:rsidRPr="000B78E1" w:rsidRDefault="00E66532" w:rsidP="000B78E1">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lastRenderedPageBreak/>
        <w:t>Research Gaps:</w:t>
      </w:r>
    </w:p>
    <w:p w14:paraId="7C70E4C6" w14:textId="61F1A935" w:rsidR="00276D47" w:rsidRPr="000B78E1" w:rsidRDefault="00276D47" w:rsidP="000B78E1">
      <w:pPr>
        <w:spacing w:line="360" w:lineRule="auto"/>
        <w:jc w:val="both"/>
        <w:rPr>
          <w:rFonts w:ascii="Arial" w:hAnsi="Arial" w:cs="Arial"/>
          <w:sz w:val="22"/>
          <w:szCs w:val="22"/>
        </w:rPr>
      </w:pPr>
      <w:r w:rsidRPr="000B78E1">
        <w:rPr>
          <w:rFonts w:ascii="Arial" w:hAnsi="Arial" w:cs="Arial"/>
          <w:sz w:val="22"/>
          <w:szCs w:val="22"/>
        </w:rPr>
        <w:t>The literature</w:t>
      </w:r>
      <w:r w:rsidR="008A0240" w:rsidRPr="000B78E1">
        <w:rPr>
          <w:rFonts w:ascii="Arial" w:hAnsi="Arial" w:cs="Arial"/>
          <w:sz w:val="22"/>
          <w:szCs w:val="22"/>
        </w:rPr>
        <w:t>s</w:t>
      </w:r>
      <w:r w:rsidRPr="000B78E1">
        <w:rPr>
          <w:rFonts w:ascii="Arial" w:hAnsi="Arial" w:cs="Arial"/>
          <w:sz w:val="22"/>
          <w:szCs w:val="22"/>
        </w:rPr>
        <w:t xml:space="preserve"> reveal several interconnected gaps that highlight deeper limitations in theory, evidence, context and methodology:</w:t>
      </w:r>
    </w:p>
    <w:tbl>
      <w:tblPr>
        <w:tblStyle w:val="TableGrid"/>
        <w:tblW w:w="0" w:type="auto"/>
        <w:tblLook w:val="04A0" w:firstRow="1" w:lastRow="0" w:firstColumn="1" w:lastColumn="0" w:noHBand="0" w:noVBand="1"/>
      </w:tblPr>
      <w:tblGrid>
        <w:gridCol w:w="2262"/>
        <w:gridCol w:w="6744"/>
      </w:tblGrid>
      <w:tr w:rsidR="00D51B4F" w:rsidRPr="000B78E1" w14:paraId="76FF3815" w14:textId="77777777" w:rsidTr="001D4C53">
        <w:tc>
          <w:tcPr>
            <w:tcW w:w="2263" w:type="dxa"/>
            <w:tcBorders>
              <w:top w:val="single" w:sz="8" w:space="0" w:color="auto"/>
              <w:left w:val="single" w:sz="8" w:space="0" w:color="auto"/>
              <w:bottom w:val="single" w:sz="8" w:space="0" w:color="auto"/>
              <w:right w:val="single" w:sz="8" w:space="0" w:color="auto"/>
            </w:tcBorders>
            <w:shd w:val="clear" w:color="auto" w:fill="E8E8E8" w:themeFill="background2"/>
          </w:tcPr>
          <w:p w14:paraId="3AA7D816" w14:textId="04B93520" w:rsidR="00D51B4F" w:rsidRPr="000B78E1" w:rsidRDefault="004A694A" w:rsidP="000B78E1">
            <w:pPr>
              <w:spacing w:line="360" w:lineRule="auto"/>
              <w:jc w:val="both"/>
              <w:rPr>
                <w:rFonts w:ascii="Arial" w:hAnsi="Arial" w:cs="Arial"/>
                <w:b/>
                <w:bCs/>
                <w:sz w:val="22"/>
                <w:szCs w:val="22"/>
              </w:rPr>
            </w:pPr>
            <w:r w:rsidRPr="000B78E1">
              <w:rPr>
                <w:rFonts w:ascii="Arial" w:hAnsi="Arial" w:cs="Arial"/>
                <w:sz w:val="22"/>
                <w:szCs w:val="22"/>
              </w:rPr>
              <w:t>Gap Type</w:t>
            </w:r>
          </w:p>
        </w:tc>
        <w:tc>
          <w:tcPr>
            <w:tcW w:w="6753" w:type="dxa"/>
            <w:tcBorders>
              <w:top w:val="single" w:sz="8" w:space="0" w:color="auto"/>
              <w:left w:val="single" w:sz="8" w:space="0" w:color="auto"/>
              <w:bottom w:val="single" w:sz="8" w:space="0" w:color="auto"/>
              <w:right w:val="single" w:sz="8" w:space="0" w:color="auto"/>
            </w:tcBorders>
            <w:shd w:val="clear" w:color="auto" w:fill="E8E8E8" w:themeFill="background2"/>
          </w:tcPr>
          <w:p w14:paraId="5419A5EC" w14:textId="1AB03330" w:rsidR="00D51B4F" w:rsidRPr="000B78E1" w:rsidRDefault="00092FDC" w:rsidP="000B78E1">
            <w:pPr>
              <w:spacing w:line="360" w:lineRule="auto"/>
              <w:jc w:val="both"/>
              <w:rPr>
                <w:rFonts w:ascii="Arial" w:hAnsi="Arial" w:cs="Arial"/>
                <w:b/>
                <w:bCs/>
                <w:sz w:val="22"/>
                <w:szCs w:val="22"/>
              </w:rPr>
            </w:pPr>
            <w:r w:rsidRPr="000B78E1">
              <w:rPr>
                <w:rFonts w:ascii="Arial" w:hAnsi="Arial" w:cs="Arial"/>
                <w:sz w:val="22"/>
                <w:szCs w:val="22"/>
              </w:rPr>
              <w:t>Key Issues</w:t>
            </w:r>
          </w:p>
        </w:tc>
      </w:tr>
      <w:tr w:rsidR="00EE7E86" w:rsidRPr="000B78E1" w14:paraId="00BC9852" w14:textId="77777777" w:rsidTr="00551866">
        <w:tc>
          <w:tcPr>
            <w:tcW w:w="2263" w:type="dxa"/>
            <w:tcBorders>
              <w:top w:val="single" w:sz="8" w:space="0" w:color="auto"/>
              <w:left w:val="single" w:sz="8" w:space="0" w:color="auto"/>
              <w:bottom w:val="single" w:sz="8" w:space="0" w:color="auto"/>
              <w:right w:val="single" w:sz="8" w:space="0" w:color="auto"/>
            </w:tcBorders>
          </w:tcPr>
          <w:p w14:paraId="3817664E" w14:textId="2CA363C8" w:rsidR="00EE7E86" w:rsidRPr="000B78E1" w:rsidRDefault="00EE7E86" w:rsidP="000B78E1">
            <w:pPr>
              <w:spacing w:line="360" w:lineRule="auto"/>
              <w:jc w:val="both"/>
              <w:rPr>
                <w:rFonts w:ascii="Arial" w:hAnsi="Arial" w:cs="Arial"/>
                <w:b/>
                <w:bCs/>
                <w:sz w:val="22"/>
                <w:szCs w:val="22"/>
              </w:rPr>
            </w:pPr>
            <w:r w:rsidRPr="000B78E1">
              <w:rPr>
                <w:rFonts w:ascii="Arial" w:hAnsi="Arial" w:cs="Arial"/>
                <w:sz w:val="22"/>
                <w:szCs w:val="22"/>
              </w:rPr>
              <w:t>Theoretical Gap</w:t>
            </w:r>
          </w:p>
        </w:tc>
        <w:tc>
          <w:tcPr>
            <w:tcW w:w="6753" w:type="dxa"/>
            <w:tcBorders>
              <w:top w:val="single" w:sz="8" w:space="0" w:color="auto"/>
              <w:left w:val="single" w:sz="8" w:space="0" w:color="auto"/>
              <w:bottom w:val="single" w:sz="8" w:space="0" w:color="auto"/>
              <w:right w:val="single" w:sz="8" w:space="0" w:color="auto"/>
            </w:tcBorders>
            <w:vAlign w:val="center"/>
          </w:tcPr>
          <w:p w14:paraId="74BC8EBB" w14:textId="1D468646" w:rsidR="00EE7E86" w:rsidRPr="000B78E1" w:rsidRDefault="00EE7E86" w:rsidP="000B78E1">
            <w:pPr>
              <w:spacing w:line="360" w:lineRule="auto"/>
              <w:jc w:val="both"/>
              <w:rPr>
                <w:rFonts w:ascii="Arial" w:hAnsi="Arial" w:cs="Arial"/>
                <w:b/>
                <w:bCs/>
                <w:sz w:val="22"/>
                <w:szCs w:val="22"/>
              </w:rPr>
            </w:pPr>
            <w:r w:rsidRPr="000B78E1">
              <w:rPr>
                <w:rFonts w:ascii="Arial" w:hAnsi="Arial" w:cs="Arial"/>
                <w:sz w:val="22"/>
                <w:szCs w:val="22"/>
              </w:rPr>
              <w:t>DFS usage and credit access are treated as separate phenomena</w:t>
            </w:r>
            <w:r w:rsidR="00D11BC8" w:rsidRPr="000B78E1">
              <w:rPr>
                <w:rFonts w:ascii="Arial" w:hAnsi="Arial" w:cs="Arial"/>
                <w:sz w:val="22"/>
                <w:szCs w:val="22"/>
              </w:rPr>
              <w:t xml:space="preserve">, </w:t>
            </w:r>
            <w:r w:rsidRPr="000B78E1">
              <w:rPr>
                <w:rFonts w:ascii="Arial" w:hAnsi="Arial" w:cs="Arial"/>
                <w:sz w:val="22"/>
                <w:szCs w:val="22"/>
              </w:rPr>
              <w:t>no clear explanation of conversion mechanism</w:t>
            </w:r>
            <w:r w:rsidR="00EC4D1D" w:rsidRPr="000B78E1">
              <w:rPr>
                <w:rFonts w:ascii="Arial" w:hAnsi="Arial" w:cs="Arial"/>
                <w:sz w:val="22"/>
                <w:szCs w:val="22"/>
              </w:rPr>
              <w:t>.</w:t>
            </w:r>
          </w:p>
        </w:tc>
      </w:tr>
      <w:tr w:rsidR="00EE7E86" w:rsidRPr="000B78E1" w14:paraId="607CB168" w14:textId="77777777" w:rsidTr="00551866">
        <w:tc>
          <w:tcPr>
            <w:tcW w:w="2263" w:type="dxa"/>
            <w:tcBorders>
              <w:top w:val="single" w:sz="8" w:space="0" w:color="auto"/>
              <w:left w:val="single" w:sz="8" w:space="0" w:color="auto"/>
              <w:bottom w:val="single" w:sz="8" w:space="0" w:color="auto"/>
              <w:right w:val="single" w:sz="8" w:space="0" w:color="auto"/>
            </w:tcBorders>
          </w:tcPr>
          <w:p w14:paraId="5E2C22FB" w14:textId="45E5887D" w:rsidR="00EE7E86" w:rsidRPr="000B78E1" w:rsidRDefault="00EE7E86" w:rsidP="000B78E1">
            <w:pPr>
              <w:spacing w:line="360" w:lineRule="auto"/>
              <w:jc w:val="both"/>
              <w:rPr>
                <w:rFonts w:ascii="Arial" w:hAnsi="Arial" w:cs="Arial"/>
                <w:b/>
                <w:bCs/>
                <w:sz w:val="22"/>
                <w:szCs w:val="22"/>
              </w:rPr>
            </w:pPr>
            <w:r w:rsidRPr="000B78E1">
              <w:rPr>
                <w:rFonts w:ascii="Arial" w:hAnsi="Arial" w:cs="Arial"/>
                <w:sz w:val="22"/>
                <w:szCs w:val="22"/>
              </w:rPr>
              <w:t>Empirical Gap</w:t>
            </w:r>
          </w:p>
        </w:tc>
        <w:tc>
          <w:tcPr>
            <w:tcW w:w="6753" w:type="dxa"/>
            <w:tcBorders>
              <w:top w:val="single" w:sz="8" w:space="0" w:color="auto"/>
              <w:left w:val="single" w:sz="8" w:space="0" w:color="auto"/>
              <w:bottom w:val="single" w:sz="8" w:space="0" w:color="auto"/>
              <w:right w:val="single" w:sz="8" w:space="0" w:color="auto"/>
            </w:tcBorders>
          </w:tcPr>
          <w:p w14:paraId="5E46E2EE" w14:textId="1F512BD4" w:rsidR="00EE7E86" w:rsidRPr="000B78E1" w:rsidRDefault="002F061E" w:rsidP="000B78E1">
            <w:pPr>
              <w:spacing w:line="360" w:lineRule="auto"/>
              <w:jc w:val="both"/>
              <w:rPr>
                <w:rFonts w:ascii="Arial" w:hAnsi="Arial" w:cs="Arial"/>
                <w:b/>
                <w:bCs/>
                <w:sz w:val="22"/>
                <w:szCs w:val="22"/>
              </w:rPr>
            </w:pPr>
            <w:r w:rsidRPr="000B78E1">
              <w:rPr>
                <w:rFonts w:ascii="Arial" w:hAnsi="Arial" w:cs="Arial"/>
                <w:sz w:val="22"/>
                <w:szCs w:val="22"/>
              </w:rPr>
              <w:t>Limited use of loan</w:t>
            </w:r>
            <w:r w:rsidR="00B07B00" w:rsidRPr="000B78E1">
              <w:rPr>
                <w:rFonts w:ascii="Arial" w:hAnsi="Arial" w:cs="Arial"/>
                <w:sz w:val="22"/>
                <w:szCs w:val="22"/>
              </w:rPr>
              <w:t xml:space="preserve"> </w:t>
            </w:r>
            <w:r w:rsidRPr="000B78E1">
              <w:rPr>
                <w:rFonts w:ascii="Arial" w:hAnsi="Arial" w:cs="Arial"/>
                <w:sz w:val="22"/>
                <w:szCs w:val="22"/>
              </w:rPr>
              <w:t>level, behavioural or longitudinal data</w:t>
            </w:r>
            <w:r w:rsidR="009B6173" w:rsidRPr="000B78E1">
              <w:rPr>
                <w:rFonts w:ascii="Arial" w:hAnsi="Arial" w:cs="Arial"/>
                <w:sz w:val="22"/>
                <w:szCs w:val="22"/>
              </w:rPr>
              <w:t>,</w:t>
            </w:r>
            <w:r w:rsidRPr="000B78E1">
              <w:rPr>
                <w:rFonts w:ascii="Arial" w:hAnsi="Arial" w:cs="Arial"/>
                <w:sz w:val="22"/>
                <w:szCs w:val="22"/>
              </w:rPr>
              <w:t xml:space="preserve"> lack of direct measurement of credit outcomes</w:t>
            </w:r>
            <w:r w:rsidR="009B6173" w:rsidRPr="000B78E1">
              <w:rPr>
                <w:rFonts w:ascii="Arial" w:hAnsi="Arial" w:cs="Arial"/>
                <w:sz w:val="22"/>
                <w:szCs w:val="22"/>
              </w:rPr>
              <w:t xml:space="preserve"> i.e.</w:t>
            </w:r>
            <w:r w:rsidRPr="000B78E1">
              <w:rPr>
                <w:rFonts w:ascii="Arial" w:hAnsi="Arial" w:cs="Arial"/>
                <w:sz w:val="22"/>
                <w:szCs w:val="22"/>
              </w:rPr>
              <w:t xml:space="preserve"> approval, terms, repayment</w:t>
            </w:r>
            <w:r w:rsidR="009B6173" w:rsidRPr="000B78E1">
              <w:rPr>
                <w:rFonts w:ascii="Arial" w:hAnsi="Arial" w:cs="Arial"/>
                <w:sz w:val="22"/>
                <w:szCs w:val="22"/>
              </w:rPr>
              <w:t>.</w:t>
            </w:r>
          </w:p>
        </w:tc>
      </w:tr>
      <w:tr w:rsidR="00EE7E86" w:rsidRPr="000B78E1" w14:paraId="72C35ECF" w14:textId="77777777" w:rsidTr="00551866">
        <w:tc>
          <w:tcPr>
            <w:tcW w:w="2263" w:type="dxa"/>
            <w:tcBorders>
              <w:top w:val="single" w:sz="8" w:space="0" w:color="auto"/>
              <w:left w:val="single" w:sz="8" w:space="0" w:color="auto"/>
              <w:bottom w:val="single" w:sz="8" w:space="0" w:color="auto"/>
              <w:right w:val="single" w:sz="8" w:space="0" w:color="auto"/>
            </w:tcBorders>
          </w:tcPr>
          <w:p w14:paraId="2AAEC0AB" w14:textId="574A7603" w:rsidR="00EE7E86" w:rsidRPr="000B78E1" w:rsidRDefault="00EE7E86" w:rsidP="000B78E1">
            <w:pPr>
              <w:spacing w:line="360" w:lineRule="auto"/>
              <w:jc w:val="both"/>
              <w:rPr>
                <w:rFonts w:ascii="Arial" w:hAnsi="Arial" w:cs="Arial"/>
                <w:b/>
                <w:bCs/>
                <w:sz w:val="22"/>
                <w:szCs w:val="22"/>
              </w:rPr>
            </w:pPr>
            <w:r w:rsidRPr="000B78E1">
              <w:rPr>
                <w:rFonts w:ascii="Arial" w:hAnsi="Arial" w:cs="Arial"/>
                <w:sz w:val="22"/>
                <w:szCs w:val="22"/>
              </w:rPr>
              <w:t>Contextual Gap</w:t>
            </w:r>
          </w:p>
        </w:tc>
        <w:tc>
          <w:tcPr>
            <w:tcW w:w="6753" w:type="dxa"/>
            <w:tcBorders>
              <w:top w:val="single" w:sz="8" w:space="0" w:color="auto"/>
              <w:left w:val="single" w:sz="8" w:space="0" w:color="auto"/>
              <w:bottom w:val="single" w:sz="8" w:space="0" w:color="auto"/>
              <w:right w:val="single" w:sz="8" w:space="0" w:color="auto"/>
            </w:tcBorders>
          </w:tcPr>
          <w:p w14:paraId="0D222A74" w14:textId="73AF0026" w:rsidR="00EE7E86" w:rsidRPr="000B78E1" w:rsidRDefault="00090F51" w:rsidP="000B78E1">
            <w:pPr>
              <w:spacing w:line="360" w:lineRule="auto"/>
              <w:jc w:val="both"/>
              <w:rPr>
                <w:rFonts w:ascii="Arial" w:hAnsi="Arial" w:cs="Arial"/>
                <w:b/>
                <w:bCs/>
                <w:sz w:val="22"/>
                <w:szCs w:val="22"/>
              </w:rPr>
            </w:pPr>
            <w:r w:rsidRPr="000B78E1">
              <w:rPr>
                <w:rFonts w:ascii="Arial" w:hAnsi="Arial" w:cs="Arial"/>
                <w:sz w:val="22"/>
                <w:szCs w:val="22"/>
              </w:rPr>
              <w:t>Limited studies in bank</w:t>
            </w:r>
            <w:r w:rsidR="009B6173" w:rsidRPr="000B78E1">
              <w:rPr>
                <w:rFonts w:ascii="Arial" w:hAnsi="Arial" w:cs="Arial"/>
                <w:sz w:val="22"/>
                <w:szCs w:val="22"/>
              </w:rPr>
              <w:t xml:space="preserve"> </w:t>
            </w:r>
            <w:r w:rsidRPr="000B78E1">
              <w:rPr>
                <w:rFonts w:ascii="Arial" w:hAnsi="Arial" w:cs="Arial"/>
                <w:sz w:val="22"/>
                <w:szCs w:val="22"/>
              </w:rPr>
              <w:t>led developing contexts like Bangladesh with high informality and regulatory constraints</w:t>
            </w:r>
            <w:r w:rsidR="009059D8" w:rsidRPr="000B78E1">
              <w:rPr>
                <w:rFonts w:ascii="Arial" w:hAnsi="Arial" w:cs="Arial"/>
                <w:sz w:val="22"/>
                <w:szCs w:val="22"/>
              </w:rPr>
              <w:t>.</w:t>
            </w:r>
          </w:p>
        </w:tc>
      </w:tr>
      <w:tr w:rsidR="007028D5" w:rsidRPr="000B78E1" w14:paraId="0C4F34E6" w14:textId="77777777" w:rsidTr="00551866">
        <w:tc>
          <w:tcPr>
            <w:tcW w:w="2263" w:type="dxa"/>
            <w:tcBorders>
              <w:top w:val="single" w:sz="8" w:space="0" w:color="auto"/>
              <w:left w:val="single" w:sz="8" w:space="0" w:color="auto"/>
              <w:bottom w:val="single" w:sz="8" w:space="0" w:color="auto"/>
              <w:right w:val="single" w:sz="8" w:space="0" w:color="auto"/>
            </w:tcBorders>
          </w:tcPr>
          <w:p w14:paraId="4C190DA8" w14:textId="0954157F" w:rsidR="007028D5" w:rsidRPr="000B78E1" w:rsidRDefault="007028D5" w:rsidP="000B78E1">
            <w:pPr>
              <w:spacing w:line="360" w:lineRule="auto"/>
              <w:jc w:val="both"/>
              <w:rPr>
                <w:rFonts w:ascii="Arial" w:hAnsi="Arial" w:cs="Arial"/>
                <w:b/>
                <w:bCs/>
                <w:sz w:val="22"/>
                <w:szCs w:val="22"/>
              </w:rPr>
            </w:pPr>
            <w:r w:rsidRPr="000B78E1">
              <w:rPr>
                <w:rFonts w:ascii="Arial" w:hAnsi="Arial" w:cs="Arial"/>
                <w:sz w:val="22"/>
                <w:szCs w:val="22"/>
              </w:rPr>
              <w:t>Methodological Gap</w:t>
            </w:r>
          </w:p>
        </w:tc>
        <w:tc>
          <w:tcPr>
            <w:tcW w:w="6753" w:type="dxa"/>
            <w:tcBorders>
              <w:top w:val="single" w:sz="8" w:space="0" w:color="auto"/>
              <w:left w:val="single" w:sz="8" w:space="0" w:color="auto"/>
              <w:bottom w:val="single" w:sz="8" w:space="0" w:color="auto"/>
              <w:right w:val="single" w:sz="8" w:space="0" w:color="auto"/>
            </w:tcBorders>
            <w:vAlign w:val="center"/>
          </w:tcPr>
          <w:p w14:paraId="782DB394" w14:textId="7C3558CD" w:rsidR="007028D5" w:rsidRPr="000B78E1" w:rsidRDefault="00D11BC8" w:rsidP="000B78E1">
            <w:pPr>
              <w:spacing w:line="360" w:lineRule="auto"/>
              <w:jc w:val="both"/>
              <w:rPr>
                <w:rFonts w:ascii="Arial" w:hAnsi="Arial" w:cs="Arial"/>
                <w:b/>
                <w:bCs/>
                <w:sz w:val="22"/>
                <w:szCs w:val="22"/>
              </w:rPr>
            </w:pPr>
            <w:r w:rsidRPr="000B78E1">
              <w:rPr>
                <w:rFonts w:ascii="Arial" w:hAnsi="Arial" w:cs="Arial"/>
                <w:sz w:val="22"/>
                <w:szCs w:val="22"/>
              </w:rPr>
              <w:t>Lack of qualitative, institution</w:t>
            </w:r>
            <w:r w:rsidR="009059D8" w:rsidRPr="000B78E1">
              <w:rPr>
                <w:rFonts w:ascii="Arial" w:hAnsi="Arial" w:cs="Arial"/>
                <w:sz w:val="22"/>
                <w:szCs w:val="22"/>
              </w:rPr>
              <w:t xml:space="preserve"> </w:t>
            </w:r>
            <w:r w:rsidRPr="000B78E1">
              <w:rPr>
                <w:rFonts w:ascii="Arial" w:hAnsi="Arial" w:cs="Arial"/>
                <w:sz w:val="22"/>
                <w:szCs w:val="22"/>
              </w:rPr>
              <w:t>focused research</w:t>
            </w:r>
            <w:r w:rsidR="009059D8" w:rsidRPr="000B78E1">
              <w:rPr>
                <w:rFonts w:ascii="Arial" w:hAnsi="Arial" w:cs="Arial"/>
                <w:sz w:val="22"/>
                <w:szCs w:val="22"/>
              </w:rPr>
              <w:t xml:space="preserve"> &amp; </w:t>
            </w:r>
            <w:r w:rsidRPr="000B78E1">
              <w:rPr>
                <w:rFonts w:ascii="Arial" w:hAnsi="Arial" w:cs="Arial"/>
                <w:sz w:val="22"/>
                <w:szCs w:val="22"/>
              </w:rPr>
              <w:t>limited insight into bank decision-making processes</w:t>
            </w:r>
            <w:r w:rsidR="009059D8" w:rsidRPr="000B78E1">
              <w:rPr>
                <w:rFonts w:ascii="Arial" w:hAnsi="Arial" w:cs="Arial"/>
                <w:sz w:val="22"/>
                <w:szCs w:val="22"/>
              </w:rPr>
              <w:t>.</w:t>
            </w:r>
          </w:p>
        </w:tc>
      </w:tr>
    </w:tbl>
    <w:p w14:paraId="0CE23E87" w14:textId="77777777" w:rsidR="00676EA4" w:rsidRPr="000B78E1" w:rsidRDefault="00676EA4" w:rsidP="000B78E1">
      <w:pPr>
        <w:spacing w:after="0" w:line="360" w:lineRule="auto"/>
        <w:jc w:val="center"/>
        <w:rPr>
          <w:rFonts w:ascii="Arial" w:hAnsi="Arial" w:cs="Arial"/>
          <w:sz w:val="22"/>
          <w:szCs w:val="22"/>
        </w:rPr>
      </w:pPr>
    </w:p>
    <w:p w14:paraId="27510769" w14:textId="2E584F2D" w:rsidR="00E66532" w:rsidRPr="000B78E1" w:rsidRDefault="00676EA4" w:rsidP="000B78E1">
      <w:pPr>
        <w:spacing w:after="0" w:line="360" w:lineRule="auto"/>
        <w:jc w:val="center"/>
        <w:rPr>
          <w:rFonts w:ascii="Arial" w:hAnsi="Arial" w:cs="Arial"/>
          <w:sz w:val="22"/>
          <w:szCs w:val="22"/>
        </w:rPr>
      </w:pPr>
      <w:r w:rsidRPr="000B78E1">
        <w:rPr>
          <w:rFonts w:ascii="Arial" w:hAnsi="Arial" w:cs="Arial"/>
          <w:sz w:val="22"/>
          <w:szCs w:val="22"/>
        </w:rPr>
        <w:t>Table-2: Research Gap</w:t>
      </w:r>
    </w:p>
    <w:p w14:paraId="52D80A8A" w14:textId="77777777" w:rsidR="00676EA4" w:rsidRPr="000B78E1" w:rsidRDefault="00676EA4" w:rsidP="000B78E1">
      <w:pPr>
        <w:spacing w:after="0" w:line="360" w:lineRule="auto"/>
        <w:jc w:val="center"/>
        <w:rPr>
          <w:rFonts w:ascii="Arial" w:hAnsi="Arial" w:cs="Arial"/>
          <w:sz w:val="22"/>
          <w:szCs w:val="22"/>
        </w:rPr>
      </w:pPr>
    </w:p>
    <w:p w14:paraId="6A6F3BEB" w14:textId="603E64DE" w:rsidR="00EE0533" w:rsidRPr="000B78E1" w:rsidRDefault="00EE253A" w:rsidP="000B78E1">
      <w:pPr>
        <w:spacing w:after="0" w:line="360" w:lineRule="auto"/>
        <w:jc w:val="both"/>
        <w:rPr>
          <w:rFonts w:ascii="Arial" w:hAnsi="Arial" w:cs="Arial"/>
          <w:sz w:val="22"/>
          <w:szCs w:val="22"/>
        </w:rPr>
      </w:pPr>
      <w:r w:rsidRPr="000B78E1">
        <w:rPr>
          <w:rFonts w:ascii="Arial" w:hAnsi="Arial" w:cs="Arial"/>
          <w:sz w:val="22"/>
          <w:szCs w:val="22"/>
        </w:rPr>
        <w:t>Taken together, these gaps highlight the absence of a mechanism based, institution focused explanation of how DFS translates into SME credit and sustainability outcomes</w:t>
      </w:r>
      <w:r w:rsidR="00CD2044" w:rsidRPr="000B78E1">
        <w:rPr>
          <w:rFonts w:ascii="Arial" w:hAnsi="Arial" w:cs="Arial"/>
          <w:sz w:val="22"/>
          <w:szCs w:val="22"/>
        </w:rPr>
        <w:t xml:space="preserve"> which leads to the following research questions:</w:t>
      </w:r>
    </w:p>
    <w:p w14:paraId="12837BCC" w14:textId="77777777" w:rsidR="001432F7" w:rsidRPr="000B78E1" w:rsidRDefault="001432F7" w:rsidP="000B78E1">
      <w:pPr>
        <w:spacing w:after="0" w:line="360" w:lineRule="auto"/>
        <w:jc w:val="both"/>
        <w:rPr>
          <w:rFonts w:ascii="Arial" w:hAnsi="Arial" w:cs="Arial"/>
          <w:sz w:val="22"/>
          <w:szCs w:val="22"/>
        </w:rPr>
      </w:pPr>
    </w:p>
    <w:p w14:paraId="55FE5578" w14:textId="3577EDDC" w:rsidR="00CD2044" w:rsidRPr="000B78E1" w:rsidRDefault="00CD2044" w:rsidP="000B78E1">
      <w:pPr>
        <w:spacing w:after="0" w:line="360" w:lineRule="auto"/>
        <w:jc w:val="both"/>
        <w:rPr>
          <w:rFonts w:ascii="Arial" w:hAnsi="Arial" w:cs="Arial"/>
          <w:sz w:val="22"/>
          <w:szCs w:val="22"/>
        </w:rPr>
      </w:pPr>
      <w:r w:rsidRPr="000B78E1">
        <w:rPr>
          <w:rFonts w:ascii="Arial" w:hAnsi="Arial" w:cs="Arial"/>
          <w:sz w:val="22"/>
          <w:szCs w:val="22"/>
        </w:rPr>
        <w:t>R</w:t>
      </w:r>
      <w:r w:rsidR="001D6540" w:rsidRPr="000B78E1">
        <w:rPr>
          <w:rFonts w:ascii="Arial" w:hAnsi="Arial" w:cs="Arial"/>
          <w:sz w:val="22"/>
          <w:szCs w:val="22"/>
        </w:rPr>
        <w:t>Q</w:t>
      </w:r>
      <w:r w:rsidR="00B05D53" w:rsidRPr="000B78E1">
        <w:rPr>
          <w:rFonts w:ascii="Arial" w:hAnsi="Arial" w:cs="Arial"/>
          <w:sz w:val="22"/>
          <w:szCs w:val="22"/>
        </w:rPr>
        <w:t xml:space="preserve">1: </w:t>
      </w:r>
      <w:r w:rsidR="001D6540" w:rsidRPr="000B78E1">
        <w:rPr>
          <w:rFonts w:ascii="Arial" w:hAnsi="Arial" w:cs="Arial"/>
          <w:sz w:val="22"/>
          <w:szCs w:val="22"/>
        </w:rPr>
        <w:t xml:space="preserve">How do banks </w:t>
      </w:r>
      <w:r w:rsidR="00320B50" w:rsidRPr="000B78E1">
        <w:rPr>
          <w:rFonts w:ascii="Arial" w:hAnsi="Arial" w:cs="Arial"/>
          <w:sz w:val="22"/>
          <w:szCs w:val="22"/>
        </w:rPr>
        <w:t>consider</w:t>
      </w:r>
      <w:r w:rsidR="001D6540" w:rsidRPr="000B78E1">
        <w:rPr>
          <w:rFonts w:ascii="Arial" w:hAnsi="Arial" w:cs="Arial"/>
          <w:sz w:val="22"/>
          <w:szCs w:val="22"/>
        </w:rPr>
        <w:t xml:space="preserve"> and utilise DFS</w:t>
      </w:r>
      <w:r w:rsidR="00320B50" w:rsidRPr="000B78E1">
        <w:rPr>
          <w:rFonts w:ascii="Arial" w:hAnsi="Arial" w:cs="Arial"/>
          <w:sz w:val="22"/>
          <w:szCs w:val="22"/>
        </w:rPr>
        <w:t xml:space="preserve"> </w:t>
      </w:r>
      <w:r w:rsidR="001D6540" w:rsidRPr="000B78E1">
        <w:rPr>
          <w:rFonts w:ascii="Arial" w:hAnsi="Arial" w:cs="Arial"/>
          <w:sz w:val="22"/>
          <w:szCs w:val="22"/>
        </w:rPr>
        <w:t>data in SME credit assessment?</w:t>
      </w:r>
    </w:p>
    <w:p w14:paraId="10DE8BEE" w14:textId="473A0563" w:rsidR="00BA3C38" w:rsidRPr="000B78E1" w:rsidRDefault="00C70C37" w:rsidP="000B78E1">
      <w:pPr>
        <w:spacing w:after="0" w:line="360" w:lineRule="auto"/>
        <w:jc w:val="both"/>
        <w:rPr>
          <w:rFonts w:ascii="Arial" w:hAnsi="Arial" w:cs="Arial"/>
          <w:sz w:val="22"/>
          <w:szCs w:val="22"/>
        </w:rPr>
      </w:pPr>
      <w:r w:rsidRPr="000B78E1">
        <w:rPr>
          <w:rFonts w:ascii="Arial" w:hAnsi="Arial" w:cs="Arial"/>
          <w:sz w:val="22"/>
          <w:szCs w:val="22"/>
        </w:rPr>
        <w:t xml:space="preserve">RQ2: </w:t>
      </w:r>
      <w:r w:rsidR="00697618" w:rsidRPr="000B78E1">
        <w:rPr>
          <w:rFonts w:ascii="Arial" w:hAnsi="Arial" w:cs="Arial"/>
          <w:sz w:val="22"/>
          <w:szCs w:val="22"/>
        </w:rPr>
        <w:t xml:space="preserve">What factors influence the conversion of DFS usage into </w:t>
      </w:r>
      <w:r w:rsidR="00403315" w:rsidRPr="000B78E1">
        <w:rPr>
          <w:rFonts w:ascii="Arial" w:hAnsi="Arial" w:cs="Arial"/>
          <w:sz w:val="22"/>
          <w:szCs w:val="22"/>
        </w:rPr>
        <w:t xml:space="preserve">SME </w:t>
      </w:r>
      <w:r w:rsidR="00697618" w:rsidRPr="000B78E1">
        <w:rPr>
          <w:rFonts w:ascii="Arial" w:hAnsi="Arial" w:cs="Arial"/>
          <w:sz w:val="22"/>
          <w:szCs w:val="22"/>
        </w:rPr>
        <w:t>formal credit?</w:t>
      </w:r>
    </w:p>
    <w:p w14:paraId="2AEE1FEA" w14:textId="77777777" w:rsidR="00124F35" w:rsidRPr="000B78E1" w:rsidRDefault="00C70C37" w:rsidP="000B78E1">
      <w:pPr>
        <w:spacing w:after="0" w:line="360" w:lineRule="auto"/>
        <w:jc w:val="both"/>
        <w:rPr>
          <w:rFonts w:ascii="Arial" w:hAnsi="Arial" w:cs="Arial"/>
          <w:sz w:val="22"/>
          <w:szCs w:val="22"/>
        </w:rPr>
      </w:pPr>
      <w:r w:rsidRPr="000B78E1">
        <w:rPr>
          <w:rFonts w:ascii="Arial" w:hAnsi="Arial" w:cs="Arial"/>
          <w:sz w:val="22"/>
          <w:szCs w:val="22"/>
        </w:rPr>
        <w:t>RQ3: How</w:t>
      </w:r>
      <w:r w:rsidR="00AF0CFE" w:rsidRPr="000B78E1">
        <w:rPr>
          <w:rFonts w:ascii="Arial" w:hAnsi="Arial" w:cs="Arial"/>
          <w:sz w:val="22"/>
          <w:szCs w:val="22"/>
        </w:rPr>
        <w:t xml:space="preserve"> do institutional factors, regulatory frameworks and financial literacy </w:t>
      </w:r>
      <w:r w:rsidR="001661CD" w:rsidRPr="000B78E1">
        <w:rPr>
          <w:rFonts w:ascii="Arial" w:hAnsi="Arial" w:cs="Arial"/>
          <w:sz w:val="22"/>
          <w:szCs w:val="22"/>
        </w:rPr>
        <w:t>influence</w:t>
      </w:r>
      <w:r w:rsidR="00AF0CFE" w:rsidRPr="000B78E1">
        <w:rPr>
          <w:rFonts w:ascii="Arial" w:hAnsi="Arial" w:cs="Arial"/>
          <w:sz w:val="22"/>
          <w:szCs w:val="22"/>
        </w:rPr>
        <w:t xml:space="preserve"> the</w:t>
      </w:r>
    </w:p>
    <w:p w14:paraId="364DEAC8" w14:textId="0E36FEA1" w:rsidR="00AF0CFE" w:rsidRPr="000B78E1" w:rsidRDefault="00124F35" w:rsidP="000B78E1">
      <w:pPr>
        <w:spacing w:after="0" w:line="360" w:lineRule="auto"/>
        <w:jc w:val="both"/>
        <w:rPr>
          <w:rFonts w:ascii="Arial" w:hAnsi="Arial" w:cs="Arial"/>
          <w:sz w:val="22"/>
          <w:szCs w:val="22"/>
        </w:rPr>
      </w:pPr>
      <w:r w:rsidRPr="000B78E1">
        <w:rPr>
          <w:rFonts w:ascii="Arial" w:hAnsi="Arial" w:cs="Arial"/>
          <w:sz w:val="22"/>
          <w:szCs w:val="22"/>
        </w:rPr>
        <w:t xml:space="preserve">    </w:t>
      </w:r>
      <w:r w:rsidR="00AF0CFE" w:rsidRPr="000B78E1">
        <w:rPr>
          <w:rFonts w:ascii="Arial" w:hAnsi="Arial" w:cs="Arial"/>
          <w:sz w:val="22"/>
          <w:szCs w:val="22"/>
        </w:rPr>
        <w:t xml:space="preserve"> </w:t>
      </w:r>
      <w:r w:rsidR="00F46CB7" w:rsidRPr="000B78E1">
        <w:rPr>
          <w:rFonts w:ascii="Arial" w:hAnsi="Arial" w:cs="Arial"/>
          <w:sz w:val="22"/>
          <w:szCs w:val="22"/>
        </w:rPr>
        <w:t xml:space="preserve">     </w:t>
      </w:r>
      <w:r w:rsidR="00AF0CFE" w:rsidRPr="000B78E1">
        <w:rPr>
          <w:rFonts w:ascii="Arial" w:hAnsi="Arial" w:cs="Arial"/>
          <w:sz w:val="22"/>
          <w:szCs w:val="22"/>
        </w:rPr>
        <w:t>effectiveness of DFS in enabling SME credit access?</w:t>
      </w:r>
    </w:p>
    <w:p w14:paraId="34EB1B25" w14:textId="77777777" w:rsidR="00124F35" w:rsidRPr="000B78E1" w:rsidRDefault="00C70C37" w:rsidP="000B78E1">
      <w:pPr>
        <w:spacing w:after="0" w:line="360" w:lineRule="auto"/>
        <w:jc w:val="both"/>
        <w:rPr>
          <w:rFonts w:ascii="Arial" w:hAnsi="Arial" w:cs="Arial"/>
          <w:sz w:val="22"/>
          <w:szCs w:val="22"/>
        </w:rPr>
      </w:pPr>
      <w:r w:rsidRPr="000B78E1">
        <w:rPr>
          <w:rFonts w:ascii="Arial" w:hAnsi="Arial" w:cs="Arial"/>
          <w:sz w:val="22"/>
          <w:szCs w:val="22"/>
        </w:rPr>
        <w:t xml:space="preserve">RQ4: How does access to credit affect SME sustainability outcomes such as growth, </w:t>
      </w:r>
    </w:p>
    <w:p w14:paraId="298FCE7A" w14:textId="06A5778D" w:rsidR="00C70C37" w:rsidRPr="000B78E1" w:rsidRDefault="00124F35" w:rsidP="000B78E1">
      <w:pPr>
        <w:spacing w:after="0" w:line="360" w:lineRule="auto"/>
        <w:jc w:val="both"/>
        <w:rPr>
          <w:rFonts w:ascii="Arial" w:hAnsi="Arial" w:cs="Arial"/>
          <w:sz w:val="22"/>
          <w:szCs w:val="22"/>
        </w:rPr>
      </w:pPr>
      <w:r w:rsidRPr="000B78E1">
        <w:rPr>
          <w:rFonts w:ascii="Arial" w:hAnsi="Arial" w:cs="Arial"/>
          <w:sz w:val="22"/>
          <w:szCs w:val="22"/>
        </w:rPr>
        <w:t xml:space="preserve">          </w:t>
      </w:r>
      <w:r w:rsidR="00C70C37" w:rsidRPr="000B78E1">
        <w:rPr>
          <w:rFonts w:ascii="Arial" w:hAnsi="Arial" w:cs="Arial"/>
          <w:sz w:val="22"/>
          <w:szCs w:val="22"/>
        </w:rPr>
        <w:t>profitability and resilience?</w:t>
      </w:r>
    </w:p>
    <w:p w14:paraId="01F6E8FB" w14:textId="77777777" w:rsidR="00937E9C" w:rsidRPr="000B78E1" w:rsidRDefault="00937E9C" w:rsidP="000B78E1">
      <w:pPr>
        <w:spacing w:after="0" w:line="360" w:lineRule="auto"/>
        <w:jc w:val="both"/>
        <w:rPr>
          <w:rFonts w:ascii="Arial" w:hAnsi="Arial" w:cs="Arial"/>
          <w:sz w:val="22"/>
          <w:szCs w:val="22"/>
        </w:rPr>
      </w:pPr>
    </w:p>
    <w:p w14:paraId="12C87622" w14:textId="610017C8" w:rsidR="00937E9C" w:rsidRPr="000B78E1" w:rsidRDefault="00937E9C" w:rsidP="000B78E1">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t>Findings and Discussion:</w:t>
      </w:r>
    </w:p>
    <w:p w14:paraId="2F68A8A1" w14:textId="39C6CE93" w:rsidR="00937E9C" w:rsidRPr="000B78E1" w:rsidRDefault="00937E9C" w:rsidP="000B78E1">
      <w:pPr>
        <w:spacing w:after="0" w:line="360" w:lineRule="auto"/>
        <w:jc w:val="both"/>
        <w:rPr>
          <w:rFonts w:ascii="Arial" w:hAnsi="Arial" w:cs="Arial"/>
          <w:sz w:val="22"/>
          <w:szCs w:val="22"/>
        </w:rPr>
      </w:pPr>
      <w:r w:rsidRPr="000B78E1">
        <w:rPr>
          <w:rFonts w:ascii="Arial" w:hAnsi="Arial" w:cs="Arial"/>
          <w:sz w:val="22"/>
          <w:szCs w:val="22"/>
        </w:rPr>
        <w:t xml:space="preserve">Across the literature it reveals that DFS has rapidly and is widely used by SMEs, especially for payments, transactions and basic financial activities. Use of digital tools improve convenience, reduce transaction costs and support financial inclusion. However, </w:t>
      </w:r>
      <w:r w:rsidR="00E40193" w:rsidRPr="000B78E1">
        <w:rPr>
          <w:rFonts w:ascii="Arial" w:hAnsi="Arial" w:cs="Arial"/>
          <w:sz w:val="22"/>
          <w:szCs w:val="22"/>
        </w:rPr>
        <w:t>improve in digital ac</w:t>
      </w:r>
      <w:r w:rsidRPr="000B78E1">
        <w:rPr>
          <w:rFonts w:ascii="Arial" w:hAnsi="Arial" w:cs="Arial"/>
          <w:sz w:val="22"/>
          <w:szCs w:val="22"/>
        </w:rPr>
        <w:t>cess does not always lead to formal credit access. SMEs may use digital services regularly</w:t>
      </w:r>
      <w:r w:rsidR="00E40193" w:rsidRPr="000B78E1">
        <w:rPr>
          <w:rFonts w:ascii="Arial" w:hAnsi="Arial" w:cs="Arial"/>
          <w:sz w:val="22"/>
          <w:szCs w:val="22"/>
        </w:rPr>
        <w:t xml:space="preserve"> </w:t>
      </w:r>
      <w:r w:rsidRPr="000B78E1">
        <w:rPr>
          <w:rFonts w:ascii="Arial" w:hAnsi="Arial" w:cs="Arial"/>
          <w:sz w:val="22"/>
          <w:szCs w:val="22"/>
        </w:rPr>
        <w:t>but still they struggle to obtain loans</w:t>
      </w:r>
      <w:r w:rsidR="00E40193" w:rsidRPr="000B78E1">
        <w:rPr>
          <w:rFonts w:ascii="Arial" w:hAnsi="Arial" w:cs="Arial"/>
          <w:sz w:val="22"/>
          <w:szCs w:val="22"/>
        </w:rPr>
        <w:t xml:space="preserve"> from formal channels</w:t>
      </w:r>
      <w:r w:rsidRPr="000B78E1">
        <w:rPr>
          <w:rFonts w:ascii="Arial" w:hAnsi="Arial" w:cs="Arial"/>
          <w:sz w:val="22"/>
          <w:szCs w:val="22"/>
        </w:rPr>
        <w:t>. This suggests that there is a clear gap between digital usage and actual credit outcomes.</w:t>
      </w:r>
    </w:p>
    <w:p w14:paraId="5D19FDC1" w14:textId="77777777" w:rsidR="00937E9C" w:rsidRPr="000B78E1" w:rsidRDefault="00937E9C" w:rsidP="000B78E1">
      <w:pPr>
        <w:spacing w:after="0" w:line="360" w:lineRule="auto"/>
        <w:jc w:val="both"/>
        <w:rPr>
          <w:rFonts w:ascii="Arial" w:hAnsi="Arial" w:cs="Arial"/>
          <w:sz w:val="22"/>
          <w:szCs w:val="22"/>
        </w:rPr>
      </w:pPr>
    </w:p>
    <w:p w14:paraId="4928CA13" w14:textId="3F06F300" w:rsidR="00937E9C" w:rsidRPr="000B78E1" w:rsidRDefault="00937E9C" w:rsidP="000B78E1">
      <w:pPr>
        <w:spacing w:after="0" w:line="360" w:lineRule="auto"/>
        <w:jc w:val="both"/>
        <w:rPr>
          <w:rFonts w:ascii="Arial" w:hAnsi="Arial" w:cs="Arial"/>
          <w:sz w:val="22"/>
          <w:szCs w:val="22"/>
        </w:rPr>
      </w:pPr>
      <w:r w:rsidRPr="000B78E1">
        <w:rPr>
          <w:rFonts w:ascii="Arial" w:hAnsi="Arial" w:cs="Arial"/>
          <w:sz w:val="22"/>
          <w:szCs w:val="22"/>
        </w:rPr>
        <w:lastRenderedPageBreak/>
        <w:t xml:space="preserve">DFS adoption is strongly related to financial inclusion, digital literacy and business performance. In many cases, SMEs that use digital tools are more financially active and better able to manage their operations. However, the relationship between DFS and credit access is not direct rather it is influenced by other factors such as institutional trust, regulatory environment, collateral requirements and bank policies. Similarly, credit access is linked to SME </w:t>
      </w:r>
      <w:proofErr w:type="gramStart"/>
      <w:r w:rsidRPr="000B78E1">
        <w:rPr>
          <w:rFonts w:ascii="Arial" w:hAnsi="Arial" w:cs="Arial"/>
          <w:sz w:val="22"/>
          <w:szCs w:val="22"/>
        </w:rPr>
        <w:t>performance</w:t>
      </w:r>
      <w:proofErr w:type="gramEnd"/>
      <w:r w:rsidRPr="000B78E1">
        <w:rPr>
          <w:rFonts w:ascii="Arial" w:hAnsi="Arial" w:cs="Arial"/>
          <w:sz w:val="22"/>
          <w:szCs w:val="22"/>
        </w:rPr>
        <w:t xml:space="preserve"> but this relationship is also conditional because access to finance can improve productivity and growth only when it combines with firm capability, good financial management and supportive institutional conditions.</w:t>
      </w:r>
    </w:p>
    <w:p w14:paraId="3CDD297F" w14:textId="77777777" w:rsidR="00937E9C" w:rsidRPr="000B78E1" w:rsidRDefault="00937E9C" w:rsidP="000B78E1">
      <w:pPr>
        <w:spacing w:after="0" w:line="360" w:lineRule="auto"/>
        <w:jc w:val="both"/>
        <w:rPr>
          <w:rFonts w:ascii="Arial" w:hAnsi="Arial" w:cs="Arial"/>
          <w:sz w:val="22"/>
          <w:szCs w:val="22"/>
        </w:rPr>
      </w:pPr>
    </w:p>
    <w:p w14:paraId="0B8DCAE0" w14:textId="77777777" w:rsidR="00937E9C" w:rsidRPr="000B78E1" w:rsidRDefault="00937E9C" w:rsidP="000B78E1">
      <w:pPr>
        <w:spacing w:after="0" w:line="360" w:lineRule="auto"/>
        <w:jc w:val="both"/>
        <w:rPr>
          <w:rFonts w:ascii="Arial" w:hAnsi="Arial" w:cs="Arial"/>
          <w:sz w:val="22"/>
          <w:szCs w:val="22"/>
        </w:rPr>
      </w:pPr>
      <w:r w:rsidRPr="000B78E1">
        <w:rPr>
          <w:rFonts w:ascii="Arial" w:hAnsi="Arial" w:cs="Arial"/>
          <w:sz w:val="22"/>
          <w:szCs w:val="22"/>
        </w:rPr>
        <w:t xml:space="preserve">The results are often mixed because DFS creates data and financial records, </w:t>
      </w:r>
      <w:proofErr w:type="gramStart"/>
      <w:r w:rsidRPr="000B78E1">
        <w:rPr>
          <w:rFonts w:ascii="Arial" w:hAnsi="Arial" w:cs="Arial"/>
          <w:sz w:val="22"/>
          <w:szCs w:val="22"/>
        </w:rPr>
        <w:t>which  in</w:t>
      </w:r>
      <w:proofErr w:type="gramEnd"/>
      <w:r w:rsidRPr="000B78E1">
        <w:rPr>
          <w:rFonts w:ascii="Arial" w:hAnsi="Arial" w:cs="Arial"/>
          <w:sz w:val="22"/>
          <w:szCs w:val="22"/>
        </w:rPr>
        <w:t xml:space="preserve"> theory should help lenders assess borrower risk but this data only becomes useful when banks and regulators recognise and trust it. If institutions do not accept digital data as reliable then it does not lead to credit approval. In addition, SMEs often face structural barriers such as lack of collateral, low financial literacy and weak documentation, which limit their ability to benefit from financial services. This explains why DFS improves access and efficiency but not always credit outcomes.</w:t>
      </w:r>
    </w:p>
    <w:p w14:paraId="59ACAFC4" w14:textId="77777777" w:rsidR="00937E9C" w:rsidRPr="000B78E1" w:rsidRDefault="00937E9C" w:rsidP="000B78E1">
      <w:pPr>
        <w:spacing w:after="0" w:line="360" w:lineRule="auto"/>
        <w:jc w:val="both"/>
        <w:rPr>
          <w:rFonts w:ascii="Arial" w:hAnsi="Arial" w:cs="Arial"/>
          <w:sz w:val="22"/>
          <w:szCs w:val="22"/>
        </w:rPr>
      </w:pPr>
    </w:p>
    <w:p w14:paraId="50DFDB7A" w14:textId="1661EA51" w:rsidR="00937E9C" w:rsidRPr="000B78E1" w:rsidRDefault="005852D9" w:rsidP="000B78E1">
      <w:pPr>
        <w:spacing w:after="0" w:line="360" w:lineRule="auto"/>
        <w:jc w:val="both"/>
        <w:rPr>
          <w:rFonts w:ascii="Arial" w:hAnsi="Arial" w:cs="Arial"/>
          <w:sz w:val="22"/>
          <w:szCs w:val="22"/>
        </w:rPr>
      </w:pPr>
      <w:r w:rsidRPr="000B78E1">
        <w:rPr>
          <w:rFonts w:ascii="Arial" w:hAnsi="Arial" w:cs="Arial"/>
          <w:sz w:val="22"/>
          <w:szCs w:val="22"/>
        </w:rPr>
        <w:t xml:space="preserve">All things considered, </w:t>
      </w:r>
      <w:r w:rsidR="00937E9C" w:rsidRPr="000B78E1">
        <w:rPr>
          <w:rFonts w:ascii="Arial" w:hAnsi="Arial" w:cs="Arial"/>
          <w:sz w:val="22"/>
          <w:szCs w:val="22"/>
        </w:rPr>
        <w:t>the relationship between DFS, credit access and SME performance is not automatic or straightforward</w:t>
      </w:r>
      <w:r w:rsidR="00771FD0" w:rsidRPr="000B78E1">
        <w:rPr>
          <w:rFonts w:ascii="Arial" w:hAnsi="Arial" w:cs="Arial"/>
          <w:sz w:val="22"/>
          <w:szCs w:val="22"/>
        </w:rPr>
        <w:t xml:space="preserve"> rather </w:t>
      </w:r>
      <w:r w:rsidR="00937E9C" w:rsidRPr="000B78E1">
        <w:rPr>
          <w:rFonts w:ascii="Arial" w:hAnsi="Arial" w:cs="Arial"/>
          <w:sz w:val="22"/>
          <w:szCs w:val="22"/>
        </w:rPr>
        <w:t>it depends on how well technology, institutions and user capability work together. Without this coordination DFS only remains useful for transactions and their potential to improve formal credit access remains limited.</w:t>
      </w:r>
    </w:p>
    <w:p w14:paraId="7052E087" w14:textId="77777777" w:rsidR="00EE0533" w:rsidRPr="000B78E1" w:rsidRDefault="00EE0533" w:rsidP="000B78E1">
      <w:pPr>
        <w:spacing w:after="0" w:line="360" w:lineRule="auto"/>
        <w:jc w:val="both"/>
        <w:rPr>
          <w:rFonts w:ascii="Arial" w:hAnsi="Arial" w:cs="Arial"/>
          <w:sz w:val="22"/>
          <w:szCs w:val="22"/>
        </w:rPr>
      </w:pPr>
    </w:p>
    <w:p w14:paraId="3251E162" w14:textId="1FEC9D42" w:rsidR="009110BF" w:rsidRPr="00A74DAC" w:rsidRDefault="00051840" w:rsidP="000B78E1">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t>Contribution to Theory:</w:t>
      </w:r>
    </w:p>
    <w:p w14:paraId="488B9718" w14:textId="77777777" w:rsidR="00331315" w:rsidRDefault="009110BF" w:rsidP="000B78E1">
      <w:pPr>
        <w:spacing w:after="0" w:line="360" w:lineRule="auto"/>
        <w:jc w:val="both"/>
        <w:rPr>
          <w:rFonts w:ascii="Arial" w:hAnsi="Arial" w:cs="Arial"/>
          <w:sz w:val="22"/>
          <w:szCs w:val="22"/>
        </w:rPr>
      </w:pPr>
      <w:r w:rsidRPr="000B78E1">
        <w:rPr>
          <w:rFonts w:ascii="Arial" w:hAnsi="Arial" w:cs="Arial"/>
          <w:sz w:val="22"/>
          <w:szCs w:val="22"/>
        </w:rPr>
        <w:t xml:space="preserve">TAM explains technology adoption through perceived usefulness and ease of use and UTAUT provides a broader view by including social and organisational factors (Lee et al., 2025). In case of lending, information asymmetry arises when borrowers have private information that lenders cannot easily observe (Diamond, 1984) which </w:t>
      </w:r>
      <w:proofErr w:type="gramStart"/>
      <w:r w:rsidRPr="000B78E1">
        <w:rPr>
          <w:rFonts w:ascii="Arial" w:hAnsi="Arial" w:cs="Arial"/>
          <w:sz w:val="22"/>
          <w:szCs w:val="22"/>
        </w:rPr>
        <w:t>Financial</w:t>
      </w:r>
      <w:proofErr w:type="gramEnd"/>
      <w:r w:rsidRPr="000B78E1">
        <w:rPr>
          <w:rFonts w:ascii="Arial" w:hAnsi="Arial" w:cs="Arial"/>
          <w:sz w:val="22"/>
          <w:szCs w:val="22"/>
        </w:rPr>
        <w:t xml:space="preserve"> intermediaries address by collecting and evaluating information, monitoring borrowers and reducing information and transaction costs (Claus &amp; Grimes, 2003). </w:t>
      </w:r>
    </w:p>
    <w:p w14:paraId="0E69D522" w14:textId="77777777" w:rsidR="00331315" w:rsidRPr="00331315" w:rsidRDefault="00331315" w:rsidP="000B78E1">
      <w:pPr>
        <w:spacing w:after="0" w:line="360" w:lineRule="auto"/>
        <w:jc w:val="both"/>
        <w:rPr>
          <w:rFonts w:ascii="Arial" w:hAnsi="Arial" w:cs="Arial"/>
          <w:sz w:val="16"/>
          <w:szCs w:val="16"/>
        </w:rPr>
      </w:pPr>
    </w:p>
    <w:p w14:paraId="63AD06C0" w14:textId="644E2BF8" w:rsidR="009110BF" w:rsidRPr="000B78E1" w:rsidRDefault="009110BF" w:rsidP="000B78E1">
      <w:pPr>
        <w:spacing w:after="0" w:line="360" w:lineRule="auto"/>
        <w:jc w:val="both"/>
        <w:rPr>
          <w:rFonts w:ascii="Arial" w:hAnsi="Arial" w:cs="Arial"/>
          <w:sz w:val="22"/>
          <w:szCs w:val="22"/>
        </w:rPr>
      </w:pPr>
      <w:r w:rsidRPr="000B78E1">
        <w:rPr>
          <w:rFonts w:ascii="Arial" w:hAnsi="Arial" w:cs="Arial"/>
          <w:sz w:val="22"/>
          <w:szCs w:val="22"/>
        </w:rPr>
        <w:t xml:space="preserve">Here the study offers a precise theorical contribution by integrating these adoption theories with bank lending theories to explain how DFS influence credit decision within the scope of conceptual framework. At the first stage of the framework, TAM and UTAUT helps to explain DFS adoption where SMEs use digital services based on perceived usefulness, ease of use, social influence and facilitating conditions. This stage corresponds to the “DFS </w:t>
      </w:r>
      <w:r w:rsidR="00EB4346" w:rsidRPr="000B78E1">
        <w:rPr>
          <w:rFonts w:ascii="Arial" w:hAnsi="Arial" w:cs="Arial"/>
          <w:sz w:val="22"/>
          <w:szCs w:val="22"/>
        </w:rPr>
        <w:t>leading to</w:t>
      </w:r>
      <w:r w:rsidRPr="000B78E1">
        <w:rPr>
          <w:rFonts w:ascii="Arial" w:hAnsi="Arial" w:cs="Arial"/>
          <w:sz w:val="22"/>
          <w:szCs w:val="22"/>
        </w:rPr>
        <w:t xml:space="preserve"> Digital Activity” component of the </w:t>
      </w:r>
      <w:r w:rsidR="0036376E" w:rsidRPr="000B78E1">
        <w:rPr>
          <w:rFonts w:ascii="Arial" w:hAnsi="Arial" w:cs="Arial"/>
          <w:sz w:val="22"/>
          <w:szCs w:val="22"/>
        </w:rPr>
        <w:t>model. At</w:t>
      </w:r>
      <w:r w:rsidRPr="000B78E1">
        <w:rPr>
          <w:rFonts w:ascii="Arial" w:hAnsi="Arial" w:cs="Arial"/>
          <w:sz w:val="22"/>
          <w:szCs w:val="22"/>
        </w:rPr>
        <w:t xml:space="preserve"> next stage, the framework integrates Information </w:t>
      </w:r>
      <w:r w:rsidRPr="000B78E1">
        <w:rPr>
          <w:rFonts w:ascii="Arial" w:hAnsi="Arial" w:cs="Arial"/>
          <w:sz w:val="22"/>
          <w:szCs w:val="22"/>
        </w:rPr>
        <w:lastRenderedPageBreak/>
        <w:t xml:space="preserve">Asymmetry Theory showing that digital transaction data generated through DFS can reduce information gaps between SMEs and lenders. However, this reduction alone does not guarantee lending. Then it incorporates Financial Intermediation Theory explaining how banks assess, validate and transform this digital information into credit decisions which aligns with the “Credit Conversion </w:t>
      </w:r>
      <w:r w:rsidR="0036376E" w:rsidRPr="000B78E1">
        <w:rPr>
          <w:rFonts w:ascii="Arial" w:hAnsi="Arial" w:cs="Arial"/>
          <w:sz w:val="22"/>
          <w:szCs w:val="22"/>
        </w:rPr>
        <w:t>Process</w:t>
      </w:r>
      <w:r w:rsidR="00E76942">
        <w:rPr>
          <w:rFonts w:ascii="Arial" w:hAnsi="Arial" w:cs="Arial"/>
          <w:sz w:val="22"/>
          <w:szCs w:val="22"/>
        </w:rPr>
        <w:t>”</w:t>
      </w:r>
      <w:r w:rsidR="0036376E" w:rsidRPr="000B78E1">
        <w:rPr>
          <w:rFonts w:ascii="Arial" w:hAnsi="Arial" w:cs="Arial"/>
          <w:sz w:val="22"/>
          <w:szCs w:val="22"/>
        </w:rPr>
        <w:t xml:space="preserve"> in</w:t>
      </w:r>
      <w:r w:rsidRPr="000B78E1">
        <w:rPr>
          <w:rFonts w:ascii="Arial" w:hAnsi="Arial" w:cs="Arial"/>
          <w:sz w:val="22"/>
          <w:szCs w:val="22"/>
        </w:rPr>
        <w:t xml:space="preserve"> the framework.</w:t>
      </w:r>
    </w:p>
    <w:p w14:paraId="7FE8E6F3" w14:textId="306A3A1C" w:rsidR="009110BF" w:rsidRPr="000B78E1" w:rsidRDefault="009110BF" w:rsidP="000B78E1">
      <w:pPr>
        <w:spacing w:after="0" w:line="360" w:lineRule="auto"/>
        <w:jc w:val="both"/>
        <w:rPr>
          <w:rFonts w:ascii="Arial" w:hAnsi="Arial" w:cs="Arial"/>
          <w:sz w:val="22"/>
          <w:szCs w:val="22"/>
        </w:rPr>
      </w:pPr>
    </w:p>
    <w:p w14:paraId="5F7AAF4D" w14:textId="739FECDD" w:rsidR="009110BF" w:rsidRPr="000B78E1" w:rsidRDefault="00331315" w:rsidP="000B78E1">
      <w:pPr>
        <w:spacing w:line="360" w:lineRule="auto"/>
        <w:jc w:val="both"/>
        <w:rPr>
          <w:rFonts w:ascii="Arial" w:hAnsi="Arial" w:cs="Arial"/>
          <w:noProof/>
          <w:sz w:val="22"/>
          <w:szCs w:val="22"/>
        </w:rPr>
      </w:pPr>
      <w:r>
        <w:rPr>
          <w:rFonts w:ascii="Arial" w:hAnsi="Arial" w:cs="Arial"/>
          <w:noProof/>
          <w:sz w:val="22"/>
          <w:szCs w:val="22"/>
        </w:rPr>
        <mc:AlternateContent>
          <mc:Choice Requires="wps">
            <w:drawing>
              <wp:anchor distT="0" distB="0" distL="114300" distR="114300" simplePos="0" relativeHeight="251713551" behindDoc="0" locked="0" layoutInCell="1" allowOverlap="1" wp14:anchorId="594EE068" wp14:editId="1BF8104F">
                <wp:simplePos x="0" y="0"/>
                <wp:positionH relativeFrom="column">
                  <wp:posOffset>5556250</wp:posOffset>
                </wp:positionH>
                <wp:positionV relativeFrom="paragraph">
                  <wp:posOffset>2453640</wp:posOffset>
                </wp:positionV>
                <wp:extent cx="25400" cy="425450"/>
                <wp:effectExtent l="0" t="0" r="31750" b="31750"/>
                <wp:wrapNone/>
                <wp:docPr id="408989065" name="Straight Connector 44"/>
                <wp:cNvGraphicFramePr/>
                <a:graphic xmlns:a="http://schemas.openxmlformats.org/drawingml/2006/main">
                  <a:graphicData uri="http://schemas.microsoft.com/office/word/2010/wordprocessingShape">
                    <wps:wsp>
                      <wps:cNvCnPr/>
                      <wps:spPr>
                        <a:xfrm>
                          <a:off x="0" y="0"/>
                          <a:ext cx="25400" cy="42545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D4DB330" id="Straight Connector 44" o:spid="_x0000_s1026" style="position:absolute;z-index:251713551;visibility:visible;mso-wrap-style:square;mso-wrap-distance-left:9pt;mso-wrap-distance-top:0;mso-wrap-distance-right:9pt;mso-wrap-distance-bottom:0;mso-position-horizontal:absolute;mso-position-horizontal-relative:text;mso-position-vertical:absolute;mso-position-vertical-relative:text" from="437.5pt,193.2pt" to="439.5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" strokecolor="#156082 [3204]" strokeweight="1.5pt">
                <v:stroke joinstyle="miter"/>
              </v:line>
            </w:pict>
          </mc:Fallback>
        </mc:AlternateContent>
      </w:r>
      <w:r w:rsidR="005E1B2E" w:rsidRPr="000B78E1">
        <w:rPr>
          <w:rFonts w:ascii="Arial" w:hAnsi="Arial" w:cs="Arial"/>
          <w:noProof/>
          <w:sz w:val="22"/>
          <w:szCs w:val="22"/>
        </w:rPr>
        <mc:AlternateContent>
          <mc:Choice Requires="wps">
            <w:drawing>
              <wp:anchor distT="0" distB="0" distL="114300" distR="114300" simplePos="0" relativeHeight="251749888" behindDoc="0" locked="0" layoutInCell="1" allowOverlap="1" wp14:anchorId="03AE9862" wp14:editId="65D416C0">
                <wp:simplePos x="0" y="0"/>
                <wp:positionH relativeFrom="column">
                  <wp:posOffset>3613150</wp:posOffset>
                </wp:positionH>
                <wp:positionV relativeFrom="paragraph">
                  <wp:posOffset>2324735</wp:posOffset>
                </wp:positionV>
                <wp:extent cx="304800" cy="6350"/>
                <wp:effectExtent l="0" t="76200" r="19050" b="88900"/>
                <wp:wrapNone/>
                <wp:docPr id="1160757140" name="Straight Arrow Connector 35"/>
                <wp:cNvGraphicFramePr/>
                <a:graphic xmlns:a="http://schemas.openxmlformats.org/drawingml/2006/main">
                  <a:graphicData uri="http://schemas.microsoft.com/office/word/2010/wordprocessingShape">
                    <wps:wsp>
                      <wps:cNvCnPr/>
                      <wps:spPr>
                        <a:xfrm flipV="1">
                          <a:off x="0" y="0"/>
                          <a:ext cx="304800" cy="6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111767C" id="Straight Arrow Connector 35" o:spid="_x0000_s1026" type="#_x0000_t32" style="position:absolute;margin-left:284.5pt;margin-top:183.05pt;width:24pt;height:.5pt;flip:y;z-index:251749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" strokecolor="#156082 [3204]" strokeweight="1.5pt">
                <v:stroke endarrow="block" joinstyle="miter"/>
              </v:shape>
            </w:pict>
          </mc:Fallback>
        </mc:AlternateContent>
      </w:r>
      <w:r w:rsidR="005E1B2E" w:rsidRPr="000B78E1">
        <w:rPr>
          <w:rFonts w:ascii="Arial" w:hAnsi="Arial" w:cs="Arial"/>
          <w:noProof/>
          <w:sz w:val="22"/>
          <w:szCs w:val="22"/>
        </w:rPr>
        <mc:AlternateContent>
          <mc:Choice Requires="wps">
            <w:drawing>
              <wp:anchor distT="45720" distB="45720" distL="114300" distR="114300" simplePos="0" relativeHeight="251729408" behindDoc="0" locked="0" layoutInCell="1" allowOverlap="1" wp14:anchorId="2D765B31" wp14:editId="475B5DF9">
                <wp:simplePos x="0" y="0"/>
                <wp:positionH relativeFrom="column">
                  <wp:posOffset>3911600</wp:posOffset>
                </wp:positionH>
                <wp:positionV relativeFrom="paragraph">
                  <wp:posOffset>2155825</wp:posOffset>
                </wp:positionV>
                <wp:extent cx="1739900" cy="285750"/>
                <wp:effectExtent l="0" t="0" r="12700" b="19050"/>
                <wp:wrapSquare wrapText="bothSides"/>
                <wp:docPr id="3824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900" cy="285750"/>
                        </a:xfrm>
                        <a:prstGeom prst="rect">
                          <a:avLst/>
                        </a:prstGeom>
                        <a:solidFill>
                          <a:srgbClr val="FFFFFF"/>
                        </a:solidFill>
                        <a:ln w="9525">
                          <a:solidFill>
                            <a:srgbClr val="000000"/>
                          </a:solidFill>
                          <a:miter lim="800000"/>
                          <a:headEnd/>
                          <a:tailEnd/>
                        </a:ln>
                      </wps:spPr>
                      <wps:txbx>
                        <w:txbxContent>
                          <w:p w14:paraId="671B2E45" w14:textId="043BFC2A" w:rsidR="005038A2" w:rsidRDefault="00C1434C" w:rsidP="005038A2">
                            <w:r>
                              <w:t>Institutional Evaluation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765B31" id="_x0000_s1044" type="#_x0000_t202" style="position:absolute;left:0;text-align:left;margin-left:308pt;margin-top:169.75pt;width:137pt;height:22.5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">
                <v:textbox>
                  <w:txbxContent>
                    <w:p w14:paraId="671B2E45" w14:textId="043BFC2A" w:rsidR="005038A2" w:rsidRDefault="00C1434C" w:rsidP="005038A2">
                      <w:r>
                        <w:t>Institutional Evaluation</w:t>
                      </w:r>
                    </w:p>
                  </w:txbxContent>
                </v:textbox>
                <w10:wrap type="square"/>
              </v:shape>
            </w:pict>
          </mc:Fallback>
        </mc:AlternateContent>
      </w:r>
      <w:r w:rsidR="00BE41E9" w:rsidRPr="000B78E1">
        <w:rPr>
          <w:rFonts w:ascii="Arial" w:hAnsi="Arial" w:cs="Arial"/>
          <w:sz w:val="22"/>
          <w:szCs w:val="22"/>
        </w:rPr>
        <w:t xml:space="preserve">It also </w:t>
      </w:r>
      <w:r w:rsidR="009110BF" w:rsidRPr="000B78E1">
        <w:rPr>
          <w:rFonts w:ascii="Arial" w:hAnsi="Arial" w:cs="Arial"/>
          <w:sz w:val="22"/>
          <w:szCs w:val="22"/>
        </w:rPr>
        <w:t xml:space="preserve">introduces institutional trust and regulatory recognition as moderating mechanisms that determine whether digital data is accepted by banks. At the same time, firm-level capabilities i.e. financial literacy, digital skills, business readiness and formality status influence how effectively SMEs generate usable data. These moderators explain why the pathway from DFS to credit is conditional rather than direct. By connecting these </w:t>
      </w:r>
      <w:proofErr w:type="gramStart"/>
      <w:r w:rsidR="009110BF" w:rsidRPr="000B78E1">
        <w:rPr>
          <w:rFonts w:ascii="Arial" w:hAnsi="Arial" w:cs="Arial"/>
          <w:sz w:val="22"/>
          <w:szCs w:val="22"/>
        </w:rPr>
        <w:t>elements</w:t>
      </w:r>
      <w:proofErr w:type="gramEnd"/>
      <w:r w:rsidR="009110BF" w:rsidRPr="000B78E1">
        <w:rPr>
          <w:rFonts w:ascii="Arial" w:hAnsi="Arial" w:cs="Arial"/>
          <w:sz w:val="22"/>
          <w:szCs w:val="22"/>
        </w:rPr>
        <w:t xml:space="preserve"> the study introduces a multi-stage process that provides a clearer explanation of how digital usage may influence credit decisions, moving the literature from adoption focused models to outcome oriented financial intermediation processes</w:t>
      </w:r>
      <w:r w:rsidR="003C0CBC" w:rsidRPr="000B78E1">
        <w:rPr>
          <w:rFonts w:ascii="Arial" w:hAnsi="Arial" w:cs="Arial"/>
          <w:sz w:val="22"/>
          <w:szCs w:val="22"/>
        </w:rPr>
        <w:t>.</w:t>
      </w:r>
      <w:r w:rsidR="00A47434" w:rsidRPr="000B78E1">
        <w:rPr>
          <w:rFonts w:ascii="Arial" w:hAnsi="Arial" w:cs="Arial"/>
          <w:noProof/>
          <w:sz w:val="22"/>
          <w:szCs w:val="22"/>
        </w:rPr>
        <w:t xml:space="preserve"> </w:t>
      </w:r>
    </w:p>
    <w:p w14:paraId="77DD8B71" w14:textId="5EB13AD0" w:rsidR="00DA5717" w:rsidRPr="000B78E1" w:rsidRDefault="00310982" w:rsidP="000B78E1">
      <w:pPr>
        <w:spacing w:line="360" w:lineRule="auto"/>
        <w:jc w:val="both"/>
        <w:rPr>
          <w:rFonts w:ascii="Arial" w:hAnsi="Arial" w:cs="Arial"/>
          <w:sz w:val="22"/>
          <w:szCs w:val="22"/>
        </w:rPr>
      </w:pPr>
      <w:r w:rsidRPr="000B78E1">
        <w:rPr>
          <w:rFonts w:ascii="Arial" w:hAnsi="Arial" w:cs="Arial"/>
          <w:noProof/>
          <w:sz w:val="22"/>
          <w:szCs w:val="22"/>
        </w:rPr>
        <mc:AlternateContent>
          <mc:Choice Requires="wps">
            <w:drawing>
              <wp:anchor distT="0" distB="0" distL="114300" distR="114300" simplePos="0" relativeHeight="251760128" behindDoc="0" locked="0" layoutInCell="1" allowOverlap="1" wp14:anchorId="3C529EAC" wp14:editId="442BCF79">
                <wp:simplePos x="0" y="0"/>
                <wp:positionH relativeFrom="column">
                  <wp:posOffset>2235200</wp:posOffset>
                </wp:positionH>
                <wp:positionV relativeFrom="paragraph">
                  <wp:posOffset>808355</wp:posOffset>
                </wp:positionV>
                <wp:extent cx="1149350" cy="6350"/>
                <wp:effectExtent l="38100" t="76200" r="0" b="88900"/>
                <wp:wrapNone/>
                <wp:docPr id="1535676014" name="Straight Arrow Connector 39"/>
                <wp:cNvGraphicFramePr/>
                <a:graphic xmlns:a="http://schemas.openxmlformats.org/drawingml/2006/main">
                  <a:graphicData uri="http://schemas.microsoft.com/office/word/2010/wordprocessingShape">
                    <wps:wsp>
                      <wps:cNvCnPr/>
                      <wps:spPr>
                        <a:xfrm flipH="1" flipV="1">
                          <a:off x="0" y="0"/>
                          <a:ext cx="1149350" cy="6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8F4311C" id="Straight Arrow Connector 39" o:spid="_x0000_s1026" type="#_x0000_t32" style="position:absolute;margin-left:176pt;margin-top:63.65pt;width:90.5pt;height:.5pt;flip:x y;z-index:251760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" strokecolor="#156082 [3204]" strokeweight="1.5pt">
                <v:stroke endarrow="block" joinstyle="miter"/>
              </v:shape>
            </w:pict>
          </mc:Fallback>
        </mc:AlternateContent>
      </w:r>
      <w:r w:rsidRPr="000B78E1">
        <w:rPr>
          <w:rFonts w:ascii="Arial" w:hAnsi="Arial" w:cs="Arial"/>
          <w:noProof/>
          <w:sz w:val="22"/>
          <w:szCs w:val="22"/>
        </w:rPr>
        <mc:AlternateContent>
          <mc:Choice Requires="wps">
            <w:drawing>
              <wp:anchor distT="0" distB="0" distL="114300" distR="114300" simplePos="0" relativeHeight="251755008" behindDoc="0" locked="0" layoutInCell="1" allowOverlap="1" wp14:anchorId="356D522C" wp14:editId="5039C37C">
                <wp:simplePos x="0" y="0"/>
                <wp:positionH relativeFrom="column">
                  <wp:posOffset>5041900</wp:posOffset>
                </wp:positionH>
                <wp:positionV relativeFrom="paragraph">
                  <wp:posOffset>821690</wp:posOffset>
                </wp:positionV>
                <wp:extent cx="552450" cy="12700"/>
                <wp:effectExtent l="38100" t="57150" r="0" b="101600"/>
                <wp:wrapNone/>
                <wp:docPr id="1075768661" name="Straight Arrow Connector 38"/>
                <wp:cNvGraphicFramePr/>
                <a:graphic xmlns:a="http://schemas.openxmlformats.org/drawingml/2006/main">
                  <a:graphicData uri="http://schemas.microsoft.com/office/word/2010/wordprocessingShape">
                    <wps:wsp>
                      <wps:cNvCnPr/>
                      <wps:spPr>
                        <a:xfrm flipH="1">
                          <a:off x="0" y="0"/>
                          <a:ext cx="552450" cy="127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EAAEA64" id="Straight Arrow Connector 38" o:spid="_x0000_s1026" type="#_x0000_t32" style="position:absolute;margin-left:397pt;margin-top:64.7pt;width:43.5pt;height:1pt;flip:x;z-index:251755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" strokecolor="#156082 [3204]" strokeweight="1.5pt">
                <v:stroke endarrow="block" joinstyle="miter"/>
              </v:shape>
            </w:pict>
          </mc:Fallback>
        </mc:AlternateContent>
      </w:r>
      <w:r w:rsidRPr="000B78E1">
        <w:rPr>
          <w:rFonts w:ascii="Arial" w:hAnsi="Arial" w:cs="Arial"/>
          <w:noProof/>
          <w:sz w:val="22"/>
          <w:szCs w:val="22"/>
        </w:rPr>
        <mc:AlternateContent>
          <mc:Choice Requires="wps">
            <w:drawing>
              <wp:anchor distT="45720" distB="45720" distL="114300" distR="114300" simplePos="0" relativeHeight="251739648" behindDoc="0" locked="0" layoutInCell="1" allowOverlap="1" wp14:anchorId="324B901D" wp14:editId="0C89B264">
                <wp:simplePos x="0" y="0"/>
                <wp:positionH relativeFrom="column">
                  <wp:posOffset>3321050</wp:posOffset>
                </wp:positionH>
                <wp:positionV relativeFrom="paragraph">
                  <wp:posOffset>683260</wp:posOffset>
                </wp:positionV>
                <wp:extent cx="1714500" cy="285750"/>
                <wp:effectExtent l="0" t="0" r="19050" b="19050"/>
                <wp:wrapSquare wrapText="bothSides"/>
                <wp:docPr id="1134378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85750"/>
                        </a:xfrm>
                        <a:prstGeom prst="rect">
                          <a:avLst/>
                        </a:prstGeom>
                        <a:solidFill>
                          <a:srgbClr val="FFFFFF"/>
                        </a:solidFill>
                        <a:ln w="9525">
                          <a:solidFill>
                            <a:srgbClr val="000000"/>
                          </a:solidFill>
                          <a:miter lim="800000"/>
                          <a:headEnd/>
                          <a:tailEnd/>
                        </a:ln>
                      </wps:spPr>
                      <wps:txbx>
                        <w:txbxContent>
                          <w:p w14:paraId="5651E413" w14:textId="692572A4" w:rsidR="00C42B3F" w:rsidRDefault="0049365D" w:rsidP="00C42B3F">
                            <w:r>
                              <w:t xml:space="preserve">     Credit conversion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4B901D" id="_x0000_s1045" type="#_x0000_t202" style="position:absolute;left:0;text-align:left;margin-left:261.5pt;margin-top:53.8pt;width:135pt;height:22.5pt;z-index:251739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">
                <v:textbox>
                  <w:txbxContent>
                    <w:p w14:paraId="5651E413" w14:textId="692572A4" w:rsidR="00C42B3F" w:rsidRDefault="0049365D" w:rsidP="00C42B3F">
                      <w:r>
                        <w:t xml:space="preserve">     Credit conversion</w:t>
                      </w:r>
                    </w:p>
                  </w:txbxContent>
                </v:textbox>
                <w10:wrap type="square"/>
              </v:shape>
            </w:pict>
          </mc:Fallback>
        </mc:AlternateContent>
      </w:r>
      <w:r w:rsidR="005E1B2E" w:rsidRPr="000B78E1">
        <w:rPr>
          <w:rFonts w:ascii="Arial" w:hAnsi="Arial" w:cs="Arial"/>
          <w:noProof/>
          <w:sz w:val="22"/>
          <w:szCs w:val="22"/>
        </w:rPr>
        <mc:AlternateContent>
          <mc:Choice Requires="wps">
            <w:drawing>
              <wp:anchor distT="45720" distB="45720" distL="114300" distR="114300" simplePos="0" relativeHeight="251734528" behindDoc="0" locked="0" layoutInCell="1" allowOverlap="1" wp14:anchorId="67DEDE82" wp14:editId="2ACDCF5F">
                <wp:simplePos x="0" y="0"/>
                <wp:positionH relativeFrom="column">
                  <wp:posOffset>527050</wp:posOffset>
                </wp:positionH>
                <wp:positionV relativeFrom="paragraph">
                  <wp:posOffset>642620</wp:posOffset>
                </wp:positionV>
                <wp:extent cx="1714500" cy="285750"/>
                <wp:effectExtent l="0" t="0" r="19050" b="19050"/>
                <wp:wrapSquare wrapText="bothSides"/>
                <wp:docPr id="1516731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285750"/>
                        </a:xfrm>
                        <a:prstGeom prst="rect">
                          <a:avLst/>
                        </a:prstGeom>
                        <a:solidFill>
                          <a:srgbClr val="FFFFFF"/>
                        </a:solidFill>
                        <a:ln w="9525">
                          <a:solidFill>
                            <a:srgbClr val="000000"/>
                          </a:solidFill>
                          <a:miter lim="800000"/>
                          <a:headEnd/>
                          <a:tailEnd/>
                        </a:ln>
                      </wps:spPr>
                      <wps:txbx>
                        <w:txbxContent>
                          <w:p w14:paraId="20DD4402" w14:textId="3A9BC023" w:rsidR="00C42B3F" w:rsidRDefault="0075041E" w:rsidP="0075041E">
                            <w:pPr>
                              <w:jc w:val="center"/>
                            </w:pPr>
                            <w:r>
                              <w:t>Sustainability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DEDE82" id="_x0000_s1046" type="#_x0000_t202" style="position:absolute;left:0;text-align:left;margin-left:41.5pt;margin-top:50.6pt;width:135pt;height:22.5pt;z-index:251734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">
                <v:textbox>
                  <w:txbxContent>
                    <w:p w14:paraId="20DD4402" w14:textId="3A9BC023" w:rsidR="00C42B3F" w:rsidRDefault="0075041E" w:rsidP="0075041E">
                      <w:pPr>
                        <w:jc w:val="center"/>
                      </w:pPr>
                      <w:r>
                        <w:t>Sustainability</w:t>
                      </w:r>
                    </w:p>
                  </w:txbxContent>
                </v:textbox>
                <w10:wrap type="square"/>
              </v:shape>
            </w:pict>
          </mc:Fallback>
        </mc:AlternateContent>
      </w:r>
      <w:r w:rsidR="005E1B2E" w:rsidRPr="000B78E1">
        <w:rPr>
          <w:rFonts w:ascii="Arial" w:hAnsi="Arial" w:cs="Arial"/>
          <w:noProof/>
          <w:sz w:val="22"/>
          <w:szCs w:val="22"/>
        </w:rPr>
        <mc:AlternateContent>
          <mc:Choice Requires="wps">
            <w:drawing>
              <wp:anchor distT="0" distB="0" distL="114300" distR="114300" simplePos="0" relativeHeight="251744768" behindDoc="0" locked="0" layoutInCell="1" allowOverlap="1" wp14:anchorId="77751F5D" wp14:editId="14295FCD">
                <wp:simplePos x="0" y="0"/>
                <wp:positionH relativeFrom="column">
                  <wp:posOffset>1701800</wp:posOffset>
                </wp:positionH>
                <wp:positionV relativeFrom="paragraph">
                  <wp:posOffset>285750</wp:posOffset>
                </wp:positionV>
                <wp:extent cx="304800" cy="6350"/>
                <wp:effectExtent l="0" t="76200" r="19050" b="88900"/>
                <wp:wrapNone/>
                <wp:docPr id="2084380791" name="Straight Arrow Connector 35"/>
                <wp:cNvGraphicFramePr/>
                <a:graphic xmlns:a="http://schemas.openxmlformats.org/drawingml/2006/main">
                  <a:graphicData uri="http://schemas.microsoft.com/office/word/2010/wordprocessingShape">
                    <wps:wsp>
                      <wps:cNvCnPr/>
                      <wps:spPr>
                        <a:xfrm flipV="1">
                          <a:off x="0" y="0"/>
                          <a:ext cx="304800" cy="63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C4FBDCD" id="Straight Arrow Connector 35" o:spid="_x0000_s1026" type="#_x0000_t32" style="position:absolute;margin-left:134pt;margin-top:22.5pt;width:24pt;height:.5pt;flip:y;z-index:251744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" strokecolor="#156082 [3204]" strokeweight="1.5pt">
                <v:stroke endarrow="block" joinstyle="miter"/>
              </v:shape>
            </w:pict>
          </mc:Fallback>
        </mc:AlternateContent>
      </w:r>
      <w:r w:rsidR="005E1B2E" w:rsidRPr="000B78E1">
        <w:rPr>
          <w:rFonts w:ascii="Arial" w:hAnsi="Arial" w:cs="Arial"/>
          <w:noProof/>
          <w:sz w:val="22"/>
          <w:szCs w:val="22"/>
        </w:rPr>
        <mc:AlternateContent>
          <mc:Choice Requires="wps">
            <w:drawing>
              <wp:anchor distT="45720" distB="45720" distL="114300" distR="114300" simplePos="0" relativeHeight="251724288" behindDoc="0" locked="0" layoutInCell="1" allowOverlap="1" wp14:anchorId="740C2002" wp14:editId="44840E34">
                <wp:simplePos x="0" y="0"/>
                <wp:positionH relativeFrom="margin">
                  <wp:align>center</wp:align>
                </wp:positionH>
                <wp:positionV relativeFrom="paragraph">
                  <wp:posOffset>139065</wp:posOffset>
                </wp:positionV>
                <wp:extent cx="1549400" cy="285750"/>
                <wp:effectExtent l="0" t="0" r="12700" b="19050"/>
                <wp:wrapSquare wrapText="bothSides"/>
                <wp:docPr id="510055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9400" cy="285750"/>
                        </a:xfrm>
                        <a:prstGeom prst="rect">
                          <a:avLst/>
                        </a:prstGeom>
                        <a:solidFill>
                          <a:srgbClr val="FFFFFF"/>
                        </a:solidFill>
                        <a:ln w="9525">
                          <a:solidFill>
                            <a:srgbClr val="000000"/>
                          </a:solidFill>
                          <a:miter lim="800000"/>
                          <a:headEnd/>
                          <a:tailEnd/>
                        </a:ln>
                      </wps:spPr>
                      <wps:txbx>
                        <w:txbxContent>
                          <w:p w14:paraId="3B618F8C" w14:textId="1F20BD9F" w:rsidR="005038A2" w:rsidRDefault="00AF205F" w:rsidP="005038A2">
                            <w:r>
                              <w:t xml:space="preserve">       </w:t>
                            </w:r>
                            <w:r w:rsidR="005038A2">
                              <w:t>Digital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C2002" id="_x0000_s1047" type="#_x0000_t202" style="position:absolute;left:0;text-align:left;margin-left:0;margin-top:10.95pt;width:122pt;height:22.5pt;z-index:251724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">
                <v:textbox>
                  <w:txbxContent>
                    <w:p w14:paraId="3B618F8C" w14:textId="1F20BD9F" w:rsidR="005038A2" w:rsidRDefault="00AF205F" w:rsidP="005038A2">
                      <w:r>
                        <w:t xml:space="preserve">       </w:t>
                      </w:r>
                      <w:r w:rsidR="005038A2">
                        <w:t>Digital Data</w:t>
                      </w:r>
                    </w:p>
                  </w:txbxContent>
                </v:textbox>
                <w10:wrap type="square" anchorx="margin"/>
              </v:shape>
            </w:pict>
          </mc:Fallback>
        </mc:AlternateContent>
      </w:r>
      <w:r w:rsidR="005E1B2E" w:rsidRPr="000B78E1">
        <w:rPr>
          <w:rFonts w:ascii="Arial" w:hAnsi="Arial" w:cs="Arial"/>
          <w:noProof/>
          <w:sz w:val="22"/>
          <w:szCs w:val="22"/>
        </w:rPr>
        <mc:AlternateContent>
          <mc:Choice Requires="wps">
            <w:drawing>
              <wp:anchor distT="45720" distB="45720" distL="114300" distR="114300" simplePos="0" relativeHeight="251719168" behindDoc="0" locked="0" layoutInCell="1" allowOverlap="1" wp14:anchorId="5239E064" wp14:editId="43115D24">
                <wp:simplePos x="0" y="0"/>
                <wp:positionH relativeFrom="column">
                  <wp:posOffset>63500</wp:posOffset>
                </wp:positionH>
                <wp:positionV relativeFrom="paragraph">
                  <wp:posOffset>127000</wp:posOffset>
                </wp:positionV>
                <wp:extent cx="1606550" cy="285750"/>
                <wp:effectExtent l="0" t="0" r="12700" b="19050"/>
                <wp:wrapSquare wrapText="bothSides"/>
                <wp:docPr id="159736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285750"/>
                        </a:xfrm>
                        <a:prstGeom prst="rect">
                          <a:avLst/>
                        </a:prstGeom>
                        <a:solidFill>
                          <a:srgbClr val="FFFFFF"/>
                        </a:solidFill>
                        <a:ln w="9525">
                          <a:solidFill>
                            <a:srgbClr val="000000"/>
                          </a:solidFill>
                          <a:miter lim="800000"/>
                          <a:headEnd/>
                          <a:tailEnd/>
                        </a:ln>
                      </wps:spPr>
                      <wps:txbx>
                        <w:txbxContent>
                          <w:p w14:paraId="49A0C536" w14:textId="1AE8A27F" w:rsidR="00221720" w:rsidRDefault="00AF205F">
                            <w:r>
                              <w:t xml:space="preserve">    </w:t>
                            </w:r>
                            <w:r w:rsidR="00221720">
                              <w:t>DFS adoption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39E064" id="_x0000_s1048" type="#_x0000_t202" style="position:absolute;left:0;text-align:left;margin-left:5pt;margin-top:10pt;width:126.5pt;height:22.5pt;z-index:251719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">
                <v:textbox>
                  <w:txbxContent>
                    <w:p w14:paraId="49A0C536" w14:textId="1AE8A27F" w:rsidR="00221720" w:rsidRDefault="00AF205F">
                      <w:r>
                        <w:t xml:space="preserve">    </w:t>
                      </w:r>
                      <w:r w:rsidR="00221720">
                        <w:t>DFS adoption</w:t>
                      </w:r>
                    </w:p>
                  </w:txbxContent>
                </v:textbox>
                <w10:wrap type="square"/>
              </v:shape>
            </w:pict>
          </mc:Fallback>
        </mc:AlternateContent>
      </w:r>
    </w:p>
    <w:p w14:paraId="2EDE7B75" w14:textId="61D27E82" w:rsidR="00C42B3F" w:rsidRPr="000B78E1" w:rsidRDefault="00C42B3F" w:rsidP="000B78E1">
      <w:pPr>
        <w:spacing w:line="360" w:lineRule="auto"/>
        <w:jc w:val="both"/>
        <w:rPr>
          <w:rFonts w:ascii="Arial" w:hAnsi="Arial" w:cs="Arial"/>
          <w:sz w:val="22"/>
          <w:szCs w:val="22"/>
        </w:rPr>
      </w:pPr>
    </w:p>
    <w:p w14:paraId="59FF7CF6" w14:textId="02516B53" w:rsidR="00AF205F" w:rsidRPr="000B78E1" w:rsidRDefault="00D62E72" w:rsidP="000B78E1">
      <w:pPr>
        <w:spacing w:line="360" w:lineRule="auto"/>
        <w:jc w:val="center"/>
        <w:rPr>
          <w:rFonts w:ascii="Arial" w:hAnsi="Arial" w:cs="Arial"/>
          <w:sz w:val="22"/>
          <w:szCs w:val="22"/>
        </w:rPr>
      </w:pPr>
      <w:r w:rsidRPr="000B78E1">
        <w:rPr>
          <w:rFonts w:ascii="Arial" w:hAnsi="Arial" w:cs="Arial"/>
          <w:sz w:val="22"/>
          <w:szCs w:val="22"/>
        </w:rPr>
        <w:t>Figure-3: Theoretical contribution</w:t>
      </w:r>
    </w:p>
    <w:p w14:paraId="3E773515" w14:textId="77777777" w:rsidR="00494B76" w:rsidRDefault="00494B76" w:rsidP="000B78E1">
      <w:pPr>
        <w:spacing w:line="360" w:lineRule="auto"/>
        <w:jc w:val="center"/>
        <w:rPr>
          <w:rFonts w:ascii="Arial" w:hAnsi="Arial" w:cs="Arial"/>
          <w:sz w:val="22"/>
          <w:szCs w:val="22"/>
        </w:rPr>
      </w:pPr>
    </w:p>
    <w:p w14:paraId="7E3BB275" w14:textId="77777777" w:rsidR="007E4611" w:rsidRPr="000B78E1" w:rsidRDefault="007E4611" w:rsidP="000B78E1">
      <w:pPr>
        <w:spacing w:line="360" w:lineRule="auto"/>
        <w:jc w:val="center"/>
        <w:rPr>
          <w:rFonts w:ascii="Arial" w:hAnsi="Arial" w:cs="Arial"/>
          <w:sz w:val="22"/>
          <w:szCs w:val="22"/>
        </w:rPr>
      </w:pPr>
    </w:p>
    <w:p w14:paraId="45508DD8" w14:textId="18B3B5DB" w:rsidR="00451BEC" w:rsidRPr="000B78E1" w:rsidRDefault="004912B9" w:rsidP="000B78E1">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t>Contribution to Practice:</w:t>
      </w:r>
    </w:p>
    <w:p w14:paraId="32874D6A" w14:textId="17BA17FE" w:rsidR="003E1DE1" w:rsidRPr="000B78E1" w:rsidRDefault="003958C0" w:rsidP="000B78E1">
      <w:pPr>
        <w:spacing w:after="0" w:line="360" w:lineRule="auto"/>
        <w:jc w:val="both"/>
        <w:rPr>
          <w:rFonts w:ascii="Arial" w:hAnsi="Arial" w:cs="Arial"/>
          <w:sz w:val="22"/>
          <w:szCs w:val="22"/>
        </w:rPr>
      </w:pPr>
      <w:r w:rsidRPr="000B78E1">
        <w:rPr>
          <w:rFonts w:ascii="Arial" w:hAnsi="Arial" w:cs="Arial"/>
          <w:sz w:val="22"/>
          <w:szCs w:val="22"/>
        </w:rPr>
        <w:t xml:space="preserve">To incorporate the SME sector within the business scope </w:t>
      </w:r>
      <w:r w:rsidR="005E30BE" w:rsidRPr="000B78E1">
        <w:rPr>
          <w:rFonts w:ascii="Arial" w:hAnsi="Arial" w:cs="Arial"/>
          <w:sz w:val="22"/>
          <w:szCs w:val="22"/>
        </w:rPr>
        <w:t>the b</w:t>
      </w:r>
      <w:r w:rsidR="003E1DE1" w:rsidRPr="000B78E1">
        <w:rPr>
          <w:rFonts w:ascii="Arial" w:hAnsi="Arial" w:cs="Arial"/>
          <w:sz w:val="22"/>
          <w:szCs w:val="22"/>
        </w:rPr>
        <w:t xml:space="preserve">anks need to </w:t>
      </w:r>
      <w:r w:rsidR="005E2ED0" w:rsidRPr="000B78E1">
        <w:rPr>
          <w:rFonts w:ascii="Arial" w:hAnsi="Arial" w:cs="Arial"/>
          <w:sz w:val="22"/>
          <w:szCs w:val="22"/>
        </w:rPr>
        <w:t xml:space="preserve">adopt their lending policies and </w:t>
      </w:r>
      <w:r w:rsidR="003E1DE1" w:rsidRPr="000B78E1">
        <w:rPr>
          <w:rFonts w:ascii="Arial" w:hAnsi="Arial" w:cs="Arial"/>
          <w:sz w:val="22"/>
          <w:szCs w:val="22"/>
        </w:rPr>
        <w:t xml:space="preserve">develop systems to recognise and use digital transaction data </w:t>
      </w:r>
      <w:r w:rsidR="00DD3237" w:rsidRPr="000B78E1">
        <w:rPr>
          <w:rFonts w:ascii="Arial" w:hAnsi="Arial" w:cs="Arial"/>
          <w:sz w:val="22"/>
          <w:szCs w:val="22"/>
        </w:rPr>
        <w:t>i.e.</w:t>
      </w:r>
      <w:r w:rsidR="003E1DE1" w:rsidRPr="000B78E1">
        <w:rPr>
          <w:rFonts w:ascii="Arial" w:hAnsi="Arial" w:cs="Arial"/>
          <w:sz w:val="22"/>
          <w:szCs w:val="22"/>
        </w:rPr>
        <w:t xml:space="preserve"> mobile payments, </w:t>
      </w:r>
      <w:r w:rsidR="00DD3237" w:rsidRPr="000B78E1">
        <w:rPr>
          <w:rFonts w:ascii="Arial" w:hAnsi="Arial" w:cs="Arial"/>
          <w:sz w:val="22"/>
          <w:szCs w:val="22"/>
        </w:rPr>
        <w:t>account activities</w:t>
      </w:r>
      <w:r w:rsidR="00DE6C93" w:rsidRPr="000B78E1">
        <w:rPr>
          <w:rFonts w:ascii="Arial" w:hAnsi="Arial" w:cs="Arial"/>
          <w:sz w:val="22"/>
          <w:szCs w:val="22"/>
        </w:rPr>
        <w:t>, transaction records</w:t>
      </w:r>
      <w:r w:rsidR="003E1DE1" w:rsidRPr="000B78E1">
        <w:rPr>
          <w:rFonts w:ascii="Arial" w:hAnsi="Arial" w:cs="Arial"/>
          <w:sz w:val="22"/>
          <w:szCs w:val="22"/>
        </w:rPr>
        <w:t xml:space="preserve"> in credit assessment. This can help reduce information gaps and expand lending to SMEs that </w:t>
      </w:r>
      <w:r w:rsidR="00C05B3E" w:rsidRPr="000B78E1">
        <w:rPr>
          <w:rFonts w:ascii="Arial" w:hAnsi="Arial" w:cs="Arial"/>
          <w:sz w:val="22"/>
          <w:szCs w:val="22"/>
        </w:rPr>
        <w:t xml:space="preserve">cannot offer </w:t>
      </w:r>
      <w:r w:rsidR="003E1DE1" w:rsidRPr="000B78E1">
        <w:rPr>
          <w:rFonts w:ascii="Arial" w:hAnsi="Arial" w:cs="Arial"/>
          <w:sz w:val="22"/>
          <w:szCs w:val="22"/>
        </w:rPr>
        <w:t>traditional collateral</w:t>
      </w:r>
      <w:r w:rsidR="00BC62F6" w:rsidRPr="000B78E1">
        <w:rPr>
          <w:rFonts w:ascii="Arial" w:hAnsi="Arial" w:cs="Arial"/>
          <w:sz w:val="22"/>
          <w:szCs w:val="22"/>
        </w:rPr>
        <w:t>s</w:t>
      </w:r>
      <w:r w:rsidR="003E1DE1" w:rsidRPr="000B78E1">
        <w:rPr>
          <w:rFonts w:ascii="Arial" w:hAnsi="Arial" w:cs="Arial"/>
          <w:sz w:val="22"/>
          <w:szCs w:val="22"/>
        </w:rPr>
        <w:t>. It also highlights the need for better risk models and staff training to integrate digital data into lending decisions.</w:t>
      </w:r>
    </w:p>
    <w:p w14:paraId="3FA5916B" w14:textId="4392A321" w:rsidR="00246350" w:rsidRPr="00033D53" w:rsidRDefault="00246350" w:rsidP="000B78E1">
      <w:pPr>
        <w:spacing w:after="0" w:line="360" w:lineRule="auto"/>
        <w:jc w:val="both"/>
        <w:rPr>
          <w:rFonts w:ascii="Arial" w:hAnsi="Arial" w:cs="Arial"/>
          <w:sz w:val="14"/>
          <w:szCs w:val="14"/>
        </w:rPr>
      </w:pPr>
    </w:p>
    <w:p w14:paraId="345468D7" w14:textId="68B85580" w:rsidR="00771877" w:rsidRPr="000B78E1" w:rsidRDefault="00494B76" w:rsidP="000B78E1">
      <w:pPr>
        <w:spacing w:after="0" w:line="360" w:lineRule="auto"/>
        <w:jc w:val="both"/>
        <w:rPr>
          <w:rFonts w:ascii="Arial" w:hAnsi="Arial" w:cs="Arial"/>
          <w:sz w:val="22"/>
          <w:szCs w:val="22"/>
        </w:rPr>
      </w:pPr>
      <w:r w:rsidRPr="000B78E1">
        <w:rPr>
          <w:rFonts w:ascii="Arial" w:hAnsi="Arial" w:cs="Arial"/>
          <w:sz w:val="22"/>
          <w:szCs w:val="22"/>
        </w:rPr>
        <w:t>Similarly,</w:t>
      </w:r>
      <w:r w:rsidR="007E10CB" w:rsidRPr="000B78E1">
        <w:rPr>
          <w:rFonts w:ascii="Arial" w:hAnsi="Arial" w:cs="Arial"/>
          <w:sz w:val="22"/>
          <w:szCs w:val="22"/>
        </w:rPr>
        <w:t xml:space="preserve"> the </w:t>
      </w:r>
      <w:r w:rsidR="003E1DE1" w:rsidRPr="000B78E1">
        <w:rPr>
          <w:rFonts w:ascii="Arial" w:hAnsi="Arial" w:cs="Arial"/>
          <w:sz w:val="22"/>
          <w:szCs w:val="22"/>
        </w:rPr>
        <w:t>Governments and regulators should focus on building trust in digital data, improving regulatory frameworks and supporting data</w:t>
      </w:r>
      <w:r w:rsidR="00950CB2" w:rsidRPr="000B78E1">
        <w:rPr>
          <w:rFonts w:ascii="Arial" w:hAnsi="Arial" w:cs="Arial"/>
          <w:sz w:val="22"/>
          <w:szCs w:val="22"/>
        </w:rPr>
        <w:t xml:space="preserve"> </w:t>
      </w:r>
      <w:r w:rsidR="003E1DE1" w:rsidRPr="000B78E1">
        <w:rPr>
          <w:rFonts w:ascii="Arial" w:hAnsi="Arial" w:cs="Arial"/>
          <w:sz w:val="22"/>
          <w:szCs w:val="22"/>
        </w:rPr>
        <w:t>sharing systems such as credit registries</w:t>
      </w:r>
      <w:r w:rsidR="00CC2691" w:rsidRPr="000B78E1">
        <w:rPr>
          <w:rFonts w:ascii="Arial" w:hAnsi="Arial" w:cs="Arial"/>
          <w:sz w:val="22"/>
          <w:szCs w:val="22"/>
        </w:rPr>
        <w:t xml:space="preserve"> because </w:t>
      </w:r>
      <w:r w:rsidR="00CC2691" w:rsidRPr="000B78E1">
        <w:rPr>
          <w:rFonts w:ascii="Arial" w:hAnsi="Arial" w:cs="Arial"/>
          <w:sz w:val="22"/>
          <w:szCs w:val="22"/>
        </w:rPr>
        <w:t>improving financial inclusion</w:t>
      </w:r>
      <w:r w:rsidR="007307EC" w:rsidRPr="000B78E1">
        <w:rPr>
          <w:rFonts w:ascii="Arial" w:hAnsi="Arial" w:cs="Arial"/>
          <w:sz w:val="22"/>
          <w:szCs w:val="22"/>
        </w:rPr>
        <w:t xml:space="preserve"> of SMEs</w:t>
      </w:r>
      <w:r w:rsidR="00CC2691" w:rsidRPr="000B78E1">
        <w:rPr>
          <w:rFonts w:ascii="Arial" w:hAnsi="Arial" w:cs="Arial"/>
          <w:sz w:val="22"/>
          <w:szCs w:val="22"/>
        </w:rPr>
        <w:t xml:space="preserve"> requires more than</w:t>
      </w:r>
      <w:r w:rsidR="00CC2691" w:rsidRPr="000B78E1">
        <w:rPr>
          <w:rFonts w:ascii="Arial" w:hAnsi="Arial" w:cs="Arial"/>
          <w:sz w:val="22"/>
          <w:szCs w:val="22"/>
        </w:rPr>
        <w:t xml:space="preserve"> just</w:t>
      </w:r>
      <w:r w:rsidR="00CC2691" w:rsidRPr="000B78E1">
        <w:rPr>
          <w:rFonts w:ascii="Arial" w:hAnsi="Arial" w:cs="Arial"/>
          <w:sz w:val="22"/>
          <w:szCs w:val="22"/>
        </w:rPr>
        <w:t xml:space="preserve"> expan</w:t>
      </w:r>
      <w:r w:rsidR="00F1229D" w:rsidRPr="000B78E1">
        <w:rPr>
          <w:rFonts w:ascii="Arial" w:hAnsi="Arial" w:cs="Arial"/>
          <w:sz w:val="22"/>
          <w:szCs w:val="22"/>
        </w:rPr>
        <w:t>sion of</w:t>
      </w:r>
      <w:r w:rsidR="00CC2691" w:rsidRPr="000B78E1">
        <w:rPr>
          <w:rFonts w:ascii="Arial" w:hAnsi="Arial" w:cs="Arial"/>
          <w:sz w:val="22"/>
          <w:szCs w:val="22"/>
        </w:rPr>
        <w:t xml:space="preserve"> access to digital services.</w:t>
      </w:r>
      <w:r w:rsidR="003E1DE1" w:rsidRPr="000B78E1">
        <w:rPr>
          <w:rFonts w:ascii="Arial" w:hAnsi="Arial" w:cs="Arial"/>
          <w:sz w:val="22"/>
          <w:szCs w:val="22"/>
        </w:rPr>
        <w:t xml:space="preserve"> In addition</w:t>
      </w:r>
      <w:r w:rsidR="00F1229D" w:rsidRPr="000B78E1">
        <w:rPr>
          <w:rFonts w:ascii="Arial" w:hAnsi="Arial" w:cs="Arial"/>
          <w:sz w:val="22"/>
          <w:szCs w:val="22"/>
        </w:rPr>
        <w:t xml:space="preserve"> to that</w:t>
      </w:r>
      <w:r w:rsidR="003E1DE1" w:rsidRPr="000B78E1">
        <w:rPr>
          <w:rFonts w:ascii="Arial" w:hAnsi="Arial" w:cs="Arial"/>
          <w:sz w:val="22"/>
          <w:szCs w:val="22"/>
        </w:rPr>
        <w:t xml:space="preserve"> policies should promote digital literacy and financial education so that SMEs can effectively use digital tools.</w:t>
      </w:r>
      <w:r w:rsidR="00033D53">
        <w:rPr>
          <w:rFonts w:ascii="Arial" w:hAnsi="Arial" w:cs="Arial"/>
          <w:sz w:val="22"/>
          <w:szCs w:val="22"/>
        </w:rPr>
        <w:t xml:space="preserve"> </w:t>
      </w:r>
      <w:r w:rsidR="007E10CB" w:rsidRPr="000B78E1">
        <w:rPr>
          <w:rFonts w:ascii="Arial" w:hAnsi="Arial" w:cs="Arial"/>
          <w:sz w:val="22"/>
          <w:szCs w:val="22"/>
        </w:rPr>
        <w:t>At the same time</w:t>
      </w:r>
      <w:r w:rsidR="00771877" w:rsidRPr="000B78E1">
        <w:rPr>
          <w:rFonts w:ascii="Arial" w:hAnsi="Arial" w:cs="Arial"/>
          <w:sz w:val="22"/>
          <w:szCs w:val="22"/>
        </w:rPr>
        <w:t xml:space="preserve"> SMEs </w:t>
      </w:r>
      <w:r w:rsidR="00771877" w:rsidRPr="000B78E1">
        <w:rPr>
          <w:rFonts w:ascii="Arial" w:hAnsi="Arial" w:cs="Arial"/>
          <w:sz w:val="22"/>
          <w:szCs w:val="22"/>
        </w:rPr>
        <w:lastRenderedPageBreak/>
        <w:t xml:space="preserve">should </w:t>
      </w:r>
      <w:r w:rsidR="000E5600" w:rsidRPr="000B78E1">
        <w:rPr>
          <w:rFonts w:ascii="Arial" w:hAnsi="Arial" w:cs="Arial"/>
          <w:sz w:val="22"/>
          <w:szCs w:val="22"/>
        </w:rPr>
        <w:t>emphasis</w:t>
      </w:r>
      <w:r w:rsidR="00941D58" w:rsidRPr="000B78E1">
        <w:rPr>
          <w:rFonts w:ascii="Arial" w:hAnsi="Arial" w:cs="Arial"/>
          <w:sz w:val="22"/>
          <w:szCs w:val="22"/>
        </w:rPr>
        <w:t xml:space="preserve"> on building their</w:t>
      </w:r>
      <w:r w:rsidR="00E01E9A" w:rsidRPr="000B78E1">
        <w:rPr>
          <w:rFonts w:ascii="Arial" w:hAnsi="Arial" w:cs="Arial"/>
          <w:sz w:val="22"/>
          <w:szCs w:val="22"/>
        </w:rPr>
        <w:t xml:space="preserve"> </w:t>
      </w:r>
      <w:r w:rsidR="009B79EF" w:rsidRPr="000B78E1">
        <w:rPr>
          <w:rFonts w:ascii="Arial" w:hAnsi="Arial" w:cs="Arial"/>
          <w:sz w:val="22"/>
          <w:szCs w:val="22"/>
        </w:rPr>
        <w:t xml:space="preserve">reliable digital footprint by </w:t>
      </w:r>
      <w:r w:rsidR="009B79EF" w:rsidRPr="000B78E1">
        <w:rPr>
          <w:rFonts w:ascii="Arial" w:hAnsi="Arial" w:cs="Arial"/>
          <w:sz w:val="22"/>
          <w:szCs w:val="22"/>
        </w:rPr>
        <w:t>active and consistent use of DFS</w:t>
      </w:r>
      <w:r w:rsidR="009B79EF" w:rsidRPr="000B78E1">
        <w:rPr>
          <w:rFonts w:ascii="Arial" w:hAnsi="Arial" w:cs="Arial"/>
          <w:sz w:val="22"/>
          <w:szCs w:val="22"/>
        </w:rPr>
        <w:t xml:space="preserve"> and </w:t>
      </w:r>
      <w:r w:rsidR="00182021" w:rsidRPr="000B78E1">
        <w:rPr>
          <w:rFonts w:ascii="Arial" w:hAnsi="Arial" w:cs="Arial"/>
          <w:sz w:val="22"/>
          <w:szCs w:val="22"/>
        </w:rPr>
        <w:t xml:space="preserve">invest in financial management practices and digital skills </w:t>
      </w:r>
      <w:r w:rsidR="00182021" w:rsidRPr="000B78E1">
        <w:rPr>
          <w:rFonts w:ascii="Arial" w:hAnsi="Arial" w:cs="Arial"/>
          <w:sz w:val="22"/>
          <w:szCs w:val="22"/>
        </w:rPr>
        <w:t>so that</w:t>
      </w:r>
      <w:r w:rsidR="00182021" w:rsidRPr="000B78E1">
        <w:rPr>
          <w:rFonts w:ascii="Arial" w:hAnsi="Arial" w:cs="Arial"/>
          <w:sz w:val="22"/>
          <w:szCs w:val="22"/>
        </w:rPr>
        <w:t xml:space="preserve"> can improve their chances of accessing formal credit.</w:t>
      </w:r>
    </w:p>
    <w:p w14:paraId="4C366375" w14:textId="77777777" w:rsidR="006F12B8" w:rsidRPr="00033D53" w:rsidRDefault="006F12B8" w:rsidP="000B78E1">
      <w:pPr>
        <w:spacing w:after="0" w:line="360" w:lineRule="auto"/>
        <w:jc w:val="both"/>
        <w:rPr>
          <w:rFonts w:ascii="Arial" w:hAnsi="Arial" w:cs="Arial"/>
          <w:sz w:val="12"/>
          <w:szCs w:val="12"/>
        </w:rPr>
      </w:pPr>
    </w:p>
    <w:p w14:paraId="72CA34D2" w14:textId="4A6F542C" w:rsidR="00451BEC" w:rsidRPr="000B78E1" w:rsidRDefault="00582539" w:rsidP="000B78E1">
      <w:pPr>
        <w:spacing w:after="0" w:line="360" w:lineRule="auto"/>
        <w:jc w:val="both"/>
        <w:rPr>
          <w:rFonts w:ascii="Arial" w:hAnsi="Arial" w:cs="Arial"/>
          <w:sz w:val="22"/>
          <w:szCs w:val="22"/>
        </w:rPr>
      </w:pPr>
      <w:r w:rsidRPr="000B78E1">
        <w:rPr>
          <w:rFonts w:ascii="Arial" w:hAnsi="Arial" w:cs="Arial"/>
          <w:sz w:val="22"/>
          <w:szCs w:val="22"/>
        </w:rPr>
        <w:t xml:space="preserve">To summarize, the benefits of DFS can be fully utilized when </w:t>
      </w:r>
      <w:r w:rsidRPr="000B78E1">
        <w:rPr>
          <w:rFonts w:ascii="Arial" w:hAnsi="Arial" w:cs="Arial"/>
          <w:sz w:val="22"/>
          <w:szCs w:val="22"/>
        </w:rPr>
        <w:t>technology, institutions and user capability work together</w:t>
      </w:r>
      <w:r w:rsidRPr="000B78E1">
        <w:rPr>
          <w:rFonts w:ascii="Arial" w:hAnsi="Arial" w:cs="Arial"/>
          <w:sz w:val="22"/>
          <w:szCs w:val="22"/>
        </w:rPr>
        <w:t xml:space="preserve"> </w:t>
      </w:r>
      <w:r w:rsidR="00515AEA" w:rsidRPr="000B78E1">
        <w:rPr>
          <w:rFonts w:ascii="Arial" w:hAnsi="Arial" w:cs="Arial"/>
          <w:sz w:val="22"/>
          <w:szCs w:val="22"/>
        </w:rPr>
        <w:t xml:space="preserve">to collectively help to move from </w:t>
      </w:r>
      <w:r w:rsidR="00515AEA" w:rsidRPr="000B78E1">
        <w:rPr>
          <w:rFonts w:ascii="Arial" w:hAnsi="Arial" w:cs="Arial"/>
          <w:sz w:val="22"/>
          <w:szCs w:val="22"/>
        </w:rPr>
        <w:t>simple access to meaningful credit outcomes</w:t>
      </w:r>
      <w:r w:rsidR="0092064A" w:rsidRPr="000B78E1">
        <w:rPr>
          <w:rFonts w:ascii="Arial" w:hAnsi="Arial" w:cs="Arial"/>
          <w:sz w:val="22"/>
          <w:szCs w:val="22"/>
        </w:rPr>
        <w:t>.</w:t>
      </w:r>
    </w:p>
    <w:p w14:paraId="51018260" w14:textId="77777777" w:rsidR="006E3F6D" w:rsidRPr="000B78E1" w:rsidRDefault="006E3F6D" w:rsidP="000B78E1">
      <w:pPr>
        <w:spacing w:after="0" w:line="360" w:lineRule="auto"/>
        <w:jc w:val="both"/>
        <w:rPr>
          <w:rFonts w:ascii="Arial" w:hAnsi="Arial" w:cs="Arial"/>
          <w:sz w:val="22"/>
          <w:szCs w:val="22"/>
        </w:rPr>
      </w:pPr>
    </w:p>
    <w:p w14:paraId="44317BC3" w14:textId="051013C2" w:rsidR="00E92F5E" w:rsidRPr="00033D53" w:rsidRDefault="00633CCB" w:rsidP="00033D53">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t>Conclusion:</w:t>
      </w:r>
    </w:p>
    <w:p w14:paraId="7BD222CD" w14:textId="77777777" w:rsidR="002931BD" w:rsidRPr="000B78E1" w:rsidRDefault="002931BD" w:rsidP="000B78E1">
      <w:pPr>
        <w:spacing w:after="0" w:line="360" w:lineRule="auto"/>
        <w:jc w:val="both"/>
        <w:rPr>
          <w:rFonts w:ascii="Arial" w:hAnsi="Arial" w:cs="Arial"/>
          <w:sz w:val="22"/>
          <w:szCs w:val="22"/>
        </w:rPr>
      </w:pPr>
      <w:r w:rsidRPr="000B78E1">
        <w:rPr>
          <w:rFonts w:ascii="Arial" w:hAnsi="Arial" w:cs="Arial"/>
          <w:sz w:val="22"/>
          <w:szCs w:val="22"/>
        </w:rPr>
        <w:t>The study strives to find out whether DFS can effectively improve SME credit accessibility and business sustainability.it is evident from the fin dings that DFS plays an important role in enhancing financial access, reducing transaction cost and creating digital data but it does not automatically lead to formal credit. The review also reveals that the relationship between DFS, credit access and SME sustainability is complex and conditional rather than direct. DFS helps reduce information asymmetry and improves financial visibility of SME but the conversion of digital activity into actual lending depends on institutional factors such as regulatory frameworks, bank policies and trust in digital data. Besides, SME level capabilities like financial literacy, digital skill and business readiness are important at the same time to determine outcomes. It integrates insights from technology adoption and financial intermediation perspectives to explain how DFS influences credit access and why digital usage does not always translate into lending decisions.</w:t>
      </w:r>
    </w:p>
    <w:p w14:paraId="478DFB86" w14:textId="77777777" w:rsidR="002931BD" w:rsidRPr="000B78E1" w:rsidRDefault="002931BD" w:rsidP="000B78E1">
      <w:pPr>
        <w:spacing w:after="0" w:line="360" w:lineRule="auto"/>
        <w:jc w:val="both"/>
        <w:rPr>
          <w:rFonts w:ascii="Arial" w:hAnsi="Arial" w:cs="Arial"/>
          <w:sz w:val="22"/>
          <w:szCs w:val="22"/>
        </w:rPr>
      </w:pPr>
    </w:p>
    <w:p w14:paraId="2CF710A2" w14:textId="77777777" w:rsidR="002931BD" w:rsidRPr="000B78E1" w:rsidRDefault="002931BD" w:rsidP="000B78E1">
      <w:pPr>
        <w:spacing w:line="360" w:lineRule="auto"/>
        <w:jc w:val="both"/>
        <w:rPr>
          <w:rFonts w:ascii="Arial" w:hAnsi="Arial" w:cs="Arial"/>
          <w:sz w:val="22"/>
          <w:szCs w:val="22"/>
        </w:rPr>
      </w:pPr>
      <w:r w:rsidRPr="000B78E1">
        <w:rPr>
          <w:rFonts w:ascii="Arial" w:hAnsi="Arial" w:cs="Arial"/>
          <w:sz w:val="22"/>
          <w:szCs w:val="22"/>
        </w:rPr>
        <w:t xml:space="preserve">Collectively the findings suggest that achieving sustainable SME development requires strong alignment between technology, institutions and user capability. Without this alignment DFS remains limited to improving transactions and partial fulfilment of financial inclusion, rather than delivering meaningful credit access and </w:t>
      </w:r>
      <w:proofErr w:type="gramStart"/>
      <w:r w:rsidRPr="000B78E1">
        <w:rPr>
          <w:rFonts w:ascii="Arial" w:hAnsi="Arial" w:cs="Arial"/>
          <w:sz w:val="22"/>
          <w:szCs w:val="22"/>
        </w:rPr>
        <w:t>long term</w:t>
      </w:r>
      <w:proofErr w:type="gramEnd"/>
      <w:r w:rsidRPr="000B78E1">
        <w:rPr>
          <w:rFonts w:ascii="Arial" w:hAnsi="Arial" w:cs="Arial"/>
          <w:sz w:val="22"/>
          <w:szCs w:val="22"/>
        </w:rPr>
        <w:t xml:space="preserve"> sustainability outcomes.</w:t>
      </w:r>
    </w:p>
    <w:p w14:paraId="4D47EC37" w14:textId="77777777" w:rsidR="00550362" w:rsidRPr="000B78E1" w:rsidRDefault="00550362" w:rsidP="000B78E1">
      <w:pPr>
        <w:pStyle w:val="ListParagraph"/>
        <w:spacing w:line="360" w:lineRule="auto"/>
        <w:jc w:val="both"/>
        <w:rPr>
          <w:rFonts w:ascii="Arial" w:hAnsi="Arial" w:cs="Arial"/>
          <w:b/>
          <w:bCs/>
          <w:sz w:val="22"/>
          <w:szCs w:val="22"/>
        </w:rPr>
      </w:pPr>
    </w:p>
    <w:p w14:paraId="6C44C45B" w14:textId="77777777" w:rsidR="00550362" w:rsidRPr="000B78E1" w:rsidRDefault="00550362" w:rsidP="000B78E1">
      <w:pPr>
        <w:pStyle w:val="ListParagraph"/>
        <w:spacing w:line="360" w:lineRule="auto"/>
        <w:jc w:val="both"/>
        <w:rPr>
          <w:rFonts w:ascii="Arial" w:hAnsi="Arial" w:cs="Arial"/>
          <w:b/>
          <w:bCs/>
          <w:sz w:val="22"/>
          <w:szCs w:val="22"/>
        </w:rPr>
      </w:pPr>
    </w:p>
    <w:p w14:paraId="7D9D0B11" w14:textId="32C738EE" w:rsidR="00550362" w:rsidRPr="000B78E1" w:rsidRDefault="00550362" w:rsidP="000B78E1">
      <w:pPr>
        <w:pStyle w:val="ListParagraph"/>
        <w:numPr>
          <w:ilvl w:val="0"/>
          <w:numId w:val="6"/>
        </w:numPr>
        <w:spacing w:line="360" w:lineRule="auto"/>
        <w:jc w:val="both"/>
        <w:rPr>
          <w:rFonts w:ascii="Arial" w:hAnsi="Arial" w:cs="Arial"/>
          <w:b/>
          <w:bCs/>
          <w:sz w:val="22"/>
          <w:szCs w:val="22"/>
        </w:rPr>
      </w:pPr>
      <w:r w:rsidRPr="000B78E1">
        <w:rPr>
          <w:rFonts w:ascii="Arial" w:hAnsi="Arial" w:cs="Arial"/>
          <w:b/>
          <w:bCs/>
          <w:sz w:val="22"/>
          <w:szCs w:val="22"/>
        </w:rPr>
        <w:t>References:</w:t>
      </w:r>
    </w:p>
    <w:p w14:paraId="6B3D705C" w14:textId="77777777" w:rsidR="00550362" w:rsidRPr="000B78E1" w:rsidRDefault="00550362" w:rsidP="000B78E1">
      <w:pPr>
        <w:pStyle w:val="ListParagraph"/>
        <w:spacing w:line="360" w:lineRule="auto"/>
        <w:jc w:val="both"/>
        <w:rPr>
          <w:rFonts w:ascii="Arial" w:hAnsi="Arial" w:cs="Arial"/>
          <w:b/>
          <w:bCs/>
          <w:sz w:val="22"/>
          <w:szCs w:val="22"/>
        </w:rPr>
      </w:pPr>
    </w:p>
    <w:p w14:paraId="2D257C8F" w14:textId="4E42157F" w:rsidR="000218CF" w:rsidRPr="00AA47D0" w:rsidRDefault="000218CF" w:rsidP="000B78E1">
      <w:pPr>
        <w:spacing w:after="0" w:line="360" w:lineRule="auto"/>
        <w:ind w:left="360"/>
        <w:jc w:val="both"/>
        <w:rPr>
          <w:rFonts w:ascii="Arial" w:eastAsia="Times New Roman" w:hAnsi="Arial" w:cs="Arial"/>
          <w:kern w:val="0"/>
          <w:sz w:val="22"/>
          <w:szCs w:val="22"/>
          <w:lang w:eastAsia="en-GB"/>
          <w14:ligatures w14:val="none"/>
        </w:rPr>
      </w:pPr>
      <w:r w:rsidRPr="000218CF">
        <w:rPr>
          <w:rFonts w:ascii="Arial" w:eastAsia="Times New Roman" w:hAnsi="Arial" w:cs="Arial"/>
          <w:kern w:val="0"/>
          <w:sz w:val="22"/>
          <w:szCs w:val="22"/>
          <w:lang w:eastAsia="en-GB"/>
          <w14:ligatures w14:val="none"/>
        </w:rPr>
        <w:t xml:space="preserve">Affandi, Y., Ridhwan, M.M., </w:t>
      </w:r>
      <w:proofErr w:type="spellStart"/>
      <w:r w:rsidRPr="000218CF">
        <w:rPr>
          <w:rFonts w:ascii="Arial" w:eastAsia="Times New Roman" w:hAnsi="Arial" w:cs="Arial"/>
          <w:kern w:val="0"/>
          <w:sz w:val="22"/>
          <w:szCs w:val="22"/>
          <w:lang w:eastAsia="en-GB"/>
          <w14:ligatures w14:val="none"/>
        </w:rPr>
        <w:t>Trinugroho</w:t>
      </w:r>
      <w:proofErr w:type="spellEnd"/>
      <w:r w:rsidRPr="000218CF">
        <w:rPr>
          <w:rFonts w:ascii="Arial" w:eastAsia="Times New Roman" w:hAnsi="Arial" w:cs="Arial"/>
          <w:kern w:val="0"/>
          <w:sz w:val="22"/>
          <w:szCs w:val="22"/>
          <w:lang w:eastAsia="en-GB"/>
          <w14:ligatures w14:val="none"/>
        </w:rPr>
        <w:t xml:space="preserve">, I. and </w:t>
      </w:r>
      <w:proofErr w:type="spellStart"/>
      <w:r w:rsidRPr="000218CF">
        <w:rPr>
          <w:rFonts w:ascii="Arial" w:eastAsia="Times New Roman" w:hAnsi="Arial" w:cs="Arial"/>
          <w:kern w:val="0"/>
          <w:sz w:val="22"/>
          <w:szCs w:val="22"/>
          <w:lang w:eastAsia="en-GB"/>
          <w14:ligatures w14:val="none"/>
        </w:rPr>
        <w:t>Adiwibowo</w:t>
      </w:r>
      <w:proofErr w:type="spellEnd"/>
      <w:r w:rsidRPr="000218CF">
        <w:rPr>
          <w:rFonts w:ascii="Arial" w:eastAsia="Times New Roman" w:hAnsi="Arial" w:cs="Arial"/>
          <w:kern w:val="0"/>
          <w:sz w:val="22"/>
          <w:szCs w:val="22"/>
          <w:lang w:eastAsia="en-GB"/>
          <w14:ligatures w14:val="none"/>
        </w:rPr>
        <w:t xml:space="preserve">, D.H. (2024) ‘Digital adoption, business performance, and financial literacy in ultra-micro, micro, and small enterprises in Indonesia’, </w:t>
      </w:r>
      <w:r w:rsidRPr="000218CF">
        <w:rPr>
          <w:rFonts w:ascii="Arial" w:eastAsia="Times New Roman" w:hAnsi="Arial" w:cs="Arial"/>
          <w:i/>
          <w:iCs/>
          <w:kern w:val="0"/>
          <w:sz w:val="22"/>
          <w:szCs w:val="22"/>
          <w:lang w:eastAsia="en-GB"/>
          <w14:ligatures w14:val="none"/>
        </w:rPr>
        <w:t>Research in International Business and Finance</w:t>
      </w:r>
      <w:r w:rsidRPr="000218CF">
        <w:rPr>
          <w:rFonts w:ascii="Arial" w:eastAsia="Times New Roman" w:hAnsi="Arial" w:cs="Arial"/>
          <w:kern w:val="0"/>
          <w:sz w:val="22"/>
          <w:szCs w:val="22"/>
          <w:lang w:eastAsia="en-GB"/>
          <w14:ligatures w14:val="none"/>
        </w:rPr>
        <w:t xml:space="preserve">, 70, 102376. </w:t>
      </w:r>
      <w:hyperlink r:id="rId9" w:history="1">
        <w:r w:rsidRPr="000218CF">
          <w:rPr>
            <w:rStyle w:val="Hyperlink"/>
            <w:rFonts w:ascii="Arial" w:eastAsia="Times New Roman" w:hAnsi="Arial" w:cs="Arial"/>
            <w:kern w:val="0"/>
            <w:sz w:val="22"/>
            <w:szCs w:val="22"/>
            <w:lang w:eastAsia="en-GB"/>
            <w14:ligatures w14:val="none"/>
          </w:rPr>
          <w:t>https://doi.org/10.1016/j.ribaf.2024.102376</w:t>
        </w:r>
      </w:hyperlink>
    </w:p>
    <w:p w14:paraId="32FE232D" w14:textId="77777777" w:rsidR="00ED3018" w:rsidRPr="00AA47D0" w:rsidRDefault="00ED3018" w:rsidP="000B78E1">
      <w:pPr>
        <w:spacing w:after="0" w:line="360" w:lineRule="auto"/>
        <w:ind w:left="360"/>
        <w:jc w:val="both"/>
        <w:rPr>
          <w:rFonts w:ascii="Arial" w:eastAsia="Times New Roman" w:hAnsi="Arial" w:cs="Arial"/>
          <w:kern w:val="0"/>
          <w:sz w:val="22"/>
          <w:szCs w:val="22"/>
          <w:lang w:eastAsia="en-GB"/>
          <w14:ligatures w14:val="none"/>
        </w:rPr>
      </w:pPr>
    </w:p>
    <w:p w14:paraId="231B0C29" w14:textId="6143F7F9" w:rsidR="00ED3018" w:rsidRPr="00AA47D0" w:rsidRDefault="00ED3018" w:rsidP="000B78E1">
      <w:pPr>
        <w:spacing w:after="0" w:line="360" w:lineRule="auto"/>
        <w:ind w:left="360"/>
        <w:jc w:val="both"/>
        <w:rPr>
          <w:rFonts w:ascii="Arial" w:eastAsia="Times New Roman" w:hAnsi="Arial" w:cs="Arial"/>
          <w:kern w:val="0"/>
          <w:sz w:val="22"/>
          <w:szCs w:val="22"/>
          <w:lang w:eastAsia="en-GB"/>
          <w14:ligatures w14:val="none"/>
        </w:rPr>
      </w:pPr>
      <w:r w:rsidRPr="00ED3018">
        <w:rPr>
          <w:rFonts w:ascii="Arial" w:eastAsia="Times New Roman" w:hAnsi="Arial" w:cs="Arial"/>
          <w:kern w:val="0"/>
          <w:sz w:val="22"/>
          <w:szCs w:val="22"/>
          <w:lang w:eastAsia="en-GB"/>
          <w14:ligatures w14:val="none"/>
        </w:rPr>
        <w:lastRenderedPageBreak/>
        <w:t xml:space="preserve">World Bank Group (2022) </w:t>
      </w:r>
      <w:r w:rsidRPr="00ED3018">
        <w:rPr>
          <w:rFonts w:ascii="Arial" w:eastAsia="Times New Roman" w:hAnsi="Arial" w:cs="Arial"/>
          <w:i/>
          <w:iCs/>
          <w:kern w:val="0"/>
          <w:sz w:val="22"/>
          <w:szCs w:val="22"/>
          <w:lang w:eastAsia="en-GB"/>
          <w14:ligatures w14:val="none"/>
        </w:rPr>
        <w:t>Fintech and SME finance: Expanding responsible access</w:t>
      </w:r>
      <w:r w:rsidRPr="00ED3018">
        <w:rPr>
          <w:rFonts w:ascii="Arial" w:eastAsia="Times New Roman" w:hAnsi="Arial" w:cs="Arial"/>
          <w:kern w:val="0"/>
          <w:sz w:val="22"/>
          <w:szCs w:val="22"/>
          <w:lang w:eastAsia="en-GB"/>
          <w14:ligatures w14:val="none"/>
        </w:rPr>
        <w:t xml:space="preserve">. Fintech and the Future of Finance Flagship Technical Note. Washington, DC: International Bank for Reconstruction and Development / World Bank. Available at: </w:t>
      </w:r>
      <w:hyperlink r:id="rId10" w:history="1">
        <w:r w:rsidR="009F6BD4" w:rsidRPr="00ED3018">
          <w:rPr>
            <w:rStyle w:val="Hyperlink"/>
            <w:rFonts w:ascii="Arial" w:eastAsia="Times New Roman" w:hAnsi="Arial" w:cs="Arial"/>
            <w:kern w:val="0"/>
            <w:sz w:val="22"/>
            <w:szCs w:val="22"/>
            <w:lang w:eastAsia="en-GB"/>
            <w14:ligatures w14:val="none"/>
          </w:rPr>
          <w:t>https://www.worldbank.org</w:t>
        </w:r>
      </w:hyperlink>
    </w:p>
    <w:p w14:paraId="33E08111" w14:textId="77777777" w:rsidR="009F6BD4" w:rsidRPr="00AA47D0" w:rsidRDefault="009F6BD4" w:rsidP="000B78E1">
      <w:pPr>
        <w:spacing w:after="0" w:line="360" w:lineRule="auto"/>
        <w:ind w:left="360"/>
        <w:jc w:val="both"/>
        <w:rPr>
          <w:rFonts w:ascii="Arial" w:eastAsia="Times New Roman" w:hAnsi="Arial" w:cs="Arial"/>
          <w:kern w:val="0"/>
          <w:sz w:val="22"/>
          <w:szCs w:val="22"/>
          <w:lang w:eastAsia="en-GB"/>
          <w14:ligatures w14:val="none"/>
        </w:rPr>
      </w:pPr>
    </w:p>
    <w:p w14:paraId="524FF58A" w14:textId="48B141BB" w:rsidR="009F6BD4" w:rsidRPr="00AA47D0" w:rsidRDefault="009F6BD4" w:rsidP="000B78E1">
      <w:pPr>
        <w:spacing w:after="0" w:line="360" w:lineRule="auto"/>
        <w:ind w:left="360"/>
        <w:jc w:val="both"/>
        <w:rPr>
          <w:rFonts w:ascii="Arial" w:eastAsia="Times New Roman" w:hAnsi="Arial" w:cs="Arial"/>
          <w:kern w:val="0"/>
          <w:sz w:val="22"/>
          <w:szCs w:val="22"/>
          <w:lang w:eastAsia="en-GB"/>
          <w14:ligatures w14:val="none"/>
        </w:rPr>
      </w:pPr>
      <w:r w:rsidRPr="009F6BD4">
        <w:rPr>
          <w:rFonts w:ascii="Arial" w:eastAsia="Times New Roman" w:hAnsi="Arial" w:cs="Arial"/>
          <w:kern w:val="0"/>
          <w:sz w:val="22"/>
          <w:szCs w:val="22"/>
          <w:lang w:eastAsia="en-GB"/>
          <w14:ligatures w14:val="none"/>
        </w:rPr>
        <w:t xml:space="preserve">Ayodele, A.O. and Ogunsola, J.O. (2025) ‘Digital financial services adoption and financial inclusion in emerging economies: Evidence from Nigeria’, </w:t>
      </w:r>
      <w:r w:rsidRPr="009F6BD4">
        <w:rPr>
          <w:rFonts w:ascii="Arial" w:eastAsia="Times New Roman" w:hAnsi="Arial" w:cs="Arial"/>
          <w:i/>
          <w:iCs/>
          <w:kern w:val="0"/>
          <w:sz w:val="22"/>
          <w:szCs w:val="22"/>
          <w:lang w:eastAsia="en-GB"/>
          <w14:ligatures w14:val="none"/>
        </w:rPr>
        <w:t>International Journal of Latest Technology in Engineering, Management &amp; Applied Science</w:t>
      </w:r>
      <w:r w:rsidRPr="009F6BD4">
        <w:rPr>
          <w:rFonts w:ascii="Arial" w:eastAsia="Times New Roman" w:hAnsi="Arial" w:cs="Arial"/>
          <w:kern w:val="0"/>
          <w:sz w:val="22"/>
          <w:szCs w:val="22"/>
          <w:lang w:eastAsia="en-GB"/>
          <w14:ligatures w14:val="none"/>
        </w:rPr>
        <w:t xml:space="preserve">, 14(10), pp. 665–671. </w:t>
      </w:r>
      <w:hyperlink r:id="rId11" w:history="1">
        <w:r w:rsidR="00FB6B1B" w:rsidRPr="009F6BD4">
          <w:rPr>
            <w:rStyle w:val="Hyperlink"/>
            <w:rFonts w:ascii="Arial" w:eastAsia="Times New Roman" w:hAnsi="Arial" w:cs="Arial"/>
            <w:kern w:val="0"/>
            <w:sz w:val="22"/>
            <w:szCs w:val="22"/>
            <w:lang w:eastAsia="en-GB"/>
            <w14:ligatures w14:val="none"/>
          </w:rPr>
          <w:t>https://doi.org/10.51583/IJLTEMAS.2025.1410000083</w:t>
        </w:r>
      </w:hyperlink>
    </w:p>
    <w:p w14:paraId="27C8F390" w14:textId="77777777" w:rsidR="000218CF" w:rsidRPr="00AA47D0" w:rsidRDefault="000218CF" w:rsidP="000B78E1">
      <w:pPr>
        <w:spacing w:after="0" w:line="360" w:lineRule="auto"/>
        <w:ind w:left="360"/>
        <w:jc w:val="both"/>
        <w:rPr>
          <w:rFonts w:ascii="Arial" w:eastAsia="Times New Roman" w:hAnsi="Arial" w:cs="Arial"/>
          <w:kern w:val="0"/>
          <w:sz w:val="22"/>
          <w:szCs w:val="22"/>
          <w:lang w:eastAsia="en-GB"/>
          <w14:ligatures w14:val="none"/>
        </w:rPr>
      </w:pPr>
    </w:p>
    <w:p w14:paraId="449B7356" w14:textId="798C52AC" w:rsidR="00666572" w:rsidRPr="00AA47D0" w:rsidRDefault="00666572" w:rsidP="000B78E1">
      <w:pPr>
        <w:spacing w:after="0" w:line="360" w:lineRule="auto"/>
        <w:ind w:left="360"/>
        <w:jc w:val="both"/>
        <w:rPr>
          <w:rFonts w:ascii="Arial" w:eastAsia="Times New Roman" w:hAnsi="Arial" w:cs="Arial"/>
          <w:kern w:val="0"/>
          <w:sz w:val="22"/>
          <w:szCs w:val="22"/>
          <w:lang w:eastAsia="en-GB"/>
          <w14:ligatures w14:val="none"/>
        </w:rPr>
      </w:pPr>
      <w:r w:rsidRPr="00666572">
        <w:rPr>
          <w:rFonts w:ascii="Arial" w:eastAsia="Times New Roman" w:hAnsi="Arial" w:cs="Arial"/>
          <w:kern w:val="0"/>
          <w:sz w:val="22"/>
          <w:szCs w:val="22"/>
          <w:lang w:eastAsia="en-GB"/>
          <w14:ligatures w14:val="none"/>
        </w:rPr>
        <w:t xml:space="preserve">Zaman, M., Tanewski, G. and Ekanayake, G. (2025) ‘What does sustainability mean for small and medium enterprises: A systematic literature review’, </w:t>
      </w:r>
      <w:r w:rsidRPr="00666572">
        <w:rPr>
          <w:rFonts w:ascii="Arial" w:eastAsia="Times New Roman" w:hAnsi="Arial" w:cs="Arial"/>
          <w:i/>
          <w:iCs/>
          <w:kern w:val="0"/>
          <w:sz w:val="22"/>
          <w:szCs w:val="22"/>
          <w:lang w:eastAsia="en-GB"/>
          <w14:ligatures w14:val="none"/>
        </w:rPr>
        <w:t>Journal of Cleaner Production</w:t>
      </w:r>
      <w:r w:rsidRPr="00666572">
        <w:rPr>
          <w:rFonts w:ascii="Arial" w:eastAsia="Times New Roman" w:hAnsi="Arial" w:cs="Arial"/>
          <w:kern w:val="0"/>
          <w:sz w:val="22"/>
          <w:szCs w:val="22"/>
          <w:lang w:eastAsia="en-GB"/>
          <w14:ligatures w14:val="none"/>
        </w:rPr>
        <w:t xml:space="preserve">, 492, 144830. </w:t>
      </w:r>
      <w:hyperlink r:id="rId12" w:history="1">
        <w:r w:rsidR="00A11673" w:rsidRPr="00666572">
          <w:rPr>
            <w:rStyle w:val="Hyperlink"/>
            <w:rFonts w:ascii="Arial" w:eastAsia="Times New Roman" w:hAnsi="Arial" w:cs="Arial"/>
            <w:kern w:val="0"/>
            <w:sz w:val="22"/>
            <w:szCs w:val="22"/>
            <w:lang w:eastAsia="en-GB"/>
            <w14:ligatures w14:val="none"/>
          </w:rPr>
          <w:t>https://doi.org/10.1016/j.jclepro.2025.144830</w:t>
        </w:r>
      </w:hyperlink>
    </w:p>
    <w:p w14:paraId="74655D20" w14:textId="77777777" w:rsidR="00A11673" w:rsidRPr="00AA47D0" w:rsidRDefault="00A11673" w:rsidP="000B78E1">
      <w:pPr>
        <w:spacing w:after="0" w:line="360" w:lineRule="auto"/>
        <w:ind w:left="360"/>
        <w:jc w:val="both"/>
        <w:rPr>
          <w:rFonts w:ascii="Arial" w:eastAsia="Times New Roman" w:hAnsi="Arial" w:cs="Arial"/>
          <w:kern w:val="0"/>
          <w:sz w:val="22"/>
          <w:szCs w:val="22"/>
          <w:lang w:eastAsia="en-GB"/>
          <w14:ligatures w14:val="none"/>
        </w:rPr>
      </w:pPr>
    </w:p>
    <w:p w14:paraId="5045DE59" w14:textId="5CB0A81A" w:rsidR="00A11673" w:rsidRPr="00AA47D0" w:rsidRDefault="00A11673" w:rsidP="000B78E1">
      <w:pPr>
        <w:spacing w:after="0" w:line="360" w:lineRule="auto"/>
        <w:ind w:left="360"/>
        <w:jc w:val="both"/>
        <w:rPr>
          <w:rFonts w:ascii="Arial" w:eastAsia="Times New Roman" w:hAnsi="Arial" w:cs="Arial"/>
          <w:kern w:val="0"/>
          <w:sz w:val="22"/>
          <w:szCs w:val="22"/>
          <w:lang w:eastAsia="en-GB"/>
          <w14:ligatures w14:val="none"/>
        </w:rPr>
      </w:pPr>
      <w:r w:rsidRPr="00A11673">
        <w:rPr>
          <w:rFonts w:ascii="Arial" w:eastAsia="Times New Roman" w:hAnsi="Arial" w:cs="Arial"/>
          <w:kern w:val="0"/>
          <w:sz w:val="22"/>
          <w:szCs w:val="22"/>
          <w:lang w:eastAsia="en-GB"/>
          <w14:ligatures w14:val="none"/>
        </w:rPr>
        <w:t xml:space="preserve">Rahman, M.H. (2025) ‘Present and future of digital banking services in Bangladesh’, </w:t>
      </w:r>
      <w:r w:rsidRPr="00A11673">
        <w:rPr>
          <w:rFonts w:ascii="Arial" w:eastAsia="Times New Roman" w:hAnsi="Arial" w:cs="Arial"/>
          <w:i/>
          <w:iCs/>
          <w:kern w:val="0"/>
          <w:sz w:val="22"/>
          <w:szCs w:val="22"/>
          <w:lang w:eastAsia="en-GB"/>
          <w14:ligatures w14:val="none"/>
        </w:rPr>
        <w:t>Review of Applied Science and Technology</w:t>
      </w:r>
      <w:r w:rsidRPr="00A11673">
        <w:rPr>
          <w:rFonts w:ascii="Arial" w:eastAsia="Times New Roman" w:hAnsi="Arial" w:cs="Arial"/>
          <w:kern w:val="0"/>
          <w:sz w:val="22"/>
          <w:szCs w:val="22"/>
          <w:lang w:eastAsia="en-GB"/>
          <w14:ligatures w14:val="none"/>
        </w:rPr>
        <w:t xml:space="preserve">, 4(2), pp. 725–749. </w:t>
      </w:r>
      <w:hyperlink r:id="rId13" w:history="1">
        <w:r w:rsidRPr="00A11673">
          <w:rPr>
            <w:rStyle w:val="Hyperlink"/>
            <w:rFonts w:ascii="Arial" w:eastAsia="Times New Roman" w:hAnsi="Arial" w:cs="Arial"/>
            <w:kern w:val="0"/>
            <w:sz w:val="22"/>
            <w:szCs w:val="22"/>
            <w:lang w:eastAsia="en-GB"/>
            <w14:ligatures w14:val="none"/>
          </w:rPr>
          <w:t>https://doi.org/10.63125/k7tgr183</w:t>
        </w:r>
      </w:hyperlink>
    </w:p>
    <w:p w14:paraId="302704CC" w14:textId="77777777" w:rsidR="00A11673" w:rsidRPr="00A11673" w:rsidRDefault="00A11673" w:rsidP="000B78E1">
      <w:pPr>
        <w:spacing w:after="0" w:line="360" w:lineRule="auto"/>
        <w:ind w:left="360"/>
        <w:jc w:val="both"/>
        <w:rPr>
          <w:rFonts w:ascii="Arial" w:eastAsia="Times New Roman" w:hAnsi="Arial" w:cs="Arial"/>
          <w:kern w:val="0"/>
          <w:sz w:val="22"/>
          <w:szCs w:val="22"/>
          <w:lang w:eastAsia="en-GB"/>
          <w14:ligatures w14:val="none"/>
        </w:rPr>
      </w:pPr>
    </w:p>
    <w:p w14:paraId="20F6FE24" w14:textId="48D88BE3" w:rsidR="00372734" w:rsidRPr="00AA47D0" w:rsidRDefault="00372734" w:rsidP="000B78E1">
      <w:pPr>
        <w:spacing w:after="0" w:line="360" w:lineRule="auto"/>
        <w:ind w:left="360"/>
        <w:jc w:val="both"/>
        <w:rPr>
          <w:rFonts w:ascii="Arial" w:eastAsia="Times New Roman" w:hAnsi="Arial" w:cs="Arial"/>
          <w:kern w:val="0"/>
          <w:sz w:val="22"/>
          <w:szCs w:val="22"/>
          <w:lang w:eastAsia="en-GB"/>
          <w14:ligatures w14:val="none"/>
        </w:rPr>
      </w:pPr>
      <w:r w:rsidRPr="00372734">
        <w:rPr>
          <w:rFonts w:ascii="Arial" w:eastAsia="Times New Roman" w:hAnsi="Arial" w:cs="Arial"/>
          <w:kern w:val="0"/>
          <w:sz w:val="22"/>
          <w:szCs w:val="22"/>
          <w:lang w:eastAsia="en-GB"/>
          <w14:ligatures w14:val="none"/>
        </w:rPr>
        <w:t xml:space="preserve">Ali, M.R., Ahmed, R.A., Tisha, R.T. and Islam, M.A. (2022) ‘Accessibility of small and medium enterprises to institutional credit: Evidence from Bangladesh’, </w:t>
      </w:r>
      <w:r w:rsidRPr="00372734">
        <w:rPr>
          <w:rFonts w:ascii="Arial" w:eastAsia="Times New Roman" w:hAnsi="Arial" w:cs="Arial"/>
          <w:i/>
          <w:iCs/>
          <w:kern w:val="0"/>
          <w:sz w:val="22"/>
          <w:szCs w:val="22"/>
          <w:lang w:eastAsia="en-GB"/>
          <w14:ligatures w14:val="none"/>
        </w:rPr>
        <w:t>SAGE Open</w:t>
      </w:r>
      <w:r w:rsidRPr="00372734">
        <w:rPr>
          <w:rFonts w:ascii="Arial" w:eastAsia="Times New Roman" w:hAnsi="Arial" w:cs="Arial"/>
          <w:kern w:val="0"/>
          <w:sz w:val="22"/>
          <w:szCs w:val="22"/>
          <w:lang w:eastAsia="en-GB"/>
          <w14:ligatures w14:val="none"/>
        </w:rPr>
        <w:t xml:space="preserve">, 12(2), pp. 1–23. </w:t>
      </w:r>
      <w:hyperlink r:id="rId14" w:history="1">
        <w:r w:rsidRPr="00372734">
          <w:rPr>
            <w:rStyle w:val="Hyperlink"/>
            <w:rFonts w:ascii="Arial" w:eastAsia="Times New Roman" w:hAnsi="Arial" w:cs="Arial"/>
            <w:kern w:val="0"/>
            <w:sz w:val="22"/>
            <w:szCs w:val="22"/>
            <w:lang w:eastAsia="en-GB"/>
            <w14:ligatures w14:val="none"/>
          </w:rPr>
          <w:t>https://doi.org/10.1177/21582440221095046</w:t>
        </w:r>
      </w:hyperlink>
    </w:p>
    <w:p w14:paraId="0E31D200" w14:textId="77777777" w:rsidR="00666572" w:rsidRPr="000218CF" w:rsidRDefault="00666572" w:rsidP="000B78E1">
      <w:pPr>
        <w:spacing w:after="0" w:line="360" w:lineRule="auto"/>
        <w:ind w:left="360"/>
        <w:jc w:val="both"/>
        <w:rPr>
          <w:rFonts w:ascii="Arial" w:eastAsia="Times New Roman" w:hAnsi="Arial" w:cs="Arial"/>
          <w:kern w:val="0"/>
          <w:sz w:val="22"/>
          <w:szCs w:val="22"/>
          <w:lang w:eastAsia="en-GB"/>
          <w14:ligatures w14:val="none"/>
        </w:rPr>
      </w:pPr>
    </w:p>
    <w:p w14:paraId="0CBE7880"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Moher, D., Liberati, A., Tetzlaff, J. and Altman, D.G., for the PRISMA Group (2009) ‘Preferred reporting items for systematic reviews and meta-analyses: The PRISMA statement’, </w:t>
      </w:r>
      <w:proofErr w:type="spellStart"/>
      <w:r w:rsidRPr="00AA47D0">
        <w:rPr>
          <w:rFonts w:ascii="Arial" w:eastAsia="Times New Roman" w:hAnsi="Arial" w:cs="Arial"/>
          <w:kern w:val="0"/>
          <w:sz w:val="22"/>
          <w:szCs w:val="22"/>
          <w:lang w:eastAsia="en-GB"/>
          <w14:ligatures w14:val="none"/>
        </w:rPr>
        <w:t>PLoS</w:t>
      </w:r>
      <w:proofErr w:type="spellEnd"/>
      <w:r w:rsidRPr="00AA47D0">
        <w:rPr>
          <w:rFonts w:ascii="Arial" w:eastAsia="Times New Roman" w:hAnsi="Arial" w:cs="Arial"/>
          <w:kern w:val="0"/>
          <w:sz w:val="22"/>
          <w:szCs w:val="22"/>
          <w:lang w:eastAsia="en-GB"/>
          <w14:ligatures w14:val="none"/>
        </w:rPr>
        <w:t xml:space="preserve"> Medicine, 6(7), e1000097. </w:t>
      </w:r>
      <w:proofErr w:type="gramStart"/>
      <w:r w:rsidRPr="00AA47D0">
        <w:rPr>
          <w:rFonts w:ascii="Arial" w:eastAsia="Times New Roman" w:hAnsi="Arial" w:cs="Arial"/>
          <w:kern w:val="0"/>
          <w:sz w:val="22"/>
          <w:szCs w:val="22"/>
          <w:lang w:eastAsia="en-GB"/>
          <w14:ligatures w14:val="none"/>
        </w:rPr>
        <w:t>doi:10.1371/journal.pmed</w:t>
      </w:r>
      <w:proofErr w:type="gramEnd"/>
      <w:r w:rsidRPr="00AA47D0">
        <w:rPr>
          <w:rFonts w:ascii="Arial" w:eastAsia="Times New Roman" w:hAnsi="Arial" w:cs="Arial"/>
          <w:kern w:val="0"/>
          <w:sz w:val="22"/>
          <w:szCs w:val="22"/>
          <w:lang w:eastAsia="en-GB"/>
          <w14:ligatures w14:val="none"/>
        </w:rPr>
        <w:t>.1000097</w:t>
      </w:r>
    </w:p>
    <w:p w14:paraId="02217A94"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9683C75"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Sasia, F.S., Rojas</w:t>
      </w:r>
      <w:r w:rsidRPr="00AA47D0">
        <w:rPr>
          <w:rFonts w:ascii="Arial" w:eastAsia="Times New Roman" w:hAnsi="Arial" w:cs="Arial"/>
          <w:kern w:val="0"/>
          <w:sz w:val="22"/>
          <w:szCs w:val="22"/>
          <w:lang w:eastAsia="en-GB"/>
          <w14:ligatures w14:val="none"/>
        </w:rPr>
        <w:noBreakHyphen/>
        <w:t xml:space="preserve">Berrio, S., </w:t>
      </w:r>
      <w:proofErr w:type="spellStart"/>
      <w:r w:rsidRPr="00AA47D0">
        <w:rPr>
          <w:rFonts w:ascii="Arial" w:eastAsia="Times New Roman" w:hAnsi="Arial" w:cs="Arial"/>
          <w:kern w:val="0"/>
          <w:sz w:val="22"/>
          <w:szCs w:val="22"/>
          <w:lang w:eastAsia="en-GB"/>
          <w14:ligatures w14:val="none"/>
        </w:rPr>
        <w:t>Ascúa</w:t>
      </w:r>
      <w:proofErr w:type="spellEnd"/>
      <w:r w:rsidRPr="00AA47D0">
        <w:rPr>
          <w:rFonts w:ascii="Arial" w:eastAsia="Times New Roman" w:hAnsi="Arial" w:cs="Arial"/>
          <w:kern w:val="0"/>
          <w:sz w:val="22"/>
          <w:szCs w:val="22"/>
          <w:lang w:eastAsia="en-GB"/>
          <w14:ligatures w14:val="none"/>
        </w:rPr>
        <w:t>, R.A. and Ramirez</w:t>
      </w:r>
      <w:r w:rsidRPr="00AA47D0">
        <w:rPr>
          <w:rFonts w:ascii="Arial" w:eastAsia="Times New Roman" w:hAnsi="Arial" w:cs="Arial"/>
          <w:kern w:val="0"/>
          <w:sz w:val="22"/>
          <w:szCs w:val="22"/>
          <w:lang w:eastAsia="en-GB"/>
          <w14:ligatures w14:val="none"/>
        </w:rPr>
        <w:noBreakHyphen/>
        <w:t xml:space="preserve">Barrera, A. (2024) FinTech and its relationship to SMEs financing: a systematic literature review and future research agenda. Revista DYNA, 91(233), pp. 17–27. </w:t>
      </w:r>
      <w:hyperlink r:id="rId15" w:history="1">
        <w:r w:rsidRPr="00AA47D0">
          <w:rPr>
            <w:rStyle w:val="Hyperlink"/>
            <w:rFonts w:ascii="Arial" w:eastAsia="Times New Roman" w:hAnsi="Arial" w:cs="Arial"/>
            <w:kern w:val="0"/>
            <w:sz w:val="22"/>
            <w:szCs w:val="22"/>
            <w:lang w:eastAsia="en-GB"/>
            <w14:ligatures w14:val="none"/>
          </w:rPr>
          <w:t>https://doi.org/10.15446/dyna.v91n233.113699</w:t>
        </w:r>
      </w:hyperlink>
    </w:p>
    <w:p w14:paraId="0EE4334B"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6390861B"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Crompton, H. and Burke, D. (2023) ‘Artificial intelligence in higher education: the state of the field’, International Journal of Educational Technology in Higher Education, 20(22). doi:10.1186/s41239-023-00392-8</w:t>
      </w:r>
    </w:p>
    <w:p w14:paraId="3A75AD0D"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4F7C8D22"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Roy-Hubara, N. and Sturm, A. (2020) ‘Design methods for the new database era: a systematic literature review’, Software and Systems </w:t>
      </w:r>
      <w:proofErr w:type="spellStart"/>
      <w:r w:rsidRPr="00AA47D0">
        <w:rPr>
          <w:rFonts w:ascii="Arial" w:eastAsia="Times New Roman" w:hAnsi="Arial" w:cs="Arial"/>
          <w:kern w:val="0"/>
          <w:sz w:val="22"/>
          <w:szCs w:val="22"/>
          <w:lang w:eastAsia="en-GB"/>
          <w14:ligatures w14:val="none"/>
        </w:rPr>
        <w:t>Modeling</w:t>
      </w:r>
      <w:proofErr w:type="spellEnd"/>
      <w:r w:rsidRPr="00AA47D0">
        <w:rPr>
          <w:rFonts w:ascii="Arial" w:eastAsia="Times New Roman" w:hAnsi="Arial" w:cs="Arial"/>
          <w:kern w:val="0"/>
          <w:sz w:val="22"/>
          <w:szCs w:val="22"/>
          <w:lang w:eastAsia="en-GB"/>
          <w14:ligatures w14:val="none"/>
        </w:rPr>
        <w:t xml:space="preserve">, 19, pp. 297–312. </w:t>
      </w:r>
      <w:hyperlink r:id="rId16" w:history="1">
        <w:r w:rsidRPr="00AA47D0">
          <w:rPr>
            <w:rStyle w:val="Hyperlink"/>
            <w:rFonts w:ascii="Arial" w:eastAsia="Times New Roman" w:hAnsi="Arial" w:cs="Arial"/>
            <w:kern w:val="0"/>
            <w:sz w:val="22"/>
            <w:szCs w:val="22"/>
            <w:lang w:eastAsia="en-GB"/>
            <w14:ligatures w14:val="none"/>
          </w:rPr>
          <w:t>https://doi.org/10.1007/s10270-019-00739-8</w:t>
        </w:r>
      </w:hyperlink>
    </w:p>
    <w:p w14:paraId="783F4124"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2DB30295"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Tennant, J.P. (2018) ‘The state of the art in peer review’, FEMS Microbiology Letters, 365, fny204. </w:t>
      </w:r>
      <w:hyperlink r:id="rId17" w:history="1">
        <w:r w:rsidRPr="00AA47D0">
          <w:rPr>
            <w:rStyle w:val="Hyperlink"/>
            <w:rFonts w:ascii="Arial" w:eastAsia="Times New Roman" w:hAnsi="Arial" w:cs="Arial"/>
            <w:kern w:val="0"/>
            <w:sz w:val="22"/>
            <w:szCs w:val="22"/>
            <w:lang w:eastAsia="en-GB"/>
            <w14:ligatures w14:val="none"/>
          </w:rPr>
          <w:t>https://doi.org/10.1093/femsle/fny204</w:t>
        </w:r>
      </w:hyperlink>
    </w:p>
    <w:p w14:paraId="4776D563" w14:textId="77777777" w:rsidR="00550362" w:rsidRPr="00AA47D0" w:rsidRDefault="00550362" w:rsidP="000B78E1">
      <w:pPr>
        <w:pStyle w:val="ListParagraph"/>
        <w:spacing w:line="360" w:lineRule="auto"/>
        <w:jc w:val="both"/>
        <w:rPr>
          <w:rFonts w:ascii="Arial" w:eastAsia="Times New Roman" w:hAnsi="Arial" w:cs="Arial"/>
          <w:kern w:val="0"/>
          <w:sz w:val="22"/>
          <w:szCs w:val="22"/>
          <w:lang w:eastAsia="en-GB"/>
          <w14:ligatures w14:val="none"/>
        </w:rPr>
      </w:pPr>
    </w:p>
    <w:p w14:paraId="34E506D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Tengeh</w:t>
      </w:r>
      <w:proofErr w:type="spellEnd"/>
      <w:r w:rsidRPr="00AA47D0">
        <w:rPr>
          <w:rFonts w:ascii="Arial" w:eastAsia="Times New Roman" w:hAnsi="Arial" w:cs="Arial"/>
          <w:kern w:val="0"/>
          <w:sz w:val="22"/>
          <w:szCs w:val="22"/>
          <w:lang w:eastAsia="en-GB"/>
          <w14:ligatures w14:val="none"/>
        </w:rPr>
        <w:t xml:space="preserve">, R.K. and </w:t>
      </w:r>
      <w:proofErr w:type="spellStart"/>
      <w:r w:rsidRPr="00AA47D0">
        <w:rPr>
          <w:rFonts w:ascii="Arial" w:eastAsia="Times New Roman" w:hAnsi="Arial" w:cs="Arial"/>
          <w:kern w:val="0"/>
          <w:sz w:val="22"/>
          <w:szCs w:val="22"/>
          <w:lang w:eastAsia="en-GB"/>
          <w14:ligatures w14:val="none"/>
        </w:rPr>
        <w:t>Gahapa</w:t>
      </w:r>
      <w:proofErr w:type="spellEnd"/>
      <w:r w:rsidRPr="00AA47D0">
        <w:rPr>
          <w:rFonts w:ascii="Arial" w:eastAsia="Times New Roman" w:hAnsi="Arial" w:cs="Arial"/>
          <w:kern w:val="0"/>
          <w:sz w:val="22"/>
          <w:szCs w:val="22"/>
          <w:lang w:eastAsia="en-GB"/>
          <w14:ligatures w14:val="none"/>
        </w:rPr>
        <w:t xml:space="preserve"> </w:t>
      </w:r>
      <w:proofErr w:type="spellStart"/>
      <w:r w:rsidRPr="00AA47D0">
        <w:rPr>
          <w:rFonts w:ascii="Arial" w:eastAsia="Times New Roman" w:hAnsi="Arial" w:cs="Arial"/>
          <w:kern w:val="0"/>
          <w:sz w:val="22"/>
          <w:szCs w:val="22"/>
          <w:lang w:eastAsia="en-GB"/>
          <w14:ligatures w14:val="none"/>
        </w:rPr>
        <w:t>Talom</w:t>
      </w:r>
      <w:proofErr w:type="spellEnd"/>
      <w:r w:rsidRPr="00AA47D0">
        <w:rPr>
          <w:rFonts w:ascii="Arial" w:eastAsia="Times New Roman" w:hAnsi="Arial" w:cs="Arial"/>
          <w:kern w:val="0"/>
          <w:sz w:val="22"/>
          <w:szCs w:val="22"/>
          <w:lang w:eastAsia="en-GB"/>
          <w14:ligatures w14:val="none"/>
        </w:rPr>
        <w:t xml:space="preserve">, F.S. (2020) ‘Mobile money as a sustainable alternative for SMEs in less developed financial markets’, </w:t>
      </w:r>
      <w:r w:rsidRPr="00AA47D0">
        <w:rPr>
          <w:rFonts w:ascii="Arial" w:eastAsia="Times New Roman" w:hAnsi="Arial" w:cs="Arial"/>
          <w:i/>
          <w:iCs/>
          <w:kern w:val="0"/>
          <w:sz w:val="22"/>
          <w:szCs w:val="22"/>
          <w:lang w:eastAsia="en-GB"/>
          <w14:ligatures w14:val="none"/>
        </w:rPr>
        <w:t>Journal of Open Innovation: Technology, Market, and Complexity</w:t>
      </w:r>
      <w:r w:rsidRPr="00AA47D0">
        <w:rPr>
          <w:rFonts w:ascii="Arial" w:eastAsia="Times New Roman" w:hAnsi="Arial" w:cs="Arial"/>
          <w:kern w:val="0"/>
          <w:sz w:val="22"/>
          <w:szCs w:val="22"/>
          <w:lang w:eastAsia="en-GB"/>
          <w14:ligatures w14:val="none"/>
        </w:rPr>
        <w:t>, 6(4), 163. Available at: https://doi.org/10.3390/joitmc6040163</w:t>
      </w:r>
    </w:p>
    <w:p w14:paraId="514431B5"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4033D128"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Abbasi, K., Alam, A., </w:t>
      </w:r>
      <w:proofErr w:type="spellStart"/>
      <w:r w:rsidRPr="00AA47D0">
        <w:rPr>
          <w:rFonts w:ascii="Arial" w:eastAsia="Times New Roman" w:hAnsi="Arial" w:cs="Arial"/>
          <w:kern w:val="0"/>
          <w:sz w:val="22"/>
          <w:szCs w:val="22"/>
          <w:lang w:eastAsia="en-GB"/>
          <w14:ligatures w14:val="none"/>
        </w:rPr>
        <w:t>Brohi</w:t>
      </w:r>
      <w:proofErr w:type="spellEnd"/>
      <w:r w:rsidRPr="00AA47D0">
        <w:rPr>
          <w:rFonts w:ascii="Arial" w:eastAsia="Times New Roman" w:hAnsi="Arial" w:cs="Arial"/>
          <w:kern w:val="0"/>
          <w:sz w:val="22"/>
          <w:szCs w:val="22"/>
          <w:lang w:eastAsia="en-GB"/>
          <w14:ligatures w14:val="none"/>
        </w:rPr>
        <w:t xml:space="preserve">, N.A., </w:t>
      </w:r>
      <w:proofErr w:type="spellStart"/>
      <w:r w:rsidRPr="00AA47D0">
        <w:rPr>
          <w:rFonts w:ascii="Arial" w:eastAsia="Times New Roman" w:hAnsi="Arial" w:cs="Arial"/>
          <w:kern w:val="0"/>
          <w:sz w:val="22"/>
          <w:szCs w:val="22"/>
          <w:lang w:eastAsia="en-GB"/>
          <w14:ligatures w14:val="none"/>
        </w:rPr>
        <w:t>Brohi</w:t>
      </w:r>
      <w:proofErr w:type="spellEnd"/>
      <w:r w:rsidRPr="00AA47D0">
        <w:rPr>
          <w:rFonts w:ascii="Arial" w:eastAsia="Times New Roman" w:hAnsi="Arial" w:cs="Arial"/>
          <w:kern w:val="0"/>
          <w:sz w:val="22"/>
          <w:szCs w:val="22"/>
          <w:lang w:eastAsia="en-GB"/>
          <w14:ligatures w14:val="none"/>
        </w:rPr>
        <w:t xml:space="preserve">, I.A. and Nasim, S. (2021) ‘P2P lending </w:t>
      </w:r>
      <w:proofErr w:type="spellStart"/>
      <w:r w:rsidRPr="00AA47D0">
        <w:rPr>
          <w:rFonts w:ascii="Arial" w:eastAsia="Times New Roman" w:hAnsi="Arial" w:cs="Arial"/>
          <w:kern w:val="0"/>
          <w:sz w:val="22"/>
          <w:szCs w:val="22"/>
          <w:lang w:eastAsia="en-GB"/>
          <w14:ligatures w14:val="none"/>
        </w:rPr>
        <w:t>FinTechs</w:t>
      </w:r>
      <w:proofErr w:type="spellEnd"/>
      <w:r w:rsidRPr="00AA47D0">
        <w:rPr>
          <w:rFonts w:ascii="Arial" w:eastAsia="Times New Roman" w:hAnsi="Arial" w:cs="Arial"/>
          <w:kern w:val="0"/>
          <w:sz w:val="22"/>
          <w:szCs w:val="22"/>
          <w:lang w:eastAsia="en-GB"/>
          <w14:ligatures w14:val="none"/>
        </w:rPr>
        <w:t xml:space="preserve"> and SMEs’ access to finance’, </w:t>
      </w:r>
      <w:r w:rsidRPr="00AA47D0">
        <w:rPr>
          <w:rFonts w:ascii="Arial" w:eastAsia="Times New Roman" w:hAnsi="Arial" w:cs="Arial"/>
          <w:i/>
          <w:iCs/>
          <w:kern w:val="0"/>
          <w:sz w:val="22"/>
          <w:szCs w:val="22"/>
          <w:lang w:eastAsia="en-GB"/>
          <w14:ligatures w14:val="none"/>
        </w:rPr>
        <w:t>Economics Letters</w:t>
      </w:r>
      <w:r w:rsidRPr="00AA47D0">
        <w:rPr>
          <w:rFonts w:ascii="Arial" w:eastAsia="Times New Roman" w:hAnsi="Arial" w:cs="Arial"/>
          <w:kern w:val="0"/>
          <w:sz w:val="22"/>
          <w:szCs w:val="22"/>
          <w:lang w:eastAsia="en-GB"/>
          <w14:ligatures w14:val="none"/>
        </w:rPr>
        <w:t>, 204, 109890. Available at: https://doi.org/10.1016/j.econlet.2021.109890</w:t>
      </w:r>
    </w:p>
    <w:p w14:paraId="1EEBD4A8"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84A04CD"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Rehman, S.U., Al Shaikh, M., Washington, P.B., Lee, E., Song, Z., Abu </w:t>
      </w:r>
      <w:proofErr w:type="spellStart"/>
      <w:r w:rsidRPr="00AA47D0">
        <w:rPr>
          <w:rFonts w:ascii="Arial" w:eastAsia="Times New Roman" w:hAnsi="Arial" w:cs="Arial"/>
          <w:kern w:val="0"/>
          <w:sz w:val="22"/>
          <w:szCs w:val="22"/>
          <w:lang w:eastAsia="en-GB"/>
          <w14:ligatures w14:val="none"/>
        </w:rPr>
        <w:t>AlSondos</w:t>
      </w:r>
      <w:proofErr w:type="spellEnd"/>
      <w:r w:rsidRPr="00AA47D0">
        <w:rPr>
          <w:rFonts w:ascii="Arial" w:eastAsia="Times New Roman" w:hAnsi="Arial" w:cs="Arial"/>
          <w:kern w:val="0"/>
          <w:sz w:val="22"/>
          <w:szCs w:val="22"/>
          <w:lang w:eastAsia="en-GB"/>
          <w14:ligatures w14:val="none"/>
        </w:rPr>
        <w:t xml:space="preserve">, I.A., Shehadeh, M. and </w:t>
      </w:r>
      <w:proofErr w:type="spellStart"/>
      <w:r w:rsidRPr="00AA47D0">
        <w:rPr>
          <w:rFonts w:ascii="Arial" w:eastAsia="Times New Roman" w:hAnsi="Arial" w:cs="Arial"/>
          <w:kern w:val="0"/>
          <w:sz w:val="22"/>
          <w:szCs w:val="22"/>
          <w:lang w:eastAsia="en-GB"/>
          <w14:ligatures w14:val="none"/>
        </w:rPr>
        <w:t>Allahham</w:t>
      </w:r>
      <w:proofErr w:type="spellEnd"/>
      <w:r w:rsidRPr="00AA47D0">
        <w:rPr>
          <w:rFonts w:ascii="Arial" w:eastAsia="Times New Roman" w:hAnsi="Arial" w:cs="Arial"/>
          <w:kern w:val="0"/>
          <w:sz w:val="22"/>
          <w:szCs w:val="22"/>
          <w:lang w:eastAsia="en-GB"/>
          <w14:ligatures w14:val="none"/>
        </w:rPr>
        <w:t xml:space="preserve">, M. (2023) ‘FinTech adoption in SMEs and bank credit supplies: A study on manufacturing SMEs’, </w:t>
      </w:r>
      <w:r w:rsidRPr="00AA47D0">
        <w:rPr>
          <w:rFonts w:ascii="Arial" w:eastAsia="Times New Roman" w:hAnsi="Arial" w:cs="Arial"/>
          <w:i/>
          <w:iCs/>
          <w:kern w:val="0"/>
          <w:sz w:val="22"/>
          <w:szCs w:val="22"/>
          <w:lang w:eastAsia="en-GB"/>
          <w14:ligatures w14:val="none"/>
        </w:rPr>
        <w:t>Economies</w:t>
      </w:r>
      <w:r w:rsidRPr="00AA47D0">
        <w:rPr>
          <w:rFonts w:ascii="Arial" w:eastAsia="Times New Roman" w:hAnsi="Arial" w:cs="Arial"/>
          <w:kern w:val="0"/>
          <w:sz w:val="22"/>
          <w:szCs w:val="22"/>
          <w:lang w:eastAsia="en-GB"/>
          <w14:ligatures w14:val="none"/>
        </w:rPr>
        <w:t>, 11(8), 213. Available at: https://doi.org/10.3390/economies11080213</w:t>
      </w:r>
    </w:p>
    <w:p w14:paraId="2AA70929"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651737D1"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Isha, F.O.T., </w:t>
      </w:r>
      <w:proofErr w:type="spellStart"/>
      <w:r w:rsidRPr="00AA47D0">
        <w:rPr>
          <w:rFonts w:ascii="Arial" w:eastAsia="Times New Roman" w:hAnsi="Arial" w:cs="Arial"/>
          <w:kern w:val="0"/>
          <w:sz w:val="22"/>
          <w:szCs w:val="22"/>
          <w:lang w:eastAsia="en-GB"/>
          <w14:ligatures w14:val="none"/>
        </w:rPr>
        <w:t>Kithandi</w:t>
      </w:r>
      <w:proofErr w:type="spellEnd"/>
      <w:r w:rsidRPr="00AA47D0">
        <w:rPr>
          <w:rFonts w:ascii="Arial" w:eastAsia="Times New Roman" w:hAnsi="Arial" w:cs="Arial"/>
          <w:kern w:val="0"/>
          <w:sz w:val="22"/>
          <w:szCs w:val="22"/>
          <w:lang w:eastAsia="en-GB"/>
          <w14:ligatures w14:val="none"/>
        </w:rPr>
        <w:t xml:space="preserve">, C.K. and </w:t>
      </w:r>
      <w:proofErr w:type="spellStart"/>
      <w:r w:rsidRPr="00AA47D0">
        <w:rPr>
          <w:rFonts w:ascii="Arial" w:eastAsia="Times New Roman" w:hAnsi="Arial" w:cs="Arial"/>
          <w:kern w:val="0"/>
          <w:sz w:val="22"/>
          <w:szCs w:val="22"/>
          <w:lang w:eastAsia="en-GB"/>
          <w14:ligatures w14:val="none"/>
        </w:rPr>
        <w:t>Onchomba</w:t>
      </w:r>
      <w:proofErr w:type="spellEnd"/>
      <w:r w:rsidRPr="00AA47D0">
        <w:rPr>
          <w:rFonts w:ascii="Arial" w:eastAsia="Times New Roman" w:hAnsi="Arial" w:cs="Arial"/>
          <w:kern w:val="0"/>
          <w:sz w:val="22"/>
          <w:szCs w:val="22"/>
          <w:lang w:eastAsia="en-GB"/>
          <w14:ligatures w14:val="none"/>
        </w:rPr>
        <w:t xml:space="preserve">, M. (2025) ‘FinTech adoption and credit access of micro, small, medium enterprises in Nairobi City County, Kenya’, </w:t>
      </w:r>
      <w:r w:rsidRPr="00AA47D0">
        <w:rPr>
          <w:rFonts w:ascii="Arial" w:eastAsia="Times New Roman" w:hAnsi="Arial" w:cs="Arial"/>
          <w:i/>
          <w:iCs/>
          <w:kern w:val="0"/>
          <w:sz w:val="22"/>
          <w:szCs w:val="22"/>
          <w:lang w:eastAsia="en-GB"/>
          <w14:ligatures w14:val="none"/>
        </w:rPr>
        <w:t>East African Finance Journal</w:t>
      </w:r>
      <w:r w:rsidRPr="00AA47D0">
        <w:rPr>
          <w:rFonts w:ascii="Arial" w:eastAsia="Times New Roman" w:hAnsi="Arial" w:cs="Arial"/>
          <w:kern w:val="0"/>
          <w:sz w:val="22"/>
          <w:szCs w:val="22"/>
          <w:lang w:eastAsia="en-GB"/>
          <w14:ligatures w14:val="none"/>
        </w:rPr>
        <w:t>, 4(4), pp. 79–92. Available at: https://doi.org/10.59413/eafj/v4.i4.5</w:t>
      </w:r>
    </w:p>
    <w:p w14:paraId="46C54988"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19A2C2DF" w14:textId="1B81FC80"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Fadeyi, O., </w:t>
      </w:r>
      <w:proofErr w:type="spellStart"/>
      <w:r w:rsidRPr="00AA47D0">
        <w:rPr>
          <w:rFonts w:ascii="Arial" w:eastAsia="Times New Roman" w:hAnsi="Arial" w:cs="Arial"/>
          <w:kern w:val="0"/>
          <w:sz w:val="22"/>
          <w:szCs w:val="22"/>
          <w:lang w:eastAsia="en-GB"/>
          <w14:ligatures w14:val="none"/>
        </w:rPr>
        <w:t>Sajuyigbe</w:t>
      </w:r>
      <w:proofErr w:type="spellEnd"/>
      <w:r w:rsidRPr="00AA47D0">
        <w:rPr>
          <w:rFonts w:ascii="Arial" w:eastAsia="Times New Roman" w:hAnsi="Arial" w:cs="Arial"/>
          <w:kern w:val="0"/>
          <w:sz w:val="22"/>
          <w:szCs w:val="22"/>
          <w:lang w:eastAsia="en-GB"/>
          <w14:ligatures w14:val="none"/>
        </w:rPr>
        <w:t xml:space="preserve">, A.S., Tella, R.A., Oke, O.D., Babalola, O.A. and Wahab, A. (2025) ‘Assessing the impact of financial service digitalization on SME businesses in Lagos, Nigeria’, </w:t>
      </w:r>
      <w:r w:rsidRPr="00AA47D0">
        <w:rPr>
          <w:rFonts w:ascii="Arial" w:eastAsia="Times New Roman" w:hAnsi="Arial" w:cs="Arial"/>
          <w:i/>
          <w:iCs/>
          <w:kern w:val="0"/>
          <w:sz w:val="22"/>
          <w:szCs w:val="22"/>
          <w:lang w:eastAsia="en-GB"/>
          <w14:ligatures w14:val="none"/>
        </w:rPr>
        <w:t>Journal of Entrepreneurship &amp; Business</w:t>
      </w:r>
      <w:r w:rsidRPr="00AA47D0">
        <w:rPr>
          <w:rFonts w:ascii="Arial" w:eastAsia="Times New Roman" w:hAnsi="Arial" w:cs="Arial"/>
          <w:kern w:val="0"/>
          <w:sz w:val="22"/>
          <w:szCs w:val="22"/>
          <w:lang w:eastAsia="en-GB"/>
          <w14:ligatures w14:val="none"/>
        </w:rPr>
        <w:t xml:space="preserve">, 6(1), pp. 94–118. Available at: </w:t>
      </w:r>
      <w:hyperlink r:id="rId18" w:history="1">
        <w:r w:rsidR="001C28DB" w:rsidRPr="00AA47D0">
          <w:rPr>
            <w:rStyle w:val="Hyperlink"/>
            <w:rFonts w:ascii="Arial" w:eastAsia="Times New Roman" w:hAnsi="Arial" w:cs="Arial"/>
            <w:kern w:val="0"/>
            <w:sz w:val="22"/>
            <w:szCs w:val="22"/>
            <w:lang w:eastAsia="en-GB"/>
            <w14:ligatures w14:val="none"/>
          </w:rPr>
          <w:t>https://doi.org/10.24123/jeb.v6i1.7212</w:t>
        </w:r>
      </w:hyperlink>
    </w:p>
    <w:p w14:paraId="3A5E7A88" w14:textId="77777777" w:rsidR="001C28DB" w:rsidRPr="00AA47D0" w:rsidRDefault="001C28DB" w:rsidP="000B78E1">
      <w:pPr>
        <w:spacing w:after="0" w:line="360" w:lineRule="auto"/>
        <w:ind w:left="360"/>
        <w:jc w:val="both"/>
        <w:rPr>
          <w:rFonts w:ascii="Arial" w:eastAsia="Times New Roman" w:hAnsi="Arial" w:cs="Arial"/>
          <w:kern w:val="0"/>
          <w:sz w:val="22"/>
          <w:szCs w:val="22"/>
          <w:lang w:eastAsia="en-GB"/>
          <w14:ligatures w14:val="none"/>
        </w:rPr>
      </w:pPr>
    </w:p>
    <w:p w14:paraId="141A9E09"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Xie, C. and Liu, C. (2022) ‘The nexus between digital finance and </w:t>
      </w:r>
      <w:proofErr w:type="gramStart"/>
      <w:r w:rsidRPr="00AA47D0">
        <w:rPr>
          <w:rFonts w:ascii="Arial" w:eastAsia="Times New Roman" w:hAnsi="Arial" w:cs="Arial"/>
          <w:kern w:val="0"/>
          <w:sz w:val="22"/>
          <w:szCs w:val="22"/>
          <w:lang w:eastAsia="en-GB"/>
          <w14:ligatures w14:val="none"/>
        </w:rPr>
        <w:t>high quality</w:t>
      </w:r>
      <w:proofErr w:type="gramEnd"/>
      <w:r w:rsidRPr="00AA47D0">
        <w:rPr>
          <w:rFonts w:ascii="Arial" w:eastAsia="Times New Roman" w:hAnsi="Arial" w:cs="Arial"/>
          <w:kern w:val="0"/>
          <w:sz w:val="22"/>
          <w:szCs w:val="22"/>
          <w:lang w:eastAsia="en-GB"/>
          <w14:ligatures w14:val="none"/>
        </w:rPr>
        <w:t xml:space="preserve"> development of SMEs: Evidence from China’, </w:t>
      </w:r>
      <w:r w:rsidRPr="00AA47D0">
        <w:rPr>
          <w:rFonts w:ascii="Arial" w:eastAsia="Times New Roman" w:hAnsi="Arial" w:cs="Arial"/>
          <w:i/>
          <w:iCs/>
          <w:kern w:val="0"/>
          <w:sz w:val="22"/>
          <w:szCs w:val="22"/>
          <w:lang w:eastAsia="en-GB"/>
          <w14:ligatures w14:val="none"/>
        </w:rPr>
        <w:t>Sustainability</w:t>
      </w:r>
      <w:r w:rsidRPr="00AA47D0">
        <w:rPr>
          <w:rFonts w:ascii="Arial" w:eastAsia="Times New Roman" w:hAnsi="Arial" w:cs="Arial"/>
          <w:kern w:val="0"/>
          <w:sz w:val="22"/>
          <w:szCs w:val="22"/>
          <w:lang w:eastAsia="en-GB"/>
          <w14:ligatures w14:val="none"/>
        </w:rPr>
        <w:t xml:space="preserve">, 14(12), 7410. Available at: </w:t>
      </w:r>
      <w:hyperlink r:id="rId19" w:history="1">
        <w:r w:rsidRPr="00AA47D0">
          <w:rPr>
            <w:rStyle w:val="Hyperlink"/>
            <w:rFonts w:ascii="Arial" w:eastAsia="Times New Roman" w:hAnsi="Arial" w:cs="Arial"/>
            <w:kern w:val="0"/>
            <w:sz w:val="22"/>
            <w:szCs w:val="22"/>
            <w:lang w:eastAsia="en-GB"/>
            <w14:ligatures w14:val="none"/>
          </w:rPr>
          <w:t>https://doi.org/10.3390/su14127410</w:t>
        </w:r>
      </w:hyperlink>
    </w:p>
    <w:p w14:paraId="5C2D7B83"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7E82BED"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Sarker, S. and Rahman, I. (2025) ‘Digital financial inclusion in Bangladesh: Unlocking opportunities for marginalized populations’, </w:t>
      </w:r>
      <w:r w:rsidRPr="00AA47D0">
        <w:rPr>
          <w:rFonts w:ascii="Arial" w:eastAsia="Times New Roman" w:hAnsi="Arial" w:cs="Arial"/>
          <w:i/>
          <w:iCs/>
          <w:kern w:val="0"/>
          <w:sz w:val="22"/>
          <w:szCs w:val="22"/>
          <w:lang w:eastAsia="en-GB"/>
          <w14:ligatures w14:val="none"/>
        </w:rPr>
        <w:t>Asian Journal of Economics, Business and Accounting</w:t>
      </w:r>
      <w:r w:rsidRPr="00AA47D0">
        <w:rPr>
          <w:rFonts w:ascii="Arial" w:eastAsia="Times New Roman" w:hAnsi="Arial" w:cs="Arial"/>
          <w:kern w:val="0"/>
          <w:sz w:val="22"/>
          <w:szCs w:val="22"/>
          <w:lang w:eastAsia="en-GB"/>
          <w14:ligatures w14:val="none"/>
        </w:rPr>
        <w:t>, 25(3), pp. 206–220. Available at: https://doi.org/10.9734/ajeba/2025/v25i31704.</w:t>
      </w:r>
    </w:p>
    <w:p w14:paraId="00EA0D0D"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2E03590E"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lastRenderedPageBreak/>
        <w:t xml:space="preserve">Savvakis, G.A., </w:t>
      </w:r>
      <w:proofErr w:type="spellStart"/>
      <w:r w:rsidRPr="00AA47D0">
        <w:rPr>
          <w:rFonts w:ascii="Arial" w:eastAsia="Times New Roman" w:hAnsi="Arial" w:cs="Arial"/>
          <w:kern w:val="0"/>
          <w:sz w:val="22"/>
          <w:szCs w:val="22"/>
          <w:lang w:eastAsia="en-GB"/>
          <w14:ligatures w14:val="none"/>
        </w:rPr>
        <w:t>Kenourgios</w:t>
      </w:r>
      <w:proofErr w:type="spellEnd"/>
      <w:r w:rsidRPr="00AA47D0">
        <w:rPr>
          <w:rFonts w:ascii="Arial" w:eastAsia="Times New Roman" w:hAnsi="Arial" w:cs="Arial"/>
          <w:kern w:val="0"/>
          <w:sz w:val="22"/>
          <w:szCs w:val="22"/>
          <w:lang w:eastAsia="en-GB"/>
          <w14:ligatures w14:val="none"/>
        </w:rPr>
        <w:t xml:space="preserve">, D. and </w:t>
      </w:r>
      <w:proofErr w:type="spellStart"/>
      <w:r w:rsidRPr="00AA47D0">
        <w:rPr>
          <w:rFonts w:ascii="Arial" w:eastAsia="Times New Roman" w:hAnsi="Arial" w:cs="Arial"/>
          <w:kern w:val="0"/>
          <w:sz w:val="22"/>
          <w:szCs w:val="22"/>
          <w:lang w:eastAsia="en-GB"/>
          <w14:ligatures w14:val="none"/>
        </w:rPr>
        <w:t>Trakadas</w:t>
      </w:r>
      <w:proofErr w:type="spellEnd"/>
      <w:r w:rsidRPr="00AA47D0">
        <w:rPr>
          <w:rFonts w:ascii="Arial" w:eastAsia="Times New Roman" w:hAnsi="Arial" w:cs="Arial"/>
          <w:kern w:val="0"/>
          <w:sz w:val="22"/>
          <w:szCs w:val="22"/>
          <w:lang w:eastAsia="en-GB"/>
          <w14:ligatures w14:val="none"/>
        </w:rPr>
        <w:t>, P. (2024) ‘Digitalization as a driver of European SMEs’ financial performance during COVID</w:t>
      </w:r>
      <w:r w:rsidRPr="00AA47D0">
        <w:rPr>
          <w:rFonts w:ascii="Arial" w:eastAsia="Times New Roman" w:hAnsi="Arial" w:cs="Arial"/>
          <w:kern w:val="0"/>
          <w:sz w:val="22"/>
          <w:szCs w:val="22"/>
          <w:lang w:eastAsia="en-GB"/>
          <w14:ligatures w14:val="none"/>
        </w:rPr>
        <w:noBreakHyphen/>
        <w:t xml:space="preserve">19’, </w:t>
      </w:r>
      <w:r w:rsidRPr="00AA47D0">
        <w:rPr>
          <w:rFonts w:ascii="Arial" w:eastAsia="Times New Roman" w:hAnsi="Arial" w:cs="Arial"/>
          <w:i/>
          <w:iCs/>
          <w:kern w:val="0"/>
          <w:sz w:val="22"/>
          <w:szCs w:val="22"/>
          <w:lang w:eastAsia="en-GB"/>
          <w14:ligatures w14:val="none"/>
        </w:rPr>
        <w:t>Finance Research Letters</w:t>
      </w:r>
      <w:r w:rsidRPr="00AA47D0">
        <w:rPr>
          <w:rFonts w:ascii="Arial" w:eastAsia="Times New Roman" w:hAnsi="Arial" w:cs="Arial"/>
          <w:kern w:val="0"/>
          <w:sz w:val="22"/>
          <w:szCs w:val="22"/>
          <w:lang w:eastAsia="en-GB"/>
          <w14:ligatures w14:val="none"/>
        </w:rPr>
        <w:t>, 67, 105848. Available at: https://doi.org/10.1016/j.frl.2024.105848</w:t>
      </w:r>
    </w:p>
    <w:p w14:paraId="517C43CE"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2742136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Saha, B., Ahsan, A., Muhd Yusuf, D.H., Islam, M.A., Huda, N. and Suryani, I. (2025) ‘Exploring the drivers of fintech adoption in SMEs: A study from Bangladesh’, </w:t>
      </w:r>
      <w:r w:rsidRPr="00AA47D0">
        <w:rPr>
          <w:rFonts w:ascii="Arial" w:eastAsia="Times New Roman" w:hAnsi="Arial" w:cs="Arial"/>
          <w:i/>
          <w:iCs/>
          <w:kern w:val="0"/>
          <w:sz w:val="22"/>
          <w:szCs w:val="22"/>
          <w:lang w:eastAsia="en-GB"/>
          <w14:ligatures w14:val="none"/>
        </w:rPr>
        <w:t>International Journal of Business and Technology Management</w:t>
      </w:r>
      <w:r w:rsidRPr="00AA47D0">
        <w:rPr>
          <w:rFonts w:ascii="Arial" w:eastAsia="Times New Roman" w:hAnsi="Arial" w:cs="Arial"/>
          <w:kern w:val="0"/>
          <w:sz w:val="22"/>
          <w:szCs w:val="22"/>
          <w:lang w:eastAsia="en-GB"/>
          <w14:ligatures w14:val="none"/>
        </w:rPr>
        <w:t>, 7(1), pp. 59–71. Available at: https://doi.org/10.55057/ijbtm.2025.7.1.6</w:t>
      </w:r>
    </w:p>
    <w:p w14:paraId="2CEE7B28"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3F77E3A"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Ahmed, A. and Hasan, M.E. (2021) ‘Bangladesh toward digital financial inclusion: FinTech experience’, </w:t>
      </w:r>
      <w:r w:rsidRPr="00AA47D0">
        <w:rPr>
          <w:rFonts w:ascii="Arial" w:eastAsia="Times New Roman" w:hAnsi="Arial" w:cs="Arial"/>
          <w:i/>
          <w:iCs/>
          <w:kern w:val="0"/>
          <w:sz w:val="22"/>
          <w:szCs w:val="22"/>
          <w:lang w:eastAsia="en-GB"/>
          <w14:ligatures w14:val="none"/>
        </w:rPr>
        <w:t>Journal of Entrepreneurship and Business Innovation</w:t>
      </w:r>
      <w:r w:rsidRPr="00AA47D0">
        <w:rPr>
          <w:rFonts w:ascii="Arial" w:eastAsia="Times New Roman" w:hAnsi="Arial" w:cs="Arial"/>
          <w:kern w:val="0"/>
          <w:sz w:val="22"/>
          <w:szCs w:val="22"/>
          <w:lang w:eastAsia="en-GB"/>
          <w14:ligatures w14:val="none"/>
        </w:rPr>
        <w:t xml:space="preserve">, 8(2), pp. 33–49. Available at: </w:t>
      </w:r>
      <w:hyperlink r:id="rId20" w:history="1">
        <w:r w:rsidRPr="00AA47D0">
          <w:rPr>
            <w:rStyle w:val="Hyperlink"/>
            <w:rFonts w:ascii="Arial" w:eastAsia="Times New Roman" w:hAnsi="Arial" w:cs="Arial"/>
            <w:kern w:val="0"/>
            <w:sz w:val="22"/>
            <w:szCs w:val="22"/>
            <w:lang w:eastAsia="en-GB"/>
            <w14:ligatures w14:val="none"/>
          </w:rPr>
          <w:t>https://doi.org/10.5296/jebi.v8i2.19115</w:t>
        </w:r>
      </w:hyperlink>
    </w:p>
    <w:p w14:paraId="4F7182CD"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50B3DFB8"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Sadik, N. and Rahman, M.M. (2024) ‘Factors affecting digital financial service adoption in Bangladesh: Evidence from SEM</w:t>
      </w:r>
      <w:r w:rsidRPr="00AA47D0">
        <w:rPr>
          <w:rFonts w:ascii="Arial" w:eastAsia="Times New Roman" w:hAnsi="Arial" w:cs="Arial"/>
          <w:kern w:val="0"/>
          <w:sz w:val="22"/>
          <w:szCs w:val="22"/>
          <w:lang w:eastAsia="en-GB"/>
          <w14:ligatures w14:val="none"/>
        </w:rPr>
        <w:noBreakHyphen/>
        <w:t xml:space="preserve">ANN approaches’, </w:t>
      </w:r>
      <w:r w:rsidRPr="00AA47D0">
        <w:rPr>
          <w:rFonts w:ascii="Arial" w:eastAsia="Times New Roman" w:hAnsi="Arial" w:cs="Arial"/>
          <w:i/>
          <w:iCs/>
          <w:kern w:val="0"/>
          <w:sz w:val="22"/>
          <w:szCs w:val="22"/>
          <w:lang w:eastAsia="en-GB"/>
          <w14:ligatures w14:val="none"/>
        </w:rPr>
        <w:t>Journal of Risk Analysis and Crisis Response</w:t>
      </w:r>
      <w:r w:rsidRPr="00AA47D0">
        <w:rPr>
          <w:rFonts w:ascii="Arial" w:eastAsia="Times New Roman" w:hAnsi="Arial" w:cs="Arial"/>
          <w:kern w:val="0"/>
          <w:sz w:val="22"/>
          <w:szCs w:val="22"/>
          <w:lang w:eastAsia="en-GB"/>
          <w14:ligatures w14:val="none"/>
        </w:rPr>
        <w:t xml:space="preserve">, 14(4), pp. 404–422. Available at: </w:t>
      </w:r>
      <w:hyperlink r:id="rId21" w:history="1">
        <w:r w:rsidRPr="00AA47D0">
          <w:rPr>
            <w:rStyle w:val="Hyperlink"/>
            <w:rFonts w:ascii="Arial" w:eastAsia="Times New Roman" w:hAnsi="Arial" w:cs="Arial"/>
            <w:kern w:val="0"/>
            <w:sz w:val="22"/>
            <w:szCs w:val="22"/>
            <w:lang w:eastAsia="en-GB"/>
            <w14:ligatures w14:val="none"/>
          </w:rPr>
          <w:t>https://doi.org/10.54560/jracr.v14i4.555</w:t>
        </w:r>
      </w:hyperlink>
    </w:p>
    <w:p w14:paraId="1F9A693E"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01C4295F"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Sanga, B. and </w:t>
      </w:r>
      <w:proofErr w:type="spellStart"/>
      <w:r w:rsidRPr="00AA47D0">
        <w:rPr>
          <w:rFonts w:ascii="Arial" w:eastAsia="Times New Roman" w:hAnsi="Arial" w:cs="Arial"/>
          <w:kern w:val="0"/>
          <w:sz w:val="22"/>
          <w:szCs w:val="22"/>
          <w:lang w:eastAsia="en-GB"/>
          <w14:ligatures w14:val="none"/>
        </w:rPr>
        <w:t>Aziakpono</w:t>
      </w:r>
      <w:proofErr w:type="spellEnd"/>
      <w:r w:rsidRPr="00AA47D0">
        <w:rPr>
          <w:rFonts w:ascii="Arial" w:eastAsia="Times New Roman" w:hAnsi="Arial" w:cs="Arial"/>
          <w:kern w:val="0"/>
          <w:sz w:val="22"/>
          <w:szCs w:val="22"/>
          <w:lang w:eastAsia="en-GB"/>
          <w14:ligatures w14:val="none"/>
        </w:rPr>
        <w:t xml:space="preserve">, M. (2023) ‘FinTech and SMEs financing: A systematic literature review and bibliometric analysis’, </w:t>
      </w:r>
      <w:r w:rsidRPr="00AA47D0">
        <w:rPr>
          <w:rFonts w:ascii="Arial" w:eastAsia="Times New Roman" w:hAnsi="Arial" w:cs="Arial"/>
          <w:i/>
          <w:iCs/>
          <w:kern w:val="0"/>
          <w:sz w:val="22"/>
          <w:szCs w:val="22"/>
          <w:lang w:eastAsia="en-GB"/>
          <w14:ligatures w14:val="none"/>
        </w:rPr>
        <w:t>Digital Business</w:t>
      </w:r>
      <w:r w:rsidRPr="00AA47D0">
        <w:rPr>
          <w:rFonts w:ascii="Arial" w:eastAsia="Times New Roman" w:hAnsi="Arial" w:cs="Arial"/>
          <w:kern w:val="0"/>
          <w:sz w:val="22"/>
          <w:szCs w:val="22"/>
          <w:lang w:eastAsia="en-GB"/>
          <w14:ligatures w14:val="none"/>
        </w:rPr>
        <w:t xml:space="preserve">, 3, 100067. Available at: </w:t>
      </w:r>
      <w:hyperlink r:id="rId22" w:history="1">
        <w:r w:rsidRPr="00AA47D0">
          <w:rPr>
            <w:rStyle w:val="Hyperlink"/>
            <w:rFonts w:ascii="Arial" w:eastAsia="Times New Roman" w:hAnsi="Arial" w:cs="Arial"/>
            <w:kern w:val="0"/>
            <w:sz w:val="22"/>
            <w:szCs w:val="22"/>
            <w:lang w:eastAsia="en-GB"/>
            <w14:ligatures w14:val="none"/>
          </w:rPr>
          <w:t>https://doi.org/10.1016/j.digbus.2023.100067</w:t>
        </w:r>
      </w:hyperlink>
    </w:p>
    <w:p w14:paraId="410C3095" w14:textId="43C4112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0BB0A2D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Ocharive</w:t>
      </w:r>
      <w:proofErr w:type="spellEnd"/>
      <w:r w:rsidRPr="00AA47D0">
        <w:rPr>
          <w:rFonts w:ascii="Arial" w:eastAsia="Times New Roman" w:hAnsi="Arial" w:cs="Arial"/>
          <w:kern w:val="0"/>
          <w:sz w:val="22"/>
          <w:szCs w:val="22"/>
          <w:lang w:eastAsia="en-GB"/>
          <w14:ligatures w14:val="none"/>
        </w:rPr>
        <w:t xml:space="preserve">, A. and </w:t>
      </w:r>
      <w:proofErr w:type="spellStart"/>
      <w:r w:rsidRPr="00AA47D0">
        <w:rPr>
          <w:rFonts w:ascii="Arial" w:eastAsia="Times New Roman" w:hAnsi="Arial" w:cs="Arial"/>
          <w:kern w:val="0"/>
          <w:sz w:val="22"/>
          <w:szCs w:val="22"/>
          <w:lang w:eastAsia="en-GB"/>
          <w14:ligatures w14:val="none"/>
        </w:rPr>
        <w:t>Iworiso</w:t>
      </w:r>
      <w:proofErr w:type="spellEnd"/>
      <w:r w:rsidRPr="00AA47D0">
        <w:rPr>
          <w:rFonts w:ascii="Arial" w:eastAsia="Times New Roman" w:hAnsi="Arial" w:cs="Arial"/>
          <w:kern w:val="0"/>
          <w:sz w:val="22"/>
          <w:szCs w:val="22"/>
          <w:lang w:eastAsia="en-GB"/>
          <w14:ligatures w14:val="none"/>
        </w:rPr>
        <w:t xml:space="preserve">, J. (2024) ‘The impact of digital financial services on financial inclusion: A panel data regression method’, </w:t>
      </w:r>
      <w:r w:rsidRPr="00AA47D0">
        <w:rPr>
          <w:rFonts w:ascii="Arial" w:eastAsia="Times New Roman" w:hAnsi="Arial" w:cs="Arial"/>
          <w:i/>
          <w:iCs/>
          <w:kern w:val="0"/>
          <w:sz w:val="22"/>
          <w:szCs w:val="22"/>
          <w:lang w:eastAsia="en-GB"/>
          <w14:ligatures w14:val="none"/>
        </w:rPr>
        <w:t>International Journal of Data Science and Analysis</w:t>
      </w:r>
      <w:r w:rsidRPr="00AA47D0">
        <w:rPr>
          <w:rFonts w:ascii="Arial" w:eastAsia="Times New Roman" w:hAnsi="Arial" w:cs="Arial"/>
          <w:kern w:val="0"/>
          <w:sz w:val="22"/>
          <w:szCs w:val="22"/>
          <w:lang w:eastAsia="en-GB"/>
          <w14:ligatures w14:val="none"/>
        </w:rPr>
        <w:t xml:space="preserve">, 10(2), pp. 20–32. Available at: </w:t>
      </w:r>
      <w:hyperlink r:id="rId23" w:history="1">
        <w:r w:rsidRPr="00AA47D0">
          <w:rPr>
            <w:rStyle w:val="Hyperlink"/>
            <w:rFonts w:ascii="Arial" w:eastAsia="Times New Roman" w:hAnsi="Arial" w:cs="Arial"/>
            <w:kern w:val="0"/>
            <w:sz w:val="22"/>
            <w:szCs w:val="22"/>
            <w:lang w:eastAsia="en-GB"/>
            <w14:ligatures w14:val="none"/>
          </w:rPr>
          <w:t>https://doi.org/10.11648/j.ijdsa.20241002.11</w:t>
        </w:r>
      </w:hyperlink>
      <w:r w:rsidRPr="00AA47D0">
        <w:rPr>
          <w:rFonts w:ascii="Arial" w:eastAsia="Times New Roman" w:hAnsi="Arial" w:cs="Arial"/>
          <w:kern w:val="0"/>
          <w:sz w:val="22"/>
          <w:szCs w:val="22"/>
          <w:lang w:eastAsia="en-GB"/>
          <w14:ligatures w14:val="none"/>
        </w:rPr>
        <w:t>.</w:t>
      </w:r>
    </w:p>
    <w:p w14:paraId="1263DC5D"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1C098F7D"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Huda, S.S.M.S., Kabir, M.H., </w:t>
      </w:r>
      <w:proofErr w:type="spellStart"/>
      <w:r w:rsidRPr="00AA47D0">
        <w:rPr>
          <w:rFonts w:ascii="Arial" w:eastAsia="Times New Roman" w:hAnsi="Arial" w:cs="Arial"/>
          <w:kern w:val="0"/>
          <w:sz w:val="22"/>
          <w:szCs w:val="22"/>
          <w:lang w:eastAsia="en-GB"/>
          <w14:ligatures w14:val="none"/>
        </w:rPr>
        <w:t>Popy</w:t>
      </w:r>
      <w:proofErr w:type="spellEnd"/>
      <w:r w:rsidRPr="00AA47D0">
        <w:rPr>
          <w:rFonts w:ascii="Arial" w:eastAsia="Times New Roman" w:hAnsi="Arial" w:cs="Arial"/>
          <w:kern w:val="0"/>
          <w:sz w:val="22"/>
          <w:szCs w:val="22"/>
          <w:lang w:eastAsia="en-GB"/>
          <w14:ligatures w14:val="none"/>
        </w:rPr>
        <w:t xml:space="preserve">, N.N. and Saha, S. (2020) ‘Innovation in financial services: The case of Bangladesh’, </w:t>
      </w:r>
      <w:r w:rsidRPr="00AA47D0">
        <w:rPr>
          <w:rFonts w:ascii="Arial" w:eastAsia="Times New Roman" w:hAnsi="Arial" w:cs="Arial"/>
          <w:i/>
          <w:iCs/>
          <w:kern w:val="0"/>
          <w:sz w:val="22"/>
          <w:szCs w:val="22"/>
          <w:lang w:eastAsia="en-GB"/>
          <w14:ligatures w14:val="none"/>
        </w:rPr>
        <w:t>Copernican Journal of Finance &amp; Accounting</w:t>
      </w:r>
      <w:r w:rsidRPr="00AA47D0">
        <w:rPr>
          <w:rFonts w:ascii="Arial" w:eastAsia="Times New Roman" w:hAnsi="Arial" w:cs="Arial"/>
          <w:kern w:val="0"/>
          <w:sz w:val="22"/>
          <w:szCs w:val="22"/>
          <w:lang w:eastAsia="en-GB"/>
          <w14:ligatures w14:val="none"/>
        </w:rPr>
        <w:t xml:space="preserve">, 9(1), pp. 31–56. Available at: </w:t>
      </w:r>
      <w:hyperlink r:id="rId24" w:history="1">
        <w:r w:rsidRPr="00AA47D0">
          <w:rPr>
            <w:rStyle w:val="Hyperlink"/>
            <w:rFonts w:ascii="Arial" w:eastAsia="Times New Roman" w:hAnsi="Arial" w:cs="Arial"/>
            <w:kern w:val="0"/>
            <w:sz w:val="22"/>
            <w:szCs w:val="22"/>
            <w:lang w:eastAsia="en-GB"/>
            <w14:ligatures w14:val="none"/>
          </w:rPr>
          <w:t>http://dx.doi.org/10.12775/CJFA.2020.002</w:t>
        </w:r>
      </w:hyperlink>
    </w:p>
    <w:p w14:paraId="35D26EA0"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64EABD26" w14:textId="77777777" w:rsidR="00550362" w:rsidRPr="00AA47D0" w:rsidRDefault="00550362" w:rsidP="000B78E1">
      <w:pPr>
        <w:spacing w:after="0" w:line="360" w:lineRule="auto"/>
        <w:ind w:left="360"/>
        <w:jc w:val="both"/>
        <w:rPr>
          <w:rFonts w:ascii="Arial" w:hAnsi="Arial" w:cs="Arial"/>
          <w:sz w:val="22"/>
          <w:szCs w:val="22"/>
        </w:rPr>
      </w:pPr>
      <w:r w:rsidRPr="00AA47D0">
        <w:rPr>
          <w:rFonts w:ascii="Arial" w:hAnsi="Arial" w:cs="Arial"/>
          <w:sz w:val="22"/>
          <w:szCs w:val="22"/>
        </w:rPr>
        <w:t xml:space="preserve">Okafor, C.M., Osuji, V.C. and Dako, O.F. (2021) </w:t>
      </w:r>
      <w:r w:rsidRPr="00AA47D0">
        <w:rPr>
          <w:rFonts w:ascii="Arial" w:hAnsi="Arial" w:cs="Arial"/>
          <w:i/>
          <w:iCs/>
          <w:sz w:val="22"/>
          <w:szCs w:val="22"/>
        </w:rPr>
        <w:t>Fintech</w:t>
      </w:r>
      <w:r w:rsidRPr="00AA47D0">
        <w:rPr>
          <w:rFonts w:ascii="Arial" w:hAnsi="Arial" w:cs="Arial"/>
          <w:i/>
          <w:iCs/>
          <w:sz w:val="22"/>
          <w:szCs w:val="22"/>
        </w:rPr>
        <w:noBreakHyphen/>
        <w:t>enabled transformation of transaction banking and digital lending as a catalyst for SME growth and financial inclusion</w:t>
      </w:r>
      <w:r w:rsidRPr="00AA47D0">
        <w:rPr>
          <w:rFonts w:ascii="Arial" w:hAnsi="Arial" w:cs="Arial"/>
          <w:sz w:val="22"/>
          <w:szCs w:val="22"/>
        </w:rPr>
        <w:t xml:space="preserve">. </w:t>
      </w:r>
      <w:proofErr w:type="spellStart"/>
      <w:r w:rsidRPr="00AA47D0">
        <w:rPr>
          <w:rFonts w:ascii="Arial" w:hAnsi="Arial" w:cs="Arial"/>
          <w:sz w:val="22"/>
          <w:szCs w:val="22"/>
        </w:rPr>
        <w:t>Shodhshauryam</w:t>
      </w:r>
      <w:proofErr w:type="spellEnd"/>
      <w:r w:rsidRPr="00AA47D0">
        <w:rPr>
          <w:rFonts w:ascii="Arial" w:hAnsi="Arial" w:cs="Arial"/>
          <w:sz w:val="22"/>
          <w:szCs w:val="22"/>
        </w:rPr>
        <w:t>: International Scientific Refereed Research Journal, 4(4), pp. 336–355</w:t>
      </w:r>
    </w:p>
    <w:p w14:paraId="011C772F" w14:textId="77777777" w:rsidR="001C28DB" w:rsidRPr="00AA47D0" w:rsidRDefault="001C28DB" w:rsidP="000B78E1">
      <w:pPr>
        <w:spacing w:after="0" w:line="360" w:lineRule="auto"/>
        <w:ind w:left="360"/>
        <w:jc w:val="both"/>
        <w:rPr>
          <w:rFonts w:ascii="Arial" w:eastAsia="Times New Roman" w:hAnsi="Arial" w:cs="Arial"/>
          <w:kern w:val="0"/>
          <w:sz w:val="22"/>
          <w:szCs w:val="22"/>
          <w:lang w:eastAsia="en-GB"/>
          <w14:ligatures w14:val="none"/>
        </w:rPr>
      </w:pPr>
    </w:p>
    <w:p w14:paraId="1C675085"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Caroline, O.K., Amos, A., Sunday, J.T. and Mathew, B.O. (2025) ‘The adoption of FinTech solutions by small and medium enterprises (SMEs) in Ilorin: A study of its impact on </w:t>
      </w:r>
      <w:r w:rsidRPr="00AA47D0">
        <w:rPr>
          <w:rFonts w:ascii="Arial" w:eastAsia="Times New Roman" w:hAnsi="Arial" w:cs="Arial"/>
          <w:kern w:val="0"/>
          <w:sz w:val="22"/>
          <w:szCs w:val="22"/>
          <w:lang w:eastAsia="en-GB"/>
          <w14:ligatures w14:val="none"/>
        </w:rPr>
        <w:lastRenderedPageBreak/>
        <w:t xml:space="preserve">financial management and business performance’, </w:t>
      </w:r>
      <w:r w:rsidRPr="00AA47D0">
        <w:rPr>
          <w:rFonts w:ascii="Arial" w:eastAsia="Times New Roman" w:hAnsi="Arial" w:cs="Arial"/>
          <w:i/>
          <w:iCs/>
          <w:kern w:val="0"/>
          <w:sz w:val="22"/>
          <w:szCs w:val="22"/>
          <w:lang w:eastAsia="en-GB"/>
          <w14:ligatures w14:val="none"/>
        </w:rPr>
        <w:t>Enugu State University of Science and Technology Journal of Social Sciences &amp; Humanities</w:t>
      </w:r>
      <w:r w:rsidRPr="00AA47D0">
        <w:rPr>
          <w:rFonts w:ascii="Arial" w:eastAsia="Times New Roman" w:hAnsi="Arial" w:cs="Arial"/>
          <w:kern w:val="0"/>
          <w:sz w:val="22"/>
          <w:szCs w:val="22"/>
          <w:lang w:eastAsia="en-GB"/>
          <w14:ligatures w14:val="none"/>
        </w:rPr>
        <w:t>, 10(2), pp. 286–302</w:t>
      </w:r>
    </w:p>
    <w:p w14:paraId="4288BF81"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132792C1" w14:textId="77777777" w:rsidR="00550362" w:rsidRPr="00AA47D0" w:rsidRDefault="00550362" w:rsidP="000B78E1">
      <w:pPr>
        <w:spacing w:after="0" w:line="360" w:lineRule="auto"/>
        <w:ind w:left="360"/>
        <w:jc w:val="both"/>
        <w:rPr>
          <w:rFonts w:ascii="Arial" w:hAnsi="Arial" w:cs="Arial"/>
          <w:sz w:val="22"/>
          <w:szCs w:val="22"/>
        </w:rPr>
      </w:pPr>
      <w:r w:rsidRPr="00AA47D0">
        <w:rPr>
          <w:rFonts w:ascii="Arial" w:hAnsi="Arial" w:cs="Arial"/>
          <w:sz w:val="22"/>
          <w:szCs w:val="22"/>
        </w:rPr>
        <w:t xml:space="preserve">Hussain, S., Masood, K., Idrees, F. and Sohail, A. (2025) </w:t>
      </w:r>
      <w:r w:rsidRPr="00AA47D0">
        <w:rPr>
          <w:rFonts w:ascii="Arial" w:hAnsi="Arial" w:cs="Arial"/>
          <w:i/>
          <w:iCs/>
          <w:sz w:val="22"/>
          <w:szCs w:val="22"/>
        </w:rPr>
        <w:t>Enhancing competitive advantage in SMEs through FinTech: the mediating roles of technological innovation and financial agility in emerging economies</w:t>
      </w:r>
      <w:r w:rsidRPr="00AA47D0">
        <w:rPr>
          <w:rFonts w:ascii="Arial" w:hAnsi="Arial" w:cs="Arial"/>
          <w:sz w:val="22"/>
          <w:szCs w:val="22"/>
        </w:rPr>
        <w:t xml:space="preserve">. Journal of Innovative Research in Management Sciences, 6(2), pp. 45–62. </w:t>
      </w:r>
      <w:hyperlink r:id="rId25" w:history="1">
        <w:r w:rsidRPr="00AA47D0">
          <w:rPr>
            <w:rStyle w:val="Hyperlink"/>
            <w:rFonts w:ascii="Arial" w:hAnsi="Arial" w:cs="Arial"/>
            <w:sz w:val="22"/>
            <w:szCs w:val="22"/>
          </w:rPr>
          <w:t>https://doi.org/10.62270/jirms.v6i2.99</w:t>
        </w:r>
      </w:hyperlink>
    </w:p>
    <w:p w14:paraId="7035B640" w14:textId="77777777" w:rsidR="00550362" w:rsidRPr="00AA47D0" w:rsidRDefault="00550362" w:rsidP="000B78E1">
      <w:pPr>
        <w:spacing w:after="0" w:line="360" w:lineRule="auto"/>
        <w:jc w:val="both"/>
        <w:rPr>
          <w:rFonts w:ascii="Arial" w:hAnsi="Arial" w:cs="Arial"/>
          <w:sz w:val="22"/>
          <w:szCs w:val="22"/>
        </w:rPr>
      </w:pPr>
    </w:p>
    <w:p w14:paraId="579DA1AC" w14:textId="77777777" w:rsidR="00550362" w:rsidRPr="00AA47D0" w:rsidRDefault="00550362" w:rsidP="000B78E1">
      <w:pPr>
        <w:spacing w:after="0" w:line="360" w:lineRule="auto"/>
        <w:ind w:left="360"/>
        <w:jc w:val="both"/>
        <w:rPr>
          <w:rFonts w:ascii="Arial" w:hAnsi="Arial" w:cs="Arial"/>
          <w:sz w:val="22"/>
          <w:szCs w:val="22"/>
        </w:rPr>
      </w:pPr>
      <w:r w:rsidRPr="00AA47D0">
        <w:rPr>
          <w:rFonts w:ascii="Arial" w:hAnsi="Arial" w:cs="Arial"/>
          <w:sz w:val="22"/>
          <w:szCs w:val="22"/>
        </w:rPr>
        <w:t xml:space="preserve">Abdulai, M.G., Dary, S.K. and </w:t>
      </w:r>
      <w:proofErr w:type="spellStart"/>
      <w:r w:rsidRPr="00AA47D0">
        <w:rPr>
          <w:rFonts w:ascii="Arial" w:hAnsi="Arial" w:cs="Arial"/>
          <w:sz w:val="22"/>
          <w:szCs w:val="22"/>
        </w:rPr>
        <w:t>Domanban</w:t>
      </w:r>
      <w:proofErr w:type="spellEnd"/>
      <w:r w:rsidRPr="00AA47D0">
        <w:rPr>
          <w:rFonts w:ascii="Arial" w:hAnsi="Arial" w:cs="Arial"/>
          <w:sz w:val="22"/>
          <w:szCs w:val="22"/>
        </w:rPr>
        <w:t xml:space="preserve">, P.B. (2024) </w:t>
      </w:r>
      <w:r w:rsidRPr="00AA47D0">
        <w:rPr>
          <w:rFonts w:ascii="Arial" w:hAnsi="Arial" w:cs="Arial"/>
          <w:i/>
          <w:iCs/>
          <w:sz w:val="22"/>
          <w:szCs w:val="22"/>
        </w:rPr>
        <w:t>Adoption of digital payment platforms and trade credit activities among informal firms in Ghana</w:t>
      </w:r>
      <w:r w:rsidRPr="00AA47D0">
        <w:rPr>
          <w:rFonts w:ascii="Arial" w:hAnsi="Arial" w:cs="Arial"/>
          <w:sz w:val="22"/>
          <w:szCs w:val="22"/>
        </w:rPr>
        <w:t xml:space="preserve">. </w:t>
      </w:r>
      <w:proofErr w:type="spellStart"/>
      <w:r w:rsidRPr="00AA47D0">
        <w:rPr>
          <w:rFonts w:ascii="Arial" w:hAnsi="Arial" w:cs="Arial"/>
          <w:sz w:val="22"/>
          <w:szCs w:val="22"/>
        </w:rPr>
        <w:t>Heliyon</w:t>
      </w:r>
      <w:proofErr w:type="spellEnd"/>
      <w:r w:rsidRPr="00AA47D0">
        <w:rPr>
          <w:rFonts w:ascii="Arial" w:hAnsi="Arial" w:cs="Arial"/>
          <w:sz w:val="22"/>
          <w:szCs w:val="22"/>
        </w:rPr>
        <w:t xml:space="preserve">, 10, e32302. </w:t>
      </w:r>
      <w:hyperlink r:id="rId26" w:history="1">
        <w:r w:rsidRPr="00AA47D0">
          <w:rPr>
            <w:rStyle w:val="Hyperlink"/>
            <w:rFonts w:ascii="Arial" w:hAnsi="Arial" w:cs="Arial"/>
            <w:sz w:val="22"/>
            <w:szCs w:val="22"/>
          </w:rPr>
          <w:t>https://doi.org/10.1016/j.heliyon.2024.e32302</w:t>
        </w:r>
      </w:hyperlink>
    </w:p>
    <w:p w14:paraId="55501707" w14:textId="77777777" w:rsidR="00550362" w:rsidRPr="00AA47D0" w:rsidRDefault="00550362" w:rsidP="000B78E1">
      <w:pPr>
        <w:spacing w:after="0" w:line="360" w:lineRule="auto"/>
        <w:jc w:val="both"/>
        <w:rPr>
          <w:rFonts w:ascii="Arial" w:hAnsi="Arial" w:cs="Arial"/>
          <w:sz w:val="22"/>
          <w:szCs w:val="22"/>
        </w:rPr>
      </w:pPr>
    </w:p>
    <w:p w14:paraId="7C9055AF"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hAnsi="Arial" w:cs="Arial"/>
          <w:sz w:val="22"/>
          <w:szCs w:val="22"/>
        </w:rPr>
        <w:t>Mwacha</w:t>
      </w:r>
      <w:proofErr w:type="spellEnd"/>
      <w:r w:rsidRPr="00AA47D0">
        <w:rPr>
          <w:rFonts w:ascii="Arial" w:hAnsi="Arial" w:cs="Arial"/>
          <w:sz w:val="22"/>
          <w:szCs w:val="22"/>
        </w:rPr>
        <w:t xml:space="preserve">, M., Magali, J. and </w:t>
      </w:r>
      <w:proofErr w:type="spellStart"/>
      <w:r w:rsidRPr="00AA47D0">
        <w:rPr>
          <w:rFonts w:ascii="Arial" w:hAnsi="Arial" w:cs="Arial"/>
          <w:sz w:val="22"/>
          <w:szCs w:val="22"/>
        </w:rPr>
        <w:t>Matonya</w:t>
      </w:r>
      <w:proofErr w:type="spellEnd"/>
      <w:r w:rsidRPr="00AA47D0">
        <w:rPr>
          <w:rFonts w:ascii="Arial" w:hAnsi="Arial" w:cs="Arial"/>
          <w:sz w:val="22"/>
          <w:szCs w:val="22"/>
        </w:rPr>
        <w:t xml:space="preserve">, J. (2026) </w:t>
      </w:r>
      <w:r w:rsidRPr="00AA47D0">
        <w:rPr>
          <w:rFonts w:ascii="Arial" w:hAnsi="Arial" w:cs="Arial"/>
          <w:i/>
          <w:iCs/>
          <w:sz w:val="22"/>
          <w:szCs w:val="22"/>
        </w:rPr>
        <w:t>Financial inclusion and poverty reduction among small and medium enterprises in Tanzania: moderating role of digital capability</w:t>
      </w:r>
      <w:r w:rsidRPr="00AA47D0">
        <w:rPr>
          <w:rFonts w:ascii="Arial" w:hAnsi="Arial" w:cs="Arial"/>
          <w:sz w:val="22"/>
          <w:szCs w:val="22"/>
        </w:rPr>
        <w:t xml:space="preserve">. Management and Entrepreneurship: Trends of Development, 1(35), pp. 8–26. </w:t>
      </w:r>
      <w:hyperlink r:id="rId27" w:history="1">
        <w:r w:rsidRPr="00AA47D0">
          <w:rPr>
            <w:rStyle w:val="Hyperlink"/>
            <w:rFonts w:ascii="Arial" w:hAnsi="Arial" w:cs="Arial"/>
            <w:sz w:val="22"/>
            <w:szCs w:val="22"/>
          </w:rPr>
          <w:t>https://doi.org/10.26661/2522-1566/2026-1/35-01</w:t>
        </w:r>
      </w:hyperlink>
    </w:p>
    <w:p w14:paraId="48341B3A"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12055544"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Chibueze, T., Adeshina, T., Christopher, L.U., </w:t>
      </w:r>
      <w:proofErr w:type="spellStart"/>
      <w:r w:rsidRPr="00AA47D0">
        <w:rPr>
          <w:rFonts w:ascii="Arial" w:hAnsi="Arial" w:cs="Arial"/>
          <w:sz w:val="22"/>
          <w:szCs w:val="22"/>
        </w:rPr>
        <w:t>Ewubajo</w:t>
      </w:r>
      <w:proofErr w:type="spellEnd"/>
      <w:r w:rsidRPr="00AA47D0">
        <w:rPr>
          <w:rFonts w:ascii="Arial" w:hAnsi="Arial" w:cs="Arial"/>
          <w:sz w:val="22"/>
          <w:szCs w:val="22"/>
        </w:rPr>
        <w:t xml:space="preserve">, S.D. and Ebere, L. (2025) </w:t>
      </w:r>
      <w:r w:rsidRPr="00AA47D0">
        <w:rPr>
          <w:rFonts w:ascii="Arial" w:hAnsi="Arial" w:cs="Arial"/>
          <w:i/>
          <w:iCs/>
          <w:sz w:val="22"/>
          <w:szCs w:val="22"/>
        </w:rPr>
        <w:t>Access to credit and financial inclusion of MSMEs in Sub</w:t>
      </w:r>
      <w:r w:rsidRPr="00AA47D0">
        <w:rPr>
          <w:rFonts w:ascii="Arial" w:hAnsi="Arial" w:cs="Arial"/>
          <w:i/>
          <w:iCs/>
          <w:sz w:val="22"/>
          <w:szCs w:val="22"/>
        </w:rPr>
        <w:noBreakHyphen/>
        <w:t>Saharan Africa: Challenges and opportunities</w:t>
      </w:r>
      <w:r w:rsidRPr="00AA47D0">
        <w:rPr>
          <w:rFonts w:ascii="Arial" w:hAnsi="Arial" w:cs="Arial"/>
          <w:sz w:val="22"/>
          <w:szCs w:val="22"/>
        </w:rPr>
        <w:t xml:space="preserve">. International Journal of Financial Management and Economics, 8(2), pp. 861–872. </w:t>
      </w:r>
      <w:hyperlink r:id="rId28" w:history="1">
        <w:r w:rsidRPr="00AA47D0">
          <w:rPr>
            <w:rStyle w:val="Hyperlink"/>
            <w:rFonts w:ascii="Arial" w:hAnsi="Arial" w:cs="Arial"/>
            <w:sz w:val="22"/>
            <w:szCs w:val="22"/>
          </w:rPr>
          <w:t>https://doi.org/10.33545/26179210.2025.v8.i2.609</w:t>
        </w:r>
      </w:hyperlink>
    </w:p>
    <w:p w14:paraId="71A4D955"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5C328498"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Chibueze, T., </w:t>
      </w:r>
      <w:proofErr w:type="spellStart"/>
      <w:r w:rsidRPr="00AA47D0">
        <w:rPr>
          <w:rFonts w:ascii="Arial" w:hAnsi="Arial" w:cs="Arial"/>
          <w:sz w:val="22"/>
          <w:szCs w:val="22"/>
        </w:rPr>
        <w:t>Orivri</w:t>
      </w:r>
      <w:proofErr w:type="spellEnd"/>
      <w:r w:rsidRPr="00AA47D0">
        <w:rPr>
          <w:rFonts w:ascii="Arial" w:hAnsi="Arial" w:cs="Arial"/>
          <w:sz w:val="22"/>
          <w:szCs w:val="22"/>
        </w:rPr>
        <w:t xml:space="preserve">, O. and </w:t>
      </w:r>
      <w:proofErr w:type="spellStart"/>
      <w:r w:rsidRPr="00AA47D0">
        <w:rPr>
          <w:rFonts w:ascii="Arial" w:hAnsi="Arial" w:cs="Arial"/>
          <w:sz w:val="22"/>
          <w:szCs w:val="22"/>
        </w:rPr>
        <w:t>Egunjobi</w:t>
      </w:r>
      <w:proofErr w:type="spellEnd"/>
      <w:r w:rsidRPr="00AA47D0">
        <w:rPr>
          <w:rFonts w:ascii="Arial" w:hAnsi="Arial" w:cs="Arial"/>
          <w:sz w:val="22"/>
          <w:szCs w:val="22"/>
        </w:rPr>
        <w:t xml:space="preserve">, M. (2025) </w:t>
      </w:r>
      <w:r w:rsidRPr="00AA47D0">
        <w:rPr>
          <w:rFonts w:ascii="Arial" w:hAnsi="Arial" w:cs="Arial"/>
          <w:i/>
          <w:iCs/>
          <w:sz w:val="22"/>
          <w:szCs w:val="22"/>
        </w:rPr>
        <w:t>Digital banking and MSME performance in Nigeria</w:t>
      </w:r>
      <w:r w:rsidRPr="00AA47D0">
        <w:rPr>
          <w:rFonts w:ascii="Arial" w:hAnsi="Arial" w:cs="Arial"/>
          <w:sz w:val="22"/>
          <w:szCs w:val="22"/>
        </w:rPr>
        <w:t xml:space="preserve">. International Journal of Research in Finance and Management, 8(2), pp. 405–416. </w:t>
      </w:r>
      <w:hyperlink r:id="rId29" w:history="1">
        <w:r w:rsidRPr="00AA47D0">
          <w:rPr>
            <w:rStyle w:val="Hyperlink"/>
            <w:rFonts w:ascii="Arial" w:hAnsi="Arial" w:cs="Arial"/>
            <w:sz w:val="22"/>
            <w:szCs w:val="22"/>
          </w:rPr>
          <w:t>https://doi.org/10.33545/26175754.2025.v8.i2e.568</w:t>
        </w:r>
      </w:hyperlink>
    </w:p>
    <w:p w14:paraId="191598A8"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6C8E2BE9"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hAnsi="Arial" w:cs="Arial"/>
          <w:sz w:val="22"/>
          <w:szCs w:val="22"/>
        </w:rPr>
        <w:t>Omokhoa</w:t>
      </w:r>
      <w:proofErr w:type="spellEnd"/>
      <w:r w:rsidRPr="00AA47D0">
        <w:rPr>
          <w:rFonts w:ascii="Arial" w:hAnsi="Arial" w:cs="Arial"/>
          <w:sz w:val="22"/>
          <w:szCs w:val="22"/>
        </w:rPr>
        <w:t xml:space="preserve">, H.E., </w:t>
      </w:r>
      <w:proofErr w:type="spellStart"/>
      <w:r w:rsidRPr="00AA47D0">
        <w:rPr>
          <w:rFonts w:ascii="Arial" w:hAnsi="Arial" w:cs="Arial"/>
          <w:sz w:val="22"/>
          <w:szCs w:val="22"/>
        </w:rPr>
        <w:t>Odionu</w:t>
      </w:r>
      <w:proofErr w:type="spellEnd"/>
      <w:r w:rsidRPr="00AA47D0">
        <w:rPr>
          <w:rFonts w:ascii="Arial" w:hAnsi="Arial" w:cs="Arial"/>
          <w:sz w:val="22"/>
          <w:szCs w:val="22"/>
        </w:rPr>
        <w:t xml:space="preserve">, C.S., Azubuike, C. and Sule, A.K. (2024) </w:t>
      </w:r>
      <w:r w:rsidRPr="00AA47D0">
        <w:rPr>
          <w:rFonts w:ascii="Arial" w:hAnsi="Arial" w:cs="Arial"/>
          <w:i/>
          <w:iCs/>
          <w:sz w:val="22"/>
          <w:szCs w:val="22"/>
        </w:rPr>
        <w:t>AI</w:t>
      </w:r>
      <w:r w:rsidRPr="00AA47D0">
        <w:rPr>
          <w:rFonts w:ascii="Arial" w:hAnsi="Arial" w:cs="Arial"/>
          <w:i/>
          <w:iCs/>
          <w:sz w:val="22"/>
          <w:szCs w:val="22"/>
        </w:rPr>
        <w:noBreakHyphen/>
        <w:t>powered fintech innovations for credit scoring, debt recovery, and financial access in microfinance and SMEs</w:t>
      </w:r>
      <w:r w:rsidRPr="00AA47D0">
        <w:rPr>
          <w:rFonts w:ascii="Arial" w:hAnsi="Arial" w:cs="Arial"/>
          <w:sz w:val="22"/>
          <w:szCs w:val="22"/>
        </w:rPr>
        <w:t xml:space="preserve">. Gulf Journal of Advance Business Research, 2(6), pp. 411–422. </w:t>
      </w:r>
      <w:hyperlink r:id="rId30" w:history="1">
        <w:r w:rsidRPr="00AA47D0">
          <w:rPr>
            <w:rStyle w:val="Hyperlink"/>
            <w:rFonts w:ascii="Arial" w:hAnsi="Arial" w:cs="Arial"/>
            <w:sz w:val="22"/>
            <w:szCs w:val="22"/>
          </w:rPr>
          <w:t>https://doi.org/10.51594/gjabr.v6i2.55</w:t>
        </w:r>
      </w:hyperlink>
    </w:p>
    <w:p w14:paraId="25378368" w14:textId="77777777" w:rsidR="00550362" w:rsidRPr="00AA47D0" w:rsidRDefault="00550362" w:rsidP="000B78E1">
      <w:pPr>
        <w:pStyle w:val="ListParagraph"/>
        <w:spacing w:line="360" w:lineRule="auto"/>
        <w:jc w:val="both"/>
        <w:rPr>
          <w:rFonts w:ascii="Arial" w:eastAsia="Times New Roman" w:hAnsi="Arial" w:cs="Arial"/>
          <w:kern w:val="0"/>
          <w:sz w:val="22"/>
          <w:szCs w:val="22"/>
          <w:lang w:eastAsia="en-GB"/>
          <w14:ligatures w14:val="none"/>
        </w:rPr>
      </w:pPr>
    </w:p>
    <w:p w14:paraId="5DB8E6B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Yang, J., Zhang, Y., Gong, J., &amp; Liu, T. (2024). How does fintech development affect financing constraints of SMEs? Evidence from China. Innovative and Economics Research Journal, 12(3). </w:t>
      </w:r>
      <w:hyperlink r:id="rId31" w:history="1">
        <w:r w:rsidRPr="00AA47D0">
          <w:rPr>
            <w:rStyle w:val="Hyperlink"/>
            <w:rFonts w:ascii="Arial" w:hAnsi="Arial" w:cs="Arial"/>
            <w:sz w:val="22"/>
            <w:szCs w:val="22"/>
          </w:rPr>
          <w:t>https://doi.org/10.2478/eoik-2024-0031</w:t>
        </w:r>
      </w:hyperlink>
    </w:p>
    <w:p w14:paraId="19774A87"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1072ED4B"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lastRenderedPageBreak/>
        <w:t xml:space="preserve">Agyekum, F.K., Reddy, K., Wallace, D. and </w:t>
      </w:r>
      <w:proofErr w:type="spellStart"/>
      <w:r w:rsidRPr="00AA47D0">
        <w:rPr>
          <w:rFonts w:ascii="Arial" w:eastAsia="Times New Roman" w:hAnsi="Arial" w:cs="Arial"/>
          <w:kern w:val="0"/>
          <w:sz w:val="22"/>
          <w:szCs w:val="22"/>
          <w:lang w:eastAsia="en-GB"/>
          <w14:ligatures w14:val="none"/>
        </w:rPr>
        <w:t>Wellalage</w:t>
      </w:r>
      <w:proofErr w:type="spellEnd"/>
      <w:r w:rsidRPr="00AA47D0">
        <w:rPr>
          <w:rFonts w:ascii="Arial" w:eastAsia="Times New Roman" w:hAnsi="Arial" w:cs="Arial"/>
          <w:kern w:val="0"/>
          <w:sz w:val="22"/>
          <w:szCs w:val="22"/>
          <w:lang w:eastAsia="en-GB"/>
          <w14:ligatures w14:val="none"/>
        </w:rPr>
        <w:t xml:space="preserve">, N.H. (2022) ‘Does technological inclusion promote financial inclusion among SMEs? Evidence from </w:t>
      </w:r>
      <w:proofErr w:type="gramStart"/>
      <w:r w:rsidRPr="00AA47D0">
        <w:rPr>
          <w:rFonts w:ascii="Arial" w:eastAsia="Times New Roman" w:hAnsi="Arial" w:cs="Arial"/>
          <w:kern w:val="0"/>
          <w:sz w:val="22"/>
          <w:szCs w:val="22"/>
          <w:lang w:eastAsia="en-GB"/>
          <w14:ligatures w14:val="none"/>
        </w:rPr>
        <w:t>South East</w:t>
      </w:r>
      <w:proofErr w:type="gramEnd"/>
      <w:r w:rsidRPr="00AA47D0">
        <w:rPr>
          <w:rFonts w:ascii="Arial" w:eastAsia="Times New Roman" w:hAnsi="Arial" w:cs="Arial"/>
          <w:kern w:val="0"/>
          <w:sz w:val="22"/>
          <w:szCs w:val="22"/>
          <w:lang w:eastAsia="en-GB"/>
          <w14:ligatures w14:val="none"/>
        </w:rPr>
        <w:t xml:space="preserve"> Asian (SEA) countries’, </w:t>
      </w:r>
      <w:r w:rsidRPr="00AA47D0">
        <w:rPr>
          <w:rFonts w:ascii="Arial" w:eastAsia="Times New Roman" w:hAnsi="Arial" w:cs="Arial"/>
          <w:i/>
          <w:iCs/>
          <w:kern w:val="0"/>
          <w:sz w:val="22"/>
          <w:szCs w:val="22"/>
          <w:lang w:eastAsia="en-GB"/>
          <w14:ligatures w14:val="none"/>
        </w:rPr>
        <w:t>Global Finance Journal</w:t>
      </w:r>
      <w:r w:rsidRPr="00AA47D0">
        <w:rPr>
          <w:rFonts w:ascii="Arial" w:eastAsia="Times New Roman" w:hAnsi="Arial" w:cs="Arial"/>
          <w:kern w:val="0"/>
          <w:sz w:val="22"/>
          <w:szCs w:val="22"/>
          <w:lang w:eastAsia="en-GB"/>
          <w14:ligatures w14:val="none"/>
        </w:rPr>
        <w:t>, 53, 100618. https://doi.org/10.1016/j.gfj.2021.100618</w:t>
      </w:r>
    </w:p>
    <w:p w14:paraId="24061E54"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19C64C51"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Soremekun</w:t>
      </w:r>
      <w:proofErr w:type="spellEnd"/>
      <w:r w:rsidRPr="00AA47D0">
        <w:rPr>
          <w:rFonts w:ascii="Arial" w:eastAsia="Times New Roman" w:hAnsi="Arial" w:cs="Arial"/>
          <w:kern w:val="0"/>
          <w:sz w:val="22"/>
          <w:szCs w:val="22"/>
          <w:lang w:eastAsia="en-GB"/>
          <w14:ligatures w14:val="none"/>
        </w:rPr>
        <w:t xml:space="preserve">, Y.M., Abioye, K.M., </w:t>
      </w:r>
      <w:proofErr w:type="spellStart"/>
      <w:r w:rsidRPr="00AA47D0">
        <w:rPr>
          <w:rFonts w:ascii="Arial" w:eastAsia="Times New Roman" w:hAnsi="Arial" w:cs="Arial"/>
          <w:kern w:val="0"/>
          <w:sz w:val="22"/>
          <w:szCs w:val="22"/>
          <w:lang w:eastAsia="en-GB"/>
          <w14:ligatures w14:val="none"/>
        </w:rPr>
        <w:t>Sanyaolu</w:t>
      </w:r>
      <w:proofErr w:type="spellEnd"/>
      <w:r w:rsidRPr="00AA47D0">
        <w:rPr>
          <w:rFonts w:ascii="Arial" w:eastAsia="Times New Roman" w:hAnsi="Arial" w:cs="Arial"/>
          <w:kern w:val="0"/>
          <w:sz w:val="22"/>
          <w:szCs w:val="22"/>
          <w:lang w:eastAsia="en-GB"/>
          <w14:ligatures w14:val="none"/>
        </w:rPr>
        <w:t xml:space="preserve">, T.O., Adeleke, A.G. and </w:t>
      </w:r>
      <w:proofErr w:type="spellStart"/>
      <w:r w:rsidRPr="00AA47D0">
        <w:rPr>
          <w:rFonts w:ascii="Arial" w:eastAsia="Times New Roman" w:hAnsi="Arial" w:cs="Arial"/>
          <w:kern w:val="0"/>
          <w:sz w:val="22"/>
          <w:szCs w:val="22"/>
          <w:lang w:eastAsia="en-GB"/>
          <w14:ligatures w14:val="none"/>
        </w:rPr>
        <w:t>Efunniyi</w:t>
      </w:r>
      <w:proofErr w:type="spellEnd"/>
      <w:r w:rsidRPr="00AA47D0">
        <w:rPr>
          <w:rFonts w:ascii="Arial" w:eastAsia="Times New Roman" w:hAnsi="Arial" w:cs="Arial"/>
          <w:kern w:val="0"/>
          <w:sz w:val="22"/>
          <w:szCs w:val="22"/>
          <w:lang w:eastAsia="en-GB"/>
          <w14:ligatures w14:val="none"/>
        </w:rPr>
        <w:t xml:space="preserve">, C.P. (2024) ‘A conceptual model for inclusive lending through fintech innovations: Expanding SME access to capital in the U.S.’, </w:t>
      </w:r>
      <w:r w:rsidRPr="00AA47D0">
        <w:rPr>
          <w:rFonts w:ascii="Arial" w:eastAsia="Times New Roman" w:hAnsi="Arial" w:cs="Arial"/>
          <w:i/>
          <w:iCs/>
          <w:kern w:val="0"/>
          <w:sz w:val="22"/>
          <w:szCs w:val="22"/>
          <w:lang w:eastAsia="en-GB"/>
          <w14:ligatures w14:val="none"/>
        </w:rPr>
        <w:t>Comprehensive Research and Reviews Journal</w:t>
      </w:r>
      <w:r w:rsidRPr="00AA47D0">
        <w:rPr>
          <w:rFonts w:ascii="Arial" w:eastAsia="Times New Roman" w:hAnsi="Arial" w:cs="Arial"/>
          <w:kern w:val="0"/>
          <w:sz w:val="22"/>
          <w:szCs w:val="22"/>
          <w:lang w:eastAsia="en-GB"/>
          <w14:ligatures w14:val="none"/>
        </w:rPr>
        <w:t>, 2(1), pp. 001–012. https://doi.org/10.57219/crrj.2024.2.1.0025</w:t>
      </w:r>
    </w:p>
    <w:p w14:paraId="676A840F"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7C591BF9"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Abiduzzaman</w:t>
      </w:r>
      <w:proofErr w:type="spellEnd"/>
      <w:r w:rsidRPr="00AA47D0">
        <w:rPr>
          <w:rFonts w:ascii="Arial" w:eastAsia="Times New Roman" w:hAnsi="Arial" w:cs="Arial"/>
          <w:kern w:val="0"/>
          <w:sz w:val="22"/>
          <w:szCs w:val="22"/>
          <w:lang w:eastAsia="en-GB"/>
          <w14:ligatures w14:val="none"/>
        </w:rPr>
        <w:t xml:space="preserve"> (2025) ‘The impact of mobile banking data on credit risk assessment in Bangladesh’, </w:t>
      </w:r>
      <w:r w:rsidRPr="00AA47D0">
        <w:rPr>
          <w:rFonts w:ascii="Arial" w:eastAsia="Times New Roman" w:hAnsi="Arial" w:cs="Arial"/>
          <w:i/>
          <w:iCs/>
          <w:kern w:val="0"/>
          <w:sz w:val="22"/>
          <w:szCs w:val="22"/>
          <w:lang w:eastAsia="en-GB"/>
          <w14:ligatures w14:val="none"/>
        </w:rPr>
        <w:t>International Journal of Sustainability and Multidisciplinary Research</w:t>
      </w:r>
      <w:r w:rsidRPr="00AA47D0">
        <w:rPr>
          <w:rFonts w:ascii="Arial" w:eastAsia="Times New Roman" w:hAnsi="Arial" w:cs="Arial"/>
          <w:kern w:val="0"/>
          <w:sz w:val="22"/>
          <w:szCs w:val="22"/>
          <w:lang w:eastAsia="en-GB"/>
          <w14:ligatures w14:val="none"/>
        </w:rPr>
        <w:t>, 1(1), pp. 23–43</w:t>
      </w:r>
    </w:p>
    <w:p w14:paraId="01930836"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00AEB0B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Omowole</w:t>
      </w:r>
      <w:proofErr w:type="spellEnd"/>
      <w:r w:rsidRPr="00AA47D0">
        <w:rPr>
          <w:rFonts w:ascii="Arial" w:eastAsia="Times New Roman" w:hAnsi="Arial" w:cs="Arial"/>
          <w:kern w:val="0"/>
          <w:sz w:val="22"/>
          <w:szCs w:val="22"/>
          <w:lang w:eastAsia="en-GB"/>
          <w14:ligatures w14:val="none"/>
        </w:rPr>
        <w:t xml:space="preserve">, B.M., </w:t>
      </w:r>
      <w:proofErr w:type="spellStart"/>
      <w:r w:rsidRPr="00AA47D0">
        <w:rPr>
          <w:rFonts w:ascii="Arial" w:eastAsia="Times New Roman" w:hAnsi="Arial" w:cs="Arial"/>
          <w:kern w:val="0"/>
          <w:sz w:val="22"/>
          <w:szCs w:val="22"/>
          <w:lang w:eastAsia="en-GB"/>
          <w14:ligatures w14:val="none"/>
        </w:rPr>
        <w:t>Urefe</w:t>
      </w:r>
      <w:proofErr w:type="spellEnd"/>
      <w:r w:rsidRPr="00AA47D0">
        <w:rPr>
          <w:rFonts w:ascii="Arial" w:eastAsia="Times New Roman" w:hAnsi="Arial" w:cs="Arial"/>
          <w:kern w:val="0"/>
          <w:sz w:val="22"/>
          <w:szCs w:val="22"/>
          <w:lang w:eastAsia="en-GB"/>
          <w14:ligatures w14:val="none"/>
        </w:rPr>
        <w:t xml:space="preserve">, O., </w:t>
      </w:r>
      <w:proofErr w:type="spellStart"/>
      <w:r w:rsidRPr="00AA47D0">
        <w:rPr>
          <w:rFonts w:ascii="Arial" w:eastAsia="Times New Roman" w:hAnsi="Arial" w:cs="Arial"/>
          <w:kern w:val="0"/>
          <w:sz w:val="22"/>
          <w:szCs w:val="22"/>
          <w:lang w:eastAsia="en-GB"/>
          <w14:ligatures w14:val="none"/>
        </w:rPr>
        <w:t>Mokogwu</w:t>
      </w:r>
      <w:proofErr w:type="spellEnd"/>
      <w:r w:rsidRPr="00AA47D0">
        <w:rPr>
          <w:rFonts w:ascii="Arial" w:eastAsia="Times New Roman" w:hAnsi="Arial" w:cs="Arial"/>
          <w:kern w:val="0"/>
          <w:sz w:val="22"/>
          <w:szCs w:val="22"/>
          <w:lang w:eastAsia="en-GB"/>
          <w14:ligatures w14:val="none"/>
        </w:rPr>
        <w:t xml:space="preserve">, C. and </w:t>
      </w:r>
      <w:proofErr w:type="spellStart"/>
      <w:r w:rsidRPr="00AA47D0">
        <w:rPr>
          <w:rFonts w:ascii="Arial" w:eastAsia="Times New Roman" w:hAnsi="Arial" w:cs="Arial"/>
          <w:kern w:val="0"/>
          <w:sz w:val="22"/>
          <w:szCs w:val="22"/>
          <w:lang w:eastAsia="en-GB"/>
          <w14:ligatures w14:val="none"/>
        </w:rPr>
        <w:t>Ewim</w:t>
      </w:r>
      <w:proofErr w:type="spellEnd"/>
      <w:r w:rsidRPr="00AA47D0">
        <w:rPr>
          <w:rFonts w:ascii="Arial" w:eastAsia="Times New Roman" w:hAnsi="Arial" w:cs="Arial"/>
          <w:kern w:val="0"/>
          <w:sz w:val="22"/>
          <w:szCs w:val="22"/>
          <w:lang w:eastAsia="en-GB"/>
          <w14:ligatures w14:val="none"/>
        </w:rPr>
        <w:t xml:space="preserve">, S.E. (2024) ‘Integrating fintech and innovation in microfinance: Transforming credit accessibility for small businesses’, </w:t>
      </w:r>
      <w:r w:rsidRPr="00AA47D0">
        <w:rPr>
          <w:rFonts w:ascii="Arial" w:eastAsia="Times New Roman" w:hAnsi="Arial" w:cs="Arial"/>
          <w:i/>
          <w:iCs/>
          <w:kern w:val="0"/>
          <w:sz w:val="22"/>
          <w:szCs w:val="22"/>
          <w:lang w:eastAsia="en-GB"/>
          <w14:ligatures w14:val="none"/>
        </w:rPr>
        <w:t>International Journal of Frontline Research and Reviews</w:t>
      </w:r>
      <w:r w:rsidRPr="00AA47D0">
        <w:rPr>
          <w:rFonts w:ascii="Arial" w:eastAsia="Times New Roman" w:hAnsi="Arial" w:cs="Arial"/>
          <w:kern w:val="0"/>
          <w:sz w:val="22"/>
          <w:szCs w:val="22"/>
          <w:lang w:eastAsia="en-GB"/>
          <w14:ligatures w14:val="none"/>
        </w:rPr>
        <w:t>, 3(1), pp. 90–100. https://doi.org/10.56355/ijfrr.2024.3.1.0032</w:t>
      </w:r>
    </w:p>
    <w:p w14:paraId="48BD7588"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2752B1B8"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Yao, L. and Yang, X. (2022) ‘Can digital finance boost SME innovation by easing financing constraints? Evidence from Chinese GEM-listed companies’, </w:t>
      </w:r>
      <w:r w:rsidRPr="00AA47D0">
        <w:rPr>
          <w:rFonts w:ascii="Arial" w:eastAsia="Times New Roman" w:hAnsi="Arial" w:cs="Arial"/>
          <w:i/>
          <w:iCs/>
          <w:kern w:val="0"/>
          <w:sz w:val="22"/>
          <w:szCs w:val="22"/>
          <w:lang w:eastAsia="en-GB"/>
          <w14:ligatures w14:val="none"/>
        </w:rPr>
        <w:t>PLOS ONE</w:t>
      </w:r>
      <w:r w:rsidRPr="00AA47D0">
        <w:rPr>
          <w:rFonts w:ascii="Arial" w:eastAsia="Times New Roman" w:hAnsi="Arial" w:cs="Arial"/>
          <w:kern w:val="0"/>
          <w:sz w:val="22"/>
          <w:szCs w:val="22"/>
          <w:lang w:eastAsia="en-GB"/>
          <w14:ligatures w14:val="none"/>
        </w:rPr>
        <w:t>, 17(3), e0264647. https://doi.org/10.1371/journal.pone.0264647</w:t>
      </w:r>
    </w:p>
    <w:p w14:paraId="2A7899C4"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6FAFB756"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Pamisetty</w:t>
      </w:r>
      <w:proofErr w:type="spellEnd"/>
      <w:r w:rsidRPr="00AA47D0">
        <w:rPr>
          <w:rFonts w:ascii="Arial" w:eastAsia="Times New Roman" w:hAnsi="Arial" w:cs="Arial"/>
          <w:kern w:val="0"/>
          <w:sz w:val="22"/>
          <w:szCs w:val="22"/>
          <w:lang w:eastAsia="en-GB"/>
          <w14:ligatures w14:val="none"/>
        </w:rPr>
        <w:t xml:space="preserve"> et al. (2025) – </w:t>
      </w:r>
      <w:r w:rsidRPr="00AA47D0">
        <w:rPr>
          <w:rFonts w:ascii="Arial" w:eastAsia="Times New Roman" w:hAnsi="Arial" w:cs="Arial"/>
          <w:i/>
          <w:iCs/>
          <w:kern w:val="0"/>
          <w:sz w:val="22"/>
          <w:szCs w:val="22"/>
          <w:lang w:eastAsia="en-GB"/>
          <w14:ligatures w14:val="none"/>
        </w:rPr>
        <w:t>Explainable AI Systems for Credit Scoring and Loan Risk Assessment in Digital Banking Platforms</w:t>
      </w:r>
      <w:r w:rsidRPr="00AA47D0">
        <w:rPr>
          <w:rFonts w:ascii="Arial" w:eastAsia="Times New Roman" w:hAnsi="Arial" w:cs="Arial"/>
          <w:kern w:val="0"/>
          <w:sz w:val="22"/>
          <w:szCs w:val="22"/>
          <w:lang w:eastAsia="en-GB"/>
          <w14:ligatures w14:val="none"/>
        </w:rPr>
        <w:br/>
        <w:t>(13th IEEE International Conference on Intelligent Data Acquisition and Advanced Computing Systems – IDAACS 2025)</w:t>
      </w:r>
    </w:p>
    <w:p w14:paraId="431954DB"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3DD91DB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Robin, I.A., Islam, M.M. and Alharthi, M. (2025) ‘The impact of FinTech on the financial performance of commercial banks in Bangladesh: A random-effect model analysis’, </w:t>
      </w:r>
      <w:r w:rsidRPr="00AA47D0">
        <w:rPr>
          <w:rFonts w:ascii="Arial" w:eastAsia="Times New Roman" w:hAnsi="Arial" w:cs="Arial"/>
          <w:i/>
          <w:iCs/>
          <w:kern w:val="0"/>
          <w:sz w:val="22"/>
          <w:szCs w:val="22"/>
          <w:lang w:eastAsia="en-GB"/>
          <w14:ligatures w14:val="none"/>
        </w:rPr>
        <w:t>FinTech</w:t>
      </w:r>
      <w:r w:rsidRPr="00AA47D0">
        <w:rPr>
          <w:rFonts w:ascii="Arial" w:eastAsia="Times New Roman" w:hAnsi="Arial" w:cs="Arial"/>
          <w:kern w:val="0"/>
          <w:sz w:val="22"/>
          <w:szCs w:val="22"/>
          <w:lang w:eastAsia="en-GB"/>
          <w14:ligatures w14:val="none"/>
        </w:rPr>
        <w:t>, 4, 40. https://doi.org/10.3390/fintech4030040</w:t>
      </w:r>
    </w:p>
    <w:p w14:paraId="4D55CC3F"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6F8973C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Naiya, A.B. (2025) ‘Exploring fintech integration for credit access through automated lending and financial inclusion strategies’, </w:t>
      </w:r>
      <w:r w:rsidRPr="00AA47D0">
        <w:rPr>
          <w:rFonts w:ascii="Arial" w:eastAsia="Times New Roman" w:hAnsi="Arial" w:cs="Arial"/>
          <w:i/>
          <w:iCs/>
          <w:kern w:val="0"/>
          <w:sz w:val="22"/>
          <w:szCs w:val="22"/>
          <w:lang w:eastAsia="en-GB"/>
          <w14:ligatures w14:val="none"/>
        </w:rPr>
        <w:t>ISA Journal of Business, Economics and Management</w:t>
      </w:r>
      <w:r w:rsidRPr="00AA47D0">
        <w:rPr>
          <w:rFonts w:ascii="Arial" w:eastAsia="Times New Roman" w:hAnsi="Arial" w:cs="Arial"/>
          <w:kern w:val="0"/>
          <w:sz w:val="22"/>
          <w:szCs w:val="22"/>
          <w:lang w:eastAsia="en-GB"/>
          <w14:ligatures w14:val="none"/>
        </w:rPr>
        <w:t>, 2(3), pp. 159–169. https://doi.org/10.5281/zenodo.15401625</w:t>
      </w:r>
    </w:p>
    <w:p w14:paraId="072AE8BE"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142F7FE4"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lastRenderedPageBreak/>
        <w:t xml:space="preserve">Rahman, M.M. and Sadik, N. (2025) ‘Measuring scale for digital financial services, economic growth, performance, and environmental sustainability: Evidence from EFA and CFA’, </w:t>
      </w:r>
      <w:r w:rsidRPr="00AA47D0">
        <w:rPr>
          <w:rFonts w:ascii="Arial" w:eastAsia="Times New Roman" w:hAnsi="Arial" w:cs="Arial"/>
          <w:i/>
          <w:iCs/>
          <w:kern w:val="0"/>
          <w:sz w:val="22"/>
          <w:szCs w:val="22"/>
          <w:lang w:eastAsia="en-GB"/>
          <w14:ligatures w14:val="none"/>
        </w:rPr>
        <w:t>Quality &amp; Quantity</w:t>
      </w:r>
      <w:r w:rsidRPr="00AA47D0">
        <w:rPr>
          <w:rFonts w:ascii="Arial" w:eastAsia="Times New Roman" w:hAnsi="Arial" w:cs="Arial"/>
          <w:kern w:val="0"/>
          <w:sz w:val="22"/>
          <w:szCs w:val="22"/>
          <w:lang w:eastAsia="en-GB"/>
          <w14:ligatures w14:val="none"/>
        </w:rPr>
        <w:t xml:space="preserve">, 59, pp. 1661–1694. </w:t>
      </w:r>
      <w:hyperlink r:id="rId32" w:history="1">
        <w:r w:rsidRPr="00AA47D0">
          <w:rPr>
            <w:rStyle w:val="Hyperlink"/>
            <w:rFonts w:ascii="Arial" w:eastAsia="Times New Roman" w:hAnsi="Arial" w:cs="Arial"/>
            <w:kern w:val="0"/>
            <w:sz w:val="22"/>
            <w:szCs w:val="22"/>
            <w:lang w:eastAsia="en-GB"/>
            <w14:ligatures w14:val="none"/>
          </w:rPr>
          <w:t>https://doi.org/10.1007/s11135-024-02037-y</w:t>
        </w:r>
      </w:hyperlink>
    </w:p>
    <w:p w14:paraId="7D4A108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Oreoluwa, A.S., </w:t>
      </w:r>
      <w:proofErr w:type="spellStart"/>
      <w:r w:rsidRPr="00AA47D0">
        <w:rPr>
          <w:rFonts w:ascii="Arial" w:eastAsia="Times New Roman" w:hAnsi="Arial" w:cs="Arial"/>
          <w:kern w:val="0"/>
          <w:sz w:val="22"/>
          <w:szCs w:val="22"/>
          <w:lang w:eastAsia="en-GB"/>
          <w14:ligatures w14:val="none"/>
        </w:rPr>
        <w:t>Igah</w:t>
      </w:r>
      <w:proofErr w:type="spellEnd"/>
      <w:r w:rsidRPr="00AA47D0">
        <w:rPr>
          <w:rFonts w:ascii="Arial" w:eastAsia="Times New Roman" w:hAnsi="Arial" w:cs="Arial"/>
          <w:kern w:val="0"/>
          <w:sz w:val="22"/>
          <w:szCs w:val="22"/>
          <w:lang w:eastAsia="en-GB"/>
          <w14:ligatures w14:val="none"/>
        </w:rPr>
        <w:t xml:space="preserve">, R.C., Ojo, R.O., Bom, C. and </w:t>
      </w:r>
      <w:proofErr w:type="spellStart"/>
      <w:r w:rsidRPr="00AA47D0">
        <w:rPr>
          <w:rFonts w:ascii="Arial" w:eastAsia="Times New Roman" w:hAnsi="Arial" w:cs="Arial"/>
          <w:kern w:val="0"/>
          <w:sz w:val="22"/>
          <w:szCs w:val="22"/>
          <w:lang w:eastAsia="en-GB"/>
          <w14:ligatures w14:val="none"/>
        </w:rPr>
        <w:t>Ofurum</w:t>
      </w:r>
      <w:proofErr w:type="spellEnd"/>
      <w:r w:rsidRPr="00AA47D0">
        <w:rPr>
          <w:rFonts w:ascii="Arial" w:eastAsia="Times New Roman" w:hAnsi="Arial" w:cs="Arial"/>
          <w:kern w:val="0"/>
          <w:sz w:val="22"/>
          <w:szCs w:val="22"/>
          <w:lang w:eastAsia="en-GB"/>
          <w14:ligatures w14:val="none"/>
        </w:rPr>
        <w:t xml:space="preserve">, U.D. (2025) ‘Fintech lending and MSME: A pathway to economic development’, </w:t>
      </w:r>
      <w:r w:rsidRPr="00AA47D0">
        <w:rPr>
          <w:rFonts w:ascii="Arial" w:eastAsia="Times New Roman" w:hAnsi="Arial" w:cs="Arial"/>
          <w:i/>
          <w:iCs/>
          <w:kern w:val="0"/>
          <w:sz w:val="22"/>
          <w:szCs w:val="22"/>
          <w:lang w:eastAsia="en-GB"/>
          <w14:ligatures w14:val="none"/>
        </w:rPr>
        <w:t>Advances in Research</w:t>
      </w:r>
      <w:r w:rsidRPr="00AA47D0">
        <w:rPr>
          <w:rFonts w:ascii="Arial" w:eastAsia="Times New Roman" w:hAnsi="Arial" w:cs="Arial"/>
          <w:kern w:val="0"/>
          <w:sz w:val="22"/>
          <w:szCs w:val="22"/>
          <w:lang w:eastAsia="en-GB"/>
          <w14:ligatures w14:val="none"/>
        </w:rPr>
        <w:t xml:space="preserve">, 26(4), pp. 177–190. </w:t>
      </w:r>
      <w:hyperlink r:id="rId33" w:history="1">
        <w:r w:rsidRPr="00AA47D0">
          <w:rPr>
            <w:rStyle w:val="Hyperlink"/>
            <w:rFonts w:ascii="Arial" w:eastAsia="Times New Roman" w:hAnsi="Arial" w:cs="Arial"/>
            <w:kern w:val="0"/>
            <w:sz w:val="22"/>
            <w:szCs w:val="22"/>
            <w:lang w:eastAsia="en-GB"/>
            <w14:ligatures w14:val="none"/>
          </w:rPr>
          <w:t>https://doi.org/10.9734/air/2025/v26i41401</w:t>
        </w:r>
      </w:hyperlink>
    </w:p>
    <w:p w14:paraId="1D6864C2"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48EE20FF"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Dai, D., Fu, M., Ye, L. and Shao, W. (2023) ‘Can Digital Inclusive Finance Help Small- and Medium-Sized Enterprises Deleverage in China?’, </w:t>
      </w:r>
      <w:r w:rsidRPr="00AA47D0">
        <w:rPr>
          <w:rFonts w:ascii="Arial" w:hAnsi="Arial" w:cs="Arial"/>
          <w:i/>
          <w:iCs/>
          <w:sz w:val="22"/>
          <w:szCs w:val="22"/>
        </w:rPr>
        <w:t>Sustainability</w:t>
      </w:r>
      <w:r w:rsidRPr="00AA47D0">
        <w:rPr>
          <w:rFonts w:ascii="Arial" w:hAnsi="Arial" w:cs="Arial"/>
          <w:sz w:val="22"/>
          <w:szCs w:val="22"/>
        </w:rPr>
        <w:t xml:space="preserve">, 15, 6625. doi:10.3390/su15086625. Available at: </w:t>
      </w:r>
      <w:hyperlink r:id="rId34" w:history="1">
        <w:r w:rsidRPr="00AA47D0">
          <w:rPr>
            <w:rStyle w:val="Hyperlink"/>
            <w:rFonts w:ascii="Arial" w:hAnsi="Arial" w:cs="Arial"/>
            <w:sz w:val="22"/>
            <w:szCs w:val="22"/>
          </w:rPr>
          <w:t>https://doi.org/10.3390/su15086625</w:t>
        </w:r>
      </w:hyperlink>
    </w:p>
    <w:p w14:paraId="7274AB27"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00D6F32E" w14:textId="77777777" w:rsidR="00550362" w:rsidRPr="00AA47D0" w:rsidRDefault="00550362" w:rsidP="000B78E1">
      <w:pPr>
        <w:spacing w:after="0" w:line="360" w:lineRule="auto"/>
        <w:ind w:left="360"/>
        <w:jc w:val="both"/>
        <w:rPr>
          <w:rFonts w:ascii="Arial" w:hAnsi="Arial" w:cs="Arial"/>
          <w:sz w:val="22"/>
          <w:szCs w:val="22"/>
        </w:rPr>
      </w:pPr>
      <w:r w:rsidRPr="00AA47D0">
        <w:rPr>
          <w:rFonts w:ascii="Arial" w:hAnsi="Arial" w:cs="Arial"/>
          <w:sz w:val="22"/>
          <w:szCs w:val="22"/>
        </w:rPr>
        <w:t xml:space="preserve">Yu, W., Huang, H., Kong, X. and Zhu, K. (2023) ‘Can digital inclusive finance improve the financial performance of SMEs?’, </w:t>
      </w:r>
      <w:r w:rsidRPr="00AA47D0">
        <w:rPr>
          <w:rFonts w:ascii="Arial" w:hAnsi="Arial" w:cs="Arial"/>
          <w:i/>
          <w:iCs/>
          <w:sz w:val="22"/>
          <w:szCs w:val="22"/>
        </w:rPr>
        <w:t>Sustainability</w:t>
      </w:r>
      <w:r w:rsidRPr="00AA47D0">
        <w:rPr>
          <w:rFonts w:ascii="Arial" w:hAnsi="Arial" w:cs="Arial"/>
          <w:sz w:val="22"/>
          <w:szCs w:val="22"/>
        </w:rPr>
        <w:t>, 15, 1867. doi:10.3390/su15031867</w:t>
      </w:r>
    </w:p>
    <w:p w14:paraId="3559E211" w14:textId="77777777" w:rsidR="002B39EA" w:rsidRPr="00AA47D0" w:rsidRDefault="002B39EA" w:rsidP="000B78E1">
      <w:pPr>
        <w:spacing w:after="0" w:line="360" w:lineRule="auto"/>
        <w:ind w:left="360"/>
        <w:jc w:val="both"/>
        <w:rPr>
          <w:rFonts w:ascii="Arial" w:eastAsia="Times New Roman" w:hAnsi="Arial" w:cs="Arial"/>
          <w:kern w:val="0"/>
          <w:sz w:val="22"/>
          <w:szCs w:val="22"/>
          <w:lang w:eastAsia="en-GB"/>
          <w14:ligatures w14:val="none"/>
        </w:rPr>
      </w:pPr>
    </w:p>
    <w:p w14:paraId="513BD080"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Pizzi, S., Corbo, L. and Caputo, A. (2021) </w:t>
      </w:r>
      <w:r w:rsidRPr="00AA47D0">
        <w:rPr>
          <w:rFonts w:ascii="Arial" w:hAnsi="Arial" w:cs="Arial"/>
          <w:i/>
          <w:iCs/>
          <w:sz w:val="22"/>
          <w:szCs w:val="22"/>
        </w:rPr>
        <w:t>Fintech and SMEs sustainable business models: Reflections and considerations for a circular economy</w:t>
      </w:r>
      <w:r w:rsidRPr="00AA47D0">
        <w:rPr>
          <w:rFonts w:ascii="Arial" w:hAnsi="Arial" w:cs="Arial"/>
          <w:sz w:val="22"/>
          <w:szCs w:val="22"/>
        </w:rPr>
        <w:t xml:space="preserve">. Journal of Cleaner Production, 281, 125217. </w:t>
      </w:r>
      <w:hyperlink r:id="rId35" w:history="1">
        <w:r w:rsidRPr="00AA47D0">
          <w:rPr>
            <w:rStyle w:val="Hyperlink"/>
            <w:rFonts w:ascii="Arial" w:hAnsi="Arial" w:cs="Arial"/>
            <w:sz w:val="22"/>
            <w:szCs w:val="22"/>
          </w:rPr>
          <w:t>https://doi.org/10.1016/j.jclepro.2020.125217</w:t>
        </w:r>
      </w:hyperlink>
    </w:p>
    <w:p w14:paraId="7EBA9F74"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8843274"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Pereira, R., Omar, M.N., Gafur, S. and </w:t>
      </w:r>
      <w:proofErr w:type="spellStart"/>
      <w:r w:rsidRPr="00AA47D0">
        <w:rPr>
          <w:rFonts w:ascii="Arial" w:hAnsi="Arial" w:cs="Arial"/>
          <w:sz w:val="22"/>
          <w:szCs w:val="22"/>
        </w:rPr>
        <w:t>Mussá</w:t>
      </w:r>
      <w:proofErr w:type="spellEnd"/>
      <w:r w:rsidRPr="00AA47D0">
        <w:rPr>
          <w:rFonts w:ascii="Arial" w:hAnsi="Arial" w:cs="Arial"/>
          <w:sz w:val="22"/>
          <w:szCs w:val="22"/>
        </w:rPr>
        <w:t xml:space="preserve">, N. (2026) </w:t>
      </w:r>
      <w:r w:rsidRPr="00AA47D0">
        <w:rPr>
          <w:rFonts w:ascii="Arial" w:hAnsi="Arial" w:cs="Arial"/>
          <w:i/>
          <w:iCs/>
          <w:sz w:val="22"/>
          <w:szCs w:val="22"/>
        </w:rPr>
        <w:t>Beyond funding: how digital finance transforms SME innovation</w:t>
      </w:r>
      <w:r w:rsidRPr="00AA47D0">
        <w:rPr>
          <w:rFonts w:ascii="Arial" w:hAnsi="Arial" w:cs="Arial"/>
          <w:sz w:val="22"/>
          <w:szCs w:val="22"/>
        </w:rPr>
        <w:t xml:space="preserve">. Review of Accounting and Finance, </w:t>
      </w:r>
      <w:proofErr w:type="spellStart"/>
      <w:r w:rsidRPr="00AA47D0">
        <w:rPr>
          <w:rFonts w:ascii="Arial" w:hAnsi="Arial" w:cs="Arial"/>
          <w:sz w:val="22"/>
          <w:szCs w:val="22"/>
        </w:rPr>
        <w:t>EarlyCite</w:t>
      </w:r>
      <w:proofErr w:type="spellEnd"/>
      <w:r w:rsidRPr="00AA47D0">
        <w:rPr>
          <w:rFonts w:ascii="Arial" w:hAnsi="Arial" w:cs="Arial"/>
          <w:sz w:val="22"/>
          <w:szCs w:val="22"/>
        </w:rPr>
        <w:t xml:space="preserve">. </w:t>
      </w:r>
      <w:hyperlink r:id="rId36" w:history="1">
        <w:r w:rsidRPr="00AA47D0">
          <w:rPr>
            <w:rStyle w:val="Hyperlink"/>
            <w:rFonts w:ascii="Arial" w:hAnsi="Arial" w:cs="Arial"/>
            <w:sz w:val="22"/>
            <w:szCs w:val="22"/>
          </w:rPr>
          <w:t>https://doi.org/10.1108/RAF-09-2025-0328</w:t>
        </w:r>
      </w:hyperlink>
    </w:p>
    <w:p w14:paraId="62907C28"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5BF7F993" w14:textId="77777777" w:rsidR="00550362" w:rsidRPr="00AA47D0" w:rsidRDefault="00550362" w:rsidP="000B78E1">
      <w:pPr>
        <w:spacing w:line="360" w:lineRule="auto"/>
        <w:ind w:left="360"/>
        <w:jc w:val="both"/>
        <w:rPr>
          <w:rFonts w:ascii="Arial" w:hAnsi="Arial" w:cs="Arial"/>
          <w:sz w:val="22"/>
          <w:szCs w:val="22"/>
        </w:rPr>
      </w:pPr>
      <w:proofErr w:type="spellStart"/>
      <w:r w:rsidRPr="00AA47D0">
        <w:rPr>
          <w:rFonts w:ascii="Arial" w:hAnsi="Arial" w:cs="Arial"/>
          <w:sz w:val="22"/>
          <w:szCs w:val="22"/>
        </w:rPr>
        <w:t>Eca</w:t>
      </w:r>
      <w:proofErr w:type="spellEnd"/>
      <w:r w:rsidRPr="00AA47D0">
        <w:rPr>
          <w:rFonts w:ascii="Arial" w:hAnsi="Arial" w:cs="Arial"/>
          <w:sz w:val="22"/>
          <w:szCs w:val="22"/>
        </w:rPr>
        <w:t xml:space="preserve">, A., Ferreira, M.A., Prado, M.P. and Rizzo, A.E. (2023) </w:t>
      </w:r>
      <w:r w:rsidRPr="00AA47D0">
        <w:rPr>
          <w:rFonts w:ascii="Arial" w:hAnsi="Arial" w:cs="Arial"/>
          <w:i/>
          <w:iCs/>
          <w:sz w:val="22"/>
          <w:szCs w:val="22"/>
        </w:rPr>
        <w:t>The real effects of FinTech lending: the financial flexibility channel</w:t>
      </w:r>
      <w:r w:rsidRPr="00AA47D0">
        <w:rPr>
          <w:rFonts w:ascii="Arial" w:hAnsi="Arial" w:cs="Arial"/>
          <w:sz w:val="22"/>
          <w:szCs w:val="22"/>
        </w:rPr>
        <w:t xml:space="preserve">. SSRN Working Paper No. 3796896. Available at: </w:t>
      </w:r>
      <w:hyperlink r:id="rId37" w:history="1">
        <w:r w:rsidRPr="00AA47D0">
          <w:rPr>
            <w:rStyle w:val="Hyperlink"/>
            <w:rFonts w:ascii="Arial" w:hAnsi="Arial" w:cs="Arial"/>
            <w:sz w:val="22"/>
            <w:szCs w:val="22"/>
          </w:rPr>
          <w:t>https://ssrn.com/abstract=3796896</w:t>
        </w:r>
      </w:hyperlink>
    </w:p>
    <w:p w14:paraId="532E5D95"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Zhang, Y., Jin, X. and Li, H. (2025) </w:t>
      </w:r>
      <w:r w:rsidRPr="00AA47D0">
        <w:rPr>
          <w:rFonts w:ascii="Arial" w:hAnsi="Arial" w:cs="Arial"/>
          <w:i/>
          <w:iCs/>
          <w:sz w:val="22"/>
          <w:szCs w:val="22"/>
        </w:rPr>
        <w:t>The impact of digital financial inclusion on the high</w:t>
      </w:r>
      <w:r w:rsidRPr="00AA47D0">
        <w:rPr>
          <w:rFonts w:ascii="Arial" w:hAnsi="Arial" w:cs="Arial"/>
          <w:i/>
          <w:iCs/>
          <w:sz w:val="22"/>
          <w:szCs w:val="22"/>
        </w:rPr>
        <w:noBreakHyphen/>
        <w:t>quality development of small</w:t>
      </w:r>
      <w:r w:rsidRPr="00AA47D0">
        <w:rPr>
          <w:rFonts w:ascii="Arial" w:hAnsi="Arial" w:cs="Arial"/>
          <w:i/>
          <w:iCs/>
          <w:sz w:val="22"/>
          <w:szCs w:val="22"/>
        </w:rPr>
        <w:noBreakHyphen/>
        <w:t xml:space="preserve"> and medium</w:t>
      </w:r>
      <w:r w:rsidRPr="00AA47D0">
        <w:rPr>
          <w:rFonts w:ascii="Arial" w:hAnsi="Arial" w:cs="Arial"/>
          <w:i/>
          <w:iCs/>
          <w:sz w:val="22"/>
          <w:szCs w:val="22"/>
        </w:rPr>
        <w:noBreakHyphen/>
        <w:t>sized enterprises—Evidence from China</w:t>
      </w:r>
      <w:r w:rsidRPr="00AA47D0">
        <w:rPr>
          <w:rFonts w:ascii="Arial" w:hAnsi="Arial" w:cs="Arial"/>
          <w:sz w:val="22"/>
          <w:szCs w:val="22"/>
        </w:rPr>
        <w:t xml:space="preserve">. International Review of Financial Analysis, 102, 104074. </w:t>
      </w:r>
      <w:hyperlink r:id="rId38" w:history="1">
        <w:r w:rsidRPr="00AA47D0">
          <w:rPr>
            <w:rStyle w:val="Hyperlink"/>
            <w:rFonts w:ascii="Arial" w:hAnsi="Arial" w:cs="Arial"/>
            <w:sz w:val="22"/>
            <w:szCs w:val="22"/>
          </w:rPr>
          <w:t>https://doi.org/10.1016/j.irfa.2025.104074</w:t>
        </w:r>
      </w:hyperlink>
    </w:p>
    <w:p w14:paraId="34C90D86"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201892D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Azman, A., Yunus, F.M. and Abas, N. (2025) </w:t>
      </w:r>
      <w:r w:rsidRPr="00AA47D0">
        <w:rPr>
          <w:rFonts w:ascii="Arial" w:hAnsi="Arial" w:cs="Arial"/>
          <w:i/>
          <w:iCs/>
          <w:sz w:val="22"/>
          <w:szCs w:val="22"/>
        </w:rPr>
        <w:t>Towards digital financial solutions: A conceptual model of SME strategies and strategic development</w:t>
      </w:r>
      <w:r w:rsidRPr="00AA47D0">
        <w:rPr>
          <w:rFonts w:ascii="Arial" w:hAnsi="Arial" w:cs="Arial"/>
          <w:sz w:val="22"/>
          <w:szCs w:val="22"/>
        </w:rPr>
        <w:t xml:space="preserve">. International Journal of Research and Innovation in Social Science, 9(10), pp. 220–228. </w:t>
      </w:r>
      <w:hyperlink r:id="rId39" w:history="1">
        <w:r w:rsidRPr="00AA47D0">
          <w:rPr>
            <w:rStyle w:val="Hyperlink"/>
            <w:rFonts w:ascii="Arial" w:hAnsi="Arial" w:cs="Arial"/>
            <w:sz w:val="22"/>
            <w:szCs w:val="22"/>
          </w:rPr>
          <w:t>https://doi.org/10.47772/IJRISS.2025.910000018</w:t>
        </w:r>
      </w:hyperlink>
    </w:p>
    <w:p w14:paraId="69C60EAE"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6E2E1B79"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hAnsi="Arial" w:cs="Arial"/>
          <w:sz w:val="22"/>
          <w:szCs w:val="22"/>
        </w:rPr>
        <w:lastRenderedPageBreak/>
        <w:t>Bindeeba</w:t>
      </w:r>
      <w:proofErr w:type="spellEnd"/>
      <w:r w:rsidRPr="00AA47D0">
        <w:rPr>
          <w:rFonts w:ascii="Arial" w:hAnsi="Arial" w:cs="Arial"/>
          <w:sz w:val="22"/>
          <w:szCs w:val="22"/>
        </w:rPr>
        <w:t xml:space="preserve">, D.S., Tukamushaba, E.K. and </w:t>
      </w:r>
      <w:proofErr w:type="spellStart"/>
      <w:r w:rsidRPr="00AA47D0">
        <w:rPr>
          <w:rFonts w:ascii="Arial" w:hAnsi="Arial" w:cs="Arial"/>
          <w:sz w:val="22"/>
          <w:szCs w:val="22"/>
        </w:rPr>
        <w:t>Bakashaba</w:t>
      </w:r>
      <w:proofErr w:type="spellEnd"/>
      <w:r w:rsidRPr="00AA47D0">
        <w:rPr>
          <w:rFonts w:ascii="Arial" w:hAnsi="Arial" w:cs="Arial"/>
          <w:sz w:val="22"/>
          <w:szCs w:val="22"/>
        </w:rPr>
        <w:t xml:space="preserve">, R. (2025) </w:t>
      </w:r>
      <w:r w:rsidRPr="00AA47D0">
        <w:rPr>
          <w:rFonts w:ascii="Arial" w:hAnsi="Arial" w:cs="Arial"/>
          <w:i/>
          <w:iCs/>
          <w:sz w:val="22"/>
          <w:szCs w:val="22"/>
        </w:rPr>
        <w:t>How digital capabilities and credit access influence green innovation performance in small and medium enterprises in resource</w:t>
      </w:r>
      <w:r w:rsidRPr="00AA47D0">
        <w:rPr>
          <w:rFonts w:ascii="Arial" w:hAnsi="Arial" w:cs="Arial"/>
          <w:i/>
          <w:iCs/>
          <w:sz w:val="22"/>
          <w:szCs w:val="22"/>
        </w:rPr>
        <w:noBreakHyphen/>
        <w:t>constrained settings</w:t>
      </w:r>
      <w:r w:rsidRPr="00AA47D0">
        <w:rPr>
          <w:rFonts w:ascii="Arial" w:hAnsi="Arial" w:cs="Arial"/>
          <w:sz w:val="22"/>
          <w:szCs w:val="22"/>
        </w:rPr>
        <w:t xml:space="preserve">. Discover Sustainability, 6, 955. </w:t>
      </w:r>
      <w:hyperlink r:id="rId40" w:history="1">
        <w:r w:rsidRPr="00AA47D0">
          <w:rPr>
            <w:rStyle w:val="Hyperlink"/>
            <w:rFonts w:ascii="Arial" w:hAnsi="Arial" w:cs="Arial"/>
            <w:sz w:val="22"/>
            <w:szCs w:val="22"/>
          </w:rPr>
          <w:t>https://doi.org/10.1007/s43621-025-01916-0</w:t>
        </w:r>
      </w:hyperlink>
    </w:p>
    <w:p w14:paraId="79E0F13B"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45936370"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Chibueze, T. (2021) </w:t>
      </w:r>
      <w:r w:rsidRPr="00AA47D0">
        <w:rPr>
          <w:rFonts w:ascii="Arial" w:hAnsi="Arial" w:cs="Arial"/>
          <w:i/>
          <w:iCs/>
          <w:sz w:val="22"/>
          <w:szCs w:val="22"/>
        </w:rPr>
        <w:t>Advancing SME</w:t>
      </w:r>
      <w:r w:rsidRPr="00AA47D0">
        <w:rPr>
          <w:rFonts w:ascii="Arial" w:hAnsi="Arial" w:cs="Arial"/>
          <w:i/>
          <w:iCs/>
          <w:sz w:val="22"/>
          <w:szCs w:val="22"/>
        </w:rPr>
        <w:noBreakHyphen/>
        <w:t>focused strategies that integrate traditional and digital banking to ensure equitable access and sustainable financial development</w:t>
      </w:r>
      <w:r w:rsidRPr="00AA47D0">
        <w:rPr>
          <w:rFonts w:ascii="Arial" w:hAnsi="Arial" w:cs="Arial"/>
          <w:sz w:val="22"/>
          <w:szCs w:val="22"/>
        </w:rPr>
        <w:t xml:space="preserve">. International Journal of Science and Research Archive, 4(1), pp. 445–468. </w:t>
      </w:r>
      <w:hyperlink r:id="rId41" w:history="1">
        <w:r w:rsidRPr="00AA47D0">
          <w:rPr>
            <w:rStyle w:val="Hyperlink"/>
            <w:rFonts w:ascii="Arial" w:hAnsi="Arial" w:cs="Arial"/>
            <w:sz w:val="22"/>
            <w:szCs w:val="22"/>
          </w:rPr>
          <w:t>https://doi.org/10.30574/ijsra.2021.4.1.0211</w:t>
        </w:r>
      </w:hyperlink>
    </w:p>
    <w:p w14:paraId="425A9508"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2814297A"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hAnsi="Arial" w:cs="Arial"/>
          <w:sz w:val="22"/>
          <w:szCs w:val="22"/>
        </w:rPr>
        <w:t>Omokhoa</w:t>
      </w:r>
      <w:proofErr w:type="spellEnd"/>
      <w:r w:rsidRPr="00AA47D0">
        <w:rPr>
          <w:rFonts w:ascii="Arial" w:hAnsi="Arial" w:cs="Arial"/>
          <w:sz w:val="22"/>
          <w:szCs w:val="22"/>
        </w:rPr>
        <w:t xml:space="preserve">, H.E., </w:t>
      </w:r>
      <w:proofErr w:type="spellStart"/>
      <w:r w:rsidRPr="00AA47D0">
        <w:rPr>
          <w:rFonts w:ascii="Arial" w:hAnsi="Arial" w:cs="Arial"/>
          <w:sz w:val="22"/>
          <w:szCs w:val="22"/>
        </w:rPr>
        <w:t>Odionu</w:t>
      </w:r>
      <w:proofErr w:type="spellEnd"/>
      <w:r w:rsidRPr="00AA47D0">
        <w:rPr>
          <w:rFonts w:ascii="Arial" w:hAnsi="Arial" w:cs="Arial"/>
          <w:sz w:val="22"/>
          <w:szCs w:val="22"/>
        </w:rPr>
        <w:t xml:space="preserve">, C.S., Azubuike, C. and Sule, A.K. (2024) </w:t>
      </w:r>
      <w:r w:rsidRPr="00AA47D0">
        <w:rPr>
          <w:rFonts w:ascii="Arial" w:hAnsi="Arial" w:cs="Arial"/>
          <w:i/>
          <w:iCs/>
          <w:sz w:val="22"/>
          <w:szCs w:val="22"/>
        </w:rPr>
        <w:t>AI</w:t>
      </w:r>
      <w:r w:rsidRPr="00AA47D0">
        <w:rPr>
          <w:rFonts w:ascii="Arial" w:hAnsi="Arial" w:cs="Arial"/>
          <w:i/>
          <w:iCs/>
          <w:sz w:val="22"/>
          <w:szCs w:val="22"/>
        </w:rPr>
        <w:noBreakHyphen/>
        <w:t>powered fintech innovations for credit scoring, debt recovery, and financial access in microfinance and SMEs</w:t>
      </w:r>
      <w:r w:rsidRPr="00AA47D0">
        <w:rPr>
          <w:rFonts w:ascii="Arial" w:hAnsi="Arial" w:cs="Arial"/>
          <w:sz w:val="22"/>
          <w:szCs w:val="22"/>
        </w:rPr>
        <w:t xml:space="preserve">. Gulf Journal of Advance Business Research, 2(6), pp. 411–422. </w:t>
      </w:r>
      <w:hyperlink r:id="rId42" w:history="1">
        <w:r w:rsidRPr="00AA47D0">
          <w:rPr>
            <w:rStyle w:val="Hyperlink"/>
            <w:rFonts w:ascii="Arial" w:hAnsi="Arial" w:cs="Arial"/>
            <w:sz w:val="22"/>
            <w:szCs w:val="22"/>
          </w:rPr>
          <w:t>https://doi.org/10.51594/gjabr.v6i2.55</w:t>
        </w:r>
      </w:hyperlink>
    </w:p>
    <w:p w14:paraId="2887F16F"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0245E71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hAnsi="Arial" w:cs="Arial"/>
          <w:sz w:val="22"/>
          <w:szCs w:val="22"/>
        </w:rPr>
        <w:t>Mulungula</w:t>
      </w:r>
      <w:proofErr w:type="spellEnd"/>
      <w:r w:rsidRPr="00AA47D0">
        <w:rPr>
          <w:rFonts w:ascii="Arial" w:hAnsi="Arial" w:cs="Arial"/>
          <w:sz w:val="22"/>
          <w:szCs w:val="22"/>
        </w:rPr>
        <w:t xml:space="preserve">, A.M., Nimubona, F., Stany, V.N. and Bienvenu, L. (2023) </w:t>
      </w:r>
      <w:r w:rsidRPr="00AA47D0">
        <w:rPr>
          <w:rFonts w:ascii="Arial" w:hAnsi="Arial" w:cs="Arial"/>
          <w:i/>
          <w:iCs/>
          <w:sz w:val="22"/>
          <w:szCs w:val="22"/>
        </w:rPr>
        <w:t>Analysis of the SME</w:t>
      </w:r>
      <w:r w:rsidRPr="00AA47D0">
        <w:rPr>
          <w:rFonts w:ascii="Arial" w:hAnsi="Arial" w:cs="Arial"/>
          <w:i/>
          <w:iCs/>
          <w:sz w:val="22"/>
          <w:szCs w:val="22"/>
        </w:rPr>
        <w:noBreakHyphen/>
        <w:t>Bank Relationship in the Context of Digital Financial Services in Bukavu</w:t>
      </w:r>
      <w:r w:rsidRPr="00AA47D0">
        <w:rPr>
          <w:rFonts w:ascii="Arial" w:hAnsi="Arial" w:cs="Arial"/>
          <w:sz w:val="22"/>
          <w:szCs w:val="22"/>
        </w:rPr>
        <w:t xml:space="preserve">. Journal of Financial Risk Management, 12, pp. 95–135. </w:t>
      </w:r>
      <w:hyperlink r:id="rId43" w:history="1">
        <w:r w:rsidRPr="00AA47D0">
          <w:rPr>
            <w:rStyle w:val="Hyperlink"/>
            <w:rFonts w:ascii="Arial" w:hAnsi="Arial" w:cs="Arial"/>
            <w:sz w:val="22"/>
            <w:szCs w:val="22"/>
          </w:rPr>
          <w:t>https://doi.org/10.4236/jfrm.2023.121007</w:t>
        </w:r>
      </w:hyperlink>
    </w:p>
    <w:p w14:paraId="4EBE7CC6"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7CC58C99"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Irene, B., Ndlovu, E., Felix</w:t>
      </w:r>
      <w:r w:rsidRPr="00AA47D0">
        <w:rPr>
          <w:rFonts w:ascii="Arial" w:hAnsi="Arial" w:cs="Arial"/>
          <w:sz w:val="22"/>
          <w:szCs w:val="22"/>
        </w:rPr>
        <w:noBreakHyphen/>
        <w:t xml:space="preserve">Faure, P.C., </w:t>
      </w:r>
      <w:proofErr w:type="spellStart"/>
      <w:r w:rsidRPr="00AA47D0">
        <w:rPr>
          <w:rFonts w:ascii="Arial" w:hAnsi="Arial" w:cs="Arial"/>
          <w:sz w:val="22"/>
          <w:szCs w:val="22"/>
        </w:rPr>
        <w:t>Dlabatshana</w:t>
      </w:r>
      <w:proofErr w:type="spellEnd"/>
      <w:r w:rsidRPr="00AA47D0">
        <w:rPr>
          <w:rFonts w:ascii="Arial" w:hAnsi="Arial" w:cs="Arial"/>
          <w:sz w:val="22"/>
          <w:szCs w:val="22"/>
        </w:rPr>
        <w:t xml:space="preserve">, Z. and </w:t>
      </w:r>
      <w:proofErr w:type="spellStart"/>
      <w:r w:rsidRPr="00AA47D0">
        <w:rPr>
          <w:rFonts w:ascii="Arial" w:hAnsi="Arial" w:cs="Arial"/>
          <w:sz w:val="22"/>
          <w:szCs w:val="22"/>
        </w:rPr>
        <w:t>Ogunmokun</w:t>
      </w:r>
      <w:proofErr w:type="spellEnd"/>
      <w:r w:rsidRPr="00AA47D0">
        <w:rPr>
          <w:rFonts w:ascii="Arial" w:hAnsi="Arial" w:cs="Arial"/>
          <w:sz w:val="22"/>
          <w:szCs w:val="22"/>
        </w:rPr>
        <w:t xml:space="preserve">, O. (2025) </w:t>
      </w:r>
      <w:r w:rsidRPr="00AA47D0">
        <w:rPr>
          <w:rFonts w:ascii="Arial" w:hAnsi="Arial" w:cs="Arial"/>
          <w:i/>
          <w:iCs/>
          <w:sz w:val="22"/>
          <w:szCs w:val="22"/>
        </w:rPr>
        <w:t>The role of financial institutions in bridging the financing gap for women entrepreneurs in Sub</w:t>
      </w:r>
      <w:r w:rsidRPr="00AA47D0">
        <w:rPr>
          <w:rFonts w:ascii="Arial" w:hAnsi="Arial" w:cs="Arial"/>
          <w:i/>
          <w:iCs/>
          <w:sz w:val="22"/>
          <w:szCs w:val="22"/>
        </w:rPr>
        <w:noBreakHyphen/>
        <w:t>Saharan Africa</w:t>
      </w:r>
      <w:r w:rsidRPr="00AA47D0">
        <w:rPr>
          <w:rFonts w:ascii="Arial" w:hAnsi="Arial" w:cs="Arial"/>
          <w:sz w:val="22"/>
          <w:szCs w:val="22"/>
        </w:rPr>
        <w:t xml:space="preserve">. Administrative Sciences, 15(8), 323. </w:t>
      </w:r>
      <w:hyperlink r:id="rId44" w:history="1">
        <w:r w:rsidRPr="00AA47D0">
          <w:rPr>
            <w:rStyle w:val="Hyperlink"/>
            <w:rFonts w:ascii="Arial" w:hAnsi="Arial" w:cs="Arial"/>
            <w:sz w:val="22"/>
            <w:szCs w:val="22"/>
          </w:rPr>
          <w:t>https://doi.org/10.3390/admsci15080323</w:t>
        </w:r>
      </w:hyperlink>
    </w:p>
    <w:p w14:paraId="41AFC42A"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Jalil, M.F. (2021) ‘Microfinance towards micro</w:t>
      </w:r>
      <w:r w:rsidRPr="00AA47D0">
        <w:rPr>
          <w:rFonts w:ascii="Arial" w:hAnsi="Arial" w:cs="Arial"/>
          <w:sz w:val="22"/>
          <w:szCs w:val="22"/>
        </w:rPr>
        <w:noBreakHyphen/>
        <w:t xml:space="preserve">enterprises development in rural Malaysia through digital finance’, </w:t>
      </w:r>
      <w:r w:rsidRPr="00AA47D0">
        <w:rPr>
          <w:rFonts w:ascii="Arial" w:hAnsi="Arial" w:cs="Arial"/>
          <w:i/>
          <w:iCs/>
          <w:sz w:val="22"/>
          <w:szCs w:val="22"/>
        </w:rPr>
        <w:t>Discover Sustainability</w:t>
      </w:r>
      <w:r w:rsidRPr="00AA47D0">
        <w:rPr>
          <w:rFonts w:ascii="Arial" w:hAnsi="Arial" w:cs="Arial"/>
          <w:sz w:val="22"/>
          <w:szCs w:val="22"/>
        </w:rPr>
        <w:t xml:space="preserve">, 2, 55. </w:t>
      </w:r>
      <w:hyperlink r:id="rId45" w:history="1">
        <w:r w:rsidRPr="00AA47D0">
          <w:rPr>
            <w:rStyle w:val="Hyperlink"/>
            <w:rFonts w:ascii="Arial" w:hAnsi="Arial" w:cs="Arial"/>
            <w:sz w:val="22"/>
            <w:szCs w:val="22"/>
          </w:rPr>
          <w:t>https://doi.org/10.1007/s43621-021-00066-3</w:t>
        </w:r>
      </w:hyperlink>
      <w:r w:rsidRPr="00AA47D0">
        <w:rPr>
          <w:rFonts w:ascii="Arial" w:hAnsi="Arial" w:cs="Arial"/>
          <w:sz w:val="22"/>
          <w:szCs w:val="22"/>
        </w:rPr>
        <w:t xml:space="preserve">. </w:t>
      </w:r>
    </w:p>
    <w:p w14:paraId="0F055F65"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C295AE4"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Amin, M.R. (2024) ‘Challenges of financial management among small scale enterprises in Bangladesh: A critical study’, </w:t>
      </w:r>
      <w:r w:rsidRPr="00AA47D0">
        <w:rPr>
          <w:rFonts w:ascii="Arial" w:eastAsia="Times New Roman" w:hAnsi="Arial" w:cs="Arial"/>
          <w:i/>
          <w:iCs/>
          <w:kern w:val="0"/>
          <w:sz w:val="22"/>
          <w:szCs w:val="22"/>
          <w:lang w:eastAsia="en-GB"/>
          <w14:ligatures w14:val="none"/>
        </w:rPr>
        <w:t>Eurasian Journal of Management and Trade</w:t>
      </w:r>
      <w:r w:rsidRPr="00AA47D0">
        <w:rPr>
          <w:rFonts w:ascii="Arial" w:eastAsia="Times New Roman" w:hAnsi="Arial" w:cs="Arial"/>
          <w:kern w:val="0"/>
          <w:sz w:val="22"/>
          <w:szCs w:val="22"/>
          <w:lang w:eastAsia="en-GB"/>
          <w14:ligatures w14:val="none"/>
        </w:rPr>
        <w:t>, 1(2). https://doi.org/10.2023/EJMT/202402001</w:t>
      </w:r>
    </w:p>
    <w:p w14:paraId="3990B552"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7F88D21E"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Nikaido, Y., Pais, J. and Sarma, M. (2015) ‘What hinders and what enhances small enterprises’ access to formal credit in India?’, </w:t>
      </w:r>
      <w:r w:rsidRPr="00AA47D0">
        <w:rPr>
          <w:rFonts w:ascii="Arial" w:eastAsia="Times New Roman" w:hAnsi="Arial" w:cs="Arial"/>
          <w:i/>
          <w:iCs/>
          <w:kern w:val="0"/>
          <w:sz w:val="22"/>
          <w:szCs w:val="22"/>
          <w:lang w:eastAsia="en-GB"/>
          <w14:ligatures w14:val="none"/>
        </w:rPr>
        <w:t>Review of Development Finance</w:t>
      </w:r>
      <w:r w:rsidRPr="00AA47D0">
        <w:rPr>
          <w:rFonts w:ascii="Arial" w:eastAsia="Times New Roman" w:hAnsi="Arial" w:cs="Arial"/>
          <w:kern w:val="0"/>
          <w:sz w:val="22"/>
          <w:szCs w:val="22"/>
          <w:lang w:eastAsia="en-GB"/>
          <w14:ligatures w14:val="none"/>
        </w:rPr>
        <w:t>, 5, pp. 43–52. https://doi.org/10.1016/j.rdf.2015.05.002</w:t>
      </w:r>
    </w:p>
    <w:p w14:paraId="3EF1C61B"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C49C15D"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Harianto</w:t>
      </w:r>
      <w:proofErr w:type="spellEnd"/>
      <w:r w:rsidRPr="00AA47D0">
        <w:rPr>
          <w:rFonts w:ascii="Arial" w:eastAsia="Times New Roman" w:hAnsi="Arial" w:cs="Arial"/>
          <w:kern w:val="0"/>
          <w:sz w:val="22"/>
          <w:szCs w:val="22"/>
          <w:lang w:eastAsia="en-GB"/>
          <w14:ligatures w14:val="none"/>
        </w:rPr>
        <w:t xml:space="preserve">, A., </w:t>
      </w:r>
      <w:proofErr w:type="spellStart"/>
      <w:r w:rsidRPr="00AA47D0">
        <w:rPr>
          <w:rFonts w:ascii="Arial" w:eastAsia="Times New Roman" w:hAnsi="Arial" w:cs="Arial"/>
          <w:kern w:val="0"/>
          <w:sz w:val="22"/>
          <w:szCs w:val="22"/>
          <w:lang w:eastAsia="en-GB"/>
          <w14:ligatures w14:val="none"/>
        </w:rPr>
        <w:t>Febrina</w:t>
      </w:r>
      <w:proofErr w:type="spellEnd"/>
      <w:r w:rsidRPr="00AA47D0">
        <w:rPr>
          <w:rFonts w:ascii="Arial" w:eastAsia="Times New Roman" w:hAnsi="Arial" w:cs="Arial"/>
          <w:kern w:val="0"/>
          <w:sz w:val="22"/>
          <w:szCs w:val="22"/>
          <w:lang w:eastAsia="en-GB"/>
          <w14:ligatures w14:val="none"/>
        </w:rPr>
        <w:t xml:space="preserve">, D., Nasib, Amelia, R. and </w:t>
      </w:r>
      <w:proofErr w:type="spellStart"/>
      <w:r w:rsidRPr="00AA47D0">
        <w:rPr>
          <w:rFonts w:ascii="Arial" w:eastAsia="Times New Roman" w:hAnsi="Arial" w:cs="Arial"/>
          <w:kern w:val="0"/>
          <w:sz w:val="22"/>
          <w:szCs w:val="22"/>
          <w:lang w:eastAsia="en-GB"/>
          <w14:ligatures w14:val="none"/>
        </w:rPr>
        <w:t>Fathoni</w:t>
      </w:r>
      <w:proofErr w:type="spellEnd"/>
      <w:r w:rsidRPr="00AA47D0">
        <w:rPr>
          <w:rFonts w:ascii="Arial" w:eastAsia="Times New Roman" w:hAnsi="Arial" w:cs="Arial"/>
          <w:kern w:val="0"/>
          <w:sz w:val="22"/>
          <w:szCs w:val="22"/>
          <w:lang w:eastAsia="en-GB"/>
          <w14:ligatures w14:val="none"/>
        </w:rPr>
        <w:t xml:space="preserve">, M. (2025) ‘Exploring the mediating role of fintech adoption in reducing perceived risks and promoting SME </w:t>
      </w:r>
      <w:r w:rsidRPr="00AA47D0">
        <w:rPr>
          <w:rFonts w:ascii="Arial" w:eastAsia="Times New Roman" w:hAnsi="Arial" w:cs="Arial"/>
          <w:kern w:val="0"/>
          <w:sz w:val="22"/>
          <w:szCs w:val="22"/>
          <w:lang w:eastAsia="en-GB"/>
          <w14:ligatures w14:val="none"/>
        </w:rPr>
        <w:lastRenderedPageBreak/>
        <w:t xml:space="preserve">sustainability’, </w:t>
      </w:r>
      <w:r w:rsidRPr="00AA47D0">
        <w:rPr>
          <w:rFonts w:ascii="Arial" w:eastAsia="Times New Roman" w:hAnsi="Arial" w:cs="Arial"/>
          <w:i/>
          <w:iCs/>
          <w:kern w:val="0"/>
          <w:sz w:val="22"/>
          <w:szCs w:val="22"/>
          <w:lang w:eastAsia="en-GB"/>
          <w14:ligatures w14:val="none"/>
        </w:rPr>
        <w:t>International Journal of Economics and Management Research</w:t>
      </w:r>
      <w:r w:rsidRPr="00AA47D0">
        <w:rPr>
          <w:rFonts w:ascii="Arial" w:eastAsia="Times New Roman" w:hAnsi="Arial" w:cs="Arial"/>
          <w:kern w:val="0"/>
          <w:sz w:val="22"/>
          <w:szCs w:val="22"/>
          <w:lang w:eastAsia="en-GB"/>
          <w14:ligatures w14:val="none"/>
        </w:rPr>
        <w:t>, 4(1). https://doi.org/10.55606/ijemr.v4i1.541</w:t>
      </w:r>
    </w:p>
    <w:p w14:paraId="148BF889"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8CA5AE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Chowdhury, M.A.S., Chuanmin, S., Sokolová, M., Akbar, A., Ali, Z., Ali, H. and Alam, M.Z. (2022) ‘Assessing the empirical linkage among access to finance, firm quality, and firm performance: New insight from Bangladeshi SMEs’, </w:t>
      </w:r>
      <w:r w:rsidRPr="00AA47D0">
        <w:rPr>
          <w:rFonts w:ascii="Arial" w:eastAsia="Times New Roman" w:hAnsi="Arial" w:cs="Arial"/>
          <w:i/>
          <w:iCs/>
          <w:kern w:val="0"/>
          <w:sz w:val="22"/>
          <w:szCs w:val="22"/>
          <w:lang w:eastAsia="en-GB"/>
          <w14:ligatures w14:val="none"/>
        </w:rPr>
        <w:t>Frontiers in Psychology</w:t>
      </w:r>
      <w:r w:rsidRPr="00AA47D0">
        <w:rPr>
          <w:rFonts w:ascii="Arial" w:eastAsia="Times New Roman" w:hAnsi="Arial" w:cs="Arial"/>
          <w:kern w:val="0"/>
          <w:sz w:val="22"/>
          <w:szCs w:val="22"/>
          <w:lang w:eastAsia="en-GB"/>
          <w14:ligatures w14:val="none"/>
        </w:rPr>
        <w:t>, 13, 865733. https://doi.org/10.3389/fpsyg.2022.865733</w:t>
      </w:r>
    </w:p>
    <w:p w14:paraId="660D9C5E"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33349D30"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Qi, L., Barua Mito, H.R. and Akter, M. (2021) ‘Effects of access to formal finance to the MSMEs on sustainable employment generation in Bangladesh’, </w:t>
      </w:r>
      <w:r w:rsidRPr="00AA47D0">
        <w:rPr>
          <w:rFonts w:ascii="Arial" w:eastAsia="Times New Roman" w:hAnsi="Arial" w:cs="Arial"/>
          <w:i/>
          <w:iCs/>
          <w:kern w:val="0"/>
          <w:sz w:val="22"/>
          <w:szCs w:val="22"/>
          <w:lang w:eastAsia="en-GB"/>
          <w14:ligatures w14:val="none"/>
        </w:rPr>
        <w:t>North American Academic Research</w:t>
      </w:r>
      <w:r w:rsidRPr="00AA47D0">
        <w:rPr>
          <w:rFonts w:ascii="Arial" w:eastAsia="Times New Roman" w:hAnsi="Arial" w:cs="Arial"/>
          <w:kern w:val="0"/>
          <w:sz w:val="22"/>
          <w:szCs w:val="22"/>
          <w:lang w:eastAsia="en-GB"/>
          <w14:ligatures w14:val="none"/>
        </w:rPr>
        <w:t>, 4(10), pp. 238–256. https://doi.org/10.5281/zenodo.5669282</w:t>
      </w:r>
    </w:p>
    <w:p w14:paraId="047F0884"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18766DC6"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Alvi, A., Ali, A., Paracha, A.N. and </w:t>
      </w:r>
      <w:proofErr w:type="spellStart"/>
      <w:r w:rsidRPr="00AA47D0">
        <w:rPr>
          <w:rFonts w:ascii="Arial" w:eastAsia="Times New Roman" w:hAnsi="Arial" w:cs="Arial"/>
          <w:kern w:val="0"/>
          <w:sz w:val="22"/>
          <w:szCs w:val="22"/>
          <w:lang w:eastAsia="en-GB"/>
          <w14:ligatures w14:val="none"/>
        </w:rPr>
        <w:t>Mangrio</w:t>
      </w:r>
      <w:proofErr w:type="spellEnd"/>
      <w:r w:rsidRPr="00AA47D0">
        <w:rPr>
          <w:rFonts w:ascii="Arial" w:eastAsia="Times New Roman" w:hAnsi="Arial" w:cs="Arial"/>
          <w:kern w:val="0"/>
          <w:sz w:val="22"/>
          <w:szCs w:val="22"/>
          <w:lang w:eastAsia="en-GB"/>
          <w14:ligatures w14:val="none"/>
        </w:rPr>
        <w:t>, K.B. (2025) ‘FinTech innovations and financial inclusion: Digital credit, micro</w:t>
      </w:r>
      <w:r w:rsidRPr="00AA47D0">
        <w:rPr>
          <w:rFonts w:ascii="Arial" w:eastAsia="Times New Roman" w:hAnsi="Arial" w:cs="Arial"/>
          <w:kern w:val="0"/>
          <w:sz w:val="22"/>
          <w:szCs w:val="22"/>
          <w:lang w:eastAsia="en-GB"/>
          <w14:ligatures w14:val="none"/>
        </w:rPr>
        <w:noBreakHyphen/>
        <w:t xml:space="preserve">lending, and poverty alleviation’, </w:t>
      </w:r>
      <w:proofErr w:type="spellStart"/>
      <w:r w:rsidRPr="00AA47D0">
        <w:rPr>
          <w:rFonts w:ascii="Arial" w:eastAsia="Times New Roman" w:hAnsi="Arial" w:cs="Arial"/>
          <w:i/>
          <w:iCs/>
          <w:kern w:val="0"/>
          <w:sz w:val="22"/>
          <w:szCs w:val="22"/>
          <w:lang w:eastAsia="en-GB"/>
          <w14:ligatures w14:val="none"/>
        </w:rPr>
        <w:t>Inverge</w:t>
      </w:r>
      <w:proofErr w:type="spellEnd"/>
      <w:r w:rsidRPr="00AA47D0">
        <w:rPr>
          <w:rFonts w:ascii="Arial" w:eastAsia="Times New Roman" w:hAnsi="Arial" w:cs="Arial"/>
          <w:i/>
          <w:iCs/>
          <w:kern w:val="0"/>
          <w:sz w:val="22"/>
          <w:szCs w:val="22"/>
          <w:lang w:eastAsia="en-GB"/>
          <w14:ligatures w14:val="none"/>
        </w:rPr>
        <w:t xml:space="preserve"> Journal of Social Sciences</w:t>
      </w:r>
      <w:r w:rsidRPr="00AA47D0">
        <w:rPr>
          <w:rFonts w:ascii="Arial" w:eastAsia="Times New Roman" w:hAnsi="Arial" w:cs="Arial"/>
          <w:kern w:val="0"/>
          <w:sz w:val="22"/>
          <w:szCs w:val="22"/>
          <w:lang w:eastAsia="en-GB"/>
          <w14:ligatures w14:val="none"/>
        </w:rPr>
        <w:t>, 4(4), pp. 143–155. https://doi.org/10.63544/ijss.v4i4.186</w:t>
      </w:r>
    </w:p>
    <w:p w14:paraId="125DF2CA"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3937E92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Zhou, Y. and Pacala, A. (2025) ‘Empowering manufacturing SMEs: Financial accessibility and sustainable practices in the age of digitalization’, </w:t>
      </w:r>
      <w:r w:rsidRPr="00AA47D0">
        <w:rPr>
          <w:rFonts w:ascii="Arial" w:eastAsia="Times New Roman" w:hAnsi="Arial" w:cs="Arial"/>
          <w:i/>
          <w:iCs/>
          <w:kern w:val="0"/>
          <w:sz w:val="22"/>
          <w:szCs w:val="22"/>
          <w:lang w:eastAsia="en-GB"/>
          <w14:ligatures w14:val="none"/>
        </w:rPr>
        <w:t>Sustainability</w:t>
      </w:r>
      <w:r w:rsidRPr="00AA47D0">
        <w:rPr>
          <w:rFonts w:ascii="Arial" w:eastAsia="Times New Roman" w:hAnsi="Arial" w:cs="Arial"/>
          <w:kern w:val="0"/>
          <w:sz w:val="22"/>
          <w:szCs w:val="22"/>
          <w:lang w:eastAsia="en-GB"/>
          <w14:ligatures w14:val="none"/>
        </w:rPr>
        <w:t>, 17, 3571. https://doi.org/10.3390/su17083571</w:t>
      </w:r>
    </w:p>
    <w:p w14:paraId="30F858BB"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4270D66D"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Mutsonziwa</w:t>
      </w:r>
      <w:proofErr w:type="spellEnd"/>
      <w:r w:rsidRPr="00AA47D0">
        <w:rPr>
          <w:rFonts w:ascii="Arial" w:eastAsia="Times New Roman" w:hAnsi="Arial" w:cs="Arial"/>
          <w:kern w:val="0"/>
          <w:sz w:val="22"/>
          <w:szCs w:val="22"/>
          <w:lang w:eastAsia="en-GB"/>
          <w14:ligatures w14:val="none"/>
        </w:rPr>
        <w:t xml:space="preserve">, K. and Fanta, A.B. (2021) ‘Small business performance: Is it access to formal or informal credit that matters?’, </w:t>
      </w:r>
      <w:r w:rsidRPr="00AA47D0">
        <w:rPr>
          <w:rFonts w:ascii="Arial" w:eastAsia="Times New Roman" w:hAnsi="Arial" w:cs="Arial"/>
          <w:i/>
          <w:iCs/>
          <w:kern w:val="0"/>
          <w:sz w:val="22"/>
          <w:szCs w:val="22"/>
          <w:lang w:eastAsia="en-GB"/>
          <w14:ligatures w14:val="none"/>
        </w:rPr>
        <w:t>Journal of African Business</w:t>
      </w:r>
      <w:r w:rsidRPr="00AA47D0">
        <w:rPr>
          <w:rFonts w:ascii="Arial" w:eastAsia="Times New Roman" w:hAnsi="Arial" w:cs="Arial"/>
          <w:kern w:val="0"/>
          <w:sz w:val="22"/>
          <w:szCs w:val="22"/>
          <w:lang w:eastAsia="en-GB"/>
          <w14:ligatures w14:val="none"/>
        </w:rPr>
        <w:t>, 22(4), pp. 550–563. https://doi.org/10.1080/15228916.2020.1826854</w:t>
      </w:r>
    </w:p>
    <w:p w14:paraId="7DDEDAED"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6981B34D"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Kato, A.I., Chiloane</w:t>
      </w:r>
      <w:r w:rsidRPr="00AA47D0">
        <w:rPr>
          <w:rFonts w:ascii="Arial" w:eastAsia="Times New Roman" w:hAnsi="Arial" w:cs="Arial"/>
          <w:kern w:val="0"/>
          <w:sz w:val="22"/>
          <w:szCs w:val="22"/>
          <w:lang w:eastAsia="en-GB"/>
          <w14:ligatures w14:val="none"/>
        </w:rPr>
        <w:noBreakHyphen/>
        <w:t xml:space="preserve">Tsoka, E.G. and </w:t>
      </w:r>
      <w:proofErr w:type="spellStart"/>
      <w:r w:rsidRPr="00AA47D0">
        <w:rPr>
          <w:rFonts w:ascii="Arial" w:eastAsia="Times New Roman" w:hAnsi="Arial" w:cs="Arial"/>
          <w:kern w:val="0"/>
          <w:sz w:val="22"/>
          <w:szCs w:val="22"/>
          <w:lang w:eastAsia="en-GB"/>
          <w14:ligatures w14:val="none"/>
        </w:rPr>
        <w:t>Mugambe</w:t>
      </w:r>
      <w:proofErr w:type="spellEnd"/>
      <w:r w:rsidRPr="00AA47D0">
        <w:rPr>
          <w:rFonts w:ascii="Arial" w:eastAsia="Times New Roman" w:hAnsi="Arial" w:cs="Arial"/>
          <w:kern w:val="0"/>
          <w:sz w:val="22"/>
          <w:szCs w:val="22"/>
          <w:lang w:eastAsia="en-GB"/>
          <w14:ligatures w14:val="none"/>
        </w:rPr>
        <w:t>, P. (2024) ‘Unlocking the potential: The influence of sustainable finance solutions on the long</w:t>
      </w:r>
      <w:r w:rsidRPr="00AA47D0">
        <w:rPr>
          <w:rFonts w:ascii="Arial" w:eastAsia="Times New Roman" w:hAnsi="Arial" w:cs="Arial"/>
          <w:kern w:val="0"/>
          <w:sz w:val="22"/>
          <w:szCs w:val="22"/>
          <w:lang w:eastAsia="en-GB"/>
          <w14:ligatures w14:val="none"/>
        </w:rPr>
        <w:noBreakHyphen/>
        <w:t>term sustainability of small and medium</w:t>
      </w:r>
      <w:r w:rsidRPr="00AA47D0">
        <w:rPr>
          <w:rFonts w:ascii="Arial" w:eastAsia="Times New Roman" w:hAnsi="Arial" w:cs="Arial"/>
          <w:kern w:val="0"/>
          <w:sz w:val="22"/>
          <w:szCs w:val="22"/>
          <w:lang w:eastAsia="en-GB"/>
          <w14:ligatures w14:val="none"/>
        </w:rPr>
        <w:noBreakHyphen/>
        <w:t xml:space="preserve">sized enterprises’, </w:t>
      </w:r>
      <w:r w:rsidRPr="00AA47D0">
        <w:rPr>
          <w:rFonts w:ascii="Arial" w:eastAsia="Times New Roman" w:hAnsi="Arial" w:cs="Arial"/>
          <w:i/>
          <w:iCs/>
          <w:kern w:val="0"/>
          <w:sz w:val="22"/>
          <w:szCs w:val="22"/>
          <w:lang w:eastAsia="en-GB"/>
          <w14:ligatures w14:val="none"/>
        </w:rPr>
        <w:t>Cogent Business &amp; Management</w:t>
      </w:r>
      <w:r w:rsidRPr="00AA47D0">
        <w:rPr>
          <w:rFonts w:ascii="Arial" w:eastAsia="Times New Roman" w:hAnsi="Arial" w:cs="Arial"/>
          <w:kern w:val="0"/>
          <w:sz w:val="22"/>
          <w:szCs w:val="22"/>
          <w:lang w:eastAsia="en-GB"/>
          <w14:ligatures w14:val="none"/>
        </w:rPr>
        <w:t>, 11(1), 2391122. https://doi.org/10.1080/23311975.2024.2391122</w:t>
      </w:r>
    </w:p>
    <w:p w14:paraId="2FC87EE5"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39B8DC93" w14:textId="3518976A"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Zhang, Q., Liu, Y. and Xie, Y. (2026) ‘Digital inclusive finance, digital transformation, and the sustainable development of micro and small enterprises’, </w:t>
      </w:r>
      <w:r w:rsidRPr="00AA47D0">
        <w:rPr>
          <w:rFonts w:ascii="Arial" w:eastAsia="Times New Roman" w:hAnsi="Arial" w:cs="Arial"/>
          <w:i/>
          <w:iCs/>
          <w:kern w:val="0"/>
          <w:sz w:val="22"/>
          <w:szCs w:val="22"/>
          <w:lang w:eastAsia="en-GB"/>
          <w14:ligatures w14:val="none"/>
        </w:rPr>
        <w:t>Finance Research Letters</w:t>
      </w:r>
      <w:r w:rsidRPr="00AA47D0">
        <w:rPr>
          <w:rFonts w:ascii="Arial" w:eastAsia="Times New Roman" w:hAnsi="Arial" w:cs="Arial"/>
          <w:kern w:val="0"/>
          <w:sz w:val="22"/>
          <w:szCs w:val="22"/>
          <w:lang w:eastAsia="en-GB"/>
          <w14:ligatures w14:val="none"/>
        </w:rPr>
        <w:t xml:space="preserve">, 87, 109079. </w:t>
      </w:r>
      <w:hyperlink r:id="rId46" w:history="1">
        <w:r w:rsidR="002B39EA" w:rsidRPr="00AA47D0">
          <w:rPr>
            <w:rStyle w:val="Hyperlink"/>
            <w:rFonts w:ascii="Arial" w:eastAsia="Times New Roman" w:hAnsi="Arial" w:cs="Arial"/>
            <w:kern w:val="0"/>
            <w:sz w:val="22"/>
            <w:szCs w:val="22"/>
            <w:lang w:eastAsia="en-GB"/>
            <w14:ligatures w14:val="none"/>
          </w:rPr>
          <w:t>https://doi.org/10.1016/j.frl.2025.109079</w:t>
        </w:r>
      </w:hyperlink>
    </w:p>
    <w:p w14:paraId="17819195" w14:textId="77777777" w:rsidR="002B39EA" w:rsidRPr="00AA47D0" w:rsidRDefault="002B39EA" w:rsidP="000B78E1">
      <w:pPr>
        <w:spacing w:after="0" w:line="360" w:lineRule="auto"/>
        <w:ind w:left="360"/>
        <w:jc w:val="both"/>
        <w:rPr>
          <w:rFonts w:ascii="Arial" w:eastAsia="Times New Roman" w:hAnsi="Arial" w:cs="Arial"/>
          <w:kern w:val="0"/>
          <w:sz w:val="22"/>
          <w:szCs w:val="22"/>
          <w:lang w:eastAsia="en-GB"/>
          <w14:ligatures w14:val="none"/>
        </w:rPr>
      </w:pPr>
    </w:p>
    <w:p w14:paraId="03F2D4E3"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Liu, Y. and Zhang, Y. (2020) </w:t>
      </w:r>
      <w:r w:rsidRPr="00AA47D0">
        <w:rPr>
          <w:rFonts w:ascii="Arial" w:hAnsi="Arial" w:cs="Arial"/>
          <w:i/>
          <w:iCs/>
          <w:sz w:val="22"/>
          <w:szCs w:val="22"/>
        </w:rPr>
        <w:t>Digital financial inclusion and sustainable growth of small and micro enterprises—Evidence based on China’s New Third Board market listed companies</w:t>
      </w:r>
      <w:r w:rsidRPr="00AA47D0">
        <w:rPr>
          <w:rFonts w:ascii="Arial" w:hAnsi="Arial" w:cs="Arial"/>
          <w:sz w:val="22"/>
          <w:szCs w:val="22"/>
        </w:rPr>
        <w:t xml:space="preserve">. Sustainability, 12(9), 3733. </w:t>
      </w:r>
      <w:hyperlink r:id="rId47" w:history="1">
        <w:r w:rsidRPr="00AA47D0">
          <w:rPr>
            <w:rStyle w:val="Hyperlink"/>
            <w:rFonts w:ascii="Arial" w:hAnsi="Arial" w:cs="Arial"/>
            <w:sz w:val="22"/>
            <w:szCs w:val="22"/>
          </w:rPr>
          <w:t>https://doi.org/10.3390/su12093733</w:t>
        </w:r>
      </w:hyperlink>
    </w:p>
    <w:p w14:paraId="15DDC802"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784EA966"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lastRenderedPageBreak/>
        <w:t xml:space="preserve">Thomas, J.N. and Mwenda, N. (2025) </w:t>
      </w:r>
      <w:r w:rsidRPr="00AA47D0">
        <w:rPr>
          <w:rFonts w:ascii="Arial" w:hAnsi="Arial" w:cs="Arial"/>
          <w:i/>
          <w:iCs/>
          <w:sz w:val="22"/>
          <w:szCs w:val="22"/>
        </w:rPr>
        <w:t>Digital credit and financial performance of small and medium enterprises in Nairobi City County, Kenya</w:t>
      </w:r>
      <w:r w:rsidRPr="00AA47D0">
        <w:rPr>
          <w:rFonts w:ascii="Arial" w:hAnsi="Arial" w:cs="Arial"/>
          <w:sz w:val="22"/>
          <w:szCs w:val="22"/>
        </w:rPr>
        <w:t xml:space="preserve">. Journal of Finance and Accounting, 9(4), pp. 38–63. </w:t>
      </w:r>
      <w:hyperlink r:id="rId48" w:history="1">
        <w:r w:rsidRPr="00AA47D0">
          <w:rPr>
            <w:rStyle w:val="Hyperlink"/>
            <w:rFonts w:ascii="Arial" w:hAnsi="Arial" w:cs="Arial"/>
            <w:sz w:val="22"/>
            <w:szCs w:val="22"/>
          </w:rPr>
          <w:t>https://doi.org/10.53819/81018102t5385</w:t>
        </w:r>
      </w:hyperlink>
      <w:r w:rsidRPr="00AA47D0">
        <w:rPr>
          <w:rFonts w:ascii="Arial" w:hAnsi="Arial" w:cs="Arial"/>
          <w:sz w:val="22"/>
          <w:szCs w:val="22"/>
        </w:rPr>
        <w:t xml:space="preserve"> </w:t>
      </w:r>
    </w:p>
    <w:p w14:paraId="7CC5A27D"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44F7A01A"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hAnsi="Arial" w:cs="Arial"/>
          <w:sz w:val="22"/>
          <w:szCs w:val="22"/>
        </w:rPr>
        <w:t>Alumasa</w:t>
      </w:r>
      <w:proofErr w:type="spellEnd"/>
      <w:r w:rsidRPr="00AA47D0">
        <w:rPr>
          <w:rFonts w:ascii="Arial" w:hAnsi="Arial" w:cs="Arial"/>
          <w:sz w:val="22"/>
          <w:szCs w:val="22"/>
        </w:rPr>
        <w:t xml:space="preserve">, S. and </w:t>
      </w:r>
      <w:proofErr w:type="spellStart"/>
      <w:r w:rsidRPr="00AA47D0">
        <w:rPr>
          <w:rFonts w:ascii="Arial" w:hAnsi="Arial" w:cs="Arial"/>
          <w:sz w:val="22"/>
          <w:szCs w:val="22"/>
        </w:rPr>
        <w:t>Muathe</w:t>
      </w:r>
      <w:proofErr w:type="spellEnd"/>
      <w:r w:rsidRPr="00AA47D0">
        <w:rPr>
          <w:rFonts w:ascii="Arial" w:hAnsi="Arial" w:cs="Arial"/>
          <w:sz w:val="22"/>
          <w:szCs w:val="22"/>
        </w:rPr>
        <w:t xml:space="preserve">, S. (2021) </w:t>
      </w:r>
      <w:r w:rsidRPr="00AA47D0">
        <w:rPr>
          <w:rFonts w:ascii="Arial" w:hAnsi="Arial" w:cs="Arial"/>
          <w:i/>
          <w:iCs/>
          <w:sz w:val="22"/>
          <w:szCs w:val="22"/>
        </w:rPr>
        <w:t>Mobile credit and performance: Experience and lessons from micro and small enterprises in Kenya</w:t>
      </w:r>
      <w:r w:rsidRPr="00AA47D0">
        <w:rPr>
          <w:rFonts w:ascii="Arial" w:hAnsi="Arial" w:cs="Arial"/>
          <w:sz w:val="22"/>
          <w:szCs w:val="22"/>
        </w:rPr>
        <w:t xml:space="preserve">. Journal of Applied Finance &amp; Banking, 11(4), pp. 135–161. </w:t>
      </w:r>
      <w:hyperlink r:id="rId49" w:history="1">
        <w:r w:rsidRPr="00AA47D0">
          <w:rPr>
            <w:rStyle w:val="Hyperlink"/>
            <w:rFonts w:ascii="Arial" w:hAnsi="Arial" w:cs="Arial"/>
            <w:sz w:val="22"/>
            <w:szCs w:val="22"/>
          </w:rPr>
          <w:t>https://doi.org/10.47260/jafb/1146</w:t>
        </w:r>
      </w:hyperlink>
    </w:p>
    <w:p w14:paraId="6AC5E7AD"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4555B6B5"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D’Apolito, E., Galletta, S., Iannuzzi, A.P. and </w:t>
      </w:r>
      <w:proofErr w:type="spellStart"/>
      <w:r w:rsidRPr="00AA47D0">
        <w:rPr>
          <w:rFonts w:ascii="Arial" w:hAnsi="Arial" w:cs="Arial"/>
          <w:sz w:val="22"/>
          <w:szCs w:val="22"/>
        </w:rPr>
        <w:t>Sylos</w:t>
      </w:r>
      <w:proofErr w:type="spellEnd"/>
      <w:r w:rsidRPr="00AA47D0">
        <w:rPr>
          <w:rFonts w:ascii="Arial" w:hAnsi="Arial" w:cs="Arial"/>
          <w:sz w:val="22"/>
          <w:szCs w:val="22"/>
        </w:rPr>
        <w:t xml:space="preserve"> Labini, S. (2024) </w:t>
      </w:r>
      <w:r w:rsidRPr="00AA47D0">
        <w:rPr>
          <w:rFonts w:ascii="Arial" w:hAnsi="Arial" w:cs="Arial"/>
          <w:i/>
          <w:iCs/>
          <w:sz w:val="22"/>
          <w:szCs w:val="22"/>
        </w:rPr>
        <w:t>Sustainability and bank credit access: New evidence from Italian SMEs</w:t>
      </w:r>
      <w:r w:rsidRPr="00AA47D0">
        <w:rPr>
          <w:rFonts w:ascii="Arial" w:hAnsi="Arial" w:cs="Arial"/>
          <w:sz w:val="22"/>
          <w:szCs w:val="22"/>
        </w:rPr>
        <w:t xml:space="preserve">. Research in International Business and Finance, 69, 102242. </w:t>
      </w:r>
      <w:hyperlink r:id="rId50" w:history="1">
        <w:r w:rsidRPr="00AA47D0">
          <w:rPr>
            <w:rStyle w:val="Hyperlink"/>
            <w:rFonts w:ascii="Arial" w:hAnsi="Arial" w:cs="Arial"/>
            <w:sz w:val="22"/>
            <w:szCs w:val="22"/>
          </w:rPr>
          <w:t>https://doi.org/10.1016/j.ribaf.2024.102242</w:t>
        </w:r>
      </w:hyperlink>
    </w:p>
    <w:p w14:paraId="044F1619"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690F767A"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Saad, M.H., Hagelaar, G., van der Velde, G. and </w:t>
      </w:r>
      <w:proofErr w:type="spellStart"/>
      <w:r w:rsidRPr="00AA47D0">
        <w:rPr>
          <w:rFonts w:ascii="Arial" w:hAnsi="Arial" w:cs="Arial"/>
          <w:sz w:val="22"/>
          <w:szCs w:val="22"/>
        </w:rPr>
        <w:t>Omta</w:t>
      </w:r>
      <w:proofErr w:type="spellEnd"/>
      <w:r w:rsidRPr="00AA47D0">
        <w:rPr>
          <w:rFonts w:ascii="Arial" w:hAnsi="Arial" w:cs="Arial"/>
          <w:sz w:val="22"/>
          <w:szCs w:val="22"/>
        </w:rPr>
        <w:t xml:space="preserve">, S.W.F. (2021) </w:t>
      </w:r>
      <w:r w:rsidRPr="00AA47D0">
        <w:rPr>
          <w:rFonts w:ascii="Arial" w:hAnsi="Arial" w:cs="Arial"/>
          <w:i/>
          <w:iCs/>
          <w:sz w:val="22"/>
          <w:szCs w:val="22"/>
        </w:rPr>
        <w:t>Conceptualization of SMEs’ business resilience: A systematic literature review</w:t>
      </w:r>
      <w:r w:rsidRPr="00AA47D0">
        <w:rPr>
          <w:rFonts w:ascii="Arial" w:hAnsi="Arial" w:cs="Arial"/>
          <w:sz w:val="22"/>
          <w:szCs w:val="22"/>
        </w:rPr>
        <w:t xml:space="preserve">. Cogent Business &amp; Management, 8(1), 1938347. </w:t>
      </w:r>
      <w:hyperlink r:id="rId51" w:history="1">
        <w:r w:rsidRPr="00AA47D0">
          <w:rPr>
            <w:rStyle w:val="Hyperlink"/>
            <w:rFonts w:ascii="Arial" w:hAnsi="Arial" w:cs="Arial"/>
            <w:sz w:val="22"/>
            <w:szCs w:val="22"/>
          </w:rPr>
          <w:t>https://doi.org/10.1080/23311975.2021.1938347</w:t>
        </w:r>
      </w:hyperlink>
    </w:p>
    <w:p w14:paraId="11410568"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06792D84"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Cruzado, S.M.A., Dimaano, I.D.M., Manahan, R.L.L., Medes, J.C. and </w:t>
      </w:r>
      <w:proofErr w:type="spellStart"/>
      <w:r w:rsidRPr="00AA47D0">
        <w:rPr>
          <w:rFonts w:ascii="Arial" w:eastAsia="Times New Roman" w:hAnsi="Arial" w:cs="Arial"/>
          <w:kern w:val="0"/>
          <w:sz w:val="22"/>
          <w:szCs w:val="22"/>
          <w:lang w:eastAsia="en-GB"/>
          <w14:ligatures w14:val="none"/>
        </w:rPr>
        <w:t>Villarma</w:t>
      </w:r>
      <w:proofErr w:type="spellEnd"/>
      <w:r w:rsidRPr="00AA47D0">
        <w:rPr>
          <w:rFonts w:ascii="Arial" w:eastAsia="Times New Roman" w:hAnsi="Arial" w:cs="Arial"/>
          <w:kern w:val="0"/>
          <w:sz w:val="22"/>
          <w:szCs w:val="22"/>
          <w:lang w:eastAsia="en-GB"/>
          <w14:ligatures w14:val="none"/>
        </w:rPr>
        <w:t xml:space="preserve">, R.V. (2023) ‘Financial constraints: Its impact on access to financing of micro, small, and medium businesses in Calapan City’, </w:t>
      </w:r>
      <w:r w:rsidRPr="00AA47D0">
        <w:rPr>
          <w:rFonts w:ascii="Arial" w:eastAsia="Times New Roman" w:hAnsi="Arial" w:cs="Arial"/>
          <w:i/>
          <w:iCs/>
          <w:kern w:val="0"/>
          <w:sz w:val="22"/>
          <w:szCs w:val="22"/>
          <w:lang w:eastAsia="en-GB"/>
          <w14:ligatures w14:val="none"/>
        </w:rPr>
        <w:t>World Journal of Advanced Research and Reviews</w:t>
      </w:r>
      <w:r w:rsidRPr="00AA47D0">
        <w:rPr>
          <w:rFonts w:ascii="Arial" w:eastAsia="Times New Roman" w:hAnsi="Arial" w:cs="Arial"/>
          <w:kern w:val="0"/>
          <w:sz w:val="22"/>
          <w:szCs w:val="22"/>
          <w:lang w:eastAsia="en-GB"/>
          <w14:ligatures w14:val="none"/>
        </w:rPr>
        <w:t>, 18(2), pp. 271–280. https://doi.org/10.30574/wjarr.2023.18.2.0792</w:t>
      </w:r>
    </w:p>
    <w:p w14:paraId="71D3E669"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693B3298"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Angeles, I.T. (2022) ‘The moderating effect of digital and financial literacy on the digital financial services and financial </w:t>
      </w:r>
      <w:proofErr w:type="spellStart"/>
      <w:r w:rsidRPr="00AA47D0">
        <w:rPr>
          <w:rFonts w:ascii="Arial" w:eastAsia="Times New Roman" w:hAnsi="Arial" w:cs="Arial"/>
          <w:kern w:val="0"/>
          <w:sz w:val="22"/>
          <w:szCs w:val="22"/>
          <w:lang w:eastAsia="en-GB"/>
          <w14:ligatures w14:val="none"/>
        </w:rPr>
        <w:t>behavior</w:t>
      </w:r>
      <w:proofErr w:type="spellEnd"/>
      <w:r w:rsidRPr="00AA47D0">
        <w:rPr>
          <w:rFonts w:ascii="Arial" w:eastAsia="Times New Roman" w:hAnsi="Arial" w:cs="Arial"/>
          <w:kern w:val="0"/>
          <w:sz w:val="22"/>
          <w:szCs w:val="22"/>
          <w:lang w:eastAsia="en-GB"/>
          <w14:ligatures w14:val="none"/>
        </w:rPr>
        <w:t xml:space="preserve"> of MSMEs’, </w:t>
      </w:r>
      <w:r w:rsidRPr="00AA47D0">
        <w:rPr>
          <w:rFonts w:ascii="Arial" w:eastAsia="Times New Roman" w:hAnsi="Arial" w:cs="Arial"/>
          <w:i/>
          <w:iCs/>
          <w:kern w:val="0"/>
          <w:sz w:val="22"/>
          <w:szCs w:val="22"/>
          <w:lang w:eastAsia="en-GB"/>
          <w14:ligatures w14:val="none"/>
        </w:rPr>
        <w:t>Review of Economics and Finance</w:t>
      </w:r>
      <w:r w:rsidRPr="00AA47D0">
        <w:rPr>
          <w:rFonts w:ascii="Arial" w:eastAsia="Times New Roman" w:hAnsi="Arial" w:cs="Arial"/>
          <w:kern w:val="0"/>
          <w:sz w:val="22"/>
          <w:szCs w:val="22"/>
          <w:lang w:eastAsia="en-GB"/>
          <w14:ligatures w14:val="none"/>
        </w:rPr>
        <w:t>, 20, pp. 505–515.</w:t>
      </w:r>
    </w:p>
    <w:p w14:paraId="1F10D327" w14:textId="77777777" w:rsidR="00550362" w:rsidRPr="00AA47D0" w:rsidRDefault="00550362" w:rsidP="000B78E1">
      <w:pPr>
        <w:spacing w:after="0" w:line="360" w:lineRule="auto"/>
        <w:jc w:val="both"/>
        <w:rPr>
          <w:rFonts w:ascii="Arial" w:eastAsia="Times New Roman" w:hAnsi="Arial" w:cs="Arial"/>
          <w:kern w:val="0"/>
          <w:sz w:val="22"/>
          <w:szCs w:val="22"/>
          <w:lang w:eastAsia="en-GB"/>
          <w14:ligatures w14:val="none"/>
        </w:rPr>
      </w:pPr>
    </w:p>
    <w:p w14:paraId="6381422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Ahsan, M.A., Rehman, F.U., Akhtar, S., Alam, M., Rahman, H.U. and Dayal, S. (2026) ‘FinTech adoption, credit risk, and banking stability: Evidence from Indian banks’, </w:t>
      </w:r>
      <w:r w:rsidRPr="00AA47D0">
        <w:rPr>
          <w:rFonts w:ascii="Arial" w:eastAsia="Times New Roman" w:hAnsi="Arial" w:cs="Arial"/>
          <w:i/>
          <w:iCs/>
          <w:kern w:val="0"/>
          <w:sz w:val="22"/>
          <w:szCs w:val="22"/>
          <w:lang w:eastAsia="en-GB"/>
          <w14:ligatures w14:val="none"/>
        </w:rPr>
        <w:t>Quality &amp; Quantity</w:t>
      </w:r>
      <w:r w:rsidRPr="00AA47D0">
        <w:rPr>
          <w:rFonts w:ascii="Arial" w:eastAsia="Times New Roman" w:hAnsi="Arial" w:cs="Arial"/>
          <w:kern w:val="0"/>
          <w:sz w:val="22"/>
          <w:szCs w:val="22"/>
          <w:lang w:eastAsia="en-GB"/>
          <w14:ligatures w14:val="none"/>
        </w:rPr>
        <w:t>. Advance online publication. https://doi.org/10.1007/s11135-026-02709-x</w:t>
      </w:r>
    </w:p>
    <w:p w14:paraId="70D3BAD7"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05B3C0CC"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Affandi, Y., Ridhwan, M.M., </w:t>
      </w:r>
      <w:proofErr w:type="spellStart"/>
      <w:r w:rsidRPr="00AA47D0">
        <w:rPr>
          <w:rFonts w:ascii="Arial" w:eastAsia="Times New Roman" w:hAnsi="Arial" w:cs="Arial"/>
          <w:kern w:val="0"/>
          <w:sz w:val="22"/>
          <w:szCs w:val="22"/>
          <w:lang w:eastAsia="en-GB"/>
          <w14:ligatures w14:val="none"/>
        </w:rPr>
        <w:t>Trinugroho</w:t>
      </w:r>
      <w:proofErr w:type="spellEnd"/>
      <w:r w:rsidRPr="00AA47D0">
        <w:rPr>
          <w:rFonts w:ascii="Arial" w:eastAsia="Times New Roman" w:hAnsi="Arial" w:cs="Arial"/>
          <w:kern w:val="0"/>
          <w:sz w:val="22"/>
          <w:szCs w:val="22"/>
          <w:lang w:eastAsia="en-GB"/>
          <w14:ligatures w14:val="none"/>
        </w:rPr>
        <w:t xml:space="preserve">, I. and </w:t>
      </w:r>
      <w:proofErr w:type="spellStart"/>
      <w:r w:rsidRPr="00AA47D0">
        <w:rPr>
          <w:rFonts w:ascii="Arial" w:eastAsia="Times New Roman" w:hAnsi="Arial" w:cs="Arial"/>
          <w:kern w:val="0"/>
          <w:sz w:val="22"/>
          <w:szCs w:val="22"/>
          <w:lang w:eastAsia="en-GB"/>
          <w14:ligatures w14:val="none"/>
        </w:rPr>
        <w:t>Adiwibowo</w:t>
      </w:r>
      <w:proofErr w:type="spellEnd"/>
      <w:r w:rsidRPr="00AA47D0">
        <w:rPr>
          <w:rFonts w:ascii="Arial" w:eastAsia="Times New Roman" w:hAnsi="Arial" w:cs="Arial"/>
          <w:kern w:val="0"/>
          <w:sz w:val="22"/>
          <w:szCs w:val="22"/>
          <w:lang w:eastAsia="en-GB"/>
          <w14:ligatures w14:val="none"/>
        </w:rPr>
        <w:t>, D.H. (2024) ‘Digital adoption, business performance, and financial literacy in ultra</w:t>
      </w:r>
      <w:r w:rsidRPr="00AA47D0">
        <w:rPr>
          <w:rFonts w:ascii="Arial" w:eastAsia="Times New Roman" w:hAnsi="Arial" w:cs="Arial"/>
          <w:kern w:val="0"/>
          <w:sz w:val="22"/>
          <w:szCs w:val="22"/>
          <w:lang w:eastAsia="en-GB"/>
          <w14:ligatures w14:val="none"/>
        </w:rPr>
        <w:noBreakHyphen/>
        <w:t xml:space="preserve">micro, micro, and small enterprises in Indonesia’, </w:t>
      </w:r>
      <w:r w:rsidRPr="00AA47D0">
        <w:rPr>
          <w:rFonts w:ascii="Arial" w:eastAsia="Times New Roman" w:hAnsi="Arial" w:cs="Arial"/>
          <w:i/>
          <w:iCs/>
          <w:kern w:val="0"/>
          <w:sz w:val="22"/>
          <w:szCs w:val="22"/>
          <w:lang w:eastAsia="en-GB"/>
          <w14:ligatures w14:val="none"/>
        </w:rPr>
        <w:t>Research in International Business and Finance</w:t>
      </w:r>
      <w:r w:rsidRPr="00AA47D0">
        <w:rPr>
          <w:rFonts w:ascii="Arial" w:eastAsia="Times New Roman" w:hAnsi="Arial" w:cs="Arial"/>
          <w:kern w:val="0"/>
          <w:sz w:val="22"/>
          <w:szCs w:val="22"/>
          <w:lang w:eastAsia="en-GB"/>
          <w14:ligatures w14:val="none"/>
        </w:rPr>
        <w:t>, 70, 102376. https://doi.org/10.1016/j.ribaf.2024.102376</w:t>
      </w:r>
    </w:p>
    <w:p w14:paraId="5BF7FACB"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35D2FC9" w14:textId="16283B35"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Pingali, S.R., Singha, S., Arunachalam, S. and </w:t>
      </w:r>
      <w:proofErr w:type="spellStart"/>
      <w:r w:rsidRPr="00AA47D0">
        <w:rPr>
          <w:rFonts w:ascii="Arial" w:eastAsia="Times New Roman" w:hAnsi="Arial" w:cs="Arial"/>
          <w:kern w:val="0"/>
          <w:sz w:val="22"/>
          <w:szCs w:val="22"/>
          <w:lang w:eastAsia="en-GB"/>
          <w14:ligatures w14:val="none"/>
        </w:rPr>
        <w:t>Pedada</w:t>
      </w:r>
      <w:proofErr w:type="spellEnd"/>
      <w:r w:rsidRPr="00AA47D0">
        <w:rPr>
          <w:rFonts w:ascii="Arial" w:eastAsia="Times New Roman" w:hAnsi="Arial" w:cs="Arial"/>
          <w:kern w:val="0"/>
          <w:sz w:val="22"/>
          <w:szCs w:val="22"/>
          <w:lang w:eastAsia="en-GB"/>
          <w14:ligatures w14:val="none"/>
        </w:rPr>
        <w:t xml:space="preserve">, K. (2023) ‘Digital readiness of small and medium enterprises in emerging markets: The construct, propositions, </w:t>
      </w:r>
      <w:r w:rsidRPr="00AA47D0">
        <w:rPr>
          <w:rFonts w:ascii="Arial" w:eastAsia="Times New Roman" w:hAnsi="Arial" w:cs="Arial"/>
          <w:kern w:val="0"/>
          <w:sz w:val="22"/>
          <w:szCs w:val="22"/>
          <w:lang w:eastAsia="en-GB"/>
          <w14:ligatures w14:val="none"/>
        </w:rPr>
        <w:lastRenderedPageBreak/>
        <w:t xml:space="preserve">measurement, and implications’, </w:t>
      </w:r>
      <w:r w:rsidRPr="00AA47D0">
        <w:rPr>
          <w:rFonts w:ascii="Arial" w:eastAsia="Times New Roman" w:hAnsi="Arial" w:cs="Arial"/>
          <w:i/>
          <w:iCs/>
          <w:kern w:val="0"/>
          <w:sz w:val="22"/>
          <w:szCs w:val="22"/>
          <w:lang w:eastAsia="en-GB"/>
          <w14:ligatures w14:val="none"/>
        </w:rPr>
        <w:t>Journal of Business Research</w:t>
      </w:r>
      <w:r w:rsidRPr="00AA47D0">
        <w:rPr>
          <w:rFonts w:ascii="Arial" w:eastAsia="Times New Roman" w:hAnsi="Arial" w:cs="Arial"/>
          <w:kern w:val="0"/>
          <w:sz w:val="22"/>
          <w:szCs w:val="22"/>
          <w:lang w:eastAsia="en-GB"/>
          <w14:ligatures w14:val="none"/>
        </w:rPr>
        <w:t xml:space="preserve">, 164, 113973. </w:t>
      </w:r>
      <w:hyperlink r:id="rId52" w:history="1">
        <w:r w:rsidR="002B39EA" w:rsidRPr="00AA47D0">
          <w:rPr>
            <w:rStyle w:val="Hyperlink"/>
            <w:rFonts w:ascii="Arial" w:eastAsia="Times New Roman" w:hAnsi="Arial" w:cs="Arial"/>
            <w:kern w:val="0"/>
            <w:sz w:val="22"/>
            <w:szCs w:val="22"/>
            <w:lang w:eastAsia="en-GB"/>
            <w14:ligatures w14:val="none"/>
          </w:rPr>
          <w:t>https://doi.org/10.1016/j.jbusres.2023.113973</w:t>
        </w:r>
      </w:hyperlink>
    </w:p>
    <w:p w14:paraId="494B5060" w14:textId="77777777" w:rsidR="002B39EA" w:rsidRPr="00AA47D0" w:rsidRDefault="002B39EA" w:rsidP="000B78E1">
      <w:pPr>
        <w:spacing w:after="0" w:line="360" w:lineRule="auto"/>
        <w:ind w:left="360"/>
        <w:jc w:val="both"/>
        <w:rPr>
          <w:rFonts w:ascii="Arial" w:eastAsia="Times New Roman" w:hAnsi="Arial" w:cs="Arial"/>
          <w:kern w:val="0"/>
          <w:sz w:val="22"/>
          <w:szCs w:val="22"/>
          <w:lang w:eastAsia="en-GB"/>
          <w14:ligatures w14:val="none"/>
        </w:rPr>
      </w:pPr>
    </w:p>
    <w:p w14:paraId="38FF1D64"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Kim, J. and Jin, W. (2024) ‘Impact of digital capabilities on entrepreneurial performance in SMEs’, </w:t>
      </w:r>
      <w:r w:rsidRPr="00AA47D0">
        <w:rPr>
          <w:rFonts w:ascii="Arial" w:eastAsia="Times New Roman" w:hAnsi="Arial" w:cs="Arial"/>
          <w:i/>
          <w:iCs/>
          <w:kern w:val="0"/>
          <w:sz w:val="22"/>
          <w:szCs w:val="22"/>
          <w:lang w:eastAsia="en-GB"/>
          <w14:ligatures w14:val="none"/>
        </w:rPr>
        <w:t>Journal of Innovation &amp; Knowledge</w:t>
      </w:r>
      <w:r w:rsidRPr="00AA47D0">
        <w:rPr>
          <w:rFonts w:ascii="Arial" w:eastAsia="Times New Roman" w:hAnsi="Arial" w:cs="Arial"/>
          <w:kern w:val="0"/>
          <w:sz w:val="22"/>
          <w:szCs w:val="22"/>
          <w:lang w:eastAsia="en-GB"/>
          <w14:ligatures w14:val="none"/>
        </w:rPr>
        <w:t xml:space="preserve">, 9, 100609. </w:t>
      </w:r>
      <w:hyperlink r:id="rId53" w:history="1">
        <w:r w:rsidRPr="00AA47D0">
          <w:rPr>
            <w:rStyle w:val="Hyperlink"/>
            <w:rFonts w:ascii="Arial" w:eastAsia="Times New Roman" w:hAnsi="Arial" w:cs="Arial"/>
            <w:kern w:val="0"/>
            <w:sz w:val="22"/>
            <w:szCs w:val="22"/>
            <w:lang w:eastAsia="en-GB"/>
            <w14:ligatures w14:val="none"/>
          </w:rPr>
          <w:t>https://doi.org/10.1016/j.jik.2024.100609</w:t>
        </w:r>
      </w:hyperlink>
    </w:p>
    <w:p w14:paraId="2E176A55"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3571306"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Khan, S.N., Khan, T. and Jilhajj, K. (2024) ‘Investigating the role of banks in promoting women</w:t>
      </w:r>
      <w:r w:rsidRPr="00AA47D0">
        <w:rPr>
          <w:rFonts w:ascii="Arial" w:eastAsia="Times New Roman" w:hAnsi="Arial" w:cs="Arial"/>
          <w:kern w:val="0"/>
          <w:sz w:val="22"/>
          <w:szCs w:val="22"/>
          <w:lang w:eastAsia="en-GB"/>
          <w14:ligatures w14:val="none"/>
        </w:rPr>
        <w:noBreakHyphen/>
        <w:t xml:space="preserve">owned micro and small businesses: Empirical evidence from an emerging economy’, </w:t>
      </w:r>
      <w:r w:rsidRPr="00AA47D0">
        <w:rPr>
          <w:rFonts w:ascii="Arial" w:eastAsia="Times New Roman" w:hAnsi="Arial" w:cs="Arial"/>
          <w:i/>
          <w:iCs/>
          <w:kern w:val="0"/>
          <w:sz w:val="22"/>
          <w:szCs w:val="22"/>
          <w:lang w:eastAsia="en-GB"/>
          <w14:ligatures w14:val="none"/>
        </w:rPr>
        <w:t>Business Strategy &amp; Development</w:t>
      </w:r>
      <w:r w:rsidRPr="00AA47D0">
        <w:rPr>
          <w:rFonts w:ascii="Arial" w:eastAsia="Times New Roman" w:hAnsi="Arial" w:cs="Arial"/>
          <w:kern w:val="0"/>
          <w:sz w:val="22"/>
          <w:szCs w:val="22"/>
          <w:lang w:eastAsia="en-GB"/>
          <w14:ligatures w14:val="none"/>
        </w:rPr>
        <w:t>, 7(3), e418. https://doi.org/10.1002/bsd2.418</w:t>
      </w:r>
    </w:p>
    <w:p w14:paraId="4E81A658"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ED75DA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Hasan, A., Ahsan, M.A. and Aslam, A. (2024) ‘Exploring small and medium enterprises access to finance: A bibliometric analysis’, </w:t>
      </w:r>
      <w:r w:rsidRPr="00AA47D0">
        <w:rPr>
          <w:rFonts w:ascii="Arial" w:eastAsia="Times New Roman" w:hAnsi="Arial" w:cs="Arial"/>
          <w:i/>
          <w:iCs/>
          <w:kern w:val="0"/>
          <w:sz w:val="22"/>
          <w:szCs w:val="22"/>
          <w:lang w:eastAsia="en-GB"/>
          <w14:ligatures w14:val="none"/>
        </w:rPr>
        <w:t>Journal of Economic Studies and Financial Research</w:t>
      </w:r>
      <w:r w:rsidRPr="00AA47D0">
        <w:rPr>
          <w:rFonts w:ascii="Arial" w:eastAsia="Times New Roman" w:hAnsi="Arial" w:cs="Arial"/>
          <w:kern w:val="0"/>
          <w:sz w:val="22"/>
          <w:szCs w:val="22"/>
          <w:lang w:eastAsia="en-GB"/>
          <w14:ligatures w14:val="none"/>
        </w:rPr>
        <w:t>, 5(1), pp. 15–46. https://doi.org/10.46610/JESFR.2024.v05i01.002</w:t>
      </w:r>
    </w:p>
    <w:p w14:paraId="0730A7CA"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70A194DF"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Thathsarani</w:t>
      </w:r>
      <w:proofErr w:type="spellEnd"/>
      <w:r w:rsidRPr="00AA47D0">
        <w:rPr>
          <w:rFonts w:ascii="Arial" w:eastAsia="Times New Roman" w:hAnsi="Arial" w:cs="Arial"/>
          <w:kern w:val="0"/>
          <w:sz w:val="22"/>
          <w:szCs w:val="22"/>
          <w:lang w:eastAsia="en-GB"/>
          <w14:ligatures w14:val="none"/>
        </w:rPr>
        <w:t xml:space="preserve">, U.S. and Jianguo, W. (2022) ‘Do digital finance and the Technology Acceptance Model strengthen financial inclusion and SME performance?’, </w:t>
      </w:r>
      <w:r w:rsidRPr="00AA47D0">
        <w:rPr>
          <w:rFonts w:ascii="Arial" w:eastAsia="Times New Roman" w:hAnsi="Arial" w:cs="Arial"/>
          <w:i/>
          <w:iCs/>
          <w:kern w:val="0"/>
          <w:sz w:val="22"/>
          <w:szCs w:val="22"/>
          <w:lang w:eastAsia="en-GB"/>
          <w14:ligatures w14:val="none"/>
        </w:rPr>
        <w:t>Information</w:t>
      </w:r>
      <w:r w:rsidRPr="00AA47D0">
        <w:rPr>
          <w:rFonts w:ascii="Arial" w:eastAsia="Times New Roman" w:hAnsi="Arial" w:cs="Arial"/>
          <w:kern w:val="0"/>
          <w:sz w:val="22"/>
          <w:szCs w:val="22"/>
          <w:lang w:eastAsia="en-GB"/>
          <w14:ligatures w14:val="none"/>
        </w:rPr>
        <w:t>, 13, 390. https://doi.org/10.3390/info13080390</w:t>
      </w:r>
    </w:p>
    <w:p w14:paraId="01D91A77"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00D8E6A1"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Gunawan, A., </w:t>
      </w:r>
      <w:proofErr w:type="spellStart"/>
      <w:r w:rsidRPr="00AA47D0">
        <w:rPr>
          <w:rFonts w:ascii="Arial" w:eastAsia="Times New Roman" w:hAnsi="Arial" w:cs="Arial"/>
          <w:kern w:val="0"/>
          <w:sz w:val="22"/>
          <w:szCs w:val="22"/>
          <w:lang w:eastAsia="en-GB"/>
          <w14:ligatures w14:val="none"/>
        </w:rPr>
        <w:t>Jufrizen</w:t>
      </w:r>
      <w:proofErr w:type="spellEnd"/>
      <w:r w:rsidRPr="00AA47D0">
        <w:rPr>
          <w:rFonts w:ascii="Arial" w:eastAsia="Times New Roman" w:hAnsi="Arial" w:cs="Arial"/>
          <w:kern w:val="0"/>
          <w:sz w:val="22"/>
          <w:szCs w:val="22"/>
          <w:lang w:eastAsia="en-GB"/>
          <w14:ligatures w14:val="none"/>
        </w:rPr>
        <w:t xml:space="preserve"> and </w:t>
      </w:r>
      <w:proofErr w:type="spellStart"/>
      <w:r w:rsidRPr="00AA47D0">
        <w:rPr>
          <w:rFonts w:ascii="Arial" w:eastAsia="Times New Roman" w:hAnsi="Arial" w:cs="Arial"/>
          <w:kern w:val="0"/>
          <w:sz w:val="22"/>
          <w:szCs w:val="22"/>
          <w:lang w:eastAsia="en-GB"/>
          <w14:ligatures w14:val="none"/>
        </w:rPr>
        <w:t>Pulungan</w:t>
      </w:r>
      <w:proofErr w:type="spellEnd"/>
      <w:r w:rsidRPr="00AA47D0">
        <w:rPr>
          <w:rFonts w:ascii="Arial" w:eastAsia="Times New Roman" w:hAnsi="Arial" w:cs="Arial"/>
          <w:kern w:val="0"/>
          <w:sz w:val="22"/>
          <w:szCs w:val="22"/>
          <w:lang w:eastAsia="en-GB"/>
          <w14:ligatures w14:val="none"/>
        </w:rPr>
        <w:t xml:space="preserve">, D.R. (2023) ‘Improving MSME performance through financial literacy, financial technology, and financial inclusion’, </w:t>
      </w:r>
      <w:r w:rsidRPr="00AA47D0">
        <w:rPr>
          <w:rFonts w:ascii="Arial" w:eastAsia="Times New Roman" w:hAnsi="Arial" w:cs="Arial"/>
          <w:i/>
          <w:iCs/>
          <w:kern w:val="0"/>
          <w:sz w:val="22"/>
          <w:szCs w:val="22"/>
          <w:lang w:eastAsia="en-GB"/>
          <w14:ligatures w14:val="none"/>
        </w:rPr>
        <w:t>International Journal of Applied Economics, Finance and Accounting</w:t>
      </w:r>
      <w:r w:rsidRPr="00AA47D0">
        <w:rPr>
          <w:rFonts w:ascii="Arial" w:eastAsia="Times New Roman" w:hAnsi="Arial" w:cs="Arial"/>
          <w:kern w:val="0"/>
          <w:sz w:val="22"/>
          <w:szCs w:val="22"/>
          <w:lang w:eastAsia="en-GB"/>
          <w14:ligatures w14:val="none"/>
        </w:rPr>
        <w:t>, 15(1), pp. 39–52. https://doi.org/10.33094/ijaefa.v15i1.761</w:t>
      </w:r>
    </w:p>
    <w:p w14:paraId="1C146617"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559D4249"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Molla, C., Bhuiyan, M.R.I., Islam, M.T. and Al Amin (2026) ‘Mediating role to banking performance for adopting digital bank using a technology organizational environment model’, </w:t>
      </w:r>
      <w:r w:rsidRPr="00AA47D0">
        <w:rPr>
          <w:rFonts w:ascii="Arial" w:eastAsia="Times New Roman" w:hAnsi="Arial" w:cs="Arial"/>
          <w:i/>
          <w:iCs/>
          <w:kern w:val="0"/>
          <w:sz w:val="22"/>
          <w:szCs w:val="22"/>
          <w:lang w:eastAsia="en-GB"/>
          <w14:ligatures w14:val="none"/>
        </w:rPr>
        <w:t>Digital Finance</w:t>
      </w:r>
      <w:r w:rsidRPr="00AA47D0">
        <w:rPr>
          <w:rFonts w:ascii="Arial" w:eastAsia="Times New Roman" w:hAnsi="Arial" w:cs="Arial"/>
          <w:kern w:val="0"/>
          <w:sz w:val="22"/>
          <w:szCs w:val="22"/>
          <w:lang w:eastAsia="en-GB"/>
          <w14:ligatures w14:val="none"/>
        </w:rPr>
        <w:t>, 8(4). https://doi.org/10.1007/s42521-025-00168-x</w:t>
      </w:r>
    </w:p>
    <w:p w14:paraId="0D04D196"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0CE9283C"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Abu, N., Pires da Silva, F. and Rino Vieira, P. (2025) ‘Government support for SMEs in the Fintech Era: Enhancing access to finance, survival, and performance’, </w:t>
      </w:r>
      <w:r w:rsidRPr="00AA47D0">
        <w:rPr>
          <w:rFonts w:ascii="Arial" w:eastAsia="Times New Roman" w:hAnsi="Arial" w:cs="Arial"/>
          <w:i/>
          <w:iCs/>
          <w:kern w:val="0"/>
          <w:sz w:val="22"/>
          <w:szCs w:val="22"/>
          <w:lang w:eastAsia="en-GB"/>
          <w14:ligatures w14:val="none"/>
        </w:rPr>
        <w:t>Digital Business</w:t>
      </w:r>
      <w:r w:rsidRPr="00AA47D0">
        <w:rPr>
          <w:rFonts w:ascii="Arial" w:eastAsia="Times New Roman" w:hAnsi="Arial" w:cs="Arial"/>
          <w:kern w:val="0"/>
          <w:sz w:val="22"/>
          <w:szCs w:val="22"/>
          <w:lang w:eastAsia="en-GB"/>
          <w14:ligatures w14:val="none"/>
        </w:rPr>
        <w:t>, 5, 100099. https://doi.org/10.1016/j.digbus.2024.100099</w:t>
      </w:r>
    </w:p>
    <w:p w14:paraId="67B936DF"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477B083D"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 xml:space="preserve">Morgan, P.J. (2022) ‘Fintech and financial inclusion in Southeast Asia and India’, </w:t>
      </w:r>
      <w:r w:rsidRPr="00AA47D0">
        <w:rPr>
          <w:rFonts w:ascii="Arial" w:eastAsia="Times New Roman" w:hAnsi="Arial" w:cs="Arial"/>
          <w:i/>
          <w:iCs/>
          <w:kern w:val="0"/>
          <w:sz w:val="22"/>
          <w:szCs w:val="22"/>
          <w:lang w:eastAsia="en-GB"/>
          <w14:ligatures w14:val="none"/>
        </w:rPr>
        <w:t>Asian Economic Policy Review</w:t>
      </w:r>
      <w:r w:rsidRPr="00AA47D0">
        <w:rPr>
          <w:rFonts w:ascii="Arial" w:eastAsia="Times New Roman" w:hAnsi="Arial" w:cs="Arial"/>
          <w:kern w:val="0"/>
          <w:sz w:val="22"/>
          <w:szCs w:val="22"/>
          <w:lang w:eastAsia="en-GB"/>
          <w14:ligatures w14:val="none"/>
        </w:rPr>
        <w:t>, 17, pp. 183–208. https://doi.org/10.1111/aepr.12379</w:t>
      </w:r>
    </w:p>
    <w:p w14:paraId="55F7F655"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24B2037B"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lastRenderedPageBreak/>
        <w:t>Bongomin</w:t>
      </w:r>
      <w:proofErr w:type="spellEnd"/>
      <w:r w:rsidRPr="00AA47D0">
        <w:rPr>
          <w:rFonts w:ascii="Arial" w:eastAsia="Times New Roman" w:hAnsi="Arial" w:cs="Arial"/>
          <w:kern w:val="0"/>
          <w:sz w:val="22"/>
          <w:szCs w:val="22"/>
          <w:lang w:eastAsia="en-GB"/>
          <w14:ligatures w14:val="none"/>
        </w:rPr>
        <w:t>, G.O.C. and Munene, J.C. (2021) ‘</w:t>
      </w:r>
      <w:proofErr w:type="spellStart"/>
      <w:r w:rsidRPr="00AA47D0">
        <w:rPr>
          <w:rFonts w:ascii="Arial" w:eastAsia="Times New Roman" w:hAnsi="Arial" w:cs="Arial"/>
          <w:kern w:val="0"/>
          <w:sz w:val="22"/>
          <w:szCs w:val="22"/>
          <w:lang w:eastAsia="en-GB"/>
          <w14:ligatures w14:val="none"/>
        </w:rPr>
        <w:t>Analyzing</w:t>
      </w:r>
      <w:proofErr w:type="spellEnd"/>
      <w:r w:rsidRPr="00AA47D0">
        <w:rPr>
          <w:rFonts w:ascii="Arial" w:eastAsia="Times New Roman" w:hAnsi="Arial" w:cs="Arial"/>
          <w:kern w:val="0"/>
          <w:sz w:val="22"/>
          <w:szCs w:val="22"/>
          <w:lang w:eastAsia="en-GB"/>
          <w14:ligatures w14:val="none"/>
        </w:rPr>
        <w:t xml:space="preserve"> the relationship between mobile money adoption and usage and financial inclusion of MSMEs in developing countries: Mediating role of cultural norms in Uganda’, </w:t>
      </w:r>
      <w:r w:rsidRPr="00AA47D0">
        <w:rPr>
          <w:rFonts w:ascii="Arial" w:eastAsia="Times New Roman" w:hAnsi="Arial" w:cs="Arial"/>
          <w:i/>
          <w:iCs/>
          <w:kern w:val="0"/>
          <w:sz w:val="22"/>
          <w:szCs w:val="22"/>
          <w:lang w:eastAsia="en-GB"/>
          <w14:ligatures w14:val="none"/>
        </w:rPr>
        <w:t>Journal of African Business</w:t>
      </w:r>
      <w:r w:rsidRPr="00AA47D0">
        <w:rPr>
          <w:rFonts w:ascii="Arial" w:eastAsia="Times New Roman" w:hAnsi="Arial" w:cs="Arial"/>
          <w:kern w:val="0"/>
          <w:sz w:val="22"/>
          <w:szCs w:val="22"/>
          <w:lang w:eastAsia="en-GB"/>
          <w14:ligatures w14:val="none"/>
        </w:rPr>
        <w:t>, 22(1), pp. 1–20. https://doi.org/10.1080/15228916.2019.1695189</w:t>
      </w:r>
    </w:p>
    <w:p w14:paraId="5C3C4F09"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10B105CE"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proofErr w:type="spellStart"/>
      <w:r w:rsidRPr="00AA47D0">
        <w:rPr>
          <w:rFonts w:ascii="Arial" w:eastAsia="Times New Roman" w:hAnsi="Arial" w:cs="Arial"/>
          <w:kern w:val="0"/>
          <w:sz w:val="22"/>
          <w:szCs w:val="22"/>
          <w:lang w:eastAsia="en-GB"/>
          <w14:ligatures w14:val="none"/>
        </w:rPr>
        <w:t>Tandilino</w:t>
      </w:r>
      <w:proofErr w:type="spellEnd"/>
      <w:r w:rsidRPr="00AA47D0">
        <w:rPr>
          <w:rFonts w:ascii="Arial" w:eastAsia="Times New Roman" w:hAnsi="Arial" w:cs="Arial"/>
          <w:kern w:val="0"/>
          <w:sz w:val="22"/>
          <w:szCs w:val="22"/>
          <w:lang w:eastAsia="en-GB"/>
          <w14:ligatures w14:val="none"/>
        </w:rPr>
        <w:t xml:space="preserve">, C., </w:t>
      </w:r>
      <w:proofErr w:type="spellStart"/>
      <w:r w:rsidRPr="00AA47D0">
        <w:rPr>
          <w:rFonts w:ascii="Arial" w:eastAsia="Times New Roman" w:hAnsi="Arial" w:cs="Arial"/>
          <w:kern w:val="0"/>
          <w:sz w:val="22"/>
          <w:szCs w:val="22"/>
          <w:lang w:eastAsia="en-GB"/>
          <w14:ligatures w14:val="none"/>
        </w:rPr>
        <w:t>Pontoh</w:t>
      </w:r>
      <w:proofErr w:type="spellEnd"/>
      <w:r w:rsidRPr="00AA47D0">
        <w:rPr>
          <w:rFonts w:ascii="Arial" w:eastAsia="Times New Roman" w:hAnsi="Arial" w:cs="Arial"/>
          <w:kern w:val="0"/>
          <w:sz w:val="22"/>
          <w:szCs w:val="22"/>
          <w:lang w:eastAsia="en-GB"/>
          <w14:ligatures w14:val="none"/>
        </w:rPr>
        <w:t xml:space="preserve">, G.T., </w:t>
      </w:r>
      <w:proofErr w:type="spellStart"/>
      <w:r w:rsidRPr="00AA47D0">
        <w:rPr>
          <w:rFonts w:ascii="Arial" w:eastAsia="Times New Roman" w:hAnsi="Arial" w:cs="Arial"/>
          <w:kern w:val="0"/>
          <w:sz w:val="22"/>
          <w:szCs w:val="22"/>
          <w:lang w:eastAsia="en-GB"/>
          <w14:ligatures w14:val="none"/>
        </w:rPr>
        <w:t>Darmawati</w:t>
      </w:r>
      <w:proofErr w:type="spellEnd"/>
      <w:r w:rsidRPr="00AA47D0">
        <w:rPr>
          <w:rFonts w:ascii="Arial" w:eastAsia="Times New Roman" w:hAnsi="Arial" w:cs="Arial"/>
          <w:kern w:val="0"/>
          <w:sz w:val="22"/>
          <w:szCs w:val="22"/>
          <w:lang w:eastAsia="en-GB"/>
          <w14:ligatures w14:val="none"/>
        </w:rPr>
        <w:t xml:space="preserve">, D. and </w:t>
      </w:r>
      <w:proofErr w:type="spellStart"/>
      <w:r w:rsidRPr="00AA47D0">
        <w:rPr>
          <w:rFonts w:ascii="Arial" w:eastAsia="Times New Roman" w:hAnsi="Arial" w:cs="Arial"/>
          <w:kern w:val="0"/>
          <w:sz w:val="22"/>
          <w:szCs w:val="22"/>
          <w:lang w:eastAsia="en-GB"/>
          <w14:ligatures w14:val="none"/>
        </w:rPr>
        <w:t>Indrijawati</w:t>
      </w:r>
      <w:proofErr w:type="spellEnd"/>
      <w:r w:rsidRPr="00AA47D0">
        <w:rPr>
          <w:rFonts w:ascii="Arial" w:eastAsia="Times New Roman" w:hAnsi="Arial" w:cs="Arial"/>
          <w:kern w:val="0"/>
          <w:sz w:val="22"/>
          <w:szCs w:val="22"/>
          <w:lang w:eastAsia="en-GB"/>
          <w14:ligatures w14:val="none"/>
        </w:rPr>
        <w:t xml:space="preserve">, A. (2025) ‘Digital financial inclusion as a mediator of digital financial literacy and government support in MSME performance’, </w:t>
      </w:r>
      <w:r w:rsidRPr="00AA47D0">
        <w:rPr>
          <w:rFonts w:ascii="Arial" w:eastAsia="Times New Roman" w:hAnsi="Arial" w:cs="Arial"/>
          <w:i/>
          <w:iCs/>
          <w:kern w:val="0"/>
          <w:sz w:val="22"/>
          <w:szCs w:val="22"/>
          <w:lang w:eastAsia="en-GB"/>
          <w14:ligatures w14:val="none"/>
        </w:rPr>
        <w:t>International Journal of Financial Studies</w:t>
      </w:r>
      <w:r w:rsidRPr="00AA47D0">
        <w:rPr>
          <w:rFonts w:ascii="Arial" w:eastAsia="Times New Roman" w:hAnsi="Arial" w:cs="Arial"/>
          <w:kern w:val="0"/>
          <w:sz w:val="22"/>
          <w:szCs w:val="22"/>
          <w:lang w:eastAsia="en-GB"/>
          <w14:ligatures w14:val="none"/>
        </w:rPr>
        <w:t>, 13(4), 199. https://doi.org/10.3390/ijfs13040199</w:t>
      </w:r>
    </w:p>
    <w:p w14:paraId="72387B23"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7BD8DC9B" w14:textId="77777777" w:rsidR="00550362" w:rsidRPr="00AA47D0" w:rsidRDefault="00550362" w:rsidP="000B78E1">
      <w:pPr>
        <w:spacing w:line="360" w:lineRule="auto"/>
        <w:ind w:left="360"/>
        <w:jc w:val="both"/>
        <w:rPr>
          <w:rFonts w:ascii="Arial" w:hAnsi="Arial" w:cs="Arial"/>
          <w:sz w:val="22"/>
          <w:szCs w:val="22"/>
        </w:rPr>
      </w:pPr>
      <w:r w:rsidRPr="00AA47D0">
        <w:rPr>
          <w:rFonts w:ascii="Arial" w:hAnsi="Arial" w:cs="Arial"/>
          <w:sz w:val="22"/>
          <w:szCs w:val="22"/>
        </w:rPr>
        <w:t xml:space="preserve">Maesu, M.L. and Syrovátka, P. (2025) </w:t>
      </w:r>
      <w:r w:rsidRPr="00AA47D0">
        <w:rPr>
          <w:rFonts w:ascii="Arial" w:hAnsi="Arial" w:cs="Arial"/>
          <w:i/>
          <w:iCs/>
          <w:sz w:val="22"/>
          <w:szCs w:val="22"/>
        </w:rPr>
        <w:t>Critical success factors for small and medium</w:t>
      </w:r>
      <w:r w:rsidRPr="00AA47D0">
        <w:rPr>
          <w:rFonts w:ascii="Arial" w:hAnsi="Arial" w:cs="Arial"/>
          <w:i/>
          <w:iCs/>
          <w:sz w:val="22"/>
          <w:szCs w:val="22"/>
        </w:rPr>
        <w:noBreakHyphen/>
        <w:t>sized businesses: a PRISMA</w:t>
      </w:r>
      <w:r w:rsidRPr="00AA47D0">
        <w:rPr>
          <w:rFonts w:ascii="Arial" w:hAnsi="Arial" w:cs="Arial"/>
          <w:i/>
          <w:iCs/>
          <w:sz w:val="22"/>
          <w:szCs w:val="22"/>
        </w:rPr>
        <w:noBreakHyphen/>
        <w:t>based systematic review</w:t>
      </w:r>
      <w:r w:rsidRPr="00AA47D0">
        <w:rPr>
          <w:rFonts w:ascii="Arial" w:hAnsi="Arial" w:cs="Arial"/>
          <w:sz w:val="22"/>
          <w:szCs w:val="22"/>
        </w:rPr>
        <w:t xml:space="preserve">. Future Business Journal, 11, Article 32. </w:t>
      </w:r>
      <w:hyperlink r:id="rId54" w:history="1">
        <w:r w:rsidRPr="00AA47D0">
          <w:rPr>
            <w:rStyle w:val="Hyperlink"/>
            <w:rFonts w:ascii="Arial" w:hAnsi="Arial" w:cs="Arial"/>
            <w:sz w:val="22"/>
            <w:szCs w:val="22"/>
          </w:rPr>
          <w:t>https://doi.org/10.1186/s43093-025-00458-1</w:t>
        </w:r>
      </w:hyperlink>
    </w:p>
    <w:p w14:paraId="49941FEB" w14:textId="77777777" w:rsidR="00550362" w:rsidRPr="00AA47D0" w:rsidRDefault="00550362" w:rsidP="000B78E1">
      <w:pPr>
        <w:spacing w:after="0" w:line="360" w:lineRule="auto"/>
        <w:ind w:left="360"/>
        <w:jc w:val="both"/>
        <w:rPr>
          <w:rFonts w:ascii="Arial" w:hAnsi="Arial" w:cs="Arial"/>
          <w:sz w:val="22"/>
          <w:szCs w:val="22"/>
        </w:rPr>
      </w:pPr>
      <w:proofErr w:type="spellStart"/>
      <w:r w:rsidRPr="00AA47D0">
        <w:rPr>
          <w:rFonts w:ascii="Arial" w:hAnsi="Arial" w:cs="Arial"/>
          <w:sz w:val="22"/>
          <w:szCs w:val="22"/>
        </w:rPr>
        <w:t>Tumiwa</w:t>
      </w:r>
      <w:proofErr w:type="spellEnd"/>
      <w:r w:rsidRPr="00AA47D0">
        <w:rPr>
          <w:rFonts w:ascii="Arial" w:hAnsi="Arial" w:cs="Arial"/>
          <w:sz w:val="22"/>
          <w:szCs w:val="22"/>
        </w:rPr>
        <w:t xml:space="preserve">, J. and Nagy, A. (2021) </w:t>
      </w:r>
      <w:r w:rsidRPr="00AA47D0">
        <w:rPr>
          <w:rFonts w:ascii="Arial" w:hAnsi="Arial" w:cs="Arial"/>
          <w:i/>
          <w:iCs/>
          <w:sz w:val="22"/>
          <w:szCs w:val="22"/>
        </w:rPr>
        <w:t>Micro, small, and medium enterprises in emerging economies and economic transition: a comparative study between Indonesia and Hungary</w:t>
      </w:r>
      <w:r w:rsidRPr="00AA47D0">
        <w:rPr>
          <w:rFonts w:ascii="Arial" w:hAnsi="Arial" w:cs="Arial"/>
          <w:sz w:val="22"/>
          <w:szCs w:val="22"/>
        </w:rPr>
        <w:t>. International Journal of Entrepreneurship and Small Business, 43(1), pp. 22–38</w:t>
      </w:r>
    </w:p>
    <w:p w14:paraId="6182262C" w14:textId="77777777" w:rsidR="00FE0DC9" w:rsidRPr="00AA47D0" w:rsidRDefault="00FE0DC9" w:rsidP="000B78E1">
      <w:pPr>
        <w:spacing w:after="0" w:line="360" w:lineRule="auto"/>
        <w:ind w:left="360"/>
        <w:jc w:val="both"/>
        <w:rPr>
          <w:rFonts w:ascii="Arial" w:eastAsia="Times New Roman" w:hAnsi="Arial" w:cs="Arial"/>
          <w:kern w:val="0"/>
          <w:sz w:val="22"/>
          <w:szCs w:val="22"/>
          <w:lang w:eastAsia="en-GB"/>
          <w14:ligatures w14:val="none"/>
        </w:rPr>
      </w:pPr>
    </w:p>
    <w:p w14:paraId="52994CB7" w14:textId="77777777" w:rsidR="00550362" w:rsidRPr="00AA47D0" w:rsidRDefault="00550362" w:rsidP="000B78E1">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hAnsi="Arial" w:cs="Arial"/>
          <w:sz w:val="22"/>
          <w:szCs w:val="22"/>
        </w:rPr>
        <w:t xml:space="preserve">Pulka, B.M. and </w:t>
      </w:r>
      <w:proofErr w:type="spellStart"/>
      <w:r w:rsidRPr="00AA47D0">
        <w:rPr>
          <w:rFonts w:ascii="Arial" w:hAnsi="Arial" w:cs="Arial"/>
          <w:sz w:val="22"/>
          <w:szCs w:val="22"/>
        </w:rPr>
        <w:t>Gawuna</w:t>
      </w:r>
      <w:proofErr w:type="spellEnd"/>
      <w:r w:rsidRPr="00AA47D0">
        <w:rPr>
          <w:rFonts w:ascii="Arial" w:hAnsi="Arial" w:cs="Arial"/>
          <w:sz w:val="22"/>
          <w:szCs w:val="22"/>
        </w:rPr>
        <w:t xml:space="preserve">, M.S. (2022) ‘Contributions of SMEs to Employment, Gross Domestic Product, Economic Growth and Development’, </w:t>
      </w:r>
      <w:proofErr w:type="spellStart"/>
      <w:r w:rsidRPr="00AA47D0">
        <w:rPr>
          <w:rFonts w:ascii="Arial" w:hAnsi="Arial" w:cs="Arial"/>
          <w:sz w:val="22"/>
          <w:szCs w:val="22"/>
        </w:rPr>
        <w:t>Jalingo</w:t>
      </w:r>
      <w:proofErr w:type="spellEnd"/>
      <w:r w:rsidRPr="00AA47D0">
        <w:rPr>
          <w:rFonts w:ascii="Arial" w:hAnsi="Arial" w:cs="Arial"/>
          <w:sz w:val="22"/>
          <w:szCs w:val="22"/>
        </w:rPr>
        <w:t xml:space="preserve"> Journal of Social and Management Sciences, 4(1), pp. 1–18</w:t>
      </w:r>
    </w:p>
    <w:p w14:paraId="5E20FA38"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322C2C35" w14:textId="0BB26DEE" w:rsidR="00550362" w:rsidRPr="00AA47D0" w:rsidRDefault="00550362" w:rsidP="000B78E1">
      <w:pPr>
        <w:spacing w:after="0" w:line="360" w:lineRule="auto"/>
        <w:ind w:left="360"/>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Lee, A.T., Ramasamy, R.K. and Subbarao, A. (2025) ‘Understanding psychosocial barriers to healthcare technology adoption: A review of TAM and UTAUT frameworks’, Healthcare, 13, 250.</w:t>
      </w:r>
      <w:r w:rsidR="007E3C77" w:rsidRPr="00AA47D0">
        <w:rPr>
          <w:rFonts w:ascii="Arial" w:eastAsia="Times New Roman" w:hAnsi="Arial" w:cs="Arial"/>
          <w:kern w:val="0"/>
          <w:sz w:val="22"/>
          <w:szCs w:val="22"/>
          <w:lang w:eastAsia="en-GB"/>
          <w14:ligatures w14:val="none"/>
        </w:rPr>
        <w:t xml:space="preserve"> </w:t>
      </w:r>
      <w:r w:rsidRPr="00AA47D0">
        <w:rPr>
          <w:rFonts w:ascii="Arial" w:eastAsia="Times New Roman" w:hAnsi="Arial" w:cs="Arial"/>
          <w:kern w:val="0"/>
          <w:sz w:val="22"/>
          <w:szCs w:val="22"/>
          <w:lang w:eastAsia="en-GB"/>
          <w14:ligatures w14:val="none"/>
        </w:rPr>
        <w:t>https://doi.org/10.3390/healthcare13030250</w:t>
      </w:r>
    </w:p>
    <w:p w14:paraId="63A8BC60" w14:textId="77777777" w:rsidR="00550362" w:rsidRPr="00AA47D0" w:rsidRDefault="00550362" w:rsidP="000B78E1">
      <w:pPr>
        <w:pStyle w:val="ListParagraph"/>
        <w:spacing w:after="0" w:line="360" w:lineRule="auto"/>
        <w:rPr>
          <w:rFonts w:ascii="Arial" w:eastAsia="Times New Roman" w:hAnsi="Arial" w:cs="Arial"/>
          <w:kern w:val="0"/>
          <w:sz w:val="22"/>
          <w:szCs w:val="22"/>
          <w:lang w:eastAsia="en-GB"/>
          <w14:ligatures w14:val="none"/>
        </w:rPr>
      </w:pPr>
    </w:p>
    <w:p w14:paraId="5B4FA7E2" w14:textId="237421EB" w:rsidR="00550362" w:rsidRPr="00AA47D0" w:rsidRDefault="00550362" w:rsidP="000B78E1">
      <w:pPr>
        <w:spacing w:after="0" w:line="360" w:lineRule="auto"/>
        <w:ind w:left="360"/>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Diamond, D.W. (1984) ‘Financial intermediation and delegated monitoring’, The Review of Economic Studies, 51(3), pp. 393–414.</w:t>
      </w:r>
      <w:r w:rsidR="002C4B7F" w:rsidRPr="00AA47D0">
        <w:rPr>
          <w:rFonts w:ascii="Arial" w:eastAsia="Times New Roman" w:hAnsi="Arial" w:cs="Arial"/>
          <w:kern w:val="0"/>
          <w:sz w:val="22"/>
          <w:szCs w:val="22"/>
          <w:lang w:eastAsia="en-GB"/>
          <w14:ligatures w14:val="none"/>
        </w:rPr>
        <w:t xml:space="preserve"> </w:t>
      </w:r>
      <w:r w:rsidRPr="00AA47D0">
        <w:rPr>
          <w:rFonts w:ascii="Arial" w:eastAsia="Times New Roman" w:hAnsi="Arial" w:cs="Arial"/>
          <w:kern w:val="0"/>
          <w:sz w:val="22"/>
          <w:szCs w:val="22"/>
          <w:lang w:eastAsia="en-GB"/>
          <w14:ligatures w14:val="none"/>
        </w:rPr>
        <w:t>https://doi.org/10.2307/2297431.</w:t>
      </w:r>
    </w:p>
    <w:p w14:paraId="19E8705B" w14:textId="77777777" w:rsidR="00550362" w:rsidRPr="00AA47D0" w:rsidRDefault="00550362" w:rsidP="000B78E1">
      <w:pPr>
        <w:pStyle w:val="ListParagraph"/>
        <w:spacing w:after="0" w:line="360" w:lineRule="auto"/>
        <w:jc w:val="both"/>
        <w:rPr>
          <w:rFonts w:ascii="Arial" w:eastAsia="Times New Roman" w:hAnsi="Arial" w:cs="Arial"/>
          <w:kern w:val="0"/>
          <w:sz w:val="22"/>
          <w:szCs w:val="22"/>
          <w:lang w:eastAsia="en-GB"/>
          <w14:ligatures w14:val="none"/>
        </w:rPr>
      </w:pPr>
    </w:p>
    <w:p w14:paraId="40FFF7F4" w14:textId="2D39531B" w:rsidR="008478DB" w:rsidRPr="00AA47D0" w:rsidRDefault="00550362" w:rsidP="00C0306E">
      <w:pPr>
        <w:spacing w:after="0" w:line="360" w:lineRule="auto"/>
        <w:ind w:left="360"/>
        <w:jc w:val="both"/>
        <w:rPr>
          <w:rFonts w:ascii="Arial" w:eastAsia="Times New Roman" w:hAnsi="Arial" w:cs="Arial"/>
          <w:kern w:val="0"/>
          <w:sz w:val="22"/>
          <w:szCs w:val="22"/>
          <w:lang w:eastAsia="en-GB"/>
          <w14:ligatures w14:val="none"/>
        </w:rPr>
      </w:pPr>
      <w:r w:rsidRPr="00AA47D0">
        <w:rPr>
          <w:rFonts w:ascii="Arial" w:eastAsia="Times New Roman" w:hAnsi="Arial" w:cs="Arial"/>
          <w:kern w:val="0"/>
          <w:sz w:val="22"/>
          <w:szCs w:val="22"/>
          <w:lang w:eastAsia="en-GB"/>
          <w14:ligatures w14:val="none"/>
        </w:rPr>
        <w:t>Claus, I. and Grimes, A. (2003) Asymmetric information, financial intermediation and the monetary transmission mechanism: A critical review, New Zealand Treasury Working Paper No. 03/19. Wellington: New Zealand Treasury.</w:t>
      </w:r>
    </w:p>
    <w:p w14:paraId="66EDB40A" w14:textId="77777777" w:rsidR="008478DB" w:rsidRPr="000B78E1" w:rsidRDefault="008478DB" w:rsidP="000B78E1">
      <w:pPr>
        <w:spacing w:line="360" w:lineRule="auto"/>
        <w:jc w:val="both"/>
        <w:rPr>
          <w:rFonts w:ascii="Arial" w:hAnsi="Arial" w:cs="Arial"/>
          <w:b/>
          <w:bCs/>
          <w:sz w:val="22"/>
          <w:szCs w:val="22"/>
        </w:rPr>
      </w:pPr>
    </w:p>
    <w:p w14:paraId="335ED971" w14:textId="602B0675" w:rsidR="00C12E9E" w:rsidRPr="000B78E1" w:rsidRDefault="00C12E9E" w:rsidP="000B78E1">
      <w:pPr>
        <w:spacing w:line="360" w:lineRule="auto"/>
        <w:jc w:val="both"/>
        <w:rPr>
          <w:rFonts w:ascii="Arial" w:hAnsi="Arial" w:cs="Arial"/>
          <w:b/>
          <w:bCs/>
          <w:sz w:val="22"/>
          <w:szCs w:val="22"/>
        </w:rPr>
      </w:pPr>
      <w:r w:rsidRPr="000B78E1">
        <w:rPr>
          <w:rFonts w:ascii="Arial" w:hAnsi="Arial" w:cs="Arial"/>
          <w:b/>
          <w:bCs/>
          <w:sz w:val="22"/>
          <w:szCs w:val="22"/>
        </w:rPr>
        <w:t>Appendices:</w:t>
      </w:r>
    </w:p>
    <w:p w14:paraId="10082586" w14:textId="77777777" w:rsidR="00C41769" w:rsidRPr="000B78E1" w:rsidRDefault="00936281" w:rsidP="000B78E1">
      <w:pPr>
        <w:pStyle w:val="ListParagraph"/>
        <w:numPr>
          <w:ilvl w:val="0"/>
          <w:numId w:val="32"/>
        </w:numPr>
        <w:spacing w:line="360" w:lineRule="auto"/>
        <w:jc w:val="both"/>
        <w:rPr>
          <w:rFonts w:ascii="Arial" w:hAnsi="Arial" w:cs="Arial"/>
          <w:b/>
          <w:bCs/>
          <w:sz w:val="22"/>
          <w:szCs w:val="22"/>
        </w:rPr>
      </w:pPr>
      <w:r w:rsidRPr="000B78E1">
        <w:rPr>
          <w:rFonts w:ascii="Arial" w:hAnsi="Arial" w:cs="Arial"/>
          <w:b/>
          <w:bCs/>
          <w:sz w:val="22"/>
          <w:szCs w:val="22"/>
        </w:rPr>
        <w:t xml:space="preserve">Appendix A: </w:t>
      </w:r>
    </w:p>
    <w:p w14:paraId="2DE7FC5A" w14:textId="5D9AA065" w:rsidR="00E265C8" w:rsidRPr="000B78E1" w:rsidRDefault="00936281" w:rsidP="000B78E1">
      <w:pPr>
        <w:spacing w:line="360" w:lineRule="auto"/>
        <w:jc w:val="both"/>
        <w:rPr>
          <w:rFonts w:ascii="Arial" w:hAnsi="Arial" w:cs="Arial"/>
          <w:sz w:val="22"/>
          <w:szCs w:val="22"/>
        </w:rPr>
      </w:pPr>
      <w:r w:rsidRPr="000B78E1">
        <w:rPr>
          <w:rFonts w:ascii="Arial" w:hAnsi="Arial" w:cs="Arial"/>
          <w:sz w:val="22"/>
          <w:szCs w:val="22"/>
        </w:rPr>
        <w:t>List of Additional Reviewed Studies</w:t>
      </w:r>
      <w:r w:rsidR="00B60CA4" w:rsidRPr="000B78E1">
        <w:rPr>
          <w:rFonts w:ascii="Arial" w:hAnsi="Arial" w:cs="Arial"/>
          <w:sz w:val="22"/>
          <w:szCs w:val="22"/>
        </w:rPr>
        <w:t xml:space="preserve"> under Theme: </w:t>
      </w:r>
      <w:r w:rsidR="007D1F8A" w:rsidRPr="000B78E1">
        <w:rPr>
          <w:rFonts w:ascii="Arial" w:hAnsi="Arial" w:cs="Arial"/>
          <w:sz w:val="22"/>
          <w:szCs w:val="22"/>
        </w:rPr>
        <w:t>DFS as a tool of Credit Access for SME</w:t>
      </w:r>
    </w:p>
    <w:p w14:paraId="43B350EC" w14:textId="77777777" w:rsidR="0009783E" w:rsidRPr="000B78E1" w:rsidRDefault="0009783E" w:rsidP="000B78E1">
      <w:pPr>
        <w:spacing w:line="360" w:lineRule="auto"/>
        <w:rPr>
          <w:rFonts w:ascii="Arial" w:hAnsi="Arial" w:cs="Arial"/>
          <w:b/>
          <w:bCs/>
          <w:sz w:val="22"/>
          <w:szCs w:val="22"/>
        </w:rPr>
      </w:pPr>
    </w:p>
    <w:tbl>
      <w:tblPr>
        <w:tblStyle w:val="TableGrid"/>
        <w:tblpPr w:leftFromText="180" w:rightFromText="180" w:vertAnchor="text" w:horzAnchor="page" w:tblpX="834" w:tblpY="-563"/>
        <w:tblW w:w="10627" w:type="dxa"/>
        <w:tblLayout w:type="fixed"/>
        <w:tblLook w:val="04A0" w:firstRow="1" w:lastRow="0" w:firstColumn="1" w:lastColumn="0" w:noHBand="0" w:noVBand="1"/>
      </w:tblPr>
      <w:tblGrid>
        <w:gridCol w:w="988"/>
        <w:gridCol w:w="1559"/>
        <w:gridCol w:w="1559"/>
        <w:gridCol w:w="1559"/>
        <w:gridCol w:w="1701"/>
        <w:gridCol w:w="1560"/>
        <w:gridCol w:w="1701"/>
      </w:tblGrid>
      <w:tr w:rsidR="0009783E" w:rsidRPr="000B78E1" w14:paraId="2D482176" w14:textId="77777777" w:rsidTr="00500EEB">
        <w:trPr>
          <w:trHeight w:val="558"/>
          <w:tblHeader/>
        </w:trPr>
        <w:tc>
          <w:tcPr>
            <w:tcW w:w="988" w:type="dxa"/>
            <w:tcBorders>
              <w:top w:val="double" w:sz="4" w:space="0" w:color="auto"/>
              <w:left w:val="double" w:sz="4" w:space="0" w:color="auto"/>
              <w:bottom w:val="double" w:sz="4" w:space="0" w:color="auto"/>
              <w:right w:val="double" w:sz="4" w:space="0" w:color="auto"/>
            </w:tcBorders>
            <w:shd w:val="clear" w:color="auto" w:fill="E8E8E8" w:themeFill="background2"/>
          </w:tcPr>
          <w:p w14:paraId="51343703"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lastRenderedPageBreak/>
              <w:t>Citation</w:t>
            </w:r>
          </w:p>
        </w:tc>
        <w:tc>
          <w:tcPr>
            <w:tcW w:w="1559" w:type="dxa"/>
            <w:tcBorders>
              <w:top w:val="double" w:sz="4" w:space="0" w:color="auto"/>
              <w:left w:val="double" w:sz="4" w:space="0" w:color="auto"/>
              <w:bottom w:val="double" w:sz="4" w:space="0" w:color="auto"/>
              <w:right w:val="double" w:sz="4" w:space="0" w:color="auto"/>
            </w:tcBorders>
            <w:shd w:val="clear" w:color="auto" w:fill="E8E8E8" w:themeFill="background2"/>
          </w:tcPr>
          <w:p w14:paraId="5B2F60A7"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t>Key Arguments</w:t>
            </w:r>
          </w:p>
        </w:tc>
        <w:tc>
          <w:tcPr>
            <w:tcW w:w="1559" w:type="dxa"/>
            <w:tcBorders>
              <w:top w:val="double" w:sz="4" w:space="0" w:color="auto"/>
              <w:left w:val="double" w:sz="4" w:space="0" w:color="auto"/>
              <w:bottom w:val="double" w:sz="4" w:space="0" w:color="auto"/>
              <w:right w:val="double" w:sz="4" w:space="0" w:color="auto"/>
            </w:tcBorders>
            <w:shd w:val="clear" w:color="auto" w:fill="E8E8E8" w:themeFill="background2"/>
          </w:tcPr>
          <w:p w14:paraId="439BDC75"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t>Theoretical Lens</w:t>
            </w:r>
          </w:p>
        </w:tc>
        <w:tc>
          <w:tcPr>
            <w:tcW w:w="1559" w:type="dxa"/>
            <w:tcBorders>
              <w:top w:val="double" w:sz="4" w:space="0" w:color="auto"/>
              <w:left w:val="double" w:sz="4" w:space="0" w:color="auto"/>
              <w:bottom w:val="double" w:sz="4" w:space="0" w:color="auto"/>
              <w:right w:val="double" w:sz="4" w:space="0" w:color="auto"/>
            </w:tcBorders>
            <w:shd w:val="clear" w:color="auto" w:fill="E8E8E8" w:themeFill="background2"/>
          </w:tcPr>
          <w:p w14:paraId="4D653CA9"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t>Methodology</w:t>
            </w:r>
          </w:p>
        </w:tc>
        <w:tc>
          <w:tcPr>
            <w:tcW w:w="1701" w:type="dxa"/>
            <w:tcBorders>
              <w:top w:val="double" w:sz="4" w:space="0" w:color="auto"/>
              <w:left w:val="double" w:sz="4" w:space="0" w:color="auto"/>
              <w:bottom w:val="double" w:sz="4" w:space="0" w:color="auto"/>
              <w:right w:val="double" w:sz="4" w:space="0" w:color="auto"/>
            </w:tcBorders>
            <w:shd w:val="clear" w:color="auto" w:fill="E8E8E8" w:themeFill="background2"/>
          </w:tcPr>
          <w:p w14:paraId="3FD4F629"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t>Key findings</w:t>
            </w:r>
          </w:p>
        </w:tc>
        <w:tc>
          <w:tcPr>
            <w:tcW w:w="1560" w:type="dxa"/>
            <w:tcBorders>
              <w:top w:val="double" w:sz="4" w:space="0" w:color="auto"/>
              <w:left w:val="double" w:sz="4" w:space="0" w:color="auto"/>
              <w:bottom w:val="double" w:sz="4" w:space="0" w:color="auto"/>
              <w:right w:val="double" w:sz="4" w:space="0" w:color="auto"/>
            </w:tcBorders>
            <w:shd w:val="clear" w:color="auto" w:fill="E8E8E8" w:themeFill="background2"/>
          </w:tcPr>
          <w:p w14:paraId="67F469C5"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t>Critical Evaluation</w:t>
            </w:r>
          </w:p>
        </w:tc>
        <w:tc>
          <w:tcPr>
            <w:tcW w:w="1701" w:type="dxa"/>
            <w:tcBorders>
              <w:top w:val="double" w:sz="4" w:space="0" w:color="auto"/>
              <w:left w:val="double" w:sz="4" w:space="0" w:color="auto"/>
              <w:bottom w:val="double" w:sz="4" w:space="0" w:color="auto"/>
              <w:right w:val="double" w:sz="4" w:space="0" w:color="auto"/>
            </w:tcBorders>
            <w:shd w:val="clear" w:color="auto" w:fill="E8E8E8" w:themeFill="background2"/>
          </w:tcPr>
          <w:p w14:paraId="268A9378"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t>Study Relevance</w:t>
            </w:r>
          </w:p>
        </w:tc>
      </w:tr>
      <w:tr w:rsidR="0009783E" w:rsidRPr="000B78E1" w14:paraId="0C6A4705" w14:textId="77777777" w:rsidTr="00500EEB">
        <w:tc>
          <w:tcPr>
            <w:tcW w:w="988" w:type="dxa"/>
            <w:tcBorders>
              <w:top w:val="double" w:sz="4" w:space="0" w:color="auto"/>
            </w:tcBorders>
          </w:tcPr>
          <w:p w14:paraId="43386E8E" w14:textId="77777777" w:rsidR="0009783E" w:rsidRPr="000B78E1" w:rsidRDefault="0009783E" w:rsidP="007E4611">
            <w:pPr>
              <w:spacing w:line="276" w:lineRule="auto"/>
              <w:jc w:val="both"/>
              <w:rPr>
                <w:rFonts w:ascii="Arial" w:hAnsi="Arial" w:cs="Arial"/>
                <w:b/>
                <w:bCs/>
                <w:sz w:val="22"/>
                <w:szCs w:val="22"/>
              </w:rPr>
            </w:pPr>
            <w:r w:rsidRPr="000B78E1">
              <w:rPr>
                <w:rFonts w:ascii="Arial" w:hAnsi="Arial" w:cs="Arial"/>
                <w:b/>
                <w:bCs/>
                <w:sz w:val="22"/>
                <w:szCs w:val="22"/>
              </w:rPr>
              <w:t>(</w:t>
            </w:r>
            <w:proofErr w:type="spellStart"/>
            <w:r w:rsidRPr="000B78E1">
              <w:rPr>
                <w:rFonts w:ascii="Arial" w:hAnsi="Arial" w:cs="Arial"/>
                <w:b/>
                <w:bCs/>
                <w:sz w:val="22"/>
                <w:szCs w:val="22"/>
              </w:rPr>
              <w:t>Tengeh</w:t>
            </w:r>
            <w:proofErr w:type="spellEnd"/>
            <w:r w:rsidRPr="000B78E1">
              <w:rPr>
                <w:rFonts w:ascii="Arial" w:hAnsi="Arial" w:cs="Arial"/>
                <w:b/>
                <w:bCs/>
                <w:sz w:val="22"/>
                <w:szCs w:val="22"/>
              </w:rPr>
              <w:t xml:space="preserve"> &amp; </w:t>
            </w:r>
            <w:proofErr w:type="spellStart"/>
            <w:r w:rsidRPr="000B78E1">
              <w:rPr>
                <w:rFonts w:ascii="Arial" w:hAnsi="Arial" w:cs="Arial"/>
                <w:b/>
                <w:bCs/>
                <w:sz w:val="22"/>
                <w:szCs w:val="22"/>
              </w:rPr>
              <w:t>Gahapa</w:t>
            </w:r>
            <w:proofErr w:type="spellEnd"/>
            <w:r w:rsidRPr="000B78E1">
              <w:rPr>
                <w:rFonts w:ascii="Arial" w:hAnsi="Arial" w:cs="Arial"/>
                <w:b/>
                <w:bCs/>
                <w:sz w:val="22"/>
                <w:szCs w:val="22"/>
              </w:rPr>
              <w:t xml:space="preserve"> </w:t>
            </w:r>
            <w:proofErr w:type="spellStart"/>
            <w:r w:rsidRPr="000B78E1">
              <w:rPr>
                <w:rFonts w:ascii="Arial" w:hAnsi="Arial" w:cs="Arial"/>
                <w:b/>
                <w:bCs/>
                <w:sz w:val="22"/>
                <w:szCs w:val="22"/>
              </w:rPr>
              <w:t>Talom</w:t>
            </w:r>
            <w:proofErr w:type="spellEnd"/>
            <w:r w:rsidRPr="000B78E1">
              <w:rPr>
                <w:rFonts w:ascii="Arial" w:hAnsi="Arial" w:cs="Arial"/>
                <w:b/>
                <w:bCs/>
                <w:sz w:val="22"/>
                <w:szCs w:val="22"/>
              </w:rPr>
              <w:t>, 2020)</w:t>
            </w:r>
          </w:p>
        </w:tc>
        <w:tc>
          <w:tcPr>
            <w:tcW w:w="1559" w:type="dxa"/>
            <w:tcBorders>
              <w:top w:val="double" w:sz="4" w:space="0" w:color="auto"/>
            </w:tcBorders>
          </w:tcPr>
          <w:p w14:paraId="66F60A63"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Mobile money eases financial constraints by accessible, safe and convenient transactions and can improve access to finance if bank use transaction histories.</w:t>
            </w:r>
          </w:p>
        </w:tc>
        <w:tc>
          <w:tcPr>
            <w:tcW w:w="1559" w:type="dxa"/>
            <w:tcBorders>
              <w:top w:val="double" w:sz="4" w:space="0" w:color="auto"/>
            </w:tcBorders>
          </w:tcPr>
          <w:p w14:paraId="07F958C7"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TAM, UTAUT, Diffusion of Innovation Theory</w:t>
            </w:r>
          </w:p>
        </w:tc>
        <w:tc>
          <w:tcPr>
            <w:tcW w:w="1559" w:type="dxa"/>
            <w:tcBorders>
              <w:top w:val="double" w:sz="4" w:space="0" w:color="auto"/>
            </w:tcBorders>
          </w:tcPr>
          <w:p w14:paraId="03CF717C" w14:textId="77777777" w:rsidR="0009783E" w:rsidRPr="000B78E1" w:rsidRDefault="0009783E" w:rsidP="007E4611">
            <w:pPr>
              <w:spacing w:line="276" w:lineRule="auto"/>
              <w:jc w:val="center"/>
              <w:rPr>
                <w:rFonts w:ascii="Arial" w:hAnsi="Arial" w:cs="Arial"/>
                <w:sz w:val="22"/>
                <w:szCs w:val="22"/>
              </w:rPr>
            </w:pPr>
            <w:r w:rsidRPr="000B78E1">
              <w:rPr>
                <w:rFonts w:ascii="Arial" w:hAnsi="Arial" w:cs="Arial"/>
                <w:sz w:val="22"/>
                <w:szCs w:val="22"/>
              </w:rPr>
              <w:t xml:space="preserve">Exploratory </w:t>
            </w:r>
            <w:proofErr w:type="gramStart"/>
            <w:r w:rsidRPr="000B78E1">
              <w:rPr>
                <w:rFonts w:ascii="Arial" w:hAnsi="Arial" w:cs="Arial"/>
                <w:sz w:val="22"/>
                <w:szCs w:val="22"/>
              </w:rPr>
              <w:t>mixed-methods</w:t>
            </w:r>
            <w:proofErr w:type="gramEnd"/>
            <w:r w:rsidRPr="000B78E1">
              <w:rPr>
                <w:rFonts w:ascii="Arial" w:hAnsi="Arial" w:cs="Arial"/>
                <w:sz w:val="22"/>
                <w:szCs w:val="22"/>
              </w:rPr>
              <w:t xml:space="preserve"> (survey and structured interviews)</w:t>
            </w:r>
          </w:p>
        </w:tc>
        <w:tc>
          <w:tcPr>
            <w:tcW w:w="1701" w:type="dxa"/>
            <w:tcBorders>
              <w:top w:val="double" w:sz="4" w:space="0" w:color="auto"/>
            </w:tcBorders>
          </w:tcPr>
          <w:p w14:paraId="4841557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Strong adoption for payments &amp; receipts and improved cash flow management. Receiving payments &amp; paying suppliers are main used services.</w:t>
            </w:r>
          </w:p>
        </w:tc>
        <w:tc>
          <w:tcPr>
            <w:tcW w:w="1560" w:type="dxa"/>
            <w:tcBorders>
              <w:top w:val="double" w:sz="4" w:space="0" w:color="auto"/>
            </w:tcBorders>
            <w:vAlign w:val="center"/>
          </w:tcPr>
          <w:p w14:paraId="0D77E77C"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No causal relationship testing. Treats DFS as transactional only.</w:t>
            </w:r>
          </w:p>
        </w:tc>
        <w:tc>
          <w:tcPr>
            <w:tcW w:w="1701" w:type="dxa"/>
            <w:tcBorders>
              <w:top w:val="double" w:sz="4" w:space="0" w:color="auto"/>
            </w:tcBorders>
          </w:tcPr>
          <w:p w14:paraId="4BF8373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DFS adoption facilitates transactions and liquidity but does not automatically translate into SME credit access</w:t>
            </w:r>
          </w:p>
        </w:tc>
      </w:tr>
      <w:tr w:rsidR="0009783E" w:rsidRPr="000B78E1" w14:paraId="333B3067" w14:textId="77777777" w:rsidTr="00500EEB">
        <w:tc>
          <w:tcPr>
            <w:tcW w:w="988" w:type="dxa"/>
            <w:vAlign w:val="center"/>
          </w:tcPr>
          <w:p w14:paraId="643333BA" w14:textId="77777777" w:rsidR="0009783E" w:rsidRPr="000B78E1" w:rsidRDefault="0009783E" w:rsidP="007E4611">
            <w:pPr>
              <w:spacing w:line="276" w:lineRule="auto"/>
              <w:rPr>
                <w:rFonts w:ascii="Arial" w:hAnsi="Arial" w:cs="Arial"/>
                <w:b/>
                <w:bCs/>
                <w:sz w:val="22"/>
                <w:szCs w:val="22"/>
              </w:rPr>
            </w:pPr>
            <w:r w:rsidRPr="000B78E1">
              <w:rPr>
                <w:rFonts w:ascii="Arial" w:hAnsi="Arial" w:cs="Arial"/>
                <w:sz w:val="22"/>
                <w:szCs w:val="22"/>
              </w:rPr>
              <w:t>Abbasi et al. (2021</w:t>
            </w:r>
            <w:r w:rsidRPr="000B78E1">
              <w:rPr>
                <w:rFonts w:ascii="Arial" w:hAnsi="Arial" w:cs="Arial"/>
                <w:b/>
                <w:bCs/>
                <w:sz w:val="22"/>
                <w:szCs w:val="22"/>
              </w:rPr>
              <w:t>)</w:t>
            </w:r>
          </w:p>
        </w:tc>
        <w:tc>
          <w:tcPr>
            <w:tcW w:w="1559" w:type="dxa"/>
            <w:vAlign w:val="center"/>
          </w:tcPr>
          <w:p w14:paraId="1B544728"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P2P lending expands SME access to finance in OECD countries</w:t>
            </w:r>
          </w:p>
        </w:tc>
        <w:tc>
          <w:tcPr>
            <w:tcW w:w="1559" w:type="dxa"/>
          </w:tcPr>
          <w:p w14:paraId="0B3A822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Based on theory of reasonable action where SMEs chose beneficial financial options</w:t>
            </w:r>
          </w:p>
        </w:tc>
        <w:tc>
          <w:tcPr>
            <w:tcW w:w="1559" w:type="dxa"/>
          </w:tcPr>
          <w:p w14:paraId="5EA0DE7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Panel data econometric analysis using fixed-effects regression and GMM robustness checks</w:t>
            </w:r>
          </w:p>
        </w:tc>
        <w:tc>
          <w:tcPr>
            <w:tcW w:w="1701" w:type="dxa"/>
          </w:tcPr>
          <w:p w14:paraId="5C83B7E6"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P2P lending </w:t>
            </w:r>
            <w:proofErr w:type="spellStart"/>
            <w:r w:rsidRPr="000B78E1">
              <w:rPr>
                <w:rFonts w:ascii="Arial" w:hAnsi="Arial" w:cs="Arial"/>
                <w:sz w:val="22"/>
                <w:szCs w:val="22"/>
              </w:rPr>
              <w:t>FinTechs</w:t>
            </w:r>
            <w:proofErr w:type="spellEnd"/>
            <w:r w:rsidRPr="000B78E1">
              <w:rPr>
                <w:rFonts w:ascii="Arial" w:hAnsi="Arial" w:cs="Arial"/>
                <w:sz w:val="22"/>
                <w:szCs w:val="22"/>
              </w:rPr>
              <w:t xml:space="preserve"> significantly increase SME access to finance. Effect is stronger where institutional quality is high.</w:t>
            </w:r>
          </w:p>
        </w:tc>
        <w:tc>
          <w:tcPr>
            <w:tcW w:w="1560" w:type="dxa"/>
          </w:tcPr>
          <w:p w14:paraId="4432DAA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Focuses only on formal economies, measures credit access indirectly through leverage, and lacks firm</w:t>
            </w:r>
            <w:r w:rsidRPr="000B78E1">
              <w:rPr>
                <w:rFonts w:ascii="Arial" w:hAnsi="Arial" w:cs="Arial"/>
                <w:sz w:val="22"/>
                <w:szCs w:val="22"/>
              </w:rPr>
              <w:noBreakHyphen/>
              <w:t xml:space="preserve">level borrower insights. </w:t>
            </w:r>
          </w:p>
        </w:tc>
        <w:tc>
          <w:tcPr>
            <w:tcW w:w="1701" w:type="dxa"/>
          </w:tcPr>
          <w:p w14:paraId="6DFA37C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Provides rare empirical evidence of DFS-enabled credit access while showing that such outcomes are conditional rather than universal</w:t>
            </w:r>
          </w:p>
        </w:tc>
      </w:tr>
      <w:tr w:rsidR="0009783E" w:rsidRPr="000B78E1" w14:paraId="17988843" w14:textId="77777777" w:rsidTr="00500EEB">
        <w:tc>
          <w:tcPr>
            <w:tcW w:w="988" w:type="dxa"/>
          </w:tcPr>
          <w:p w14:paraId="00BCA82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Rehman et. al. (2023)</w:t>
            </w:r>
          </w:p>
        </w:tc>
        <w:tc>
          <w:tcPr>
            <w:tcW w:w="1559" w:type="dxa"/>
            <w:vAlign w:val="center"/>
          </w:tcPr>
          <w:p w14:paraId="608C882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FinTech adoption improves bank credit supply via reduced information asymmetry</w:t>
            </w:r>
          </w:p>
        </w:tc>
        <w:tc>
          <w:tcPr>
            <w:tcW w:w="1559" w:type="dxa"/>
            <w:vAlign w:val="center"/>
          </w:tcPr>
          <w:p w14:paraId="0A4F6CA1"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Technology </w:t>
            </w:r>
            <w:proofErr w:type="gramStart"/>
            <w:r w:rsidRPr="000B78E1">
              <w:rPr>
                <w:rFonts w:ascii="Arial" w:hAnsi="Arial" w:cs="Arial"/>
                <w:sz w:val="22"/>
                <w:szCs w:val="22"/>
              </w:rPr>
              <w:t>adoption  &amp;</w:t>
            </w:r>
            <w:proofErr w:type="gramEnd"/>
            <w:r w:rsidRPr="000B78E1">
              <w:rPr>
                <w:rFonts w:ascii="Arial" w:hAnsi="Arial" w:cs="Arial"/>
                <w:sz w:val="22"/>
                <w:szCs w:val="22"/>
              </w:rPr>
              <w:t xml:space="preserve"> information asymmetry theory.</w:t>
            </w:r>
          </w:p>
          <w:p w14:paraId="2407072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FinTech is conceptualized as a mechanism that converts soft information into reliable hard information</w:t>
            </w:r>
          </w:p>
        </w:tc>
        <w:tc>
          <w:tcPr>
            <w:tcW w:w="1559" w:type="dxa"/>
            <w:vAlign w:val="center"/>
          </w:tcPr>
          <w:p w14:paraId="3CA917AA"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Quantitative survey research, Structural equation modelling &amp; </w:t>
            </w:r>
          </w:p>
          <w:p w14:paraId="3DFDA1B6"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Confirmatory factor analysis </w:t>
            </w:r>
          </w:p>
          <w:p w14:paraId="46318B7F"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for testing relationships between FinTech adoption and credit supply</w:t>
            </w:r>
          </w:p>
        </w:tc>
        <w:tc>
          <w:tcPr>
            <w:tcW w:w="1701" w:type="dxa"/>
            <w:vAlign w:val="center"/>
          </w:tcPr>
          <w:p w14:paraId="75C172CE" w14:textId="77777777" w:rsidR="0009783E" w:rsidRPr="000B78E1" w:rsidRDefault="0009783E" w:rsidP="007E4611">
            <w:pPr>
              <w:spacing w:line="276" w:lineRule="auto"/>
              <w:rPr>
                <w:rFonts w:ascii="Arial" w:hAnsi="Arial" w:cs="Arial"/>
                <w:b/>
                <w:bCs/>
                <w:sz w:val="22"/>
                <w:szCs w:val="22"/>
              </w:rPr>
            </w:pPr>
            <w:r w:rsidRPr="000B78E1">
              <w:rPr>
                <w:rFonts w:ascii="Arial" w:hAnsi="Arial" w:cs="Arial"/>
                <w:sz w:val="22"/>
                <w:szCs w:val="22"/>
              </w:rPr>
              <w:t xml:space="preserve">Big Data reduces information </w:t>
            </w:r>
            <w:proofErr w:type="gramStart"/>
            <w:r w:rsidRPr="000B78E1">
              <w:rPr>
                <w:rFonts w:ascii="Arial" w:hAnsi="Arial" w:cs="Arial"/>
                <w:sz w:val="22"/>
                <w:szCs w:val="22"/>
              </w:rPr>
              <w:t>asymmetry,</w:t>
            </w:r>
            <w:proofErr w:type="gramEnd"/>
            <w:r w:rsidRPr="000B78E1">
              <w:rPr>
                <w:rFonts w:ascii="Arial" w:hAnsi="Arial" w:cs="Arial"/>
                <w:sz w:val="22"/>
                <w:szCs w:val="22"/>
              </w:rPr>
              <w:t xml:space="preserve"> Mobile banking adoption enhances access to bank credit improves bank credit supply &amp; Blockchain improves bank credit supply to SMEs</w:t>
            </w:r>
          </w:p>
          <w:p w14:paraId="195E49B7" w14:textId="77777777" w:rsidR="0009783E" w:rsidRPr="000B78E1" w:rsidRDefault="0009783E" w:rsidP="007E4611">
            <w:pPr>
              <w:spacing w:line="276" w:lineRule="auto"/>
              <w:jc w:val="both"/>
              <w:rPr>
                <w:rFonts w:ascii="Arial" w:hAnsi="Arial" w:cs="Arial"/>
                <w:sz w:val="22"/>
                <w:szCs w:val="22"/>
              </w:rPr>
            </w:pPr>
          </w:p>
        </w:tc>
        <w:tc>
          <w:tcPr>
            <w:tcW w:w="1560" w:type="dxa"/>
            <w:vAlign w:val="center"/>
          </w:tcPr>
          <w:p w14:paraId="513EB524"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Cross</w:t>
            </w:r>
            <w:r w:rsidRPr="000B78E1">
              <w:rPr>
                <w:rFonts w:ascii="Arial" w:hAnsi="Arial" w:cs="Arial"/>
                <w:sz w:val="22"/>
                <w:szCs w:val="22"/>
              </w:rPr>
              <w:noBreakHyphen/>
              <w:t>sectional data limits causal inference, reliance on perceptual measures of credit supply, Single</w:t>
            </w:r>
            <w:r w:rsidRPr="000B78E1">
              <w:rPr>
                <w:rFonts w:ascii="Arial" w:hAnsi="Arial" w:cs="Arial"/>
                <w:sz w:val="22"/>
                <w:szCs w:val="22"/>
              </w:rPr>
              <w:noBreakHyphen/>
              <w:t>country focus</w:t>
            </w:r>
          </w:p>
          <w:p w14:paraId="6DB800B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limit generalizability</w:t>
            </w:r>
          </w:p>
        </w:tc>
        <w:tc>
          <w:tcPr>
            <w:tcW w:w="1701" w:type="dxa"/>
            <w:vAlign w:val="center"/>
          </w:tcPr>
          <w:p w14:paraId="47014A9F"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DFS can expand SME credit when banks, regulation, and data infrastructures are aligned</w:t>
            </w:r>
          </w:p>
        </w:tc>
      </w:tr>
      <w:tr w:rsidR="0009783E" w:rsidRPr="000B78E1" w14:paraId="7B23F1F6" w14:textId="77777777" w:rsidTr="00500EEB">
        <w:tc>
          <w:tcPr>
            <w:tcW w:w="988" w:type="dxa"/>
            <w:vAlign w:val="center"/>
          </w:tcPr>
          <w:p w14:paraId="51B0254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Isha et al. (2025)</w:t>
            </w:r>
          </w:p>
        </w:tc>
        <w:tc>
          <w:tcPr>
            <w:tcW w:w="1559" w:type="dxa"/>
            <w:vAlign w:val="center"/>
          </w:tcPr>
          <w:p w14:paraId="6D93758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FinTech improves MSME credit </w:t>
            </w:r>
            <w:r w:rsidRPr="000B78E1">
              <w:rPr>
                <w:rFonts w:ascii="Arial" w:hAnsi="Arial" w:cs="Arial"/>
                <w:sz w:val="22"/>
                <w:szCs w:val="22"/>
              </w:rPr>
              <w:lastRenderedPageBreak/>
              <w:t>access via digital lending</w:t>
            </w:r>
          </w:p>
        </w:tc>
        <w:tc>
          <w:tcPr>
            <w:tcW w:w="1559" w:type="dxa"/>
            <w:vAlign w:val="center"/>
          </w:tcPr>
          <w:p w14:paraId="4D0FA5B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Grounded Disruptive </w:t>
            </w:r>
            <w:r w:rsidRPr="000B78E1">
              <w:rPr>
                <w:rFonts w:ascii="Arial" w:hAnsi="Arial" w:cs="Arial"/>
                <w:sz w:val="22"/>
                <w:szCs w:val="22"/>
              </w:rPr>
              <w:lastRenderedPageBreak/>
              <w:t>Innovation Theory</w:t>
            </w:r>
          </w:p>
        </w:tc>
        <w:tc>
          <w:tcPr>
            <w:tcW w:w="1559" w:type="dxa"/>
            <w:vAlign w:val="center"/>
          </w:tcPr>
          <w:p w14:paraId="6C560F69"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lastRenderedPageBreak/>
              <w:t>Employs</w:t>
            </w:r>
          </w:p>
          <w:p w14:paraId="3C9A217C"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descriptive cross</w:t>
            </w:r>
            <w:r w:rsidRPr="000B78E1">
              <w:rPr>
                <w:rFonts w:ascii="Arial" w:hAnsi="Arial" w:cs="Arial"/>
                <w:sz w:val="22"/>
                <w:szCs w:val="22"/>
              </w:rPr>
              <w:noBreakHyphen/>
              <w:t>section</w:t>
            </w:r>
            <w:r w:rsidRPr="000B78E1">
              <w:rPr>
                <w:rFonts w:ascii="Arial" w:hAnsi="Arial" w:cs="Arial"/>
                <w:sz w:val="22"/>
                <w:szCs w:val="22"/>
              </w:rPr>
              <w:lastRenderedPageBreak/>
              <w:t>al survey design, structured questionnaires &amp; Correlation and multiple regression analysis focusing on associations rather causal mechanism</w:t>
            </w:r>
          </w:p>
        </w:tc>
        <w:tc>
          <w:tcPr>
            <w:tcW w:w="1701" w:type="dxa"/>
            <w:vAlign w:val="center"/>
          </w:tcPr>
          <w:p w14:paraId="00037315"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lastRenderedPageBreak/>
              <w:t xml:space="preserve">Mobile lending has a positive and significant, </w:t>
            </w:r>
            <w:r w:rsidRPr="000B78E1">
              <w:rPr>
                <w:rFonts w:ascii="Arial" w:hAnsi="Arial" w:cs="Arial"/>
                <w:sz w:val="22"/>
                <w:szCs w:val="22"/>
              </w:rPr>
              <w:lastRenderedPageBreak/>
              <w:t>Web</w:t>
            </w:r>
            <w:r w:rsidRPr="000B78E1">
              <w:rPr>
                <w:rFonts w:ascii="Arial" w:hAnsi="Arial" w:cs="Arial"/>
                <w:sz w:val="22"/>
                <w:szCs w:val="22"/>
              </w:rPr>
              <w:noBreakHyphen/>
              <w:t xml:space="preserve">based platforms have a weaker but still significant effect </w:t>
            </w:r>
            <w:proofErr w:type="gramStart"/>
            <w:r w:rsidRPr="000B78E1">
              <w:rPr>
                <w:rFonts w:ascii="Arial" w:hAnsi="Arial" w:cs="Arial"/>
                <w:sz w:val="22"/>
                <w:szCs w:val="22"/>
              </w:rPr>
              <w:t>on</w:t>
            </w:r>
            <w:proofErr w:type="gramEnd"/>
            <w:r w:rsidRPr="000B78E1">
              <w:rPr>
                <w:rFonts w:ascii="Arial" w:hAnsi="Arial" w:cs="Arial"/>
                <w:sz w:val="22"/>
                <w:szCs w:val="22"/>
              </w:rPr>
              <w:t xml:space="preserve"> and Digital banking has a strong positive relationship with credit access</w:t>
            </w:r>
          </w:p>
          <w:p w14:paraId="1F62A8B9" w14:textId="77777777" w:rsidR="0009783E" w:rsidRPr="000B78E1" w:rsidRDefault="0009783E" w:rsidP="007E4611">
            <w:pPr>
              <w:spacing w:line="276" w:lineRule="auto"/>
              <w:jc w:val="both"/>
              <w:rPr>
                <w:rFonts w:ascii="Arial" w:hAnsi="Arial" w:cs="Arial"/>
                <w:sz w:val="22"/>
                <w:szCs w:val="22"/>
              </w:rPr>
            </w:pPr>
          </w:p>
        </w:tc>
        <w:tc>
          <w:tcPr>
            <w:tcW w:w="1560" w:type="dxa"/>
            <w:vAlign w:val="center"/>
          </w:tcPr>
          <w:p w14:paraId="26EF8E9C"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lastRenderedPageBreak/>
              <w:t>Cross</w:t>
            </w:r>
            <w:r w:rsidRPr="000B78E1">
              <w:rPr>
                <w:rFonts w:ascii="Arial" w:hAnsi="Arial" w:cs="Arial"/>
                <w:sz w:val="22"/>
                <w:szCs w:val="22"/>
              </w:rPr>
              <w:noBreakHyphen/>
              <w:t xml:space="preserve">sectional design, reliance on </w:t>
            </w:r>
            <w:r w:rsidRPr="000B78E1">
              <w:rPr>
                <w:rFonts w:ascii="Arial" w:hAnsi="Arial" w:cs="Arial"/>
                <w:sz w:val="22"/>
                <w:szCs w:val="22"/>
              </w:rPr>
              <w:lastRenderedPageBreak/>
              <w:t>self</w:t>
            </w:r>
            <w:r w:rsidRPr="000B78E1">
              <w:rPr>
                <w:rFonts w:ascii="Arial" w:hAnsi="Arial" w:cs="Arial"/>
                <w:sz w:val="22"/>
                <w:szCs w:val="22"/>
              </w:rPr>
              <w:noBreakHyphen/>
              <w:t>reported perceptions, urban</w:t>
            </w:r>
            <w:r w:rsidRPr="000B78E1">
              <w:rPr>
                <w:rFonts w:ascii="Arial" w:hAnsi="Arial" w:cs="Arial"/>
                <w:sz w:val="22"/>
                <w:szCs w:val="22"/>
              </w:rPr>
              <w:noBreakHyphen/>
              <w:t>only focus, absence of loan size, maturity, or cost analysis,</w:t>
            </w:r>
          </w:p>
          <w:p w14:paraId="4F3ED05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restrict claims about sustained credit access</w:t>
            </w:r>
          </w:p>
        </w:tc>
        <w:tc>
          <w:tcPr>
            <w:tcW w:w="1701" w:type="dxa"/>
            <w:vAlign w:val="center"/>
          </w:tcPr>
          <w:p w14:paraId="37CAD396"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Although FinTech adoption </w:t>
            </w:r>
            <w:r w:rsidRPr="000B78E1">
              <w:rPr>
                <w:rFonts w:ascii="Arial" w:hAnsi="Arial" w:cs="Arial"/>
                <w:sz w:val="22"/>
                <w:szCs w:val="22"/>
              </w:rPr>
              <w:lastRenderedPageBreak/>
              <w:t>significantly improves SMEs’ access to credit, the study provides limited evidence that DFS translates into sustained formal bank lending</w:t>
            </w:r>
          </w:p>
        </w:tc>
      </w:tr>
      <w:tr w:rsidR="0009783E" w:rsidRPr="000B78E1" w14:paraId="2E0E5AC1" w14:textId="77777777" w:rsidTr="00500EEB">
        <w:tc>
          <w:tcPr>
            <w:tcW w:w="988" w:type="dxa"/>
            <w:vAlign w:val="center"/>
          </w:tcPr>
          <w:p w14:paraId="2D066DB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Fadeyi et al. (2025)</w:t>
            </w:r>
          </w:p>
        </w:tc>
        <w:tc>
          <w:tcPr>
            <w:tcW w:w="1559" w:type="dxa"/>
            <w:vAlign w:val="center"/>
          </w:tcPr>
          <w:p w14:paraId="6AABEF5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DFS improves SME efficiency and financial management</w:t>
            </w:r>
          </w:p>
        </w:tc>
        <w:tc>
          <w:tcPr>
            <w:tcW w:w="1559" w:type="dxa"/>
            <w:vAlign w:val="center"/>
          </w:tcPr>
          <w:p w14:paraId="610A42C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Relies on a general digitalization and technology</w:t>
            </w:r>
            <w:r w:rsidRPr="000B78E1">
              <w:rPr>
                <w:rFonts w:ascii="Arial" w:hAnsi="Arial" w:cs="Arial"/>
                <w:sz w:val="22"/>
                <w:szCs w:val="22"/>
              </w:rPr>
              <w:noBreakHyphen/>
              <w:t>adoption perspective, drawing from digital transformation scholarship</w:t>
            </w:r>
          </w:p>
        </w:tc>
        <w:tc>
          <w:tcPr>
            <w:tcW w:w="1559" w:type="dxa"/>
            <w:vAlign w:val="center"/>
          </w:tcPr>
          <w:p w14:paraId="61B0F2DB"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Quantitative cross</w:t>
            </w:r>
            <w:r w:rsidRPr="000B78E1">
              <w:rPr>
                <w:rFonts w:ascii="Arial" w:hAnsi="Arial" w:cs="Arial"/>
                <w:sz w:val="22"/>
                <w:szCs w:val="22"/>
              </w:rPr>
              <w:noBreakHyphen/>
              <w:t>sectional survey design, structured questionnaires, descriptive statistics and Chi</w:t>
            </w:r>
            <w:r w:rsidRPr="000B78E1">
              <w:rPr>
                <w:rFonts w:ascii="Arial" w:hAnsi="Arial" w:cs="Arial"/>
                <w:sz w:val="22"/>
                <w:szCs w:val="22"/>
              </w:rPr>
              <w:noBreakHyphen/>
              <w:t>square tests</w:t>
            </w:r>
          </w:p>
          <w:p w14:paraId="5C61B39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focusing on associations and perceptions</w:t>
            </w:r>
          </w:p>
        </w:tc>
        <w:tc>
          <w:tcPr>
            <w:tcW w:w="1701" w:type="dxa"/>
            <w:vAlign w:val="center"/>
          </w:tcPr>
          <w:p w14:paraId="2B33A79C"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DFS improves transaction efficiency, record-keeping, and cash-flow monitoring but does not provide direct evidence of expanded formal SME credit access</w:t>
            </w:r>
          </w:p>
        </w:tc>
        <w:tc>
          <w:tcPr>
            <w:tcW w:w="1560" w:type="dxa"/>
            <w:vAlign w:val="center"/>
          </w:tcPr>
          <w:p w14:paraId="77B1D9E5"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Cross</w:t>
            </w:r>
            <w:r w:rsidRPr="000B78E1">
              <w:rPr>
                <w:rFonts w:ascii="Arial" w:hAnsi="Arial" w:cs="Arial"/>
                <w:sz w:val="22"/>
                <w:szCs w:val="22"/>
              </w:rPr>
              <w:noBreakHyphen/>
              <w:t>sectional design, reliance on self</w:t>
            </w:r>
            <w:r w:rsidRPr="000B78E1">
              <w:rPr>
                <w:rFonts w:ascii="Arial" w:hAnsi="Arial" w:cs="Arial"/>
                <w:sz w:val="22"/>
                <w:szCs w:val="22"/>
              </w:rPr>
              <w:noBreakHyphen/>
              <w:t>reported perceptions, small sample size, restrict conclusions</w:t>
            </w:r>
          </w:p>
        </w:tc>
        <w:tc>
          <w:tcPr>
            <w:tcW w:w="1701" w:type="dxa"/>
            <w:vAlign w:val="center"/>
          </w:tcPr>
          <w:p w14:paraId="7D01184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Even in high</w:t>
            </w:r>
            <w:r w:rsidRPr="000B78E1">
              <w:rPr>
                <w:rFonts w:ascii="Arial" w:hAnsi="Arial" w:cs="Arial"/>
                <w:sz w:val="22"/>
                <w:szCs w:val="22"/>
              </w:rPr>
              <w:noBreakHyphen/>
              <w:t>DFS environments DFS mainly facilitate transactions and financial management, not guaranteed access to formal SME credit</w:t>
            </w:r>
          </w:p>
        </w:tc>
      </w:tr>
      <w:tr w:rsidR="0009783E" w:rsidRPr="000B78E1" w14:paraId="1ABC4F78" w14:textId="77777777" w:rsidTr="00500EEB">
        <w:tc>
          <w:tcPr>
            <w:tcW w:w="988" w:type="dxa"/>
            <w:vAlign w:val="center"/>
          </w:tcPr>
          <w:p w14:paraId="77BC5FAC"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Xie &amp; Liu (2022)</w:t>
            </w:r>
          </w:p>
        </w:tc>
        <w:tc>
          <w:tcPr>
            <w:tcW w:w="1559" w:type="dxa"/>
            <w:vAlign w:val="center"/>
          </w:tcPr>
          <w:p w14:paraId="10AF473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Digital finance improves SME development via efficiency</w:t>
            </w:r>
          </w:p>
        </w:tc>
        <w:tc>
          <w:tcPr>
            <w:tcW w:w="1559" w:type="dxa"/>
            <w:vAlign w:val="center"/>
          </w:tcPr>
          <w:p w14:paraId="2F4BDB07"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Financial inclusion theory &amp; Resource allocation efficiency theory</w:t>
            </w:r>
          </w:p>
          <w:p w14:paraId="0C1E716A" w14:textId="77777777" w:rsidR="0009783E" w:rsidRPr="000B78E1" w:rsidRDefault="0009783E" w:rsidP="007E4611">
            <w:pPr>
              <w:spacing w:line="276" w:lineRule="auto"/>
              <w:jc w:val="both"/>
              <w:rPr>
                <w:rFonts w:ascii="Arial" w:hAnsi="Arial" w:cs="Arial"/>
                <w:sz w:val="22"/>
                <w:szCs w:val="22"/>
              </w:rPr>
            </w:pPr>
          </w:p>
        </w:tc>
        <w:tc>
          <w:tcPr>
            <w:tcW w:w="1559" w:type="dxa"/>
            <w:vAlign w:val="center"/>
          </w:tcPr>
          <w:p w14:paraId="06F1A92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Quantitative panel data analysis using fixed-effects regression, mediation (Sobel) tests, and robustness checks.  581 listed Chinese SMEs (2011–2020), approximately 5,810 firm-</w:t>
            </w:r>
            <w:r w:rsidRPr="000B78E1">
              <w:rPr>
                <w:rFonts w:ascii="Arial" w:hAnsi="Arial" w:cs="Arial"/>
                <w:sz w:val="22"/>
                <w:szCs w:val="22"/>
              </w:rPr>
              <w:lastRenderedPageBreak/>
              <w:t>year observations</w:t>
            </w:r>
          </w:p>
        </w:tc>
        <w:tc>
          <w:tcPr>
            <w:tcW w:w="1701" w:type="dxa"/>
            <w:vAlign w:val="center"/>
          </w:tcPr>
          <w:p w14:paraId="7FF2249C"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Digital finance significantly promotes the high-quality development of SMEs, with stronger effects for non-state-owned SMEs and those in central and western regions</w:t>
            </w:r>
          </w:p>
        </w:tc>
        <w:tc>
          <w:tcPr>
            <w:tcW w:w="1560" w:type="dxa"/>
            <w:vAlign w:val="center"/>
          </w:tcPr>
          <w:p w14:paraId="07737BC5"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Exclusion of Informal and micro enterprises,</w:t>
            </w:r>
          </w:p>
          <w:p w14:paraId="745FFB39"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Use of composite development indicators rather than direct financial outcomes </w:t>
            </w:r>
          </w:p>
          <w:p w14:paraId="21359E9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are the limitations.</w:t>
            </w:r>
          </w:p>
        </w:tc>
        <w:tc>
          <w:tcPr>
            <w:tcW w:w="1701" w:type="dxa"/>
            <w:vAlign w:val="center"/>
          </w:tcPr>
          <w:p w14:paraId="2110C0AC"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DFS significantly promotes high</w:t>
            </w:r>
            <w:r w:rsidRPr="000B78E1">
              <w:rPr>
                <w:rFonts w:ascii="Arial" w:hAnsi="Arial" w:cs="Arial"/>
                <w:sz w:val="22"/>
                <w:szCs w:val="22"/>
              </w:rPr>
              <w:noBreakHyphen/>
              <w:t xml:space="preserve">quality SME </w:t>
            </w:r>
            <w:proofErr w:type="gramStart"/>
            <w:r w:rsidRPr="000B78E1">
              <w:rPr>
                <w:rFonts w:ascii="Arial" w:hAnsi="Arial" w:cs="Arial"/>
                <w:sz w:val="22"/>
                <w:szCs w:val="22"/>
              </w:rPr>
              <w:t>development</w:t>
            </w:r>
            <w:proofErr w:type="gramEnd"/>
            <w:r w:rsidRPr="000B78E1">
              <w:rPr>
                <w:rFonts w:ascii="Arial" w:hAnsi="Arial" w:cs="Arial"/>
                <w:sz w:val="22"/>
                <w:szCs w:val="22"/>
              </w:rPr>
              <w:t xml:space="preserve"> but DFS benefits are largely inferred through efficiency and inclusion outcomes rather than proven expansion of formal SME credit.</w:t>
            </w:r>
          </w:p>
        </w:tc>
      </w:tr>
      <w:tr w:rsidR="0009783E" w:rsidRPr="000B78E1" w14:paraId="259CD9C6" w14:textId="77777777" w:rsidTr="00500EEB">
        <w:tc>
          <w:tcPr>
            <w:tcW w:w="988" w:type="dxa"/>
            <w:vAlign w:val="center"/>
          </w:tcPr>
          <w:p w14:paraId="45415EEC"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Sarker &amp; Rahman (2025)</w:t>
            </w:r>
          </w:p>
        </w:tc>
        <w:tc>
          <w:tcPr>
            <w:tcW w:w="1559" w:type="dxa"/>
            <w:vAlign w:val="center"/>
          </w:tcPr>
          <w:p w14:paraId="77E363A4"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DFS improves financial inclusion in Bangladesh</w:t>
            </w:r>
          </w:p>
        </w:tc>
        <w:tc>
          <w:tcPr>
            <w:tcW w:w="1559" w:type="dxa"/>
            <w:vAlign w:val="center"/>
          </w:tcPr>
          <w:p w14:paraId="69727799"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Technology Acceptance Model (TAM), Access–Use Continuum Theory &amp;</w:t>
            </w:r>
          </w:p>
          <w:p w14:paraId="67630D8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Sen’s Capability Approach</w:t>
            </w:r>
          </w:p>
        </w:tc>
        <w:tc>
          <w:tcPr>
            <w:tcW w:w="1559" w:type="dxa"/>
            <w:vAlign w:val="center"/>
          </w:tcPr>
          <w:p w14:paraId="5E0A27C4"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Quantitative country</w:t>
            </w:r>
            <w:r w:rsidRPr="000B78E1">
              <w:rPr>
                <w:rFonts w:ascii="Arial" w:hAnsi="Arial" w:cs="Arial"/>
                <w:sz w:val="22"/>
                <w:szCs w:val="22"/>
              </w:rPr>
              <w:noBreakHyphen/>
              <w:t>level analysis,</w:t>
            </w:r>
          </w:p>
          <w:p w14:paraId="46A4677D"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Time</w:t>
            </w:r>
            <w:r w:rsidRPr="000B78E1">
              <w:rPr>
                <w:rFonts w:ascii="Arial" w:hAnsi="Arial" w:cs="Arial"/>
                <w:sz w:val="22"/>
                <w:szCs w:val="22"/>
              </w:rPr>
              <w:noBreakHyphen/>
              <w:t>series regression and Error Correction Model (ECM)</w:t>
            </w:r>
          </w:p>
          <w:p w14:paraId="2C2305B8"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&amp; Secondary data from the IMF Financial Access Survey (FAS) 2023</w:t>
            </w:r>
          </w:p>
          <w:p w14:paraId="569F3F7B" w14:textId="77777777" w:rsidR="0009783E" w:rsidRPr="000B78E1" w:rsidRDefault="0009783E" w:rsidP="007E4611">
            <w:pPr>
              <w:spacing w:line="276" w:lineRule="auto"/>
              <w:jc w:val="both"/>
              <w:rPr>
                <w:rFonts w:ascii="Arial" w:hAnsi="Arial" w:cs="Arial"/>
                <w:sz w:val="22"/>
                <w:szCs w:val="22"/>
              </w:rPr>
            </w:pPr>
          </w:p>
        </w:tc>
        <w:tc>
          <w:tcPr>
            <w:tcW w:w="1701" w:type="dxa"/>
            <w:vAlign w:val="center"/>
          </w:tcPr>
          <w:p w14:paraId="36533125"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Digital banking indicators correlate positively with financial inclusion measures, but SME credit growth is uneven and not consistently sustained</w:t>
            </w:r>
          </w:p>
        </w:tc>
        <w:tc>
          <w:tcPr>
            <w:tcW w:w="1560" w:type="dxa"/>
            <w:vAlign w:val="center"/>
          </w:tcPr>
          <w:p w14:paraId="30911BA7"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Relies on aggregate country-level data and cannot observe firm-level credit access or lending decisions</w:t>
            </w:r>
          </w:p>
        </w:tc>
        <w:tc>
          <w:tcPr>
            <w:tcW w:w="1701" w:type="dxa"/>
            <w:vAlign w:val="center"/>
          </w:tcPr>
          <w:p w14:paraId="49DEACE2"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DFS improves payments and </w:t>
            </w:r>
            <w:proofErr w:type="gramStart"/>
            <w:r w:rsidRPr="000B78E1">
              <w:rPr>
                <w:rFonts w:ascii="Arial" w:hAnsi="Arial" w:cs="Arial"/>
                <w:sz w:val="22"/>
                <w:szCs w:val="22"/>
              </w:rPr>
              <w:t>participation</w:t>
            </w:r>
            <w:proofErr w:type="gramEnd"/>
            <w:r w:rsidRPr="000B78E1">
              <w:rPr>
                <w:rFonts w:ascii="Arial" w:hAnsi="Arial" w:cs="Arial"/>
                <w:sz w:val="22"/>
                <w:szCs w:val="22"/>
              </w:rPr>
              <w:t xml:space="preserve"> </w:t>
            </w:r>
            <w:proofErr w:type="gramStart"/>
            <w:r w:rsidRPr="000B78E1">
              <w:rPr>
                <w:rFonts w:ascii="Arial" w:hAnsi="Arial" w:cs="Arial"/>
                <w:sz w:val="22"/>
                <w:szCs w:val="22"/>
              </w:rPr>
              <w:t>but  bank</w:t>
            </w:r>
            <w:proofErr w:type="gramEnd"/>
            <w:r w:rsidRPr="000B78E1">
              <w:rPr>
                <w:rFonts w:ascii="Arial" w:hAnsi="Arial" w:cs="Arial"/>
                <w:sz w:val="22"/>
                <w:szCs w:val="22"/>
              </w:rPr>
              <w:t xml:space="preserve"> lending is not guaranteed</w:t>
            </w:r>
          </w:p>
          <w:p w14:paraId="7E9B446C" w14:textId="77777777" w:rsidR="0009783E" w:rsidRPr="000B78E1" w:rsidRDefault="0009783E" w:rsidP="007E4611">
            <w:pPr>
              <w:spacing w:line="276" w:lineRule="auto"/>
              <w:jc w:val="both"/>
              <w:rPr>
                <w:rFonts w:ascii="Arial" w:hAnsi="Arial" w:cs="Arial"/>
                <w:sz w:val="22"/>
                <w:szCs w:val="22"/>
              </w:rPr>
            </w:pPr>
          </w:p>
        </w:tc>
      </w:tr>
      <w:tr w:rsidR="0009783E" w:rsidRPr="000B78E1" w14:paraId="2F142659" w14:textId="77777777" w:rsidTr="00500EEB">
        <w:tc>
          <w:tcPr>
            <w:tcW w:w="988" w:type="dxa"/>
          </w:tcPr>
          <w:p w14:paraId="0D5B423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Savvakis et al., (2024)</w:t>
            </w:r>
          </w:p>
        </w:tc>
        <w:tc>
          <w:tcPr>
            <w:tcW w:w="1559" w:type="dxa"/>
          </w:tcPr>
          <w:p w14:paraId="010733A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SMEs in Europe struggled hard during COVID 19 but higher national digitalization reduce the negative </w:t>
            </w:r>
            <w:proofErr w:type="gramStart"/>
            <w:r w:rsidRPr="000B78E1">
              <w:rPr>
                <w:rFonts w:ascii="Arial" w:hAnsi="Arial" w:cs="Arial"/>
                <w:sz w:val="22"/>
                <w:szCs w:val="22"/>
              </w:rPr>
              <w:t>impact</w:t>
            </w:r>
            <w:proofErr w:type="gramEnd"/>
            <w:r w:rsidRPr="000B78E1">
              <w:rPr>
                <w:rFonts w:ascii="Arial" w:hAnsi="Arial" w:cs="Arial"/>
                <w:sz w:val="22"/>
                <w:szCs w:val="22"/>
              </w:rPr>
              <w:t xml:space="preserve"> but the positive impact is stronger during pandemic than before</w:t>
            </w:r>
          </w:p>
        </w:tc>
        <w:tc>
          <w:tcPr>
            <w:tcW w:w="1559" w:type="dxa"/>
          </w:tcPr>
          <w:p w14:paraId="0C55966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Digital transformation perspective and crisis resilience framework.</w:t>
            </w:r>
          </w:p>
        </w:tc>
        <w:tc>
          <w:tcPr>
            <w:tcW w:w="1559" w:type="dxa"/>
          </w:tcPr>
          <w:p w14:paraId="4A7826F1"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Quantitative panel data analysis using fixed-effects </w:t>
            </w:r>
            <w:proofErr w:type="gramStart"/>
            <w:r w:rsidRPr="000B78E1">
              <w:rPr>
                <w:rFonts w:ascii="Arial" w:hAnsi="Arial" w:cs="Arial"/>
                <w:sz w:val="22"/>
                <w:szCs w:val="22"/>
              </w:rPr>
              <w:t>filter  estimation</w:t>
            </w:r>
            <w:proofErr w:type="gramEnd"/>
            <w:r w:rsidRPr="000B78E1">
              <w:rPr>
                <w:rFonts w:ascii="Arial" w:hAnsi="Arial" w:cs="Arial"/>
                <w:sz w:val="22"/>
                <w:szCs w:val="22"/>
              </w:rPr>
              <w:t xml:space="preserve"> and principal component analysis. Sample 12,179 European SMEs with year</w:t>
            </w:r>
          </w:p>
          <w:p w14:paraId="7E7AC6FF"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Covering 2017–2022.</w:t>
            </w:r>
          </w:p>
          <w:p w14:paraId="47312C42" w14:textId="77777777" w:rsidR="0009783E" w:rsidRPr="000B78E1" w:rsidRDefault="0009783E" w:rsidP="007E4611">
            <w:pPr>
              <w:spacing w:line="276" w:lineRule="auto"/>
              <w:jc w:val="both"/>
              <w:rPr>
                <w:rFonts w:ascii="Arial" w:hAnsi="Arial" w:cs="Arial"/>
                <w:sz w:val="22"/>
                <w:szCs w:val="22"/>
              </w:rPr>
            </w:pPr>
          </w:p>
        </w:tc>
        <w:tc>
          <w:tcPr>
            <w:tcW w:w="1701" w:type="dxa"/>
          </w:tcPr>
          <w:p w14:paraId="447BB12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Digitalisation significantly improves SME financial performance and mitigates the negative effects of COVID-19, with stronger effects during the crisis period.</w:t>
            </w:r>
          </w:p>
        </w:tc>
        <w:tc>
          <w:tcPr>
            <w:tcW w:w="1560" w:type="dxa"/>
          </w:tcPr>
          <w:p w14:paraId="5846E799"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Only measures financial performance. Non-financial outcomes like survival, innovation, resilience beyond profitability are not </w:t>
            </w:r>
            <w:proofErr w:type="spellStart"/>
            <w:r w:rsidRPr="000B78E1">
              <w:rPr>
                <w:rFonts w:ascii="Arial" w:hAnsi="Arial" w:cs="Arial"/>
                <w:sz w:val="22"/>
                <w:szCs w:val="22"/>
              </w:rPr>
              <w:t>measued</w:t>
            </w:r>
            <w:proofErr w:type="spellEnd"/>
            <w:r w:rsidRPr="000B78E1">
              <w:rPr>
                <w:rFonts w:ascii="Arial" w:hAnsi="Arial" w:cs="Arial"/>
                <w:sz w:val="22"/>
                <w:szCs w:val="22"/>
              </w:rPr>
              <w:t>.</w:t>
            </w:r>
          </w:p>
          <w:p w14:paraId="332FC3A8" w14:textId="77777777" w:rsidR="0009783E" w:rsidRPr="000B78E1" w:rsidRDefault="0009783E" w:rsidP="007E4611">
            <w:pPr>
              <w:spacing w:line="276" w:lineRule="auto"/>
              <w:jc w:val="both"/>
              <w:rPr>
                <w:rFonts w:ascii="Arial" w:hAnsi="Arial" w:cs="Arial"/>
                <w:sz w:val="22"/>
                <w:szCs w:val="22"/>
              </w:rPr>
            </w:pPr>
          </w:p>
        </w:tc>
        <w:tc>
          <w:tcPr>
            <w:tcW w:w="1701" w:type="dxa"/>
          </w:tcPr>
          <w:p w14:paraId="4A71CD29"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It supports positive relation between digitalisation and SME outcomes.</w:t>
            </w:r>
          </w:p>
          <w:p w14:paraId="0AD88287" w14:textId="77777777" w:rsidR="0009783E" w:rsidRPr="000B78E1" w:rsidRDefault="0009783E" w:rsidP="007E4611">
            <w:pPr>
              <w:spacing w:line="276" w:lineRule="auto"/>
              <w:jc w:val="both"/>
              <w:rPr>
                <w:rFonts w:ascii="Arial" w:hAnsi="Arial" w:cs="Arial"/>
                <w:sz w:val="22"/>
                <w:szCs w:val="22"/>
              </w:rPr>
            </w:pPr>
          </w:p>
        </w:tc>
      </w:tr>
      <w:tr w:rsidR="0009783E" w:rsidRPr="000B78E1" w14:paraId="7F8AD306" w14:textId="77777777" w:rsidTr="00500EEB">
        <w:tc>
          <w:tcPr>
            <w:tcW w:w="988" w:type="dxa"/>
            <w:vAlign w:val="center"/>
          </w:tcPr>
          <w:p w14:paraId="330FEBB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Saha et al. (2025)</w:t>
            </w:r>
          </w:p>
        </w:tc>
        <w:tc>
          <w:tcPr>
            <w:tcW w:w="1559" w:type="dxa"/>
            <w:vAlign w:val="center"/>
          </w:tcPr>
          <w:p w14:paraId="04D38F7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FinTech adoption in Bangladesh is driven by readiness and literacy</w:t>
            </w:r>
          </w:p>
        </w:tc>
        <w:tc>
          <w:tcPr>
            <w:tcW w:w="1559" w:type="dxa"/>
            <w:vAlign w:val="center"/>
          </w:tcPr>
          <w:p w14:paraId="4333D85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Technology </w:t>
            </w:r>
            <w:proofErr w:type="spellStart"/>
            <w:r w:rsidRPr="000B78E1">
              <w:rPr>
                <w:rFonts w:ascii="Arial" w:hAnsi="Arial" w:cs="Arial"/>
                <w:sz w:val="22"/>
                <w:szCs w:val="22"/>
              </w:rPr>
              <w:t>OrganizationEnvironment</w:t>
            </w:r>
            <w:proofErr w:type="spellEnd"/>
            <w:r w:rsidRPr="000B78E1">
              <w:rPr>
                <w:rFonts w:ascii="Arial" w:hAnsi="Arial" w:cs="Arial"/>
                <w:sz w:val="22"/>
                <w:szCs w:val="22"/>
              </w:rPr>
              <w:t xml:space="preserve"> (TOE) framework &amp;Unified Theory of Acceptance and Use of Technology (UTAUT)</w:t>
            </w:r>
          </w:p>
        </w:tc>
        <w:tc>
          <w:tcPr>
            <w:tcW w:w="1559" w:type="dxa"/>
            <w:vAlign w:val="center"/>
          </w:tcPr>
          <w:p w14:paraId="36FE8094"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Primary survey data of 74 Bangladeshi SME analysed using Partial Least Squares Structural </w:t>
            </w:r>
            <w:r w:rsidRPr="000B78E1">
              <w:rPr>
                <w:rFonts w:ascii="Arial" w:hAnsi="Arial" w:cs="Arial"/>
                <w:sz w:val="22"/>
                <w:szCs w:val="22"/>
              </w:rPr>
              <w:lastRenderedPageBreak/>
              <w:t>Equation Modelling.</w:t>
            </w:r>
          </w:p>
        </w:tc>
        <w:tc>
          <w:tcPr>
            <w:tcW w:w="1701" w:type="dxa"/>
            <w:vAlign w:val="center"/>
          </w:tcPr>
          <w:p w14:paraId="5C978FD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Organizational readiness and financial literacy significantly influence fintech adoption intention. But government support is not </w:t>
            </w:r>
            <w:r w:rsidRPr="000B78E1">
              <w:rPr>
                <w:rFonts w:ascii="Arial" w:hAnsi="Arial" w:cs="Arial"/>
                <w:sz w:val="22"/>
                <w:szCs w:val="22"/>
              </w:rPr>
              <w:lastRenderedPageBreak/>
              <w:t>statistically significant.</w:t>
            </w:r>
          </w:p>
        </w:tc>
        <w:tc>
          <w:tcPr>
            <w:tcW w:w="1560" w:type="dxa"/>
            <w:vAlign w:val="center"/>
          </w:tcPr>
          <w:p w14:paraId="3D7648C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Study focuses </w:t>
            </w:r>
            <w:proofErr w:type="gramStart"/>
            <w:r w:rsidRPr="000B78E1">
              <w:rPr>
                <w:rFonts w:ascii="Arial" w:hAnsi="Arial" w:cs="Arial"/>
                <w:sz w:val="22"/>
                <w:szCs w:val="22"/>
              </w:rPr>
              <w:t>on  intention</w:t>
            </w:r>
            <w:proofErr w:type="gramEnd"/>
            <w:r w:rsidRPr="000B78E1">
              <w:rPr>
                <w:rFonts w:ascii="Arial" w:hAnsi="Arial" w:cs="Arial"/>
                <w:sz w:val="22"/>
                <w:szCs w:val="22"/>
              </w:rPr>
              <w:t xml:space="preserve"> to adopt but not actual fintech usage. </w:t>
            </w:r>
            <w:proofErr w:type="gramStart"/>
            <w:r w:rsidRPr="000B78E1">
              <w:rPr>
                <w:rFonts w:ascii="Arial" w:hAnsi="Arial" w:cs="Arial"/>
                <w:sz w:val="22"/>
                <w:szCs w:val="22"/>
              </w:rPr>
              <w:t>Also</w:t>
            </w:r>
            <w:proofErr w:type="gramEnd"/>
            <w:r w:rsidRPr="000B78E1">
              <w:rPr>
                <w:rFonts w:ascii="Arial" w:hAnsi="Arial" w:cs="Arial"/>
                <w:sz w:val="22"/>
                <w:szCs w:val="22"/>
              </w:rPr>
              <w:t xml:space="preserve"> small sample size &amp; </w:t>
            </w:r>
            <w:proofErr w:type="gramStart"/>
            <w:r w:rsidRPr="000B78E1">
              <w:rPr>
                <w:rFonts w:ascii="Arial" w:hAnsi="Arial" w:cs="Arial"/>
                <w:sz w:val="22"/>
                <w:szCs w:val="22"/>
              </w:rPr>
              <w:t>cross sectional</w:t>
            </w:r>
            <w:proofErr w:type="gramEnd"/>
            <w:r w:rsidRPr="000B78E1">
              <w:rPr>
                <w:rFonts w:ascii="Arial" w:hAnsi="Arial" w:cs="Arial"/>
                <w:sz w:val="22"/>
                <w:szCs w:val="22"/>
              </w:rPr>
              <w:t xml:space="preserve"> design </w:t>
            </w:r>
            <w:proofErr w:type="gramStart"/>
            <w:r w:rsidRPr="000B78E1">
              <w:rPr>
                <w:rFonts w:ascii="Arial" w:hAnsi="Arial" w:cs="Arial"/>
                <w:sz w:val="22"/>
                <w:szCs w:val="22"/>
              </w:rPr>
              <w:t>limits</w:t>
            </w:r>
            <w:proofErr w:type="gramEnd"/>
            <w:r w:rsidRPr="000B78E1">
              <w:rPr>
                <w:rFonts w:ascii="Arial" w:hAnsi="Arial" w:cs="Arial"/>
                <w:sz w:val="22"/>
                <w:szCs w:val="22"/>
              </w:rPr>
              <w:t xml:space="preserve"> reliability &amp; </w:t>
            </w:r>
            <w:r w:rsidRPr="000B78E1">
              <w:rPr>
                <w:rFonts w:ascii="Arial" w:hAnsi="Arial" w:cs="Arial"/>
                <w:sz w:val="22"/>
                <w:szCs w:val="22"/>
              </w:rPr>
              <w:lastRenderedPageBreak/>
              <w:t>generalizability.</w:t>
            </w:r>
          </w:p>
          <w:p w14:paraId="7DD1F48B" w14:textId="77777777" w:rsidR="0009783E" w:rsidRPr="000B78E1" w:rsidRDefault="0009783E" w:rsidP="007E4611">
            <w:pPr>
              <w:spacing w:line="276" w:lineRule="auto"/>
              <w:jc w:val="both"/>
              <w:rPr>
                <w:rFonts w:ascii="Arial" w:hAnsi="Arial" w:cs="Arial"/>
                <w:sz w:val="22"/>
                <w:szCs w:val="22"/>
              </w:rPr>
            </w:pPr>
          </w:p>
          <w:p w14:paraId="7A9F6FEE" w14:textId="77777777" w:rsidR="0009783E" w:rsidRPr="000B78E1" w:rsidRDefault="0009783E" w:rsidP="007E4611">
            <w:pPr>
              <w:spacing w:line="276" w:lineRule="auto"/>
              <w:jc w:val="both"/>
              <w:rPr>
                <w:rFonts w:ascii="Arial" w:hAnsi="Arial" w:cs="Arial"/>
                <w:sz w:val="22"/>
                <w:szCs w:val="22"/>
              </w:rPr>
            </w:pPr>
          </w:p>
        </w:tc>
        <w:tc>
          <w:tcPr>
            <w:tcW w:w="1701" w:type="dxa"/>
            <w:vAlign w:val="center"/>
          </w:tcPr>
          <w:p w14:paraId="5195EBF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The study confirms high interest for fintech adoption among </w:t>
            </w:r>
            <w:proofErr w:type="gramStart"/>
            <w:r w:rsidRPr="000B78E1">
              <w:rPr>
                <w:rFonts w:ascii="Arial" w:hAnsi="Arial" w:cs="Arial"/>
                <w:sz w:val="22"/>
                <w:szCs w:val="22"/>
              </w:rPr>
              <w:t>SMEs</w:t>
            </w:r>
            <w:proofErr w:type="gramEnd"/>
            <w:r w:rsidRPr="000B78E1">
              <w:rPr>
                <w:rFonts w:ascii="Arial" w:hAnsi="Arial" w:cs="Arial"/>
                <w:sz w:val="22"/>
                <w:szCs w:val="22"/>
              </w:rPr>
              <w:t xml:space="preserve"> </w:t>
            </w:r>
            <w:proofErr w:type="gramStart"/>
            <w:r w:rsidRPr="000B78E1">
              <w:rPr>
                <w:rFonts w:ascii="Arial" w:hAnsi="Arial" w:cs="Arial"/>
                <w:sz w:val="22"/>
                <w:szCs w:val="22"/>
              </w:rPr>
              <w:t>but  it</w:t>
            </w:r>
            <w:proofErr w:type="gramEnd"/>
            <w:r w:rsidRPr="000B78E1">
              <w:rPr>
                <w:rFonts w:ascii="Arial" w:hAnsi="Arial" w:cs="Arial"/>
                <w:sz w:val="22"/>
                <w:szCs w:val="22"/>
              </w:rPr>
              <w:t xml:space="preserve"> does not show improved SME credit access despite </w:t>
            </w:r>
            <w:r w:rsidRPr="000B78E1">
              <w:rPr>
                <w:rFonts w:ascii="Arial" w:hAnsi="Arial" w:cs="Arial"/>
                <w:sz w:val="22"/>
                <w:szCs w:val="22"/>
              </w:rPr>
              <w:lastRenderedPageBreak/>
              <w:t>high DFS adoption</w:t>
            </w:r>
          </w:p>
        </w:tc>
      </w:tr>
      <w:tr w:rsidR="00AE5E81" w:rsidRPr="000B78E1" w14:paraId="7326A3CD" w14:textId="77777777" w:rsidTr="00500EEB">
        <w:tc>
          <w:tcPr>
            <w:tcW w:w="988" w:type="dxa"/>
            <w:vAlign w:val="center"/>
          </w:tcPr>
          <w:p w14:paraId="0BCE7B07" w14:textId="61249F25" w:rsidR="00AE5E81" w:rsidRPr="000B78E1" w:rsidRDefault="00AE5E81" w:rsidP="007E4611">
            <w:pPr>
              <w:spacing w:line="276" w:lineRule="auto"/>
              <w:jc w:val="both"/>
              <w:rPr>
                <w:rFonts w:ascii="Arial" w:hAnsi="Arial" w:cs="Arial"/>
                <w:sz w:val="22"/>
                <w:szCs w:val="22"/>
              </w:rPr>
            </w:pPr>
            <w:r w:rsidRPr="000B78E1">
              <w:rPr>
                <w:rFonts w:ascii="Arial" w:hAnsi="Arial" w:cs="Arial"/>
                <w:sz w:val="22"/>
                <w:szCs w:val="22"/>
              </w:rPr>
              <w:t>Ahmed &amp; Hasan (2021)</w:t>
            </w:r>
          </w:p>
        </w:tc>
        <w:tc>
          <w:tcPr>
            <w:tcW w:w="1559" w:type="dxa"/>
            <w:vAlign w:val="center"/>
          </w:tcPr>
          <w:p w14:paraId="0B527A1D" w14:textId="20858EAD" w:rsidR="00AE5E81" w:rsidRPr="000B78E1" w:rsidRDefault="00AE5E81" w:rsidP="007E4611">
            <w:pPr>
              <w:spacing w:line="276" w:lineRule="auto"/>
              <w:jc w:val="both"/>
              <w:rPr>
                <w:rFonts w:ascii="Arial" w:hAnsi="Arial" w:cs="Arial"/>
                <w:sz w:val="22"/>
                <w:szCs w:val="22"/>
              </w:rPr>
            </w:pPr>
            <w:r w:rsidRPr="000B78E1">
              <w:rPr>
                <w:rFonts w:ascii="Arial" w:hAnsi="Arial" w:cs="Arial"/>
                <w:sz w:val="22"/>
                <w:szCs w:val="22"/>
              </w:rPr>
              <w:t>Bangladesh is advancing DFS inclusion, but weak infrastructure, low literacy and risks remain.</w:t>
            </w:r>
          </w:p>
        </w:tc>
        <w:tc>
          <w:tcPr>
            <w:tcW w:w="1559" w:type="dxa"/>
            <w:vAlign w:val="center"/>
          </w:tcPr>
          <w:p w14:paraId="76235158" w14:textId="4D650858" w:rsidR="00AE5E81" w:rsidRPr="000B78E1" w:rsidRDefault="00AE5E81" w:rsidP="007E4611">
            <w:pPr>
              <w:spacing w:line="276" w:lineRule="auto"/>
              <w:jc w:val="both"/>
              <w:rPr>
                <w:rFonts w:ascii="Arial" w:hAnsi="Arial" w:cs="Arial"/>
                <w:sz w:val="22"/>
                <w:szCs w:val="22"/>
              </w:rPr>
            </w:pPr>
            <w:r w:rsidRPr="000B78E1">
              <w:rPr>
                <w:rFonts w:ascii="Arial" w:hAnsi="Arial" w:cs="Arial"/>
                <w:sz w:val="22"/>
                <w:szCs w:val="22"/>
              </w:rPr>
              <w:t>No theory-testing, draws on financial inclusion, fintech intermediation.</w:t>
            </w:r>
          </w:p>
        </w:tc>
        <w:tc>
          <w:tcPr>
            <w:tcW w:w="1559" w:type="dxa"/>
            <w:vAlign w:val="center"/>
          </w:tcPr>
          <w:p w14:paraId="43F4A09E" w14:textId="23A58A36" w:rsidR="00AE5E81" w:rsidRPr="000B78E1" w:rsidRDefault="00AE5E81" w:rsidP="007E4611">
            <w:pPr>
              <w:spacing w:line="276" w:lineRule="auto"/>
              <w:jc w:val="both"/>
              <w:rPr>
                <w:rFonts w:ascii="Arial" w:hAnsi="Arial" w:cs="Arial"/>
                <w:sz w:val="22"/>
                <w:szCs w:val="22"/>
              </w:rPr>
            </w:pPr>
            <w:r w:rsidRPr="000B78E1">
              <w:rPr>
                <w:rFonts w:ascii="Arial" w:hAnsi="Arial" w:cs="Arial"/>
                <w:sz w:val="22"/>
                <w:szCs w:val="22"/>
              </w:rPr>
              <w:t>Descriptive literature review using secondary data.</w:t>
            </w:r>
          </w:p>
        </w:tc>
        <w:tc>
          <w:tcPr>
            <w:tcW w:w="1701" w:type="dxa"/>
            <w:vAlign w:val="center"/>
          </w:tcPr>
          <w:p w14:paraId="396B5743" w14:textId="20B3F6C3" w:rsidR="00AE5E81" w:rsidRPr="000B78E1" w:rsidRDefault="00AE5E81" w:rsidP="007E4611">
            <w:pPr>
              <w:spacing w:line="276" w:lineRule="auto"/>
              <w:jc w:val="both"/>
              <w:rPr>
                <w:rFonts w:ascii="Arial" w:hAnsi="Arial" w:cs="Arial"/>
                <w:sz w:val="22"/>
                <w:szCs w:val="22"/>
              </w:rPr>
            </w:pPr>
            <w:r w:rsidRPr="000B78E1">
              <w:rPr>
                <w:rFonts w:ascii="Arial" w:hAnsi="Arial" w:cs="Arial"/>
                <w:sz w:val="22"/>
                <w:szCs w:val="22"/>
              </w:rPr>
              <w:t>Digital payments are growing in but mainly improve transactions, not formal credit access.</w:t>
            </w:r>
          </w:p>
        </w:tc>
        <w:tc>
          <w:tcPr>
            <w:tcW w:w="1560" w:type="dxa"/>
            <w:vAlign w:val="center"/>
          </w:tcPr>
          <w:p w14:paraId="65FF80AD" w14:textId="330E52B5" w:rsidR="00AE5E81" w:rsidRPr="000B78E1" w:rsidRDefault="00AE5E81" w:rsidP="007E4611">
            <w:pPr>
              <w:spacing w:line="276" w:lineRule="auto"/>
              <w:jc w:val="both"/>
              <w:rPr>
                <w:rFonts w:ascii="Arial" w:hAnsi="Arial" w:cs="Arial"/>
                <w:sz w:val="22"/>
                <w:szCs w:val="22"/>
              </w:rPr>
            </w:pPr>
            <w:r w:rsidRPr="000B78E1">
              <w:rPr>
                <w:rFonts w:ascii="Arial" w:hAnsi="Arial" w:cs="Arial"/>
                <w:sz w:val="22"/>
                <w:szCs w:val="22"/>
              </w:rPr>
              <w:t xml:space="preserve">Relies on secondary data only, with no </w:t>
            </w:r>
            <w:proofErr w:type="gramStart"/>
            <w:r w:rsidRPr="000B78E1">
              <w:rPr>
                <w:rFonts w:ascii="Arial" w:hAnsi="Arial" w:cs="Arial"/>
                <w:sz w:val="22"/>
                <w:szCs w:val="22"/>
              </w:rPr>
              <w:t>firm  or</w:t>
            </w:r>
            <w:proofErr w:type="gramEnd"/>
            <w:r w:rsidRPr="000B78E1">
              <w:rPr>
                <w:rFonts w:ascii="Arial" w:hAnsi="Arial" w:cs="Arial"/>
                <w:sz w:val="22"/>
                <w:szCs w:val="22"/>
              </w:rPr>
              <w:t xml:space="preserve"> borrower level analysis.</w:t>
            </w:r>
          </w:p>
        </w:tc>
        <w:tc>
          <w:tcPr>
            <w:tcW w:w="1701" w:type="dxa"/>
            <w:vAlign w:val="center"/>
          </w:tcPr>
          <w:p w14:paraId="15F856CD" w14:textId="3F28073A" w:rsidR="00AE5E81" w:rsidRPr="000B78E1" w:rsidRDefault="00AE5E81" w:rsidP="007E4611">
            <w:pPr>
              <w:spacing w:line="276" w:lineRule="auto"/>
              <w:jc w:val="both"/>
              <w:rPr>
                <w:rFonts w:ascii="Arial" w:hAnsi="Arial" w:cs="Arial"/>
                <w:sz w:val="22"/>
                <w:szCs w:val="22"/>
              </w:rPr>
            </w:pPr>
            <w:r w:rsidRPr="000B78E1">
              <w:rPr>
                <w:rFonts w:ascii="Arial" w:hAnsi="Arial" w:cs="Arial"/>
                <w:sz w:val="22"/>
                <w:szCs w:val="22"/>
              </w:rPr>
              <w:t>DFS boosted payments and transactions but did not improve SME credit access.</w:t>
            </w:r>
          </w:p>
        </w:tc>
      </w:tr>
      <w:tr w:rsidR="0009783E" w:rsidRPr="000B78E1" w14:paraId="4D09821E" w14:textId="77777777" w:rsidTr="00500EEB">
        <w:tc>
          <w:tcPr>
            <w:tcW w:w="988" w:type="dxa"/>
          </w:tcPr>
          <w:p w14:paraId="2C66EB8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Sadik &amp; Rahman (2024)</w:t>
            </w:r>
          </w:p>
        </w:tc>
        <w:tc>
          <w:tcPr>
            <w:tcW w:w="1559" w:type="dxa"/>
          </w:tcPr>
          <w:p w14:paraId="036778A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Financial literacy is the strongest driver of DFS adoption in Bangladesh followed by digital inclusion, trust, access to capital and digital payment use.</w:t>
            </w:r>
          </w:p>
        </w:tc>
        <w:tc>
          <w:tcPr>
            <w:tcW w:w="1559" w:type="dxa"/>
          </w:tcPr>
          <w:p w14:paraId="338BB4B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TAM is extended by incorporating external variables such as financial literacy, trust, access to capital, digital payment usage, and digital financial inclusion</w:t>
            </w:r>
          </w:p>
        </w:tc>
        <w:tc>
          <w:tcPr>
            <w:tcW w:w="1559" w:type="dxa"/>
          </w:tcPr>
          <w:p w14:paraId="11A0D6D4"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employs a quantitative, cross</w:t>
            </w:r>
            <w:r w:rsidRPr="000B78E1">
              <w:rPr>
                <w:rFonts w:ascii="Arial" w:hAnsi="Arial" w:cs="Arial"/>
                <w:sz w:val="22"/>
                <w:szCs w:val="22"/>
              </w:rPr>
              <w:noBreakHyphen/>
              <w:t>sectional research design, using partial Least Squares Structural Equation Modelling,</w:t>
            </w:r>
          </w:p>
          <w:p w14:paraId="625E50A4"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Artificial Neural Networks (ANN) for non</w:t>
            </w:r>
            <w:r w:rsidRPr="000B78E1">
              <w:rPr>
                <w:rFonts w:ascii="Arial" w:hAnsi="Arial" w:cs="Arial"/>
                <w:sz w:val="22"/>
                <w:szCs w:val="22"/>
              </w:rPr>
              <w:noBreakHyphen/>
              <w:t>linear analysis and ranking</w:t>
            </w:r>
          </w:p>
          <w:p w14:paraId="5748844F" w14:textId="77777777" w:rsidR="0009783E" w:rsidRPr="000B78E1" w:rsidRDefault="0009783E" w:rsidP="007E4611">
            <w:pPr>
              <w:spacing w:line="276" w:lineRule="auto"/>
              <w:jc w:val="both"/>
              <w:rPr>
                <w:rFonts w:ascii="Arial" w:hAnsi="Arial" w:cs="Arial"/>
                <w:sz w:val="22"/>
                <w:szCs w:val="22"/>
              </w:rPr>
            </w:pPr>
          </w:p>
        </w:tc>
        <w:tc>
          <w:tcPr>
            <w:tcW w:w="1701" w:type="dxa"/>
          </w:tcPr>
          <w:p w14:paraId="1408B7A6"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Financial literacy is the main factor for using DFS, while trust, digital inclusion, access to capital and digital payments also help increase its use.</w:t>
            </w:r>
          </w:p>
          <w:p w14:paraId="2D7A12D4" w14:textId="77777777" w:rsidR="0009783E" w:rsidRPr="000B78E1" w:rsidRDefault="0009783E" w:rsidP="007E4611">
            <w:pPr>
              <w:spacing w:line="276" w:lineRule="auto"/>
              <w:jc w:val="both"/>
              <w:rPr>
                <w:rFonts w:ascii="Arial" w:hAnsi="Arial" w:cs="Arial"/>
                <w:sz w:val="22"/>
                <w:szCs w:val="22"/>
              </w:rPr>
            </w:pPr>
          </w:p>
        </w:tc>
        <w:tc>
          <w:tcPr>
            <w:tcW w:w="1560" w:type="dxa"/>
          </w:tcPr>
          <w:p w14:paraId="3F311958"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Focuses on adoption rather than DFS outcomes such as credit access or business finance.</w:t>
            </w:r>
          </w:p>
          <w:p w14:paraId="59A62600" w14:textId="77777777" w:rsidR="0009783E" w:rsidRPr="000B78E1" w:rsidRDefault="0009783E" w:rsidP="007E4611">
            <w:pPr>
              <w:spacing w:line="276" w:lineRule="auto"/>
              <w:jc w:val="both"/>
              <w:rPr>
                <w:rFonts w:ascii="Arial" w:hAnsi="Arial" w:cs="Arial"/>
                <w:sz w:val="22"/>
                <w:szCs w:val="22"/>
              </w:rPr>
            </w:pPr>
          </w:p>
        </w:tc>
        <w:tc>
          <w:tcPr>
            <w:tcW w:w="1701" w:type="dxa"/>
          </w:tcPr>
          <w:p w14:paraId="560CB074"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Bangladesh exhibits high DFS adoption and digital payment usage but SME access to formal bank credit remains limited</w:t>
            </w:r>
          </w:p>
          <w:p w14:paraId="3FDA45E8" w14:textId="77777777" w:rsidR="0009783E" w:rsidRPr="000B78E1" w:rsidRDefault="0009783E" w:rsidP="007E4611">
            <w:pPr>
              <w:spacing w:line="276" w:lineRule="auto"/>
              <w:jc w:val="both"/>
              <w:rPr>
                <w:rFonts w:ascii="Arial" w:hAnsi="Arial" w:cs="Arial"/>
                <w:sz w:val="22"/>
                <w:szCs w:val="22"/>
              </w:rPr>
            </w:pPr>
          </w:p>
          <w:p w14:paraId="33B8A11C" w14:textId="77777777" w:rsidR="0009783E" w:rsidRPr="000B78E1" w:rsidRDefault="0009783E" w:rsidP="007E4611">
            <w:pPr>
              <w:spacing w:line="276" w:lineRule="auto"/>
              <w:jc w:val="both"/>
              <w:rPr>
                <w:rFonts w:ascii="Arial" w:hAnsi="Arial" w:cs="Arial"/>
                <w:sz w:val="22"/>
                <w:szCs w:val="22"/>
              </w:rPr>
            </w:pPr>
          </w:p>
        </w:tc>
      </w:tr>
      <w:tr w:rsidR="0009783E" w:rsidRPr="000B78E1" w14:paraId="0392739D" w14:textId="77777777" w:rsidTr="00500EEB">
        <w:tc>
          <w:tcPr>
            <w:tcW w:w="988" w:type="dxa"/>
            <w:vAlign w:val="center"/>
          </w:tcPr>
          <w:p w14:paraId="00D195A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Sanga &amp; </w:t>
            </w:r>
            <w:proofErr w:type="spellStart"/>
            <w:r w:rsidRPr="000B78E1">
              <w:rPr>
                <w:rFonts w:ascii="Arial" w:hAnsi="Arial" w:cs="Arial"/>
                <w:sz w:val="22"/>
                <w:szCs w:val="22"/>
              </w:rPr>
              <w:t>Aziakpono</w:t>
            </w:r>
            <w:proofErr w:type="spellEnd"/>
            <w:r w:rsidRPr="000B78E1">
              <w:rPr>
                <w:rFonts w:ascii="Arial" w:hAnsi="Arial" w:cs="Arial"/>
                <w:sz w:val="22"/>
                <w:szCs w:val="22"/>
              </w:rPr>
              <w:t xml:space="preserve"> (2023)</w:t>
            </w:r>
          </w:p>
        </w:tc>
        <w:tc>
          <w:tcPr>
            <w:tcW w:w="1559" w:type="dxa"/>
            <w:vAlign w:val="center"/>
          </w:tcPr>
          <w:p w14:paraId="0367494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SMEs struggle to get loans due to limited data, high costs, and lack of collateral. FinTech uses digital information to ease these barriers.</w:t>
            </w:r>
          </w:p>
        </w:tc>
        <w:tc>
          <w:tcPr>
            <w:tcW w:w="1559" w:type="dxa"/>
            <w:vAlign w:val="center"/>
          </w:tcPr>
          <w:p w14:paraId="2C736E0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Conceptual framing around information asymmetry and credit rationing in SME finance.</w:t>
            </w:r>
          </w:p>
        </w:tc>
        <w:tc>
          <w:tcPr>
            <w:tcW w:w="1559" w:type="dxa"/>
            <w:vAlign w:val="center"/>
          </w:tcPr>
          <w:p w14:paraId="635004B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Systematic literature review and bibliometric/content analysis using PRISMA and PSALSAR protocols; Scopus and Web of Science searches.</w:t>
            </w:r>
          </w:p>
        </w:tc>
        <w:tc>
          <w:tcPr>
            <w:tcW w:w="1701" w:type="dxa"/>
            <w:vAlign w:val="center"/>
          </w:tcPr>
          <w:p w14:paraId="0FD1038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Empirical literature suggests FinTech reduces information asymmetry and transaction costs and improves lending-cycle efficiency. However, far </w:t>
            </w:r>
            <w:r w:rsidRPr="000B78E1">
              <w:rPr>
                <w:rFonts w:ascii="Arial" w:hAnsi="Arial" w:cs="Arial"/>
                <w:sz w:val="22"/>
                <w:szCs w:val="22"/>
              </w:rPr>
              <w:lastRenderedPageBreak/>
              <w:t>more studies focus on alternative digital financing than on bank lending to SMEs</w:t>
            </w:r>
          </w:p>
        </w:tc>
        <w:tc>
          <w:tcPr>
            <w:tcW w:w="1560" w:type="dxa"/>
            <w:vAlign w:val="center"/>
          </w:tcPr>
          <w:p w14:paraId="608158E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Well-structured PRISMA based review. But study mostly focuses on alternative finance (like P2P, crowdfunding) rather than bank lending. </w:t>
            </w:r>
          </w:p>
        </w:tc>
        <w:tc>
          <w:tcPr>
            <w:tcW w:w="1701" w:type="dxa"/>
            <w:vAlign w:val="center"/>
          </w:tcPr>
          <w:p w14:paraId="5D3CE10C"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Improved alternative financing does not automatically mean SME bank credit expansion, especially under bank</w:t>
            </w:r>
            <w:r w:rsidRPr="000B78E1">
              <w:rPr>
                <w:rFonts w:ascii="Arial" w:hAnsi="Arial" w:cs="Arial"/>
                <w:sz w:val="22"/>
                <w:szCs w:val="22"/>
              </w:rPr>
              <w:noBreakHyphen/>
              <w:t xml:space="preserve">led systems where soft information </w:t>
            </w:r>
            <w:r w:rsidRPr="000B78E1">
              <w:rPr>
                <w:rFonts w:ascii="Arial" w:hAnsi="Arial" w:cs="Arial"/>
                <w:sz w:val="22"/>
                <w:szCs w:val="22"/>
              </w:rPr>
              <w:lastRenderedPageBreak/>
              <w:t>and collateral still dominate</w:t>
            </w:r>
          </w:p>
        </w:tc>
      </w:tr>
      <w:tr w:rsidR="0009783E" w:rsidRPr="000B78E1" w14:paraId="3201C54D" w14:textId="77777777" w:rsidTr="00500EEB">
        <w:tc>
          <w:tcPr>
            <w:tcW w:w="988" w:type="dxa"/>
          </w:tcPr>
          <w:p w14:paraId="2469F0E1" w14:textId="77777777" w:rsidR="0009783E" w:rsidRPr="000B78E1" w:rsidRDefault="0009783E" w:rsidP="007E4611">
            <w:pPr>
              <w:spacing w:line="276" w:lineRule="auto"/>
              <w:jc w:val="both"/>
              <w:rPr>
                <w:rFonts w:ascii="Arial" w:hAnsi="Arial" w:cs="Arial"/>
                <w:sz w:val="22"/>
                <w:szCs w:val="22"/>
              </w:rPr>
            </w:pPr>
            <w:proofErr w:type="spellStart"/>
            <w:r w:rsidRPr="000B78E1">
              <w:rPr>
                <w:rFonts w:ascii="Arial" w:hAnsi="Arial" w:cs="Arial"/>
                <w:sz w:val="22"/>
                <w:szCs w:val="22"/>
              </w:rPr>
              <w:t>Ocharive</w:t>
            </w:r>
            <w:proofErr w:type="spellEnd"/>
            <w:r w:rsidRPr="000B78E1">
              <w:rPr>
                <w:rFonts w:ascii="Arial" w:hAnsi="Arial" w:cs="Arial"/>
                <w:sz w:val="22"/>
                <w:szCs w:val="22"/>
              </w:rPr>
              <w:t xml:space="preserve"> &amp; </w:t>
            </w:r>
            <w:proofErr w:type="spellStart"/>
            <w:r w:rsidRPr="000B78E1">
              <w:rPr>
                <w:rFonts w:ascii="Arial" w:hAnsi="Arial" w:cs="Arial"/>
                <w:sz w:val="22"/>
                <w:szCs w:val="22"/>
              </w:rPr>
              <w:t>Iworiso</w:t>
            </w:r>
            <w:proofErr w:type="spellEnd"/>
            <w:r w:rsidRPr="000B78E1">
              <w:rPr>
                <w:rFonts w:ascii="Arial" w:hAnsi="Arial" w:cs="Arial"/>
                <w:sz w:val="22"/>
                <w:szCs w:val="22"/>
              </w:rPr>
              <w:t>, 2024</w:t>
            </w:r>
          </w:p>
        </w:tc>
        <w:tc>
          <w:tcPr>
            <w:tcW w:w="1559" w:type="dxa"/>
          </w:tcPr>
          <w:p w14:paraId="0F4AACF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DFS (mobile money, e-payments) increases financial inclusion. However traditional methods like debit cards still matter. Education, age, and gender influence inclusion.</w:t>
            </w:r>
          </w:p>
        </w:tc>
        <w:tc>
          <w:tcPr>
            <w:tcW w:w="1559" w:type="dxa"/>
          </w:tcPr>
          <w:p w14:paraId="3EDAA00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Financial inclusion and digital finance framing but no single formal adoption theory explicitly tested.</w:t>
            </w:r>
          </w:p>
        </w:tc>
        <w:tc>
          <w:tcPr>
            <w:tcW w:w="1559" w:type="dxa"/>
          </w:tcPr>
          <w:p w14:paraId="64390E25"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The study uses data </w:t>
            </w:r>
            <w:proofErr w:type="gramStart"/>
            <w:r w:rsidRPr="000B78E1">
              <w:rPr>
                <w:rFonts w:ascii="Arial" w:hAnsi="Arial" w:cs="Arial"/>
                <w:sz w:val="22"/>
                <w:szCs w:val="22"/>
              </w:rPr>
              <w:t>from  years</w:t>
            </w:r>
            <w:proofErr w:type="gramEnd"/>
            <w:r w:rsidRPr="000B78E1">
              <w:rPr>
                <w:rFonts w:ascii="Arial" w:hAnsi="Arial" w:cs="Arial"/>
                <w:sz w:val="22"/>
                <w:szCs w:val="22"/>
              </w:rPr>
              <w:t xml:space="preserve"> 2014, 2017, 2021 from the World Bank and IMF. It compares many countries over time using regression analysis. Advanced tests are used to ensure the results are reliable.</w:t>
            </w:r>
          </w:p>
        </w:tc>
        <w:tc>
          <w:tcPr>
            <w:tcW w:w="1701" w:type="dxa"/>
          </w:tcPr>
          <w:p w14:paraId="7BE07BB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Electronic payments and mobile money are positively linked to financial inclusion (credit card access and borrowing); debit card access is also significant, and education strongly improves inclusion.</w:t>
            </w:r>
          </w:p>
        </w:tc>
        <w:tc>
          <w:tcPr>
            <w:tcW w:w="1560" w:type="dxa"/>
          </w:tcPr>
          <w:p w14:paraId="6DF78A0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Financial inclusion is mainly measured by credit card access and borrowing, missing broader dimensions; the study also focuses only on selected American countries, limiting generalizability to other digital finance contexts.</w:t>
            </w:r>
          </w:p>
        </w:tc>
        <w:tc>
          <w:tcPr>
            <w:tcW w:w="1701" w:type="dxa"/>
          </w:tcPr>
          <w:p w14:paraId="4C77FBC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Provides empirical evidence linking DFS to credit-related inclusion outcomes (credit card access and borrowing), rather than purely claiming benefits.</w:t>
            </w:r>
          </w:p>
        </w:tc>
      </w:tr>
      <w:tr w:rsidR="0009783E" w:rsidRPr="000B78E1" w14:paraId="39491AA9" w14:textId="77777777" w:rsidTr="00500EEB">
        <w:tc>
          <w:tcPr>
            <w:tcW w:w="988" w:type="dxa"/>
            <w:vAlign w:val="center"/>
          </w:tcPr>
          <w:p w14:paraId="08FAD89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Huda et al. (2020)</w:t>
            </w:r>
          </w:p>
        </w:tc>
        <w:tc>
          <w:tcPr>
            <w:tcW w:w="1559" w:type="dxa"/>
            <w:vAlign w:val="center"/>
          </w:tcPr>
          <w:p w14:paraId="1A52F1F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Bangladesh has strong growth in digital finance (MFS, agent banking, mobile banking). It improves inclusion, but rural and poor people still face access problems.</w:t>
            </w:r>
          </w:p>
        </w:tc>
        <w:tc>
          <w:tcPr>
            <w:tcW w:w="1559" w:type="dxa"/>
            <w:vAlign w:val="center"/>
          </w:tcPr>
          <w:p w14:paraId="7B1A6367"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Financial innovation improves inclusion in Bangladesh</w:t>
            </w:r>
          </w:p>
        </w:tc>
        <w:tc>
          <w:tcPr>
            <w:tcW w:w="1559" w:type="dxa"/>
            <w:vAlign w:val="center"/>
          </w:tcPr>
          <w:p w14:paraId="3E64673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Descriptive study using secondary quantitative data (World Bank databases 2014–2017 &amp; Bangladesh Bank MFS statistics including Feb 2016 vs Feb 2020 comparisons).</w:t>
            </w:r>
          </w:p>
        </w:tc>
        <w:tc>
          <w:tcPr>
            <w:tcW w:w="1701" w:type="dxa"/>
            <w:vAlign w:val="center"/>
          </w:tcPr>
          <w:p w14:paraId="2CD8B27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Bangladesh has made strong progress in financial innovation, with rapid growth in mobile financial services and inclusion. But it still </w:t>
            </w:r>
            <w:proofErr w:type="gramStart"/>
            <w:r w:rsidRPr="000B78E1">
              <w:rPr>
                <w:rFonts w:ascii="Arial" w:hAnsi="Arial" w:cs="Arial"/>
                <w:sz w:val="22"/>
                <w:szCs w:val="22"/>
              </w:rPr>
              <w:t>lags behind</w:t>
            </w:r>
            <w:proofErr w:type="gramEnd"/>
            <w:r w:rsidRPr="000B78E1">
              <w:rPr>
                <w:rFonts w:ascii="Arial" w:hAnsi="Arial" w:cs="Arial"/>
                <w:sz w:val="22"/>
                <w:szCs w:val="22"/>
              </w:rPr>
              <w:t xml:space="preserve"> global standards and faces challenges in </w:t>
            </w:r>
            <w:r w:rsidRPr="000B78E1">
              <w:rPr>
                <w:rFonts w:ascii="Arial" w:hAnsi="Arial" w:cs="Arial"/>
                <w:sz w:val="22"/>
                <w:szCs w:val="22"/>
              </w:rPr>
              <w:lastRenderedPageBreak/>
              <w:t>digital infrastructure.</w:t>
            </w:r>
          </w:p>
        </w:tc>
        <w:tc>
          <w:tcPr>
            <w:tcW w:w="1560" w:type="dxa"/>
            <w:vAlign w:val="center"/>
          </w:tcPr>
          <w:p w14:paraId="1043B1B6"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The study is descriptive and relies on secondary data. </w:t>
            </w:r>
            <w:proofErr w:type="gramStart"/>
            <w:r w:rsidRPr="000B78E1">
              <w:rPr>
                <w:rFonts w:ascii="Arial" w:hAnsi="Arial" w:cs="Arial"/>
                <w:sz w:val="22"/>
                <w:szCs w:val="22"/>
              </w:rPr>
              <w:t>So</w:t>
            </w:r>
            <w:proofErr w:type="gramEnd"/>
            <w:r w:rsidRPr="000B78E1">
              <w:rPr>
                <w:rFonts w:ascii="Arial" w:hAnsi="Arial" w:cs="Arial"/>
                <w:sz w:val="22"/>
                <w:szCs w:val="22"/>
              </w:rPr>
              <w:t xml:space="preserve"> it lacks causality and real user insights.</w:t>
            </w:r>
          </w:p>
        </w:tc>
        <w:tc>
          <w:tcPr>
            <w:tcW w:w="1701" w:type="dxa"/>
            <w:vAlign w:val="center"/>
          </w:tcPr>
          <w:p w14:paraId="1005603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the paper strongly </w:t>
            </w:r>
            <w:r w:rsidRPr="000B78E1">
              <w:rPr>
                <w:rFonts w:ascii="Arial" w:hAnsi="Arial" w:cs="Arial"/>
                <w:b/>
                <w:bCs/>
                <w:sz w:val="22"/>
                <w:szCs w:val="22"/>
              </w:rPr>
              <w:t>claims</w:t>
            </w:r>
            <w:r w:rsidRPr="000B78E1">
              <w:rPr>
                <w:rFonts w:ascii="Arial" w:hAnsi="Arial" w:cs="Arial"/>
                <w:sz w:val="22"/>
                <w:szCs w:val="22"/>
              </w:rPr>
              <w:t xml:space="preserve"> DFS innovation supports inclusion and potentially </w:t>
            </w:r>
            <w:proofErr w:type="gramStart"/>
            <w:r w:rsidRPr="000B78E1">
              <w:rPr>
                <w:rFonts w:ascii="Arial" w:hAnsi="Arial" w:cs="Arial"/>
                <w:sz w:val="22"/>
                <w:szCs w:val="22"/>
              </w:rPr>
              <w:t>access, but</w:t>
            </w:r>
            <w:proofErr w:type="gramEnd"/>
            <w:r w:rsidRPr="000B78E1">
              <w:rPr>
                <w:rFonts w:ascii="Arial" w:hAnsi="Arial" w:cs="Arial"/>
                <w:sz w:val="22"/>
                <w:szCs w:val="22"/>
              </w:rPr>
              <w:t xml:space="preserve"> does not directly prove SME credit expansion via loan-level outcomes.</w:t>
            </w:r>
          </w:p>
        </w:tc>
      </w:tr>
      <w:tr w:rsidR="0009783E" w:rsidRPr="000B78E1" w14:paraId="63680EDA" w14:textId="77777777" w:rsidTr="00500EEB">
        <w:tc>
          <w:tcPr>
            <w:tcW w:w="988" w:type="dxa"/>
          </w:tcPr>
          <w:p w14:paraId="4490A8D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Sasia et al. (2024)</w:t>
            </w:r>
          </w:p>
        </w:tc>
        <w:tc>
          <w:tcPr>
            <w:tcW w:w="1559" w:type="dxa"/>
          </w:tcPr>
          <w:p w14:paraId="7CA981E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SMEs struggle to get loans due to risk, lack of data, and collateral. FinTech helps by using digital platforms and data.</w:t>
            </w:r>
          </w:p>
        </w:tc>
        <w:tc>
          <w:tcPr>
            <w:tcW w:w="1559" w:type="dxa"/>
          </w:tcPr>
          <w:p w14:paraId="0DE9D0F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Structured as a PRISMA-guided systematic literature review with bibliometric statistical mapping of topics, keywords and gaps.</w:t>
            </w:r>
          </w:p>
        </w:tc>
        <w:tc>
          <w:tcPr>
            <w:tcW w:w="1559" w:type="dxa"/>
          </w:tcPr>
          <w:p w14:paraId="5E0351C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Systematic Literature Review (SLR) guided by PRISMA. Searches executed in Scopus and Web of Science using predefined search equations; final synthesis based on 26 included papers.</w:t>
            </w:r>
          </w:p>
        </w:tc>
        <w:tc>
          <w:tcPr>
            <w:tcW w:w="1701" w:type="dxa"/>
          </w:tcPr>
          <w:p w14:paraId="406601C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FinTech can improve SME financing, but challenges remain such as low financial literacy, weak infrastructure, and risks related to cybersecurity, data privacy, and regulation.</w:t>
            </w:r>
          </w:p>
        </w:tc>
        <w:tc>
          <w:tcPr>
            <w:tcW w:w="1560" w:type="dxa"/>
          </w:tcPr>
          <w:p w14:paraId="245F4D7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Well-structured review but based on a small number of studies. Findings are context-specific and not strongly generalisable.</w:t>
            </w:r>
          </w:p>
        </w:tc>
        <w:tc>
          <w:tcPr>
            <w:tcW w:w="1701" w:type="dxa"/>
          </w:tcPr>
          <w:p w14:paraId="772BB91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FinTech can improve SME access to </w:t>
            </w:r>
            <w:proofErr w:type="gramStart"/>
            <w:r w:rsidRPr="000B78E1">
              <w:rPr>
                <w:rFonts w:ascii="Arial" w:hAnsi="Arial" w:cs="Arial"/>
                <w:sz w:val="22"/>
                <w:szCs w:val="22"/>
              </w:rPr>
              <w:t>finance</w:t>
            </w:r>
            <w:proofErr w:type="gramEnd"/>
            <w:r w:rsidRPr="000B78E1">
              <w:rPr>
                <w:rFonts w:ascii="Arial" w:hAnsi="Arial" w:cs="Arial"/>
                <w:sz w:val="22"/>
                <w:szCs w:val="22"/>
              </w:rPr>
              <w:t xml:space="preserve"> but success depends on regulation, infrastructure, trust and security.</w:t>
            </w:r>
          </w:p>
        </w:tc>
      </w:tr>
      <w:tr w:rsidR="0009783E" w:rsidRPr="000B78E1" w14:paraId="31A9226A" w14:textId="77777777" w:rsidTr="00500EEB">
        <w:tc>
          <w:tcPr>
            <w:tcW w:w="988" w:type="dxa"/>
          </w:tcPr>
          <w:p w14:paraId="2A0EB244"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(Caroline et al., 2025)</w:t>
            </w:r>
          </w:p>
        </w:tc>
        <w:tc>
          <w:tcPr>
            <w:tcW w:w="1559" w:type="dxa"/>
          </w:tcPr>
          <w:p w14:paraId="10D991D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FinTech payment </w:t>
            </w:r>
            <w:proofErr w:type="gramStart"/>
            <w:r w:rsidRPr="000B78E1">
              <w:rPr>
                <w:rFonts w:ascii="Arial" w:hAnsi="Arial" w:cs="Arial"/>
                <w:sz w:val="22"/>
                <w:szCs w:val="22"/>
              </w:rPr>
              <w:t>improve</w:t>
            </w:r>
            <w:proofErr w:type="gramEnd"/>
            <w:r w:rsidRPr="000B78E1">
              <w:rPr>
                <w:rFonts w:ascii="Arial" w:hAnsi="Arial" w:cs="Arial"/>
                <w:sz w:val="22"/>
                <w:szCs w:val="22"/>
              </w:rPr>
              <w:t xml:space="preserve"> daily management and digital lending improves business growth.</w:t>
            </w:r>
          </w:p>
        </w:tc>
        <w:tc>
          <w:tcPr>
            <w:tcW w:w="1559" w:type="dxa"/>
          </w:tcPr>
          <w:p w14:paraId="05BD260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Technology Acceptance Model (TAM) used as the adoption framework </w:t>
            </w:r>
          </w:p>
        </w:tc>
        <w:tc>
          <w:tcPr>
            <w:tcW w:w="1559" w:type="dxa"/>
          </w:tcPr>
          <w:p w14:paraId="446969A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Descriptive cross-sectional survey of 8450 registered SMEs. purposive sampling; structured </w:t>
            </w:r>
            <w:proofErr w:type="gramStart"/>
            <w:r w:rsidRPr="000B78E1">
              <w:rPr>
                <w:rFonts w:ascii="Arial" w:hAnsi="Arial" w:cs="Arial"/>
                <w:sz w:val="22"/>
                <w:szCs w:val="22"/>
              </w:rPr>
              <w:t>questionnaire,  descriptive</w:t>
            </w:r>
            <w:proofErr w:type="gramEnd"/>
            <w:r w:rsidRPr="000B78E1">
              <w:rPr>
                <w:rFonts w:ascii="Arial" w:hAnsi="Arial" w:cs="Arial"/>
                <w:sz w:val="22"/>
                <w:szCs w:val="22"/>
              </w:rPr>
              <w:t xml:space="preserve"> statistics and simple linear regression.</w:t>
            </w:r>
          </w:p>
        </w:tc>
        <w:tc>
          <w:tcPr>
            <w:tcW w:w="1701" w:type="dxa"/>
          </w:tcPr>
          <w:p w14:paraId="1B064C7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Mobile payment systems adoption shows a strong positive effect on financial management efficiency. Digital lending platforms adoption shows a strong positive effect on business performance.</w:t>
            </w:r>
          </w:p>
        </w:tc>
        <w:tc>
          <w:tcPr>
            <w:tcW w:w="1560" w:type="dxa"/>
          </w:tcPr>
          <w:p w14:paraId="5BAF1D55"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Good sample and clear results, but models are too simple. Lacks proper theory testing and real financial data.</w:t>
            </w:r>
          </w:p>
        </w:tc>
        <w:tc>
          <w:tcPr>
            <w:tcW w:w="1701" w:type="dxa"/>
          </w:tcPr>
          <w:p w14:paraId="68052C01"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Supports that mobile payments improve SME financial management efficiency &amp;</w:t>
            </w:r>
          </w:p>
          <w:p w14:paraId="2976124F"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digital lending correlates with stronger SME performance</w:t>
            </w:r>
          </w:p>
        </w:tc>
      </w:tr>
      <w:tr w:rsidR="0009783E" w:rsidRPr="000B78E1" w14:paraId="56EF5A4A" w14:textId="77777777" w:rsidTr="00500EEB">
        <w:tc>
          <w:tcPr>
            <w:tcW w:w="988" w:type="dxa"/>
          </w:tcPr>
          <w:p w14:paraId="4099FB7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Okafor, Osuji and Dako, (2021)</w:t>
            </w:r>
          </w:p>
        </w:tc>
        <w:tc>
          <w:tcPr>
            <w:tcW w:w="1559" w:type="dxa"/>
          </w:tcPr>
          <w:p w14:paraId="6E50346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FinTech makes SME banking faster and easier Digital lending uses data/AI to give loans </w:t>
            </w:r>
            <w:r w:rsidRPr="000B78E1">
              <w:rPr>
                <w:rFonts w:ascii="Arial" w:hAnsi="Arial" w:cs="Arial"/>
                <w:sz w:val="22"/>
                <w:szCs w:val="22"/>
              </w:rPr>
              <w:lastRenderedPageBreak/>
              <w:t>without strict collateral. Mobile/USSD tools increase access and inclusion.</w:t>
            </w:r>
          </w:p>
        </w:tc>
        <w:tc>
          <w:tcPr>
            <w:tcW w:w="1559" w:type="dxa"/>
          </w:tcPr>
          <w:p w14:paraId="15F84F0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Implicit financial inclusion and technology-enabled growth logic.</w:t>
            </w:r>
          </w:p>
        </w:tc>
        <w:tc>
          <w:tcPr>
            <w:tcW w:w="1559" w:type="dxa"/>
          </w:tcPr>
          <w:p w14:paraId="71FBBAB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Systematic literature review using PRISMA methodology</w:t>
            </w:r>
          </w:p>
        </w:tc>
        <w:tc>
          <w:tcPr>
            <w:tcW w:w="1701" w:type="dxa"/>
          </w:tcPr>
          <w:p w14:paraId="613616A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Fintech adoption improves payment efficiency, liquidity management and inclusion, </w:t>
            </w:r>
            <w:r w:rsidRPr="000B78E1">
              <w:rPr>
                <w:rFonts w:ascii="Arial" w:hAnsi="Arial" w:cs="Arial"/>
                <w:sz w:val="22"/>
                <w:szCs w:val="22"/>
              </w:rPr>
              <w:lastRenderedPageBreak/>
              <w:t>while digital lending expands access using alternative data.</w:t>
            </w:r>
          </w:p>
        </w:tc>
        <w:tc>
          <w:tcPr>
            <w:tcW w:w="1560" w:type="dxa"/>
          </w:tcPr>
          <w:p w14:paraId="730F01EA"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Clear explanation and structured review, but too broad. Cannot prove causality and </w:t>
            </w:r>
            <w:r w:rsidRPr="000B78E1">
              <w:rPr>
                <w:rFonts w:ascii="Arial" w:hAnsi="Arial" w:cs="Arial"/>
                <w:sz w:val="22"/>
                <w:szCs w:val="22"/>
              </w:rPr>
              <w:lastRenderedPageBreak/>
              <w:t>lacks detailed, context-specific evidence</w:t>
            </w:r>
          </w:p>
        </w:tc>
        <w:tc>
          <w:tcPr>
            <w:tcW w:w="1701" w:type="dxa"/>
          </w:tcPr>
          <w:p w14:paraId="21C96FA3"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lastRenderedPageBreak/>
              <w:t xml:space="preserve">Strongly claims that DFS improves SME access to finance However, it does not empirically </w:t>
            </w:r>
            <w:r w:rsidRPr="000B78E1">
              <w:rPr>
                <w:rFonts w:ascii="Arial" w:hAnsi="Arial" w:cs="Arial"/>
                <w:sz w:val="22"/>
                <w:szCs w:val="22"/>
              </w:rPr>
              <w:lastRenderedPageBreak/>
              <w:t>prove that SMEs obtain sustained formal credit</w:t>
            </w:r>
          </w:p>
          <w:p w14:paraId="47CC7CFB" w14:textId="77777777" w:rsidR="0009783E" w:rsidRPr="000B78E1" w:rsidRDefault="0009783E" w:rsidP="007E4611">
            <w:pPr>
              <w:spacing w:line="276" w:lineRule="auto"/>
              <w:rPr>
                <w:rFonts w:ascii="Arial" w:hAnsi="Arial" w:cs="Arial"/>
                <w:sz w:val="22"/>
                <w:szCs w:val="22"/>
              </w:rPr>
            </w:pPr>
          </w:p>
          <w:p w14:paraId="0AE38EF1" w14:textId="77777777" w:rsidR="0009783E" w:rsidRPr="000B78E1" w:rsidRDefault="0009783E" w:rsidP="007E4611">
            <w:pPr>
              <w:spacing w:line="276" w:lineRule="auto"/>
              <w:jc w:val="both"/>
              <w:rPr>
                <w:rFonts w:ascii="Arial" w:hAnsi="Arial" w:cs="Arial"/>
                <w:sz w:val="22"/>
                <w:szCs w:val="22"/>
              </w:rPr>
            </w:pPr>
          </w:p>
        </w:tc>
      </w:tr>
      <w:tr w:rsidR="0009783E" w:rsidRPr="000B78E1" w14:paraId="37C70246" w14:textId="77777777" w:rsidTr="00500EEB">
        <w:tc>
          <w:tcPr>
            <w:tcW w:w="988" w:type="dxa"/>
          </w:tcPr>
          <w:p w14:paraId="37679F3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Hussain et </w:t>
            </w:r>
            <w:proofErr w:type="gramStart"/>
            <w:r w:rsidRPr="000B78E1">
              <w:rPr>
                <w:rFonts w:ascii="Arial" w:hAnsi="Arial" w:cs="Arial"/>
                <w:sz w:val="22"/>
                <w:szCs w:val="22"/>
              </w:rPr>
              <w:t>al.( 2025</w:t>
            </w:r>
            <w:proofErr w:type="gramEnd"/>
            <w:r w:rsidRPr="000B78E1">
              <w:rPr>
                <w:rFonts w:ascii="Arial" w:hAnsi="Arial" w:cs="Arial"/>
                <w:sz w:val="22"/>
                <w:szCs w:val="22"/>
              </w:rPr>
              <w:t>)</w:t>
            </w:r>
          </w:p>
        </w:tc>
        <w:tc>
          <w:tcPr>
            <w:tcW w:w="1559" w:type="dxa"/>
          </w:tcPr>
          <w:p w14:paraId="1D534AF6"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FinTech helps SMEs compete better by improving innovation and financial flexibility. It works best when SMEs have digital financial skills.</w:t>
            </w:r>
          </w:p>
        </w:tc>
        <w:tc>
          <w:tcPr>
            <w:tcW w:w="1559" w:type="dxa"/>
          </w:tcPr>
          <w:p w14:paraId="1F6F7445"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Resource-Based View (RBV); Dynamic Capabilities Theory (DCT)</w:t>
            </w:r>
          </w:p>
        </w:tc>
        <w:tc>
          <w:tcPr>
            <w:tcW w:w="1559" w:type="dxa"/>
          </w:tcPr>
          <w:p w14:paraId="11CC37B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Quantitative survey analysed using Partial Least Squares Structural Equation Modelling (PLS-SEM)</w:t>
            </w:r>
          </w:p>
        </w:tc>
        <w:tc>
          <w:tcPr>
            <w:tcW w:w="1701" w:type="dxa"/>
          </w:tcPr>
          <w:p w14:paraId="62810C6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FinTech adoption improves SME competitiveness indirectly via innovation and agility &amp; innovation is the strongest mediator.</w:t>
            </w:r>
          </w:p>
        </w:tc>
        <w:tc>
          <w:tcPr>
            <w:tcW w:w="1560" w:type="dxa"/>
          </w:tcPr>
          <w:p w14:paraId="0BC52DA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Strong theory and model </w:t>
            </w:r>
            <w:proofErr w:type="gramStart"/>
            <w:r w:rsidRPr="000B78E1">
              <w:rPr>
                <w:rFonts w:ascii="Arial" w:hAnsi="Arial" w:cs="Arial"/>
                <w:sz w:val="22"/>
                <w:szCs w:val="22"/>
              </w:rPr>
              <w:t>testing, but</w:t>
            </w:r>
            <w:proofErr w:type="gramEnd"/>
            <w:r w:rsidRPr="000B78E1">
              <w:rPr>
                <w:rFonts w:ascii="Arial" w:hAnsi="Arial" w:cs="Arial"/>
                <w:sz w:val="22"/>
                <w:szCs w:val="22"/>
              </w:rPr>
              <w:t xml:space="preserve"> lacks causal proof and uses perception-based measures. Results should be interpreted carefully.</w:t>
            </w:r>
          </w:p>
        </w:tc>
        <w:tc>
          <w:tcPr>
            <w:tcW w:w="1701" w:type="dxa"/>
          </w:tcPr>
          <w:p w14:paraId="2675F50E"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The study </w:t>
            </w:r>
            <w:r w:rsidRPr="000B78E1">
              <w:rPr>
                <w:rFonts w:ascii="Arial" w:hAnsi="Arial" w:cs="Arial"/>
                <w:b/>
                <w:bCs/>
                <w:sz w:val="22"/>
                <w:szCs w:val="22"/>
              </w:rPr>
              <w:t>claims</w:t>
            </w:r>
            <w:r w:rsidRPr="000B78E1">
              <w:rPr>
                <w:rFonts w:ascii="Arial" w:hAnsi="Arial" w:cs="Arial"/>
                <w:sz w:val="22"/>
                <w:szCs w:val="22"/>
              </w:rPr>
              <w:t xml:space="preserve"> FinTech improves access to capital and reduces financial constraints</w:t>
            </w:r>
          </w:p>
          <w:p w14:paraId="1646DE33"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 xml:space="preserve">&amp; frames FinTech </w:t>
            </w:r>
            <w:proofErr w:type="gramStart"/>
            <w:r w:rsidRPr="000B78E1">
              <w:rPr>
                <w:rFonts w:ascii="Arial" w:hAnsi="Arial" w:cs="Arial"/>
                <w:sz w:val="22"/>
                <w:szCs w:val="22"/>
              </w:rPr>
              <w:t>as a way to</w:t>
            </w:r>
            <w:proofErr w:type="gramEnd"/>
            <w:r w:rsidRPr="000B78E1">
              <w:rPr>
                <w:rFonts w:ascii="Arial" w:hAnsi="Arial" w:cs="Arial"/>
                <w:sz w:val="22"/>
                <w:szCs w:val="22"/>
              </w:rPr>
              <w:t xml:space="preserve"> bypass traditional banking barriers.</w:t>
            </w:r>
          </w:p>
        </w:tc>
      </w:tr>
      <w:tr w:rsidR="0009783E" w:rsidRPr="000B78E1" w14:paraId="4289859B" w14:textId="77777777" w:rsidTr="00500EEB">
        <w:tc>
          <w:tcPr>
            <w:tcW w:w="988" w:type="dxa"/>
          </w:tcPr>
          <w:p w14:paraId="68AF16A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Abdulai, Dary and </w:t>
            </w:r>
            <w:proofErr w:type="spellStart"/>
            <w:r w:rsidRPr="000B78E1">
              <w:rPr>
                <w:rFonts w:ascii="Arial" w:hAnsi="Arial" w:cs="Arial"/>
                <w:sz w:val="22"/>
                <w:szCs w:val="22"/>
              </w:rPr>
              <w:t>Domanban</w:t>
            </w:r>
            <w:proofErr w:type="spellEnd"/>
            <w:r w:rsidRPr="000B78E1">
              <w:rPr>
                <w:rFonts w:ascii="Arial" w:hAnsi="Arial" w:cs="Arial"/>
                <w:sz w:val="22"/>
                <w:szCs w:val="22"/>
              </w:rPr>
              <w:t>, (2024</w:t>
            </w:r>
            <w:r w:rsidRPr="000B78E1">
              <w:rPr>
                <w:rFonts w:ascii="Arial" w:hAnsi="Arial" w:cs="Arial"/>
                <w:i/>
                <w:iCs/>
                <w:sz w:val="22"/>
                <w:szCs w:val="22"/>
              </w:rPr>
              <w:t>)</w:t>
            </w:r>
          </w:p>
        </w:tc>
        <w:tc>
          <w:tcPr>
            <w:tcW w:w="1559" w:type="dxa"/>
          </w:tcPr>
          <w:p w14:paraId="20054C6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Trade credit helps informal firms manage cash flow. Digital payments make it easier to give and receive trade credit by improving speed, trust and convenience.</w:t>
            </w:r>
          </w:p>
        </w:tc>
        <w:tc>
          <w:tcPr>
            <w:tcW w:w="1559" w:type="dxa"/>
          </w:tcPr>
          <w:p w14:paraId="0651D52E"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Trade credit theory, Transaction </w:t>
            </w:r>
            <w:proofErr w:type="gramStart"/>
            <w:r w:rsidRPr="000B78E1">
              <w:rPr>
                <w:rFonts w:ascii="Arial" w:hAnsi="Arial" w:cs="Arial"/>
                <w:sz w:val="22"/>
                <w:szCs w:val="22"/>
              </w:rPr>
              <w:t>cost  theory</w:t>
            </w:r>
            <w:proofErr w:type="gramEnd"/>
            <w:r w:rsidRPr="000B78E1">
              <w:rPr>
                <w:rFonts w:ascii="Arial" w:hAnsi="Arial" w:cs="Arial"/>
                <w:sz w:val="22"/>
                <w:szCs w:val="22"/>
              </w:rPr>
              <w:t xml:space="preserve"> &amp; Information asymmetry</w:t>
            </w:r>
          </w:p>
        </w:tc>
        <w:tc>
          <w:tcPr>
            <w:tcW w:w="1559" w:type="dxa"/>
          </w:tcPr>
          <w:p w14:paraId="0C6C088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Cross-sectional survey of 4751 informal firms, analysis using recursive bivariate probit with robustness checks</w:t>
            </w:r>
          </w:p>
        </w:tc>
        <w:tc>
          <w:tcPr>
            <w:tcW w:w="1701" w:type="dxa"/>
          </w:tcPr>
          <w:p w14:paraId="2790BD9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Use of digital payment platforms significantly increases the probability of both demanding and supplying trade credit among informal firms</w:t>
            </w:r>
          </w:p>
        </w:tc>
        <w:tc>
          <w:tcPr>
            <w:tcW w:w="1560" w:type="dxa"/>
          </w:tcPr>
          <w:p w14:paraId="76C66F25" w14:textId="77777777" w:rsidR="0009783E" w:rsidRPr="000B78E1" w:rsidRDefault="0009783E" w:rsidP="007E4611">
            <w:pPr>
              <w:spacing w:line="276" w:lineRule="auto"/>
              <w:jc w:val="both"/>
              <w:rPr>
                <w:rFonts w:ascii="Arial" w:hAnsi="Arial" w:cs="Arial"/>
                <w:sz w:val="22"/>
                <w:szCs w:val="22"/>
              </w:rPr>
            </w:pPr>
            <w:proofErr w:type="spellStart"/>
            <w:r w:rsidRPr="000B78E1">
              <w:rPr>
                <w:rFonts w:ascii="Arial" w:hAnsi="Arial" w:cs="Arial"/>
                <w:sz w:val="22"/>
                <w:szCs w:val="22"/>
              </w:rPr>
              <w:t>trong</w:t>
            </w:r>
            <w:proofErr w:type="spellEnd"/>
            <w:r w:rsidRPr="000B78E1">
              <w:rPr>
                <w:rFonts w:ascii="Arial" w:hAnsi="Arial" w:cs="Arial"/>
                <w:sz w:val="22"/>
                <w:szCs w:val="22"/>
              </w:rPr>
              <w:t xml:space="preserve"> method and </w:t>
            </w:r>
            <w:proofErr w:type="gramStart"/>
            <w:r w:rsidRPr="000B78E1">
              <w:rPr>
                <w:rFonts w:ascii="Arial" w:hAnsi="Arial" w:cs="Arial"/>
                <w:sz w:val="22"/>
                <w:szCs w:val="22"/>
              </w:rPr>
              <w:t>dataset, but</w:t>
            </w:r>
            <w:proofErr w:type="gramEnd"/>
            <w:r w:rsidRPr="000B78E1">
              <w:rPr>
                <w:rFonts w:ascii="Arial" w:hAnsi="Arial" w:cs="Arial"/>
                <w:sz w:val="22"/>
                <w:szCs w:val="22"/>
              </w:rPr>
              <w:t xml:space="preserve"> limited to associations. Does not show credit quality (amount, default). Results are </w:t>
            </w:r>
            <w:proofErr w:type="gramStart"/>
            <w:r w:rsidRPr="000B78E1">
              <w:rPr>
                <w:rFonts w:ascii="Arial" w:hAnsi="Arial" w:cs="Arial"/>
                <w:sz w:val="22"/>
                <w:szCs w:val="22"/>
              </w:rPr>
              <w:t>context-specific</w:t>
            </w:r>
            <w:proofErr w:type="gramEnd"/>
            <w:r w:rsidRPr="000B78E1">
              <w:rPr>
                <w:rFonts w:ascii="Arial" w:hAnsi="Arial" w:cs="Arial"/>
                <w:sz w:val="22"/>
                <w:szCs w:val="22"/>
              </w:rPr>
              <w:t>.</w:t>
            </w:r>
          </w:p>
        </w:tc>
        <w:tc>
          <w:tcPr>
            <w:tcW w:w="1701" w:type="dxa"/>
          </w:tcPr>
          <w:p w14:paraId="35A2D31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Claims DFS improves </w:t>
            </w:r>
            <w:proofErr w:type="gramStart"/>
            <w:r w:rsidRPr="000B78E1">
              <w:rPr>
                <w:rFonts w:ascii="Arial" w:hAnsi="Arial" w:cs="Arial"/>
                <w:sz w:val="22"/>
                <w:szCs w:val="22"/>
              </w:rPr>
              <w:t>financing</w:t>
            </w:r>
            <w:proofErr w:type="gramEnd"/>
            <w:r w:rsidRPr="000B78E1">
              <w:rPr>
                <w:rFonts w:ascii="Arial" w:hAnsi="Arial" w:cs="Arial"/>
                <w:sz w:val="22"/>
                <w:szCs w:val="22"/>
              </w:rPr>
              <w:t xml:space="preserve"> </w:t>
            </w:r>
            <w:proofErr w:type="gramStart"/>
            <w:r w:rsidRPr="000B78E1">
              <w:rPr>
                <w:rFonts w:ascii="Arial" w:hAnsi="Arial" w:cs="Arial"/>
                <w:sz w:val="22"/>
                <w:szCs w:val="22"/>
              </w:rPr>
              <w:t>but  evidence</w:t>
            </w:r>
            <w:proofErr w:type="gramEnd"/>
            <w:r w:rsidRPr="000B78E1">
              <w:rPr>
                <w:rFonts w:ascii="Arial" w:hAnsi="Arial" w:cs="Arial"/>
                <w:sz w:val="22"/>
                <w:szCs w:val="22"/>
              </w:rPr>
              <w:t xml:space="preserve"> is limited to payment efficiency and trade credit. It assumes rather than measures credit access and treats DFS as automatically improving access to finance.</w:t>
            </w:r>
          </w:p>
        </w:tc>
      </w:tr>
      <w:tr w:rsidR="0009783E" w:rsidRPr="000B78E1" w14:paraId="62D1E7D3" w14:textId="77777777" w:rsidTr="00500EEB">
        <w:tc>
          <w:tcPr>
            <w:tcW w:w="988" w:type="dxa"/>
          </w:tcPr>
          <w:p w14:paraId="30D75A22" w14:textId="77777777" w:rsidR="0009783E" w:rsidRPr="000B78E1" w:rsidRDefault="0009783E" w:rsidP="007E4611">
            <w:pPr>
              <w:spacing w:line="276" w:lineRule="auto"/>
              <w:jc w:val="both"/>
              <w:rPr>
                <w:rFonts w:ascii="Arial" w:hAnsi="Arial" w:cs="Arial"/>
                <w:sz w:val="22"/>
                <w:szCs w:val="22"/>
              </w:rPr>
            </w:pPr>
            <w:proofErr w:type="spellStart"/>
            <w:r w:rsidRPr="000B78E1">
              <w:rPr>
                <w:rFonts w:ascii="Arial" w:hAnsi="Arial" w:cs="Arial"/>
                <w:sz w:val="22"/>
                <w:szCs w:val="22"/>
              </w:rPr>
              <w:t>Mwacha</w:t>
            </w:r>
            <w:proofErr w:type="spellEnd"/>
            <w:r w:rsidRPr="000B78E1">
              <w:rPr>
                <w:rFonts w:ascii="Arial" w:hAnsi="Arial" w:cs="Arial"/>
                <w:sz w:val="22"/>
                <w:szCs w:val="22"/>
              </w:rPr>
              <w:t xml:space="preserve"> et al. (2026)</w:t>
            </w:r>
            <w:r w:rsidRPr="000B78E1">
              <w:rPr>
                <w:rFonts w:ascii="Arial" w:hAnsi="Arial" w:cs="Arial"/>
                <w:i/>
                <w:iCs/>
                <w:sz w:val="22"/>
                <w:szCs w:val="22"/>
              </w:rPr>
              <w:t>)</w:t>
            </w:r>
          </w:p>
        </w:tc>
        <w:tc>
          <w:tcPr>
            <w:tcW w:w="1559" w:type="dxa"/>
          </w:tcPr>
          <w:p w14:paraId="50A9A77D"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Financial inclusion reduces poverty for SME owners in Tanzania, </w:t>
            </w:r>
            <w:r w:rsidRPr="000B78E1">
              <w:rPr>
                <w:rFonts w:ascii="Arial" w:hAnsi="Arial" w:cs="Arial"/>
                <w:sz w:val="22"/>
                <w:szCs w:val="22"/>
              </w:rPr>
              <w:lastRenderedPageBreak/>
              <w:t>and digital skills strengthen this effect, policymakers should improve both access and digital capability.</w:t>
            </w:r>
          </w:p>
        </w:tc>
        <w:tc>
          <w:tcPr>
            <w:tcW w:w="1559" w:type="dxa"/>
          </w:tcPr>
          <w:p w14:paraId="178B37C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Financial Intermediation Theory, Technology Acceptance Model (TAM)</w:t>
            </w:r>
          </w:p>
        </w:tc>
        <w:tc>
          <w:tcPr>
            <w:tcW w:w="1559" w:type="dxa"/>
          </w:tcPr>
          <w:p w14:paraId="52E7D78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Cross-sectional survey of 381 SMEs in five regions of Tanzania </w:t>
            </w:r>
            <w:r w:rsidRPr="000B78E1">
              <w:rPr>
                <w:rFonts w:ascii="Arial" w:hAnsi="Arial" w:cs="Arial"/>
                <w:sz w:val="22"/>
                <w:szCs w:val="22"/>
              </w:rPr>
              <w:lastRenderedPageBreak/>
              <w:t>using OLS and hierarchical regression.</w:t>
            </w:r>
          </w:p>
        </w:tc>
        <w:tc>
          <w:tcPr>
            <w:tcW w:w="1701" w:type="dxa"/>
          </w:tcPr>
          <w:p w14:paraId="2344817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Financial inclusion helps reduce poverty, and digital capability strengthens </w:t>
            </w:r>
            <w:r w:rsidRPr="000B78E1">
              <w:rPr>
                <w:rFonts w:ascii="Arial" w:hAnsi="Arial" w:cs="Arial"/>
                <w:sz w:val="22"/>
                <w:szCs w:val="22"/>
              </w:rPr>
              <w:lastRenderedPageBreak/>
              <w:t>this link, however, only savings accounts show a significant interaction.</w:t>
            </w:r>
          </w:p>
        </w:tc>
        <w:tc>
          <w:tcPr>
            <w:tcW w:w="1560" w:type="dxa"/>
          </w:tcPr>
          <w:p w14:paraId="162815F1"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Results are perception-based and not causal. Limited testing of real </w:t>
            </w:r>
            <w:r w:rsidRPr="000B78E1">
              <w:rPr>
                <w:rFonts w:ascii="Arial" w:hAnsi="Arial" w:cs="Arial"/>
                <w:sz w:val="22"/>
                <w:szCs w:val="22"/>
              </w:rPr>
              <w:lastRenderedPageBreak/>
              <w:t>technology adoption process</w:t>
            </w:r>
          </w:p>
        </w:tc>
        <w:tc>
          <w:tcPr>
            <w:tcW w:w="1701" w:type="dxa"/>
          </w:tcPr>
          <w:p w14:paraId="1ADE7241" w14:textId="77777777" w:rsidR="0009783E" w:rsidRPr="000B78E1" w:rsidRDefault="0009783E" w:rsidP="007E4611">
            <w:pPr>
              <w:spacing w:line="276" w:lineRule="auto"/>
              <w:jc w:val="both"/>
              <w:rPr>
                <w:rFonts w:ascii="Arial" w:hAnsi="Arial" w:cs="Arial"/>
                <w:b/>
                <w:bCs/>
                <w:sz w:val="22"/>
                <w:szCs w:val="22"/>
              </w:rPr>
            </w:pPr>
            <w:r w:rsidRPr="000B78E1">
              <w:rPr>
                <w:rFonts w:ascii="Arial" w:hAnsi="Arial" w:cs="Arial"/>
                <w:sz w:val="22"/>
                <w:szCs w:val="22"/>
              </w:rPr>
              <w:lastRenderedPageBreak/>
              <w:t xml:space="preserve">Credit access is inferred from loan services, while savings and transactions </w:t>
            </w:r>
            <w:r w:rsidRPr="000B78E1">
              <w:rPr>
                <w:rFonts w:ascii="Arial" w:hAnsi="Arial" w:cs="Arial"/>
                <w:sz w:val="22"/>
                <w:szCs w:val="22"/>
              </w:rPr>
              <w:lastRenderedPageBreak/>
              <w:t>dominate outcomes showing that DFS does not guarantee bank lending.</w:t>
            </w:r>
          </w:p>
        </w:tc>
      </w:tr>
      <w:tr w:rsidR="0009783E" w:rsidRPr="000B78E1" w14:paraId="43AB458A" w14:textId="77777777" w:rsidTr="00500EEB">
        <w:tc>
          <w:tcPr>
            <w:tcW w:w="988" w:type="dxa"/>
          </w:tcPr>
          <w:p w14:paraId="29B77D0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Chibueze et </w:t>
            </w:r>
            <w:proofErr w:type="gramStart"/>
            <w:r w:rsidRPr="000B78E1">
              <w:rPr>
                <w:rFonts w:ascii="Arial" w:hAnsi="Arial" w:cs="Arial"/>
                <w:sz w:val="22"/>
                <w:szCs w:val="22"/>
              </w:rPr>
              <w:t>al.( 2025</w:t>
            </w:r>
            <w:proofErr w:type="gramEnd"/>
            <w:r w:rsidRPr="000B78E1">
              <w:rPr>
                <w:rFonts w:ascii="Arial" w:hAnsi="Arial" w:cs="Arial"/>
                <w:sz w:val="22"/>
                <w:szCs w:val="22"/>
              </w:rPr>
              <w:t>)</w:t>
            </w:r>
          </w:p>
        </w:tc>
        <w:tc>
          <w:tcPr>
            <w:tcW w:w="1559" w:type="dxa"/>
          </w:tcPr>
          <w:p w14:paraId="7F44DE57"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MSMEs in Sub-Saharan Africa struggle to get credit due to high collateral, high interest rates, and weak systems. DFS and fintech can improve </w:t>
            </w:r>
            <w:proofErr w:type="gramStart"/>
            <w:r w:rsidRPr="000B78E1">
              <w:rPr>
                <w:rFonts w:ascii="Arial" w:hAnsi="Arial" w:cs="Arial"/>
                <w:sz w:val="22"/>
                <w:szCs w:val="22"/>
              </w:rPr>
              <w:t>access</w:t>
            </w:r>
            <w:proofErr w:type="gramEnd"/>
            <w:r w:rsidRPr="000B78E1">
              <w:rPr>
                <w:rFonts w:ascii="Arial" w:hAnsi="Arial" w:cs="Arial"/>
                <w:sz w:val="22"/>
                <w:szCs w:val="22"/>
              </w:rPr>
              <w:t xml:space="preserve"> but real inclusion means usable and affordable credit not just accounts.</w:t>
            </w:r>
          </w:p>
        </w:tc>
        <w:tc>
          <w:tcPr>
            <w:tcW w:w="1559" w:type="dxa"/>
          </w:tcPr>
          <w:p w14:paraId="1012BD86"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Implicit financial inclusion and financial intermediation perspectives but no formal theory operationalised</w:t>
            </w:r>
          </w:p>
        </w:tc>
        <w:tc>
          <w:tcPr>
            <w:tcW w:w="1559" w:type="dxa"/>
          </w:tcPr>
          <w:p w14:paraId="39FD725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Conceptual and narrative literature review supported by comparative country illustrations and secondary data</w:t>
            </w:r>
          </w:p>
        </w:tc>
        <w:tc>
          <w:tcPr>
            <w:tcW w:w="1701" w:type="dxa"/>
          </w:tcPr>
          <w:p w14:paraId="4B18DB22"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Digital banking and fintech improve transaction access and efficiency for MSMEs, but formal bank credit expansion remains constrained by structural, institutional, and </w:t>
            </w:r>
            <w:proofErr w:type="spellStart"/>
            <w:r w:rsidRPr="000B78E1">
              <w:rPr>
                <w:rFonts w:ascii="Arial" w:hAnsi="Arial" w:cs="Arial"/>
                <w:sz w:val="22"/>
                <w:szCs w:val="22"/>
              </w:rPr>
              <w:t>and</w:t>
            </w:r>
            <w:proofErr w:type="spellEnd"/>
            <w:r w:rsidRPr="000B78E1">
              <w:rPr>
                <w:rFonts w:ascii="Arial" w:hAnsi="Arial" w:cs="Arial"/>
                <w:sz w:val="22"/>
                <w:szCs w:val="22"/>
              </w:rPr>
              <w:t xml:space="preserve"> regulatory barriers</w:t>
            </w:r>
          </w:p>
        </w:tc>
        <w:tc>
          <w:tcPr>
            <w:tcW w:w="1560" w:type="dxa"/>
          </w:tcPr>
          <w:p w14:paraId="139B8B8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Strong analysis but it lacks empirical testing and does not fully prove how DFS improves SME growth or credit quality.</w:t>
            </w:r>
          </w:p>
        </w:tc>
        <w:tc>
          <w:tcPr>
            <w:tcW w:w="1701" w:type="dxa"/>
          </w:tcPr>
          <w:p w14:paraId="5144B4A0" w14:textId="77777777" w:rsidR="0009783E" w:rsidRPr="000B78E1" w:rsidRDefault="0009783E" w:rsidP="007E4611">
            <w:pPr>
              <w:spacing w:line="276" w:lineRule="auto"/>
              <w:rPr>
                <w:rFonts w:ascii="Arial" w:hAnsi="Arial" w:cs="Arial"/>
                <w:sz w:val="22"/>
                <w:szCs w:val="22"/>
              </w:rPr>
            </w:pPr>
            <w:r w:rsidRPr="000B78E1">
              <w:rPr>
                <w:rFonts w:ascii="Arial" w:hAnsi="Arial" w:cs="Arial"/>
                <w:sz w:val="22"/>
                <w:szCs w:val="22"/>
              </w:rPr>
              <w:t>It strongly supports that DFS, digital banking, and fintech improve access and efficiency.</w:t>
            </w:r>
          </w:p>
          <w:p w14:paraId="53D23E42" w14:textId="77777777" w:rsidR="0009783E" w:rsidRPr="000B78E1" w:rsidRDefault="0009783E" w:rsidP="007E4611">
            <w:pPr>
              <w:spacing w:line="276" w:lineRule="auto"/>
              <w:jc w:val="both"/>
              <w:rPr>
                <w:rFonts w:ascii="Arial" w:hAnsi="Arial" w:cs="Arial"/>
                <w:sz w:val="22"/>
                <w:szCs w:val="22"/>
              </w:rPr>
            </w:pPr>
          </w:p>
        </w:tc>
      </w:tr>
      <w:tr w:rsidR="0009783E" w:rsidRPr="000B78E1" w14:paraId="1AED4F88" w14:textId="77777777" w:rsidTr="00500EEB">
        <w:tc>
          <w:tcPr>
            <w:tcW w:w="988" w:type="dxa"/>
          </w:tcPr>
          <w:p w14:paraId="1C9797A0"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Chibueze, </w:t>
            </w:r>
            <w:proofErr w:type="spellStart"/>
            <w:r w:rsidRPr="000B78E1">
              <w:rPr>
                <w:rFonts w:ascii="Arial" w:hAnsi="Arial" w:cs="Arial"/>
                <w:sz w:val="22"/>
                <w:szCs w:val="22"/>
              </w:rPr>
              <w:t>Orivri</w:t>
            </w:r>
            <w:proofErr w:type="spellEnd"/>
            <w:r w:rsidRPr="000B78E1">
              <w:rPr>
                <w:rFonts w:ascii="Arial" w:hAnsi="Arial" w:cs="Arial"/>
                <w:sz w:val="22"/>
                <w:szCs w:val="22"/>
              </w:rPr>
              <w:t xml:space="preserve"> and </w:t>
            </w:r>
            <w:proofErr w:type="spellStart"/>
            <w:r w:rsidRPr="000B78E1">
              <w:rPr>
                <w:rFonts w:ascii="Arial" w:hAnsi="Arial" w:cs="Arial"/>
                <w:sz w:val="22"/>
                <w:szCs w:val="22"/>
              </w:rPr>
              <w:t>Egunjobi</w:t>
            </w:r>
            <w:proofErr w:type="spellEnd"/>
            <w:r w:rsidRPr="000B78E1">
              <w:rPr>
                <w:rFonts w:ascii="Arial" w:hAnsi="Arial" w:cs="Arial"/>
                <w:sz w:val="22"/>
                <w:szCs w:val="22"/>
              </w:rPr>
              <w:t>, 2025</w:t>
            </w:r>
          </w:p>
        </w:tc>
        <w:tc>
          <w:tcPr>
            <w:tcW w:w="1559" w:type="dxa"/>
          </w:tcPr>
          <w:p w14:paraId="7EA09C74"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 xml:space="preserve">Digital banking improves MSME performance in Nigeria by increasing access, lowering costs, and boosting efficiency, but its impact depends on </w:t>
            </w:r>
            <w:r w:rsidRPr="000B78E1">
              <w:rPr>
                <w:rFonts w:ascii="Arial" w:hAnsi="Arial" w:cs="Arial"/>
                <w:sz w:val="22"/>
                <w:szCs w:val="22"/>
              </w:rPr>
              <w:lastRenderedPageBreak/>
              <w:t>infrastructure, literacy, and regulation.</w:t>
            </w:r>
          </w:p>
        </w:tc>
        <w:tc>
          <w:tcPr>
            <w:tcW w:w="1559" w:type="dxa"/>
          </w:tcPr>
          <w:p w14:paraId="729F0B58"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lastRenderedPageBreak/>
              <w:t>Financial Intermediation Theory, Technology Acceptance Model, Resource-Based View</w:t>
            </w:r>
          </w:p>
        </w:tc>
        <w:tc>
          <w:tcPr>
            <w:tcW w:w="1559" w:type="dxa"/>
          </w:tcPr>
          <w:p w14:paraId="5A831CE3"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Survey-based empirical analysis combined with comparative assessment of digital banking adopters and non-adopters</w:t>
            </w:r>
          </w:p>
        </w:tc>
        <w:tc>
          <w:tcPr>
            <w:tcW w:w="1701" w:type="dxa"/>
          </w:tcPr>
          <w:p w14:paraId="72F81C4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Digital banking adoption is associated with improved transaction efficiency, operational performance and perceived access to credit among Nigerian MSMEs.</w:t>
            </w:r>
          </w:p>
        </w:tc>
        <w:tc>
          <w:tcPr>
            <w:tcW w:w="1560" w:type="dxa"/>
          </w:tcPr>
          <w:p w14:paraId="336204F8" w14:textId="77777777" w:rsidR="0009783E" w:rsidRPr="000B78E1" w:rsidRDefault="0009783E" w:rsidP="007E4611">
            <w:pPr>
              <w:spacing w:line="276" w:lineRule="auto"/>
              <w:jc w:val="both"/>
              <w:rPr>
                <w:rFonts w:ascii="Arial" w:hAnsi="Arial" w:cs="Arial"/>
                <w:sz w:val="22"/>
                <w:szCs w:val="22"/>
              </w:rPr>
            </w:pPr>
          </w:p>
        </w:tc>
        <w:tc>
          <w:tcPr>
            <w:tcW w:w="1701" w:type="dxa"/>
          </w:tcPr>
          <w:p w14:paraId="52658006" w14:textId="77777777" w:rsidR="0009783E" w:rsidRPr="000B78E1" w:rsidRDefault="0009783E" w:rsidP="007E4611">
            <w:pPr>
              <w:spacing w:line="276" w:lineRule="auto"/>
              <w:jc w:val="both"/>
              <w:rPr>
                <w:rFonts w:ascii="Arial" w:hAnsi="Arial" w:cs="Arial"/>
                <w:sz w:val="22"/>
                <w:szCs w:val="22"/>
              </w:rPr>
            </w:pPr>
          </w:p>
        </w:tc>
      </w:tr>
      <w:tr w:rsidR="0009783E" w:rsidRPr="000B78E1" w14:paraId="64344428" w14:textId="77777777" w:rsidTr="00500EEB">
        <w:tc>
          <w:tcPr>
            <w:tcW w:w="988" w:type="dxa"/>
          </w:tcPr>
          <w:p w14:paraId="1D10D6B8" w14:textId="77777777" w:rsidR="0009783E" w:rsidRPr="000B78E1" w:rsidRDefault="0009783E" w:rsidP="007E4611">
            <w:pPr>
              <w:spacing w:line="276" w:lineRule="auto"/>
              <w:jc w:val="both"/>
              <w:rPr>
                <w:rFonts w:ascii="Arial" w:hAnsi="Arial" w:cs="Arial"/>
                <w:sz w:val="22"/>
                <w:szCs w:val="22"/>
              </w:rPr>
            </w:pPr>
            <w:proofErr w:type="spellStart"/>
            <w:r w:rsidRPr="000B78E1">
              <w:rPr>
                <w:rFonts w:ascii="Arial" w:hAnsi="Arial" w:cs="Arial"/>
                <w:sz w:val="22"/>
                <w:szCs w:val="22"/>
              </w:rPr>
              <w:t>Mashizha</w:t>
            </w:r>
            <w:proofErr w:type="spellEnd"/>
            <w:r w:rsidRPr="000B78E1">
              <w:rPr>
                <w:rFonts w:ascii="Arial" w:hAnsi="Arial" w:cs="Arial"/>
                <w:sz w:val="22"/>
                <w:szCs w:val="22"/>
              </w:rPr>
              <w:t xml:space="preserve"> et </w:t>
            </w:r>
            <w:proofErr w:type="gramStart"/>
            <w:r w:rsidRPr="000B78E1">
              <w:rPr>
                <w:rFonts w:ascii="Arial" w:hAnsi="Arial" w:cs="Arial"/>
                <w:sz w:val="22"/>
                <w:szCs w:val="22"/>
              </w:rPr>
              <w:t>al.(</w:t>
            </w:r>
            <w:proofErr w:type="gramEnd"/>
            <w:r w:rsidRPr="000B78E1">
              <w:rPr>
                <w:rFonts w:ascii="Arial" w:hAnsi="Arial" w:cs="Arial"/>
                <w:sz w:val="22"/>
                <w:szCs w:val="22"/>
              </w:rPr>
              <w:t>2024)</w:t>
            </w:r>
          </w:p>
        </w:tc>
        <w:tc>
          <w:tcPr>
            <w:tcW w:w="1559" w:type="dxa"/>
          </w:tcPr>
          <w:p w14:paraId="2A0A212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Agency banking improves SME financial inclusion in Zimbabwe by increasing access, convenience and reduced costs.</w:t>
            </w:r>
          </w:p>
        </w:tc>
        <w:tc>
          <w:tcPr>
            <w:tcW w:w="1559" w:type="dxa"/>
          </w:tcPr>
          <w:p w14:paraId="61A73DAB"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Agency theory, distribution channel theory, &amp; theory of planned behaviour.</w:t>
            </w:r>
          </w:p>
        </w:tc>
        <w:tc>
          <w:tcPr>
            <w:tcW w:w="1559" w:type="dxa"/>
          </w:tcPr>
          <w:p w14:paraId="67F5BB29"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Mixed-methods explanatory design using surveys on 78 SMEs &amp; 10 Banking agents, interviews and logistic regression.</w:t>
            </w:r>
          </w:p>
        </w:tc>
        <w:tc>
          <w:tcPr>
            <w:tcW w:w="1701" w:type="dxa"/>
          </w:tcPr>
          <w:p w14:paraId="5919FF44"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Agency banking significantly improves SME access to transactional services and shows a positive association with financial inclusion.</w:t>
            </w:r>
          </w:p>
        </w:tc>
        <w:tc>
          <w:tcPr>
            <w:tcW w:w="1560" w:type="dxa"/>
          </w:tcPr>
          <w:p w14:paraId="5562B8B5"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Results are not widely generalisable due to use of cross-sectional and self-reported data.</w:t>
            </w:r>
          </w:p>
        </w:tc>
        <w:tc>
          <w:tcPr>
            <w:tcW w:w="1701" w:type="dxa"/>
          </w:tcPr>
          <w:p w14:paraId="4754CBE6" w14:textId="77777777" w:rsidR="0009783E" w:rsidRPr="000B78E1" w:rsidRDefault="0009783E" w:rsidP="007E4611">
            <w:pPr>
              <w:spacing w:line="276" w:lineRule="auto"/>
              <w:jc w:val="both"/>
              <w:rPr>
                <w:rFonts w:ascii="Arial" w:hAnsi="Arial" w:cs="Arial"/>
                <w:sz w:val="22"/>
                <w:szCs w:val="22"/>
              </w:rPr>
            </w:pPr>
            <w:r w:rsidRPr="000B78E1">
              <w:rPr>
                <w:rFonts w:ascii="Arial" w:hAnsi="Arial" w:cs="Arial"/>
                <w:sz w:val="22"/>
                <w:szCs w:val="22"/>
              </w:rPr>
              <w:t>Agent banking can fully include SMEs in the financial system</w:t>
            </w:r>
            <w:r w:rsidRPr="000B78E1">
              <w:rPr>
                <w:rFonts w:ascii="Arial" w:eastAsia="Times New Roman" w:hAnsi="Arial" w:cs="Arial"/>
                <w:kern w:val="0"/>
                <w:sz w:val="22"/>
                <w:szCs w:val="22"/>
                <w:lang w:eastAsia="en-GB"/>
                <w14:ligatures w14:val="none"/>
              </w:rPr>
              <w:t xml:space="preserve"> </w:t>
            </w:r>
            <w:r w:rsidRPr="000B78E1">
              <w:rPr>
                <w:rFonts w:ascii="Arial" w:hAnsi="Arial" w:cs="Arial"/>
                <w:sz w:val="22"/>
                <w:szCs w:val="22"/>
              </w:rPr>
              <w:t>if there is a good legal and regulatory system</w:t>
            </w:r>
          </w:p>
          <w:p w14:paraId="1B1F0FB9" w14:textId="77777777" w:rsidR="0009783E" w:rsidRPr="000B78E1" w:rsidRDefault="0009783E" w:rsidP="007E4611">
            <w:pPr>
              <w:spacing w:line="276" w:lineRule="auto"/>
              <w:jc w:val="both"/>
              <w:rPr>
                <w:rFonts w:ascii="Arial" w:hAnsi="Arial" w:cs="Arial"/>
                <w:i/>
                <w:iCs/>
                <w:sz w:val="22"/>
                <w:szCs w:val="22"/>
              </w:rPr>
            </w:pPr>
          </w:p>
          <w:p w14:paraId="11AAE588" w14:textId="77777777" w:rsidR="0009783E" w:rsidRPr="000B78E1" w:rsidRDefault="0009783E" w:rsidP="007E4611">
            <w:pPr>
              <w:spacing w:line="276" w:lineRule="auto"/>
              <w:jc w:val="both"/>
              <w:rPr>
                <w:rFonts w:ascii="Arial" w:hAnsi="Arial" w:cs="Arial"/>
                <w:sz w:val="22"/>
                <w:szCs w:val="22"/>
              </w:rPr>
            </w:pPr>
          </w:p>
        </w:tc>
      </w:tr>
    </w:tbl>
    <w:p w14:paraId="00D59828" w14:textId="77777777" w:rsidR="00C41769" w:rsidRPr="000B78E1" w:rsidRDefault="00C41769" w:rsidP="000B78E1">
      <w:pPr>
        <w:spacing w:line="360" w:lineRule="auto"/>
        <w:rPr>
          <w:rFonts w:ascii="Arial" w:hAnsi="Arial" w:cs="Arial"/>
          <w:b/>
          <w:bCs/>
          <w:sz w:val="22"/>
          <w:szCs w:val="22"/>
        </w:rPr>
      </w:pPr>
    </w:p>
    <w:p w14:paraId="1D3AEEE1" w14:textId="0FB6A0DC" w:rsidR="00C41769" w:rsidRPr="000B78E1" w:rsidRDefault="00C41769" w:rsidP="000B78E1">
      <w:pPr>
        <w:pStyle w:val="ListParagraph"/>
        <w:numPr>
          <w:ilvl w:val="0"/>
          <w:numId w:val="32"/>
        </w:numPr>
        <w:spacing w:line="360" w:lineRule="auto"/>
        <w:jc w:val="both"/>
        <w:rPr>
          <w:rFonts w:ascii="Arial" w:hAnsi="Arial" w:cs="Arial"/>
          <w:b/>
          <w:bCs/>
          <w:sz w:val="22"/>
          <w:szCs w:val="22"/>
        </w:rPr>
      </w:pPr>
      <w:r w:rsidRPr="000B78E1">
        <w:rPr>
          <w:rFonts w:ascii="Arial" w:hAnsi="Arial" w:cs="Arial"/>
          <w:b/>
          <w:bCs/>
          <w:sz w:val="22"/>
          <w:szCs w:val="22"/>
        </w:rPr>
        <w:t xml:space="preserve">Appendix B: </w:t>
      </w:r>
    </w:p>
    <w:p w14:paraId="56947757" w14:textId="66C16CA7" w:rsidR="00B25021" w:rsidRPr="000B78E1" w:rsidRDefault="00B25021" w:rsidP="000B78E1">
      <w:pPr>
        <w:spacing w:line="360" w:lineRule="auto"/>
        <w:jc w:val="both"/>
        <w:rPr>
          <w:rFonts w:ascii="Arial" w:hAnsi="Arial" w:cs="Arial"/>
          <w:sz w:val="22"/>
          <w:szCs w:val="22"/>
        </w:rPr>
      </w:pPr>
      <w:r w:rsidRPr="000B78E1">
        <w:rPr>
          <w:rFonts w:ascii="Arial" w:hAnsi="Arial" w:cs="Arial"/>
          <w:sz w:val="22"/>
          <w:szCs w:val="22"/>
        </w:rPr>
        <w:t xml:space="preserve">List of Additional Reviewed Studies under Theme: </w:t>
      </w:r>
      <w:r w:rsidR="00094D75" w:rsidRPr="000B78E1">
        <w:rPr>
          <w:rFonts w:ascii="Arial" w:hAnsi="Arial" w:cs="Arial"/>
          <w:sz w:val="22"/>
          <w:szCs w:val="22"/>
        </w:rPr>
        <w:t>Conversion of use of DFS into Credit</w:t>
      </w:r>
    </w:p>
    <w:tbl>
      <w:tblPr>
        <w:tblStyle w:val="TableGrid"/>
        <w:tblpPr w:leftFromText="180" w:rightFromText="180" w:vertAnchor="text" w:horzAnchor="page" w:tblpX="834" w:tblpY="-563"/>
        <w:tblW w:w="10343" w:type="dxa"/>
        <w:tblLayout w:type="fixed"/>
        <w:tblLook w:val="04A0" w:firstRow="1" w:lastRow="0" w:firstColumn="1" w:lastColumn="0" w:noHBand="0" w:noVBand="1"/>
      </w:tblPr>
      <w:tblGrid>
        <w:gridCol w:w="988"/>
        <w:gridCol w:w="1559"/>
        <w:gridCol w:w="1559"/>
        <w:gridCol w:w="1559"/>
        <w:gridCol w:w="1701"/>
        <w:gridCol w:w="1560"/>
        <w:gridCol w:w="1417"/>
      </w:tblGrid>
      <w:tr w:rsidR="00E0665A" w:rsidRPr="000B78E1" w14:paraId="1FA5971D" w14:textId="77777777" w:rsidTr="00500EEB">
        <w:trPr>
          <w:tblHeader/>
        </w:trPr>
        <w:tc>
          <w:tcPr>
            <w:tcW w:w="988" w:type="dxa"/>
            <w:shd w:val="clear" w:color="auto" w:fill="E8E8E8" w:themeFill="background2"/>
          </w:tcPr>
          <w:p w14:paraId="2B3D8571" w14:textId="77777777" w:rsidR="00E0665A" w:rsidRPr="000B78E1" w:rsidRDefault="00E0665A" w:rsidP="007E4611">
            <w:pPr>
              <w:spacing w:line="276" w:lineRule="auto"/>
              <w:jc w:val="center"/>
              <w:rPr>
                <w:rFonts w:ascii="Arial" w:hAnsi="Arial" w:cs="Arial"/>
                <w:sz w:val="22"/>
                <w:szCs w:val="22"/>
              </w:rPr>
            </w:pPr>
            <w:r w:rsidRPr="000B78E1">
              <w:rPr>
                <w:rFonts w:ascii="Arial" w:hAnsi="Arial" w:cs="Arial"/>
                <w:sz w:val="22"/>
                <w:szCs w:val="22"/>
              </w:rPr>
              <w:lastRenderedPageBreak/>
              <w:t>Citation</w:t>
            </w:r>
          </w:p>
        </w:tc>
        <w:tc>
          <w:tcPr>
            <w:tcW w:w="1559" w:type="dxa"/>
            <w:shd w:val="clear" w:color="auto" w:fill="E8E8E8" w:themeFill="background2"/>
          </w:tcPr>
          <w:p w14:paraId="72350A60" w14:textId="77777777" w:rsidR="00E0665A" w:rsidRPr="000B78E1" w:rsidRDefault="00E0665A" w:rsidP="007E4611">
            <w:pPr>
              <w:spacing w:line="276" w:lineRule="auto"/>
              <w:jc w:val="center"/>
              <w:rPr>
                <w:rFonts w:ascii="Arial" w:hAnsi="Arial" w:cs="Arial"/>
                <w:sz w:val="22"/>
                <w:szCs w:val="22"/>
              </w:rPr>
            </w:pPr>
            <w:r w:rsidRPr="000B78E1">
              <w:rPr>
                <w:rFonts w:ascii="Arial" w:hAnsi="Arial" w:cs="Arial"/>
                <w:sz w:val="22"/>
                <w:szCs w:val="22"/>
              </w:rPr>
              <w:t>Key Arguments</w:t>
            </w:r>
          </w:p>
        </w:tc>
        <w:tc>
          <w:tcPr>
            <w:tcW w:w="1559" w:type="dxa"/>
            <w:shd w:val="clear" w:color="auto" w:fill="E8E8E8" w:themeFill="background2"/>
          </w:tcPr>
          <w:p w14:paraId="77DC0C44" w14:textId="77777777" w:rsidR="00E0665A" w:rsidRPr="000B78E1" w:rsidRDefault="00E0665A" w:rsidP="007E4611">
            <w:pPr>
              <w:spacing w:line="276" w:lineRule="auto"/>
              <w:jc w:val="center"/>
              <w:rPr>
                <w:rFonts w:ascii="Arial" w:hAnsi="Arial" w:cs="Arial"/>
                <w:sz w:val="22"/>
                <w:szCs w:val="22"/>
              </w:rPr>
            </w:pPr>
            <w:r w:rsidRPr="000B78E1">
              <w:rPr>
                <w:rFonts w:ascii="Arial" w:hAnsi="Arial" w:cs="Arial"/>
                <w:sz w:val="22"/>
                <w:szCs w:val="22"/>
              </w:rPr>
              <w:t>Theoretical Lens</w:t>
            </w:r>
          </w:p>
        </w:tc>
        <w:tc>
          <w:tcPr>
            <w:tcW w:w="1559" w:type="dxa"/>
            <w:shd w:val="clear" w:color="auto" w:fill="E8E8E8" w:themeFill="background2"/>
          </w:tcPr>
          <w:p w14:paraId="4FCF9599" w14:textId="77777777" w:rsidR="00E0665A" w:rsidRPr="000B78E1" w:rsidRDefault="00E0665A" w:rsidP="007E4611">
            <w:pPr>
              <w:spacing w:line="276" w:lineRule="auto"/>
              <w:jc w:val="center"/>
              <w:rPr>
                <w:rFonts w:ascii="Arial" w:hAnsi="Arial" w:cs="Arial"/>
                <w:sz w:val="22"/>
                <w:szCs w:val="22"/>
              </w:rPr>
            </w:pPr>
            <w:r w:rsidRPr="000B78E1">
              <w:rPr>
                <w:rFonts w:ascii="Arial" w:hAnsi="Arial" w:cs="Arial"/>
                <w:sz w:val="22"/>
                <w:szCs w:val="22"/>
              </w:rPr>
              <w:t>Methodology</w:t>
            </w:r>
          </w:p>
        </w:tc>
        <w:tc>
          <w:tcPr>
            <w:tcW w:w="1701" w:type="dxa"/>
            <w:shd w:val="clear" w:color="auto" w:fill="E8E8E8" w:themeFill="background2"/>
          </w:tcPr>
          <w:p w14:paraId="69AAE306" w14:textId="77777777" w:rsidR="00E0665A" w:rsidRPr="000B78E1" w:rsidRDefault="00E0665A" w:rsidP="007E4611">
            <w:pPr>
              <w:spacing w:line="276" w:lineRule="auto"/>
              <w:jc w:val="center"/>
              <w:rPr>
                <w:rFonts w:ascii="Arial" w:hAnsi="Arial" w:cs="Arial"/>
                <w:sz w:val="22"/>
                <w:szCs w:val="22"/>
              </w:rPr>
            </w:pPr>
            <w:r w:rsidRPr="000B78E1">
              <w:rPr>
                <w:rFonts w:ascii="Arial" w:hAnsi="Arial" w:cs="Arial"/>
                <w:sz w:val="22"/>
                <w:szCs w:val="22"/>
              </w:rPr>
              <w:t>Key findings</w:t>
            </w:r>
          </w:p>
        </w:tc>
        <w:tc>
          <w:tcPr>
            <w:tcW w:w="1560" w:type="dxa"/>
            <w:shd w:val="clear" w:color="auto" w:fill="E8E8E8" w:themeFill="background2"/>
          </w:tcPr>
          <w:p w14:paraId="5BD45237" w14:textId="77777777" w:rsidR="00E0665A" w:rsidRPr="000B78E1" w:rsidRDefault="00E0665A" w:rsidP="007E4611">
            <w:pPr>
              <w:spacing w:line="276" w:lineRule="auto"/>
              <w:jc w:val="center"/>
              <w:rPr>
                <w:rFonts w:ascii="Arial" w:hAnsi="Arial" w:cs="Arial"/>
                <w:sz w:val="22"/>
                <w:szCs w:val="22"/>
              </w:rPr>
            </w:pPr>
            <w:r w:rsidRPr="000B78E1">
              <w:rPr>
                <w:rFonts w:ascii="Arial" w:hAnsi="Arial" w:cs="Arial"/>
                <w:sz w:val="22"/>
                <w:szCs w:val="22"/>
              </w:rPr>
              <w:t>Critical Evaluation</w:t>
            </w:r>
          </w:p>
        </w:tc>
        <w:tc>
          <w:tcPr>
            <w:tcW w:w="1417" w:type="dxa"/>
            <w:shd w:val="clear" w:color="auto" w:fill="E8E8E8" w:themeFill="background2"/>
          </w:tcPr>
          <w:p w14:paraId="7B62FD8A" w14:textId="77777777" w:rsidR="00E0665A" w:rsidRPr="000B78E1" w:rsidRDefault="00E0665A" w:rsidP="007E4611">
            <w:pPr>
              <w:spacing w:line="276" w:lineRule="auto"/>
              <w:jc w:val="center"/>
              <w:rPr>
                <w:rFonts w:ascii="Arial" w:hAnsi="Arial" w:cs="Arial"/>
                <w:sz w:val="22"/>
                <w:szCs w:val="22"/>
              </w:rPr>
            </w:pPr>
            <w:r w:rsidRPr="000B78E1">
              <w:rPr>
                <w:rFonts w:ascii="Arial" w:hAnsi="Arial" w:cs="Arial"/>
                <w:sz w:val="22"/>
                <w:szCs w:val="22"/>
              </w:rPr>
              <w:t>Study Relevance</w:t>
            </w:r>
          </w:p>
        </w:tc>
      </w:tr>
      <w:tr w:rsidR="00E0665A" w:rsidRPr="000B78E1" w14:paraId="6A6300D4" w14:textId="77777777" w:rsidTr="00500EEB">
        <w:tc>
          <w:tcPr>
            <w:tcW w:w="988" w:type="dxa"/>
          </w:tcPr>
          <w:p w14:paraId="2EA2F04E"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Omokhoa</w:t>
            </w:r>
            <w:proofErr w:type="spellEnd"/>
            <w:r w:rsidRPr="000B78E1">
              <w:rPr>
                <w:rFonts w:ascii="Arial" w:hAnsi="Arial" w:cs="Arial"/>
                <w:sz w:val="22"/>
                <w:szCs w:val="22"/>
              </w:rPr>
              <w:t xml:space="preserve"> et al. (2024)</w:t>
            </w:r>
          </w:p>
        </w:tc>
        <w:tc>
          <w:tcPr>
            <w:tcW w:w="1559" w:type="dxa"/>
          </w:tcPr>
          <w:p w14:paraId="3BE99FBA"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Digital transformation helps SMEs get finance by reducing costs, improving data use and increasing access to credit. But success depends on infrastructure, skills, trust and regulation</w:t>
            </w:r>
          </w:p>
        </w:tc>
        <w:tc>
          <w:tcPr>
            <w:tcW w:w="1559" w:type="dxa"/>
          </w:tcPr>
          <w:p w14:paraId="0CA16FAD"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The discussion is conceptually grounded in</w:t>
            </w:r>
          </w:p>
          <w:p w14:paraId="2845EFCE"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Financial inclusion logic, AI</w:t>
            </w:r>
            <w:r w:rsidRPr="000B78E1">
              <w:rPr>
                <w:rFonts w:ascii="Arial" w:hAnsi="Arial" w:cs="Arial"/>
                <w:sz w:val="22"/>
                <w:szCs w:val="22"/>
              </w:rPr>
              <w:noBreakHyphen/>
              <w:t>driven decision making,</w:t>
            </w:r>
          </w:p>
          <w:p w14:paraId="1E0D6EE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and alternative credit assessment perspectives.</w:t>
            </w:r>
          </w:p>
        </w:tc>
        <w:tc>
          <w:tcPr>
            <w:tcW w:w="1559" w:type="dxa"/>
          </w:tcPr>
          <w:p w14:paraId="04646F2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and narrative literature review with policy and industry illustrations.</w:t>
            </w:r>
          </w:p>
        </w:tc>
        <w:tc>
          <w:tcPr>
            <w:tcW w:w="1701" w:type="dxa"/>
          </w:tcPr>
          <w:p w14:paraId="1C0A1AB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and AI reduce transaction costs, improve access to digital financial services and enhance SME efficiency, but actual expansion of formal SME credit is not empirically established.</w:t>
            </w:r>
          </w:p>
        </w:tc>
        <w:tc>
          <w:tcPr>
            <w:tcW w:w="1560" w:type="dxa"/>
          </w:tcPr>
          <w:p w14:paraId="2F72E43E"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There is no empirical testing. Does not prove impact on credit quality or long-term SME growth.</w:t>
            </w:r>
          </w:p>
        </w:tc>
        <w:tc>
          <w:tcPr>
            <w:tcW w:w="1417" w:type="dxa"/>
          </w:tcPr>
          <w:p w14:paraId="65AAF41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DFS and AI create potential </w:t>
            </w:r>
            <w:proofErr w:type="gramStart"/>
            <w:r w:rsidRPr="000B78E1">
              <w:rPr>
                <w:rFonts w:ascii="Arial" w:hAnsi="Arial" w:cs="Arial"/>
                <w:sz w:val="22"/>
                <w:szCs w:val="22"/>
              </w:rPr>
              <w:t>data</w:t>
            </w:r>
            <w:proofErr w:type="gramEnd"/>
            <w:r w:rsidRPr="000B78E1">
              <w:rPr>
                <w:rFonts w:ascii="Arial" w:hAnsi="Arial" w:cs="Arial"/>
                <w:sz w:val="22"/>
                <w:szCs w:val="22"/>
              </w:rPr>
              <w:t xml:space="preserve"> but institutions decide whether credit </w:t>
            </w:r>
            <w:proofErr w:type="gramStart"/>
            <w:r w:rsidRPr="000B78E1">
              <w:rPr>
                <w:rFonts w:ascii="Arial" w:hAnsi="Arial" w:cs="Arial"/>
                <w:sz w:val="22"/>
                <w:szCs w:val="22"/>
              </w:rPr>
              <w:t>actually happens</w:t>
            </w:r>
            <w:proofErr w:type="gramEnd"/>
            <w:r w:rsidRPr="000B78E1">
              <w:rPr>
                <w:rFonts w:ascii="Arial" w:hAnsi="Arial" w:cs="Arial"/>
                <w:sz w:val="22"/>
                <w:szCs w:val="22"/>
              </w:rPr>
              <w:t>.</w:t>
            </w:r>
          </w:p>
        </w:tc>
      </w:tr>
      <w:tr w:rsidR="00E0665A" w:rsidRPr="000B78E1" w14:paraId="49458DE5" w14:textId="77777777" w:rsidTr="00500EEB">
        <w:tc>
          <w:tcPr>
            <w:tcW w:w="988" w:type="dxa"/>
            <w:vAlign w:val="center"/>
          </w:tcPr>
          <w:p w14:paraId="7323A31F"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Yang et al. (2024)</w:t>
            </w:r>
          </w:p>
        </w:tc>
        <w:tc>
          <w:tcPr>
            <w:tcW w:w="1559" w:type="dxa"/>
            <w:vAlign w:val="center"/>
          </w:tcPr>
          <w:p w14:paraId="3935E1DC"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FinTech reduces SME financing constraints in China</w:t>
            </w:r>
          </w:p>
        </w:tc>
        <w:tc>
          <w:tcPr>
            <w:tcW w:w="1559" w:type="dxa"/>
            <w:vAlign w:val="center"/>
          </w:tcPr>
          <w:p w14:paraId="632689A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Financing constraints theory, financial development and technological innovation theory.</w:t>
            </w:r>
          </w:p>
        </w:tc>
        <w:tc>
          <w:tcPr>
            <w:tcW w:w="1559" w:type="dxa"/>
            <w:vAlign w:val="center"/>
          </w:tcPr>
          <w:p w14:paraId="587C294E"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Quantitative panel</w:t>
            </w:r>
            <w:r w:rsidRPr="000B78E1">
              <w:rPr>
                <w:rFonts w:ascii="Cambria Math" w:hAnsi="Cambria Math" w:cs="Cambria Math"/>
                <w:sz w:val="22"/>
                <w:szCs w:val="22"/>
              </w:rPr>
              <w:t>‑</w:t>
            </w:r>
            <w:r w:rsidRPr="000B78E1">
              <w:rPr>
                <w:rFonts w:ascii="Arial" w:hAnsi="Arial" w:cs="Arial"/>
                <w:sz w:val="22"/>
                <w:szCs w:val="22"/>
              </w:rPr>
              <w:t>data analysis using two</w:t>
            </w:r>
            <w:r w:rsidRPr="000B78E1">
              <w:rPr>
                <w:rFonts w:ascii="Cambria Math" w:hAnsi="Cambria Math" w:cs="Cambria Math"/>
                <w:sz w:val="22"/>
                <w:szCs w:val="22"/>
              </w:rPr>
              <w:t>‑</w:t>
            </w:r>
            <w:r w:rsidRPr="000B78E1">
              <w:rPr>
                <w:rFonts w:ascii="Arial" w:hAnsi="Arial" w:cs="Arial"/>
                <w:sz w:val="22"/>
                <w:szCs w:val="22"/>
              </w:rPr>
              <w:t>way fixed</w:t>
            </w:r>
            <w:r w:rsidRPr="000B78E1">
              <w:rPr>
                <w:rFonts w:ascii="Cambria Math" w:hAnsi="Cambria Math" w:cs="Cambria Math"/>
                <w:sz w:val="22"/>
                <w:szCs w:val="22"/>
              </w:rPr>
              <w:t>‑</w:t>
            </w:r>
            <w:r w:rsidRPr="000B78E1">
              <w:rPr>
                <w:rFonts w:ascii="Arial" w:hAnsi="Arial" w:cs="Arial"/>
                <w:sz w:val="22"/>
                <w:szCs w:val="22"/>
              </w:rPr>
              <w:t>effects regression and cash</w:t>
            </w:r>
            <w:r w:rsidRPr="000B78E1">
              <w:rPr>
                <w:rFonts w:ascii="Cambria Math" w:hAnsi="Cambria Math" w:cs="Cambria Math"/>
                <w:sz w:val="22"/>
                <w:szCs w:val="22"/>
              </w:rPr>
              <w:t>‑</w:t>
            </w:r>
            <w:r w:rsidRPr="000B78E1">
              <w:rPr>
                <w:rFonts w:ascii="Arial" w:hAnsi="Arial" w:cs="Arial"/>
                <w:sz w:val="22"/>
                <w:szCs w:val="22"/>
              </w:rPr>
              <w:t>flow sensitivity models.</w:t>
            </w:r>
          </w:p>
        </w:tc>
        <w:tc>
          <w:tcPr>
            <w:tcW w:w="1701" w:type="dxa"/>
            <w:vAlign w:val="center"/>
          </w:tcPr>
          <w:p w14:paraId="2E497A6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lowers SME financing constraints, improves performance but increases risk.</w:t>
            </w:r>
          </w:p>
        </w:tc>
        <w:tc>
          <w:tcPr>
            <w:tcW w:w="1560" w:type="dxa"/>
            <w:vAlign w:val="center"/>
          </w:tcPr>
          <w:p w14:paraId="53EA0F9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causal design but indirect proxy (cash flow sensitivity), no use loan-level data</w:t>
            </w:r>
          </w:p>
        </w:tc>
        <w:tc>
          <w:tcPr>
            <w:tcW w:w="1417" w:type="dxa"/>
            <w:vAlign w:val="center"/>
          </w:tcPr>
          <w:p w14:paraId="55661BCE"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Shows DFS can improve SME financing but not proven credit access.</w:t>
            </w:r>
          </w:p>
        </w:tc>
      </w:tr>
      <w:tr w:rsidR="00E0665A" w:rsidRPr="000B78E1" w14:paraId="31829172" w14:textId="77777777" w:rsidTr="00500EEB">
        <w:tc>
          <w:tcPr>
            <w:tcW w:w="988" w:type="dxa"/>
            <w:vAlign w:val="center"/>
          </w:tcPr>
          <w:p w14:paraId="0C615EC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Agyekum et al. (2022)</w:t>
            </w:r>
          </w:p>
        </w:tc>
        <w:tc>
          <w:tcPr>
            <w:tcW w:w="1559" w:type="dxa"/>
            <w:vAlign w:val="center"/>
          </w:tcPr>
          <w:p w14:paraId="0E7E21A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ICT use helps SMEs in South-East Asia access finance by reducing information gaps and increases chances of getting loans, overdrafts, and bank accounts.</w:t>
            </w:r>
          </w:p>
        </w:tc>
        <w:tc>
          <w:tcPr>
            <w:tcW w:w="1559" w:type="dxa"/>
            <w:vAlign w:val="center"/>
          </w:tcPr>
          <w:p w14:paraId="17DD0AD0"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Information asymmetry; financial intermediation; financial inclusion</w:t>
            </w:r>
          </w:p>
        </w:tc>
        <w:tc>
          <w:tcPr>
            <w:tcW w:w="1559" w:type="dxa"/>
            <w:vAlign w:val="center"/>
          </w:tcPr>
          <w:p w14:paraId="15F4819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Quantitative firm-level panel logistic regression with random effects and instrumental-variable robustness checks.</w:t>
            </w:r>
          </w:p>
        </w:tc>
        <w:tc>
          <w:tcPr>
            <w:tcW w:w="1701" w:type="dxa"/>
            <w:vAlign w:val="center"/>
          </w:tcPr>
          <w:p w14:paraId="601B4D6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Website ownership and email usage significantly increase SMEs’ probability of financial inclusion and access to external credit</w:t>
            </w:r>
          </w:p>
        </w:tc>
        <w:tc>
          <w:tcPr>
            <w:tcW w:w="1560" w:type="dxa"/>
            <w:vAlign w:val="center"/>
          </w:tcPr>
          <w:p w14:paraId="127524F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Focuses only on access &amp; does not show impact on long-term SME growth or financial outcomes.</w:t>
            </w:r>
          </w:p>
        </w:tc>
        <w:tc>
          <w:tcPr>
            <w:tcW w:w="1417" w:type="dxa"/>
            <w:vAlign w:val="center"/>
          </w:tcPr>
          <w:p w14:paraId="3317C23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Suggest that technological inclusion improves the probability of formal financial access by reducing information asymmetry.</w:t>
            </w:r>
          </w:p>
        </w:tc>
      </w:tr>
      <w:tr w:rsidR="00E0665A" w:rsidRPr="000B78E1" w14:paraId="62632C81" w14:textId="77777777" w:rsidTr="00500EEB">
        <w:tc>
          <w:tcPr>
            <w:tcW w:w="988" w:type="dxa"/>
            <w:vAlign w:val="center"/>
          </w:tcPr>
          <w:p w14:paraId="7912979B"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Abiduzzaman</w:t>
            </w:r>
            <w:proofErr w:type="spellEnd"/>
            <w:r w:rsidRPr="000B78E1">
              <w:rPr>
                <w:rFonts w:ascii="Arial" w:hAnsi="Arial" w:cs="Arial"/>
                <w:sz w:val="22"/>
                <w:szCs w:val="22"/>
              </w:rPr>
              <w:t xml:space="preserve"> (2025)</w:t>
            </w:r>
          </w:p>
        </w:tc>
        <w:tc>
          <w:tcPr>
            <w:tcW w:w="1559" w:type="dxa"/>
            <w:vAlign w:val="center"/>
          </w:tcPr>
          <w:p w14:paraId="594F034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Mobile data can improve credit risk assessment </w:t>
            </w:r>
            <w:r w:rsidRPr="000B78E1">
              <w:rPr>
                <w:rFonts w:ascii="Arial" w:hAnsi="Arial" w:cs="Arial"/>
                <w:sz w:val="22"/>
                <w:szCs w:val="22"/>
              </w:rPr>
              <w:lastRenderedPageBreak/>
              <w:t>in Bangladesh.</w:t>
            </w:r>
          </w:p>
        </w:tc>
        <w:tc>
          <w:tcPr>
            <w:tcW w:w="1559" w:type="dxa"/>
            <w:vAlign w:val="center"/>
          </w:tcPr>
          <w:p w14:paraId="473E93B0"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Credit risk management theory, data-driven and alternative </w:t>
            </w:r>
            <w:r w:rsidRPr="000B78E1">
              <w:rPr>
                <w:rFonts w:ascii="Arial" w:hAnsi="Arial" w:cs="Arial"/>
                <w:sz w:val="22"/>
                <w:szCs w:val="22"/>
              </w:rPr>
              <w:lastRenderedPageBreak/>
              <w:t>credit scoring frameworks.</w:t>
            </w:r>
          </w:p>
        </w:tc>
        <w:tc>
          <w:tcPr>
            <w:tcW w:w="1559" w:type="dxa"/>
            <w:vAlign w:val="center"/>
          </w:tcPr>
          <w:p w14:paraId="46B4A44C"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lastRenderedPageBreak/>
              <w:t xml:space="preserve">Quantitative design using secondary data from banks, MFIs, </w:t>
            </w:r>
            <w:r w:rsidRPr="000B78E1">
              <w:rPr>
                <w:rFonts w:ascii="Arial" w:hAnsi="Arial" w:cs="Arial"/>
                <w:sz w:val="22"/>
                <w:szCs w:val="22"/>
              </w:rPr>
              <w:lastRenderedPageBreak/>
              <w:t>MFS providers, correlation-based analytical techniques</w:t>
            </w:r>
          </w:p>
        </w:tc>
        <w:tc>
          <w:tcPr>
            <w:tcW w:w="1701" w:type="dxa"/>
            <w:vAlign w:val="center"/>
          </w:tcPr>
          <w:p w14:paraId="1B0FDDE4"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Mobile banking data can predict creditworthiness, but its use is </w:t>
            </w:r>
            <w:r w:rsidRPr="000B78E1">
              <w:rPr>
                <w:rFonts w:ascii="Arial" w:hAnsi="Arial" w:cs="Arial"/>
                <w:sz w:val="22"/>
                <w:szCs w:val="22"/>
              </w:rPr>
              <w:lastRenderedPageBreak/>
              <w:t>limited by regulatory and institutional challenges.</w:t>
            </w:r>
          </w:p>
        </w:tc>
        <w:tc>
          <w:tcPr>
            <w:tcW w:w="1560" w:type="dxa"/>
            <w:vAlign w:val="center"/>
          </w:tcPr>
          <w:p w14:paraId="4AC024F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Without empirical testing   real borrower-level </w:t>
            </w:r>
            <w:r w:rsidRPr="000B78E1">
              <w:rPr>
                <w:rFonts w:ascii="Arial" w:hAnsi="Arial" w:cs="Arial"/>
                <w:sz w:val="22"/>
                <w:szCs w:val="22"/>
              </w:rPr>
              <w:lastRenderedPageBreak/>
              <w:t>evidence, conclusions should be interpreted carefully.</w:t>
            </w:r>
          </w:p>
        </w:tc>
        <w:tc>
          <w:tcPr>
            <w:tcW w:w="1417" w:type="dxa"/>
            <w:vAlign w:val="center"/>
          </w:tcPr>
          <w:p w14:paraId="48579104"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 xml:space="preserve">Highlights potential of DFS data in Bangladesh but shows </w:t>
            </w:r>
            <w:r w:rsidRPr="000B78E1">
              <w:rPr>
                <w:rFonts w:ascii="Arial" w:hAnsi="Arial" w:cs="Arial"/>
                <w:sz w:val="22"/>
                <w:szCs w:val="22"/>
              </w:rPr>
              <w:lastRenderedPageBreak/>
              <w:t>conversion gap.</w:t>
            </w:r>
          </w:p>
        </w:tc>
      </w:tr>
      <w:tr w:rsidR="00E0665A" w:rsidRPr="000B78E1" w14:paraId="4A734D0B" w14:textId="77777777" w:rsidTr="00500EEB">
        <w:tc>
          <w:tcPr>
            <w:tcW w:w="988" w:type="dxa"/>
            <w:vAlign w:val="center"/>
          </w:tcPr>
          <w:p w14:paraId="11AF39D7"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lastRenderedPageBreak/>
              <w:t>Soremekun</w:t>
            </w:r>
            <w:proofErr w:type="spellEnd"/>
            <w:r w:rsidRPr="000B78E1">
              <w:rPr>
                <w:rFonts w:ascii="Arial" w:hAnsi="Arial" w:cs="Arial"/>
                <w:sz w:val="22"/>
                <w:szCs w:val="22"/>
              </w:rPr>
              <w:t xml:space="preserve"> et al. (2024)</w:t>
            </w:r>
          </w:p>
        </w:tc>
        <w:tc>
          <w:tcPr>
            <w:tcW w:w="1559" w:type="dxa"/>
            <w:vAlign w:val="center"/>
          </w:tcPr>
          <w:p w14:paraId="0A4AB2F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Fintech can improve SME lending in United States by using digital platforms, AI and blockchain to make lending faster, more transparent </w:t>
            </w:r>
            <w:proofErr w:type="gramStart"/>
            <w:r w:rsidRPr="000B78E1">
              <w:rPr>
                <w:rFonts w:ascii="Arial" w:hAnsi="Arial" w:cs="Arial"/>
                <w:sz w:val="22"/>
                <w:szCs w:val="22"/>
              </w:rPr>
              <w:t>and  inclusive</w:t>
            </w:r>
            <w:proofErr w:type="gramEnd"/>
            <w:r w:rsidRPr="000B78E1">
              <w:rPr>
                <w:rFonts w:ascii="Arial" w:hAnsi="Arial" w:cs="Arial"/>
                <w:sz w:val="22"/>
                <w:szCs w:val="22"/>
              </w:rPr>
              <w:t>.</w:t>
            </w:r>
          </w:p>
        </w:tc>
        <w:tc>
          <w:tcPr>
            <w:tcW w:w="1559" w:type="dxa"/>
            <w:vAlign w:val="center"/>
          </w:tcPr>
          <w:p w14:paraId="6EBF861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inclusion framework</w:t>
            </w:r>
          </w:p>
        </w:tc>
        <w:tc>
          <w:tcPr>
            <w:tcW w:w="1559" w:type="dxa"/>
            <w:vAlign w:val="center"/>
          </w:tcPr>
          <w:p w14:paraId="4488FA1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review and model development based on synthesis of existing literature and regulatory considerations.</w:t>
            </w:r>
          </w:p>
        </w:tc>
        <w:tc>
          <w:tcPr>
            <w:tcW w:w="1701" w:type="dxa"/>
            <w:vAlign w:val="center"/>
          </w:tcPr>
          <w:p w14:paraId="55EE885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An integrated fintech model can improve lending efficiency, transparency, and credit access but success depends on regulation, infrastructure, and user adoption.</w:t>
            </w:r>
          </w:p>
        </w:tc>
        <w:tc>
          <w:tcPr>
            <w:tcW w:w="1560" w:type="dxa"/>
            <w:vAlign w:val="center"/>
          </w:tcPr>
          <w:p w14:paraId="3AF1387D"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Due to purely theoretical &amp; no real-world testing, conclusions should be considered carefully.</w:t>
            </w:r>
          </w:p>
        </w:tc>
        <w:tc>
          <w:tcPr>
            <w:tcW w:w="1417" w:type="dxa"/>
            <w:vAlign w:val="center"/>
          </w:tcPr>
          <w:p w14:paraId="5310E6CE"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Shows how digital data could become lending decisions through digital platforms.</w:t>
            </w:r>
          </w:p>
        </w:tc>
      </w:tr>
      <w:tr w:rsidR="00E0665A" w:rsidRPr="000B78E1" w14:paraId="202F3BC9" w14:textId="77777777" w:rsidTr="00500EEB">
        <w:tc>
          <w:tcPr>
            <w:tcW w:w="988" w:type="dxa"/>
            <w:vAlign w:val="center"/>
          </w:tcPr>
          <w:p w14:paraId="445F8187"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Omowole</w:t>
            </w:r>
            <w:proofErr w:type="spellEnd"/>
            <w:r w:rsidRPr="000B78E1">
              <w:rPr>
                <w:rFonts w:ascii="Arial" w:hAnsi="Arial" w:cs="Arial"/>
                <w:sz w:val="22"/>
                <w:szCs w:val="22"/>
              </w:rPr>
              <w:t xml:space="preserve"> et al. (2024)</w:t>
            </w:r>
          </w:p>
        </w:tc>
        <w:tc>
          <w:tcPr>
            <w:tcW w:w="1559" w:type="dxa"/>
            <w:vAlign w:val="center"/>
          </w:tcPr>
          <w:p w14:paraId="1EF8EC6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improves microfinance &amp; uses digital tools and data to expand credit access.</w:t>
            </w:r>
          </w:p>
        </w:tc>
        <w:tc>
          <w:tcPr>
            <w:tcW w:w="1559" w:type="dxa"/>
            <w:vAlign w:val="center"/>
          </w:tcPr>
          <w:p w14:paraId="4E92663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financial inclusion framing from review papers &amp; no formal theory testing.</w:t>
            </w:r>
          </w:p>
        </w:tc>
        <w:tc>
          <w:tcPr>
            <w:tcW w:w="1559" w:type="dxa"/>
            <w:vAlign w:val="center"/>
          </w:tcPr>
          <w:p w14:paraId="61681F4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Narrative literature review with illustrative case examples</w:t>
            </w:r>
          </w:p>
        </w:tc>
        <w:tc>
          <w:tcPr>
            <w:tcW w:w="1701" w:type="dxa"/>
            <w:vAlign w:val="center"/>
          </w:tcPr>
          <w:p w14:paraId="7285A63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makes lending faster, cheaper and more inclusive improves transparency and risk assessment but may also increase privacy risks and over-borrowing.</w:t>
            </w:r>
          </w:p>
        </w:tc>
        <w:tc>
          <w:tcPr>
            <w:tcW w:w="1560" w:type="dxa"/>
            <w:vAlign w:val="center"/>
          </w:tcPr>
          <w:p w14:paraId="0C464C4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Conclusions rely on descriptive evidence. Long-term risks like over-borrowing are not fully tested.</w:t>
            </w:r>
          </w:p>
        </w:tc>
        <w:tc>
          <w:tcPr>
            <w:tcW w:w="1417" w:type="dxa"/>
            <w:vAlign w:val="center"/>
          </w:tcPr>
          <w:p w14:paraId="7FE8C73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It supports idea of multiple conversion pathways.</w:t>
            </w:r>
          </w:p>
        </w:tc>
      </w:tr>
      <w:tr w:rsidR="00E0665A" w:rsidRPr="000B78E1" w14:paraId="697E5922" w14:textId="77777777" w:rsidTr="00500EEB">
        <w:tc>
          <w:tcPr>
            <w:tcW w:w="988" w:type="dxa"/>
            <w:vAlign w:val="center"/>
          </w:tcPr>
          <w:p w14:paraId="4F15477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Yao &amp; Yang (2022)</w:t>
            </w:r>
          </w:p>
        </w:tc>
        <w:tc>
          <w:tcPr>
            <w:tcW w:w="1559" w:type="dxa"/>
            <w:vAlign w:val="center"/>
          </w:tcPr>
          <w:p w14:paraId="7E646C7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Digital finance helps SMEs innovate by reducing financing constraints, improves access to credit and supports </w:t>
            </w:r>
            <w:r w:rsidRPr="000B78E1">
              <w:rPr>
                <w:rFonts w:ascii="Arial" w:hAnsi="Arial" w:cs="Arial"/>
                <w:sz w:val="22"/>
                <w:szCs w:val="22"/>
              </w:rPr>
              <w:lastRenderedPageBreak/>
              <w:t>R&amp;D investment.</w:t>
            </w:r>
          </w:p>
        </w:tc>
        <w:tc>
          <w:tcPr>
            <w:tcW w:w="1559" w:type="dxa"/>
            <w:vAlign w:val="center"/>
          </w:tcPr>
          <w:p w14:paraId="6DA1D3D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Grounded on Information asymmetry theory &amp; financing frictions.</w:t>
            </w:r>
          </w:p>
        </w:tc>
        <w:tc>
          <w:tcPr>
            <w:tcW w:w="1559" w:type="dxa"/>
            <w:vAlign w:val="center"/>
          </w:tcPr>
          <w:p w14:paraId="7448CB60"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Uses panel data (2011–2020) with two-way fixed effects and mediation analysis. Results are checked with robustness tests.</w:t>
            </w:r>
          </w:p>
        </w:tc>
        <w:tc>
          <w:tcPr>
            <w:tcW w:w="1701" w:type="dxa"/>
            <w:vAlign w:val="center"/>
          </w:tcPr>
          <w:p w14:paraId="27AF0DD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Digital finance boosts SME innovation by reducing financing constraints; this effect is stronger for private firms and in eastern regions of China.</w:t>
            </w:r>
          </w:p>
        </w:tc>
        <w:tc>
          <w:tcPr>
            <w:tcW w:w="1560" w:type="dxa"/>
            <w:vAlign w:val="center"/>
          </w:tcPr>
          <w:p w14:paraId="01B30DE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direct credit measurement. So limited on real innovation outcomes and generalisability.</w:t>
            </w:r>
          </w:p>
        </w:tc>
        <w:tc>
          <w:tcPr>
            <w:tcW w:w="1417" w:type="dxa"/>
            <w:vAlign w:val="center"/>
          </w:tcPr>
          <w:p w14:paraId="4D2A43F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mechanism-based evidence but indirect.</w:t>
            </w:r>
          </w:p>
        </w:tc>
      </w:tr>
      <w:tr w:rsidR="00E0665A" w:rsidRPr="000B78E1" w14:paraId="64200BE6" w14:textId="77777777" w:rsidTr="00500EEB">
        <w:tc>
          <w:tcPr>
            <w:tcW w:w="988" w:type="dxa"/>
            <w:vAlign w:val="center"/>
          </w:tcPr>
          <w:p w14:paraId="2F2E6E9B"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Pamisetty</w:t>
            </w:r>
            <w:proofErr w:type="spellEnd"/>
            <w:r w:rsidRPr="000B78E1">
              <w:rPr>
                <w:rFonts w:ascii="Arial" w:hAnsi="Arial" w:cs="Arial"/>
                <w:sz w:val="22"/>
                <w:szCs w:val="22"/>
              </w:rPr>
              <w:t xml:space="preserve"> et al. (2025)</w:t>
            </w:r>
          </w:p>
        </w:tc>
        <w:tc>
          <w:tcPr>
            <w:tcW w:w="1559" w:type="dxa"/>
            <w:vAlign w:val="center"/>
          </w:tcPr>
          <w:p w14:paraId="2355F07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Explainable AI (XAI) makes credit scoring more accurate, transparent, and trustworthy.</w:t>
            </w:r>
          </w:p>
          <w:p w14:paraId="32F631D6" w14:textId="77777777" w:rsidR="00E0665A" w:rsidRPr="000B78E1" w:rsidRDefault="00E0665A" w:rsidP="007E4611">
            <w:pPr>
              <w:spacing w:line="276" w:lineRule="auto"/>
              <w:jc w:val="both"/>
              <w:rPr>
                <w:rFonts w:ascii="Arial" w:hAnsi="Arial" w:cs="Arial"/>
                <w:sz w:val="22"/>
                <w:szCs w:val="22"/>
              </w:rPr>
            </w:pPr>
          </w:p>
        </w:tc>
        <w:tc>
          <w:tcPr>
            <w:tcW w:w="1559" w:type="dxa"/>
            <w:vAlign w:val="center"/>
          </w:tcPr>
          <w:p w14:paraId="29E2B23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formal behavioural or finance theory testing.</w:t>
            </w:r>
          </w:p>
        </w:tc>
        <w:tc>
          <w:tcPr>
            <w:tcW w:w="1559" w:type="dxa"/>
            <w:vAlign w:val="center"/>
          </w:tcPr>
          <w:p w14:paraId="78DBA8C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Uses ML models on synthetic data (10,000 records) with preprocessing and train-test split.</w:t>
            </w:r>
          </w:p>
        </w:tc>
        <w:tc>
          <w:tcPr>
            <w:tcW w:w="1701" w:type="dxa"/>
            <w:vAlign w:val="center"/>
          </w:tcPr>
          <w:p w14:paraId="1DE7522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High predictive accuracy, explainability improves trust.</w:t>
            </w:r>
          </w:p>
        </w:tc>
        <w:tc>
          <w:tcPr>
            <w:tcW w:w="1560" w:type="dxa"/>
            <w:vAlign w:val="center"/>
          </w:tcPr>
          <w:p w14:paraId="4E479D4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Synthetic data; lacks real-world validation and impact evidence.</w:t>
            </w:r>
          </w:p>
        </w:tc>
        <w:tc>
          <w:tcPr>
            <w:tcW w:w="1417" w:type="dxa"/>
            <w:vAlign w:val="center"/>
          </w:tcPr>
          <w:p w14:paraId="2C6970F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Shows importance of trust for DFS to credit conversion.</w:t>
            </w:r>
          </w:p>
        </w:tc>
      </w:tr>
      <w:tr w:rsidR="00E0665A" w:rsidRPr="000B78E1" w14:paraId="6C2B1B1F" w14:textId="77777777" w:rsidTr="00500EEB">
        <w:tc>
          <w:tcPr>
            <w:tcW w:w="988" w:type="dxa"/>
            <w:vAlign w:val="center"/>
          </w:tcPr>
          <w:p w14:paraId="3C7551A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Robin et al. (2025)</w:t>
            </w:r>
          </w:p>
        </w:tc>
        <w:tc>
          <w:tcPr>
            <w:tcW w:w="1559" w:type="dxa"/>
            <w:vAlign w:val="center"/>
          </w:tcPr>
          <w:p w14:paraId="7BCAE22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Agent banking affects bank performance via credit.</w:t>
            </w:r>
          </w:p>
        </w:tc>
        <w:tc>
          <w:tcPr>
            <w:tcW w:w="1559" w:type="dxa"/>
            <w:vAlign w:val="center"/>
          </w:tcPr>
          <w:p w14:paraId="3153455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Agency theory &amp; financial intermediation theory.</w:t>
            </w:r>
          </w:p>
        </w:tc>
        <w:tc>
          <w:tcPr>
            <w:tcW w:w="1559" w:type="dxa"/>
            <w:vAlign w:val="center"/>
          </w:tcPr>
          <w:p w14:paraId="6297092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Balanced panel of nine banks (2018–2024) using panel </w:t>
            </w:r>
            <w:proofErr w:type="gramStart"/>
            <w:r w:rsidRPr="000B78E1">
              <w:rPr>
                <w:rFonts w:ascii="Arial" w:hAnsi="Arial" w:cs="Arial"/>
                <w:sz w:val="22"/>
                <w:szCs w:val="22"/>
              </w:rPr>
              <w:t>regression;.</w:t>
            </w:r>
            <w:proofErr w:type="gramEnd"/>
          </w:p>
        </w:tc>
        <w:tc>
          <w:tcPr>
            <w:tcW w:w="1701" w:type="dxa"/>
            <w:vAlign w:val="center"/>
          </w:tcPr>
          <w:p w14:paraId="5747A12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Credit disbursement improves profitability. </w:t>
            </w:r>
          </w:p>
        </w:tc>
        <w:tc>
          <w:tcPr>
            <w:tcW w:w="1560" w:type="dxa"/>
            <w:vAlign w:val="center"/>
          </w:tcPr>
          <w:p w14:paraId="71FED3B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it relies on secondary financial data and lacks qualitative field insights from agents or customers.</w:t>
            </w:r>
          </w:p>
        </w:tc>
        <w:tc>
          <w:tcPr>
            <w:tcW w:w="1417" w:type="dxa"/>
            <w:vAlign w:val="center"/>
          </w:tcPr>
          <w:p w14:paraId="580C5524"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Shows institutional role in converting DFS channels into credit</w:t>
            </w:r>
          </w:p>
        </w:tc>
      </w:tr>
      <w:tr w:rsidR="00E0665A" w:rsidRPr="000B78E1" w14:paraId="2E8C8EDB" w14:textId="77777777" w:rsidTr="00500EEB">
        <w:tc>
          <w:tcPr>
            <w:tcW w:w="988" w:type="dxa"/>
            <w:vAlign w:val="center"/>
          </w:tcPr>
          <w:p w14:paraId="4CBC545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Naiya (2025)</w:t>
            </w:r>
          </w:p>
        </w:tc>
        <w:tc>
          <w:tcPr>
            <w:tcW w:w="1559" w:type="dxa"/>
            <w:vAlign w:val="center"/>
          </w:tcPr>
          <w:p w14:paraId="6FFBA28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Automated lending expands credit access.</w:t>
            </w:r>
          </w:p>
        </w:tc>
        <w:tc>
          <w:tcPr>
            <w:tcW w:w="1559" w:type="dxa"/>
            <w:vAlign w:val="center"/>
          </w:tcPr>
          <w:p w14:paraId="239725F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Financial intermediation &amp; TAM</w:t>
            </w:r>
          </w:p>
        </w:tc>
        <w:tc>
          <w:tcPr>
            <w:tcW w:w="1559" w:type="dxa"/>
            <w:vAlign w:val="center"/>
          </w:tcPr>
          <w:p w14:paraId="7897E6DE"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qualitative study using secondary sources and qualitative thematic analysis.</w:t>
            </w:r>
          </w:p>
        </w:tc>
        <w:tc>
          <w:tcPr>
            <w:tcW w:w="1701" w:type="dxa"/>
            <w:vAlign w:val="center"/>
          </w:tcPr>
          <w:p w14:paraId="7680BBB2" w14:textId="703F9D58"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Automated lending can expand credit access, but is limited by regulation, trust and digital gaps</w:t>
            </w:r>
            <w:r w:rsidR="00CB6DE8" w:rsidRPr="000B78E1">
              <w:rPr>
                <w:rFonts w:ascii="Arial" w:hAnsi="Arial" w:cs="Arial"/>
                <w:sz w:val="22"/>
                <w:szCs w:val="22"/>
              </w:rPr>
              <w:t>,</w:t>
            </w:r>
            <w:r w:rsidRPr="000B78E1">
              <w:rPr>
                <w:rFonts w:ascii="Arial" w:hAnsi="Arial" w:cs="Arial"/>
                <w:sz w:val="22"/>
                <w:szCs w:val="22"/>
              </w:rPr>
              <w:t xml:space="preserve"> in rural areas low literacy and connectivity hinder adoption.</w:t>
            </w:r>
          </w:p>
        </w:tc>
        <w:tc>
          <w:tcPr>
            <w:tcW w:w="1560" w:type="dxa"/>
            <w:vAlign w:val="center"/>
          </w:tcPr>
          <w:p w14:paraId="43AD8EF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Lacks empirical evidence and clear proof of long-term impact.</w:t>
            </w:r>
          </w:p>
        </w:tc>
        <w:tc>
          <w:tcPr>
            <w:tcW w:w="1417" w:type="dxa"/>
            <w:vAlign w:val="center"/>
          </w:tcPr>
          <w:p w14:paraId="7452FBA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Reinforces conditional nature of DFS conversion to credit.</w:t>
            </w:r>
          </w:p>
        </w:tc>
      </w:tr>
      <w:tr w:rsidR="00E0665A" w:rsidRPr="000B78E1" w14:paraId="0B174C29" w14:textId="77777777" w:rsidTr="00500EEB">
        <w:tc>
          <w:tcPr>
            <w:tcW w:w="988" w:type="dxa"/>
            <w:vAlign w:val="center"/>
          </w:tcPr>
          <w:p w14:paraId="61513E1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Rahman &amp; Sadik (2025)</w:t>
            </w:r>
          </w:p>
        </w:tc>
        <w:tc>
          <w:tcPr>
            <w:tcW w:w="1559" w:type="dxa"/>
            <w:vAlign w:val="center"/>
          </w:tcPr>
          <w:p w14:paraId="04C83D6C"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DFS impacts growth and sustainability</w:t>
            </w:r>
          </w:p>
        </w:tc>
        <w:tc>
          <w:tcPr>
            <w:tcW w:w="1559" w:type="dxa"/>
            <w:vAlign w:val="center"/>
          </w:tcPr>
          <w:p w14:paraId="10E900C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Technology Acceptance Model (TAM) and Endogenous Growth Theory (EGT)</w:t>
            </w:r>
          </w:p>
        </w:tc>
        <w:tc>
          <w:tcPr>
            <w:tcW w:w="1559" w:type="dxa"/>
            <w:vAlign w:val="center"/>
          </w:tcPr>
          <w:p w14:paraId="55CF69AB" w14:textId="655CEC96"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Multi-stage scale development with survey data </w:t>
            </w:r>
            <w:r w:rsidR="0074138F" w:rsidRPr="000B78E1">
              <w:rPr>
                <w:rFonts w:ascii="Arial" w:hAnsi="Arial" w:cs="Arial"/>
                <w:sz w:val="22"/>
                <w:szCs w:val="22"/>
              </w:rPr>
              <w:t>analysed</w:t>
            </w:r>
            <w:r w:rsidRPr="000B78E1">
              <w:rPr>
                <w:rFonts w:ascii="Arial" w:hAnsi="Arial" w:cs="Arial"/>
                <w:sz w:val="22"/>
                <w:szCs w:val="22"/>
              </w:rPr>
              <w:t xml:space="preserve"> using EFA/CFA (SPSS, AMOS).</w:t>
            </w:r>
          </w:p>
        </w:tc>
        <w:tc>
          <w:tcPr>
            <w:tcW w:w="1701" w:type="dxa"/>
            <w:vAlign w:val="center"/>
          </w:tcPr>
          <w:p w14:paraId="1115B8B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EFA and CFA show the scales are valid and can be used as a standard tool to measure DFS adoption and its impact on performance and sustainability.</w:t>
            </w:r>
          </w:p>
        </w:tc>
        <w:tc>
          <w:tcPr>
            <w:tcW w:w="1560" w:type="dxa"/>
            <w:vAlign w:val="center"/>
          </w:tcPr>
          <w:p w14:paraId="095CE88E"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causal or credit outcome testing</w:t>
            </w:r>
          </w:p>
        </w:tc>
        <w:tc>
          <w:tcPr>
            <w:tcW w:w="1417" w:type="dxa"/>
            <w:vAlign w:val="center"/>
          </w:tcPr>
          <w:p w14:paraId="4C52446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Provides measurement tools but not conversion evidence.</w:t>
            </w:r>
          </w:p>
        </w:tc>
      </w:tr>
      <w:tr w:rsidR="00E0665A" w:rsidRPr="000B78E1" w14:paraId="0D3EF40D" w14:textId="77777777" w:rsidTr="00500EEB">
        <w:tc>
          <w:tcPr>
            <w:tcW w:w="988" w:type="dxa"/>
            <w:vAlign w:val="center"/>
          </w:tcPr>
          <w:p w14:paraId="17D1767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Oreoluwa et al. (2025)</w:t>
            </w:r>
          </w:p>
        </w:tc>
        <w:tc>
          <w:tcPr>
            <w:tcW w:w="1559" w:type="dxa"/>
            <w:vAlign w:val="center"/>
          </w:tcPr>
          <w:p w14:paraId="59BAAE90"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lending improves MSME access and growth.</w:t>
            </w:r>
          </w:p>
        </w:tc>
        <w:tc>
          <w:tcPr>
            <w:tcW w:w="1559" w:type="dxa"/>
            <w:vAlign w:val="center"/>
          </w:tcPr>
          <w:p w14:paraId="69C7A36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Innovation diffusion theory</w:t>
            </w:r>
          </w:p>
        </w:tc>
        <w:tc>
          <w:tcPr>
            <w:tcW w:w="1559" w:type="dxa"/>
            <w:vAlign w:val="center"/>
          </w:tcPr>
          <w:p w14:paraId="2AD47F2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PRISMA systematic literature review</w:t>
            </w:r>
          </w:p>
        </w:tc>
        <w:tc>
          <w:tcPr>
            <w:tcW w:w="1701" w:type="dxa"/>
            <w:vAlign w:val="center"/>
          </w:tcPr>
          <w:p w14:paraId="351E179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Alternative data, improves credit access, business performance, but needs strong regulation, partnerships, and better digital literacy.</w:t>
            </w:r>
          </w:p>
        </w:tc>
        <w:tc>
          <w:tcPr>
            <w:tcW w:w="1560" w:type="dxa"/>
            <w:vAlign w:val="center"/>
          </w:tcPr>
          <w:p w14:paraId="5E7BC65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Only 10 studies limits robustness</w:t>
            </w:r>
          </w:p>
        </w:tc>
        <w:tc>
          <w:tcPr>
            <w:tcW w:w="1417" w:type="dxa"/>
            <w:vAlign w:val="center"/>
          </w:tcPr>
          <w:p w14:paraId="4D7499D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Supports conversion narrative but weak evidence base.</w:t>
            </w:r>
          </w:p>
        </w:tc>
      </w:tr>
      <w:tr w:rsidR="00E0665A" w:rsidRPr="000B78E1" w14:paraId="64D7A095" w14:textId="77777777" w:rsidTr="00500EEB">
        <w:tc>
          <w:tcPr>
            <w:tcW w:w="988" w:type="dxa"/>
            <w:vAlign w:val="center"/>
          </w:tcPr>
          <w:p w14:paraId="43253E8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Dai et al. (2023)</w:t>
            </w:r>
          </w:p>
        </w:tc>
        <w:tc>
          <w:tcPr>
            <w:tcW w:w="1559" w:type="dxa"/>
            <w:vAlign w:val="center"/>
          </w:tcPr>
          <w:p w14:paraId="06DBEC6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DIF reduces SME leverage via cost and constraint channels.</w:t>
            </w:r>
          </w:p>
        </w:tc>
        <w:tc>
          <w:tcPr>
            <w:tcW w:w="1559" w:type="dxa"/>
            <w:vAlign w:val="center"/>
          </w:tcPr>
          <w:p w14:paraId="3E07EEF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Financial development theory</w:t>
            </w:r>
          </w:p>
        </w:tc>
        <w:tc>
          <w:tcPr>
            <w:tcW w:w="1559" w:type="dxa"/>
            <w:vAlign w:val="center"/>
          </w:tcPr>
          <w:p w14:paraId="5167A6F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Uses panel data (2015–2019) of Chinese SMEs with fixed-effects regression and mediation analysis</w:t>
            </w:r>
          </w:p>
        </w:tc>
        <w:tc>
          <w:tcPr>
            <w:tcW w:w="1701" w:type="dxa"/>
            <w:vAlign w:val="center"/>
          </w:tcPr>
          <w:p w14:paraId="107D29C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Reduced financing cost and constraints.</w:t>
            </w:r>
          </w:p>
        </w:tc>
        <w:tc>
          <w:tcPr>
            <w:tcW w:w="1560" w:type="dxa"/>
            <w:vAlign w:val="center"/>
          </w:tcPr>
          <w:p w14:paraId="2CB854D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Focuses only on listed SMEs, uses regional data instead of firm-level use, assumes lower debt is always good.</w:t>
            </w:r>
          </w:p>
        </w:tc>
        <w:tc>
          <w:tcPr>
            <w:tcW w:w="1417" w:type="dxa"/>
            <w:vAlign w:val="center"/>
          </w:tcPr>
          <w:p w14:paraId="369A9F2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mechanism evidence but not direct lending proof.</w:t>
            </w:r>
          </w:p>
        </w:tc>
      </w:tr>
      <w:tr w:rsidR="00E0665A" w:rsidRPr="000B78E1" w14:paraId="1409A72D" w14:textId="77777777" w:rsidTr="00500EEB">
        <w:tc>
          <w:tcPr>
            <w:tcW w:w="988" w:type="dxa"/>
            <w:vAlign w:val="center"/>
          </w:tcPr>
          <w:p w14:paraId="3F386E0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Yu et al. (2023)</w:t>
            </w:r>
          </w:p>
        </w:tc>
        <w:tc>
          <w:tcPr>
            <w:tcW w:w="1559" w:type="dxa"/>
            <w:vAlign w:val="center"/>
          </w:tcPr>
          <w:p w14:paraId="72E23D6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DIF improves SME performance</w:t>
            </w:r>
          </w:p>
        </w:tc>
        <w:tc>
          <w:tcPr>
            <w:tcW w:w="1559" w:type="dxa"/>
            <w:vAlign w:val="center"/>
          </w:tcPr>
          <w:p w14:paraId="6C5AE5C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Financial development logic</w:t>
            </w:r>
          </w:p>
        </w:tc>
        <w:tc>
          <w:tcPr>
            <w:tcW w:w="1559" w:type="dxa"/>
            <w:vAlign w:val="center"/>
          </w:tcPr>
          <w:p w14:paraId="762E984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Panel regression + IV</w:t>
            </w:r>
          </w:p>
        </w:tc>
        <w:tc>
          <w:tcPr>
            <w:tcW w:w="1701" w:type="dxa"/>
            <w:vAlign w:val="center"/>
          </w:tcPr>
          <w:p w14:paraId="7495B00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Better ROA, innovation, risk capacity</w:t>
            </w:r>
          </w:p>
        </w:tc>
        <w:tc>
          <w:tcPr>
            <w:tcW w:w="1560" w:type="dxa"/>
            <w:vAlign w:val="center"/>
          </w:tcPr>
          <w:p w14:paraId="2D8F696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direct credit access measurement</w:t>
            </w:r>
          </w:p>
        </w:tc>
        <w:tc>
          <w:tcPr>
            <w:tcW w:w="1417" w:type="dxa"/>
            <w:vAlign w:val="center"/>
          </w:tcPr>
          <w:p w14:paraId="71CB019C"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Shows outcomes but not credit pathway</w:t>
            </w:r>
          </w:p>
        </w:tc>
      </w:tr>
      <w:tr w:rsidR="00E0665A" w:rsidRPr="000B78E1" w14:paraId="4E8CCB05" w14:textId="77777777" w:rsidTr="00500EEB">
        <w:tc>
          <w:tcPr>
            <w:tcW w:w="988" w:type="dxa"/>
            <w:vAlign w:val="center"/>
          </w:tcPr>
          <w:p w14:paraId="515F133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Pizzi et al. (2021)</w:t>
            </w:r>
          </w:p>
        </w:tc>
        <w:tc>
          <w:tcPr>
            <w:tcW w:w="1559" w:type="dxa"/>
            <w:vAlign w:val="center"/>
          </w:tcPr>
          <w:p w14:paraId="4771ACE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acts as a critical enabler for SME’s transition to circular and sustainable business models.</w:t>
            </w:r>
          </w:p>
          <w:p w14:paraId="6F020389" w14:textId="77777777" w:rsidR="00E0665A" w:rsidRPr="000B78E1" w:rsidRDefault="00E0665A" w:rsidP="007E4611">
            <w:pPr>
              <w:spacing w:line="276" w:lineRule="auto"/>
              <w:jc w:val="both"/>
              <w:rPr>
                <w:rFonts w:ascii="Arial" w:hAnsi="Arial" w:cs="Arial"/>
                <w:sz w:val="22"/>
                <w:szCs w:val="22"/>
              </w:rPr>
            </w:pPr>
          </w:p>
        </w:tc>
        <w:tc>
          <w:tcPr>
            <w:tcW w:w="1559" w:type="dxa"/>
            <w:vAlign w:val="center"/>
          </w:tcPr>
          <w:p w14:paraId="3B4E89C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Circular </w:t>
            </w:r>
            <w:proofErr w:type="gramStart"/>
            <w:r w:rsidRPr="000B78E1">
              <w:rPr>
                <w:rFonts w:ascii="Arial" w:hAnsi="Arial" w:cs="Arial"/>
                <w:sz w:val="22"/>
                <w:szCs w:val="22"/>
              </w:rPr>
              <w:t>Economy,  Sustainable</w:t>
            </w:r>
            <w:proofErr w:type="gramEnd"/>
            <w:r w:rsidRPr="000B78E1">
              <w:rPr>
                <w:rFonts w:ascii="Arial" w:hAnsi="Arial" w:cs="Arial"/>
                <w:sz w:val="22"/>
                <w:szCs w:val="22"/>
              </w:rPr>
              <w:t xml:space="preserve"> Business Model Canvas &amp; Industry 4.0</w:t>
            </w:r>
          </w:p>
        </w:tc>
        <w:tc>
          <w:tcPr>
            <w:tcW w:w="1559" w:type="dxa"/>
            <w:vAlign w:val="center"/>
          </w:tcPr>
          <w:p w14:paraId="4F080CB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Qualitative multiple-case study </w:t>
            </w:r>
            <w:proofErr w:type="gramStart"/>
            <w:r w:rsidRPr="000B78E1">
              <w:rPr>
                <w:rFonts w:ascii="Arial" w:hAnsi="Arial" w:cs="Arial"/>
                <w:sz w:val="22"/>
                <w:szCs w:val="22"/>
              </w:rPr>
              <w:t>of  8,000</w:t>
            </w:r>
            <w:proofErr w:type="gramEnd"/>
            <w:r w:rsidRPr="000B78E1">
              <w:rPr>
                <w:rFonts w:ascii="Arial" w:hAnsi="Arial" w:cs="Arial"/>
                <w:sz w:val="22"/>
                <w:szCs w:val="22"/>
              </w:rPr>
              <w:t xml:space="preserve"> Fintech firms.</w:t>
            </w:r>
          </w:p>
        </w:tc>
        <w:tc>
          <w:tcPr>
            <w:tcW w:w="1701" w:type="dxa"/>
            <w:vAlign w:val="center"/>
          </w:tcPr>
          <w:p w14:paraId="02DD245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reduces barriers and helps SMEs adopt circular practices in payments and lending.</w:t>
            </w:r>
          </w:p>
        </w:tc>
        <w:tc>
          <w:tcPr>
            <w:tcW w:w="1560" w:type="dxa"/>
            <w:vAlign w:val="center"/>
          </w:tcPr>
          <w:p w14:paraId="78C73514"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integration of fintech with circular economy but limited by a small qualitative sample and no comparison with non-fintech SMEs</w:t>
            </w:r>
          </w:p>
        </w:tc>
        <w:tc>
          <w:tcPr>
            <w:tcW w:w="1417" w:type="dxa"/>
            <w:vAlign w:val="center"/>
          </w:tcPr>
          <w:p w14:paraId="0D4C3190"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Shows that digital finance supports sustainable SME transformation</w:t>
            </w:r>
          </w:p>
          <w:p w14:paraId="3F161E14" w14:textId="77777777" w:rsidR="00E0665A" w:rsidRPr="000B78E1" w:rsidRDefault="00E0665A" w:rsidP="007E4611">
            <w:pPr>
              <w:spacing w:line="276" w:lineRule="auto"/>
              <w:jc w:val="both"/>
              <w:rPr>
                <w:rFonts w:ascii="Arial" w:hAnsi="Arial" w:cs="Arial"/>
                <w:sz w:val="22"/>
                <w:szCs w:val="22"/>
              </w:rPr>
            </w:pPr>
          </w:p>
        </w:tc>
      </w:tr>
      <w:tr w:rsidR="00E0665A" w:rsidRPr="000B78E1" w14:paraId="5B29E026" w14:textId="77777777" w:rsidTr="00500EEB">
        <w:tc>
          <w:tcPr>
            <w:tcW w:w="988" w:type="dxa"/>
            <w:vAlign w:val="center"/>
          </w:tcPr>
          <w:p w14:paraId="0A554BEC"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Pereira et al. (2026)</w:t>
            </w:r>
          </w:p>
        </w:tc>
        <w:tc>
          <w:tcPr>
            <w:tcW w:w="1559" w:type="dxa"/>
            <w:vAlign w:val="center"/>
          </w:tcPr>
          <w:p w14:paraId="054E4CB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FinTech improves innovation via institutional support</w:t>
            </w:r>
          </w:p>
        </w:tc>
        <w:tc>
          <w:tcPr>
            <w:tcW w:w="1559" w:type="dxa"/>
            <w:vAlign w:val="center"/>
          </w:tcPr>
          <w:p w14:paraId="27E0DF5E"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Ecosystem theory; TCE</w:t>
            </w:r>
          </w:p>
        </w:tc>
        <w:tc>
          <w:tcPr>
            <w:tcW w:w="1559" w:type="dxa"/>
            <w:vAlign w:val="center"/>
          </w:tcPr>
          <w:p w14:paraId="78E5F46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Panel regression</w:t>
            </w:r>
          </w:p>
        </w:tc>
        <w:tc>
          <w:tcPr>
            <w:tcW w:w="1701" w:type="dxa"/>
            <w:vAlign w:val="center"/>
          </w:tcPr>
          <w:p w14:paraId="28DE4320"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Governance enables conversion</w:t>
            </w:r>
          </w:p>
        </w:tc>
        <w:tc>
          <w:tcPr>
            <w:tcW w:w="1560" w:type="dxa"/>
            <w:vAlign w:val="center"/>
          </w:tcPr>
          <w:p w14:paraId="71C1FA8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Limited to listed firms</w:t>
            </w:r>
          </w:p>
        </w:tc>
        <w:tc>
          <w:tcPr>
            <w:tcW w:w="1417" w:type="dxa"/>
            <w:vAlign w:val="center"/>
          </w:tcPr>
          <w:p w14:paraId="39B47644"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support for institutional role in conversion</w:t>
            </w:r>
          </w:p>
        </w:tc>
      </w:tr>
      <w:tr w:rsidR="00E0665A" w:rsidRPr="000B78E1" w14:paraId="6CB00564" w14:textId="77777777" w:rsidTr="00500EEB">
        <w:tc>
          <w:tcPr>
            <w:tcW w:w="988" w:type="dxa"/>
            <w:vAlign w:val="center"/>
          </w:tcPr>
          <w:p w14:paraId="7088FCA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Zhang et al. (2025)</w:t>
            </w:r>
          </w:p>
        </w:tc>
        <w:tc>
          <w:tcPr>
            <w:tcW w:w="1559" w:type="dxa"/>
            <w:vAlign w:val="center"/>
          </w:tcPr>
          <w:p w14:paraId="52516D4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DFI improves SME development via mechanisms</w:t>
            </w:r>
          </w:p>
        </w:tc>
        <w:tc>
          <w:tcPr>
            <w:tcW w:w="1559" w:type="dxa"/>
            <w:vAlign w:val="center"/>
          </w:tcPr>
          <w:p w14:paraId="18D947A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Financial development; long-tail theory</w:t>
            </w:r>
          </w:p>
        </w:tc>
        <w:tc>
          <w:tcPr>
            <w:tcW w:w="1559" w:type="dxa"/>
            <w:vAlign w:val="center"/>
          </w:tcPr>
          <w:p w14:paraId="629FBBB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Panel + mediation</w:t>
            </w:r>
          </w:p>
        </w:tc>
        <w:tc>
          <w:tcPr>
            <w:tcW w:w="1701" w:type="dxa"/>
            <w:vAlign w:val="center"/>
          </w:tcPr>
          <w:p w14:paraId="24F1760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Institutional mechanisms matter</w:t>
            </w:r>
          </w:p>
        </w:tc>
        <w:tc>
          <w:tcPr>
            <w:tcW w:w="1560" w:type="dxa"/>
            <w:vAlign w:val="center"/>
          </w:tcPr>
          <w:p w14:paraId="5E4AECB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direct loan data</w:t>
            </w:r>
          </w:p>
        </w:tc>
        <w:tc>
          <w:tcPr>
            <w:tcW w:w="1417" w:type="dxa"/>
            <w:vAlign w:val="center"/>
          </w:tcPr>
          <w:p w14:paraId="7B6855C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support for conversion dependency</w:t>
            </w:r>
          </w:p>
        </w:tc>
      </w:tr>
      <w:tr w:rsidR="00E0665A" w:rsidRPr="000B78E1" w14:paraId="4FDAB07A" w14:textId="77777777" w:rsidTr="00500EEB">
        <w:tc>
          <w:tcPr>
            <w:tcW w:w="988" w:type="dxa"/>
            <w:vAlign w:val="center"/>
          </w:tcPr>
          <w:p w14:paraId="37CBB37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Azman et al. (2025)</w:t>
            </w:r>
          </w:p>
        </w:tc>
        <w:tc>
          <w:tcPr>
            <w:tcW w:w="1559" w:type="dxa"/>
            <w:vAlign w:val="center"/>
          </w:tcPr>
          <w:p w14:paraId="1CB0592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Strategy mediates DFS benefits</w:t>
            </w:r>
          </w:p>
        </w:tc>
        <w:tc>
          <w:tcPr>
            <w:tcW w:w="1559" w:type="dxa"/>
            <w:vAlign w:val="center"/>
          </w:tcPr>
          <w:p w14:paraId="3459429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RBV; dynamic capabilities</w:t>
            </w:r>
          </w:p>
        </w:tc>
        <w:tc>
          <w:tcPr>
            <w:tcW w:w="1559" w:type="dxa"/>
            <w:vAlign w:val="center"/>
          </w:tcPr>
          <w:p w14:paraId="5F5BE29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review</w:t>
            </w:r>
          </w:p>
        </w:tc>
        <w:tc>
          <w:tcPr>
            <w:tcW w:w="1701" w:type="dxa"/>
            <w:vAlign w:val="center"/>
          </w:tcPr>
          <w:p w14:paraId="63105E8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Strategic alignment required</w:t>
            </w:r>
          </w:p>
        </w:tc>
        <w:tc>
          <w:tcPr>
            <w:tcW w:w="1560" w:type="dxa"/>
            <w:vAlign w:val="center"/>
          </w:tcPr>
          <w:p w14:paraId="0606FFD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empirical validation</w:t>
            </w:r>
          </w:p>
        </w:tc>
        <w:tc>
          <w:tcPr>
            <w:tcW w:w="1417" w:type="dxa"/>
            <w:vAlign w:val="center"/>
          </w:tcPr>
          <w:p w14:paraId="5591A7AE"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Highlights organisational conversion process</w:t>
            </w:r>
          </w:p>
        </w:tc>
      </w:tr>
      <w:tr w:rsidR="00E0665A" w:rsidRPr="000B78E1" w14:paraId="0CA0FEB2" w14:textId="77777777" w:rsidTr="00CF1425">
        <w:tc>
          <w:tcPr>
            <w:tcW w:w="988" w:type="dxa"/>
            <w:vAlign w:val="center"/>
          </w:tcPr>
          <w:p w14:paraId="13B1123D"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Bindeeba</w:t>
            </w:r>
            <w:proofErr w:type="spellEnd"/>
            <w:r w:rsidRPr="000B78E1">
              <w:rPr>
                <w:rFonts w:ascii="Arial" w:hAnsi="Arial" w:cs="Arial"/>
                <w:sz w:val="22"/>
                <w:szCs w:val="22"/>
              </w:rPr>
              <w:t xml:space="preserve"> et al. (2025)</w:t>
            </w:r>
          </w:p>
        </w:tc>
        <w:tc>
          <w:tcPr>
            <w:tcW w:w="1559" w:type="dxa"/>
            <w:vAlign w:val="center"/>
          </w:tcPr>
          <w:p w14:paraId="0B15607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Credit access conditions digital outcomes</w:t>
            </w:r>
          </w:p>
        </w:tc>
        <w:tc>
          <w:tcPr>
            <w:tcW w:w="1559" w:type="dxa"/>
            <w:vAlign w:val="center"/>
          </w:tcPr>
          <w:p w14:paraId="4E217DF5" w14:textId="2DAE689B"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TOE</w:t>
            </w:r>
            <w:r w:rsidR="00CF1425" w:rsidRPr="000B78E1">
              <w:rPr>
                <w:rFonts w:ascii="Arial" w:hAnsi="Arial" w:cs="Arial"/>
                <w:sz w:val="22"/>
                <w:szCs w:val="22"/>
              </w:rPr>
              <w:t>,</w:t>
            </w:r>
            <w:r w:rsidRPr="000B78E1">
              <w:rPr>
                <w:rFonts w:ascii="Arial" w:hAnsi="Arial" w:cs="Arial"/>
                <w:sz w:val="22"/>
                <w:szCs w:val="22"/>
              </w:rPr>
              <w:t xml:space="preserve"> RBV</w:t>
            </w:r>
            <w:r w:rsidR="00CF1425" w:rsidRPr="000B78E1">
              <w:rPr>
                <w:rFonts w:ascii="Arial" w:hAnsi="Arial" w:cs="Arial"/>
                <w:sz w:val="22"/>
                <w:szCs w:val="22"/>
              </w:rPr>
              <w:t>,</w:t>
            </w:r>
            <w:r w:rsidRPr="000B78E1">
              <w:rPr>
                <w:rFonts w:ascii="Arial" w:hAnsi="Arial" w:cs="Arial"/>
                <w:sz w:val="22"/>
                <w:szCs w:val="22"/>
              </w:rPr>
              <w:t xml:space="preserve"> dynamic capability</w:t>
            </w:r>
          </w:p>
        </w:tc>
        <w:tc>
          <w:tcPr>
            <w:tcW w:w="1559" w:type="dxa"/>
            <w:vAlign w:val="center"/>
          </w:tcPr>
          <w:p w14:paraId="75E9EE9A" w14:textId="1A9CDDFA" w:rsidR="00E0665A" w:rsidRPr="000B78E1" w:rsidRDefault="007F0E06" w:rsidP="007E4611">
            <w:pPr>
              <w:spacing w:line="276" w:lineRule="auto"/>
              <w:jc w:val="both"/>
              <w:rPr>
                <w:rFonts w:ascii="Arial" w:hAnsi="Arial" w:cs="Arial"/>
                <w:sz w:val="22"/>
                <w:szCs w:val="22"/>
              </w:rPr>
            </w:pPr>
            <w:r w:rsidRPr="000B78E1">
              <w:rPr>
                <w:rFonts w:ascii="Arial" w:hAnsi="Arial" w:cs="Arial"/>
                <w:sz w:val="22"/>
                <w:szCs w:val="22"/>
              </w:rPr>
              <w:t>SAM (Survey)</w:t>
            </w:r>
          </w:p>
        </w:tc>
        <w:tc>
          <w:tcPr>
            <w:tcW w:w="1701" w:type="dxa"/>
            <w:vAlign w:val="center"/>
          </w:tcPr>
          <w:p w14:paraId="2A73788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Credit access is key moderator</w:t>
            </w:r>
          </w:p>
        </w:tc>
        <w:tc>
          <w:tcPr>
            <w:tcW w:w="1560" w:type="dxa"/>
            <w:vAlign w:val="center"/>
          </w:tcPr>
          <w:p w14:paraId="2AE423D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Cross-sectional; perception-based</w:t>
            </w:r>
          </w:p>
        </w:tc>
        <w:tc>
          <w:tcPr>
            <w:tcW w:w="1417" w:type="dxa"/>
            <w:vAlign w:val="center"/>
          </w:tcPr>
          <w:p w14:paraId="0D40DE6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evidence that credit is prerequisite for impact</w:t>
            </w:r>
          </w:p>
        </w:tc>
      </w:tr>
      <w:tr w:rsidR="00E0665A" w:rsidRPr="000B78E1" w14:paraId="6FD3D748" w14:textId="77777777" w:rsidTr="00500EEB">
        <w:tc>
          <w:tcPr>
            <w:tcW w:w="988" w:type="dxa"/>
            <w:vAlign w:val="center"/>
          </w:tcPr>
          <w:p w14:paraId="1757AE0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Chibueze (2021)</w:t>
            </w:r>
          </w:p>
        </w:tc>
        <w:tc>
          <w:tcPr>
            <w:tcW w:w="1559" w:type="dxa"/>
            <w:vAlign w:val="center"/>
          </w:tcPr>
          <w:p w14:paraId="19BB572C"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Hybrid banking needed for SME credit</w:t>
            </w:r>
          </w:p>
        </w:tc>
        <w:tc>
          <w:tcPr>
            <w:tcW w:w="1559" w:type="dxa"/>
            <w:vAlign w:val="center"/>
          </w:tcPr>
          <w:p w14:paraId="430C01A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Financial inclusion logic</w:t>
            </w:r>
          </w:p>
        </w:tc>
        <w:tc>
          <w:tcPr>
            <w:tcW w:w="1559" w:type="dxa"/>
            <w:vAlign w:val="center"/>
          </w:tcPr>
          <w:p w14:paraId="3EA87F98"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review</w:t>
            </w:r>
          </w:p>
        </w:tc>
        <w:tc>
          <w:tcPr>
            <w:tcW w:w="1701" w:type="dxa"/>
            <w:vAlign w:val="center"/>
          </w:tcPr>
          <w:p w14:paraId="6133C3D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Digital alone insufficient</w:t>
            </w:r>
          </w:p>
        </w:tc>
        <w:tc>
          <w:tcPr>
            <w:tcW w:w="1560" w:type="dxa"/>
            <w:vAlign w:val="center"/>
          </w:tcPr>
          <w:p w14:paraId="19ECA58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empirical testing</w:t>
            </w:r>
          </w:p>
        </w:tc>
        <w:tc>
          <w:tcPr>
            <w:tcW w:w="1417" w:type="dxa"/>
            <w:vAlign w:val="center"/>
          </w:tcPr>
          <w:p w14:paraId="269651F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conceptual support for your core argument</w:t>
            </w:r>
          </w:p>
        </w:tc>
      </w:tr>
      <w:tr w:rsidR="00E0665A" w:rsidRPr="000B78E1" w14:paraId="5D1A8270" w14:textId="77777777" w:rsidTr="00500EEB">
        <w:tc>
          <w:tcPr>
            <w:tcW w:w="988" w:type="dxa"/>
            <w:vAlign w:val="center"/>
          </w:tcPr>
          <w:p w14:paraId="2CF6E1D7"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Omokhoa</w:t>
            </w:r>
            <w:proofErr w:type="spellEnd"/>
            <w:r w:rsidRPr="000B78E1">
              <w:rPr>
                <w:rFonts w:ascii="Arial" w:hAnsi="Arial" w:cs="Arial"/>
                <w:sz w:val="22"/>
                <w:szCs w:val="22"/>
              </w:rPr>
              <w:t xml:space="preserve"> et al. (2024)</w:t>
            </w:r>
          </w:p>
        </w:tc>
        <w:tc>
          <w:tcPr>
            <w:tcW w:w="1559" w:type="dxa"/>
            <w:vAlign w:val="center"/>
          </w:tcPr>
          <w:p w14:paraId="1642B22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AI enables alternative credit scoring</w:t>
            </w:r>
          </w:p>
        </w:tc>
        <w:tc>
          <w:tcPr>
            <w:tcW w:w="1559" w:type="dxa"/>
            <w:vAlign w:val="center"/>
          </w:tcPr>
          <w:p w14:paraId="17BA1D40"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AI/financial inclusion logic</w:t>
            </w:r>
          </w:p>
        </w:tc>
        <w:tc>
          <w:tcPr>
            <w:tcW w:w="1559" w:type="dxa"/>
            <w:vAlign w:val="center"/>
          </w:tcPr>
          <w:p w14:paraId="5A00DCDE"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Narrative review</w:t>
            </w:r>
          </w:p>
        </w:tc>
        <w:tc>
          <w:tcPr>
            <w:tcW w:w="1701" w:type="dxa"/>
            <w:vAlign w:val="center"/>
          </w:tcPr>
          <w:p w14:paraId="6E26087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AI improves inclusion potential</w:t>
            </w:r>
          </w:p>
        </w:tc>
        <w:tc>
          <w:tcPr>
            <w:tcW w:w="1560" w:type="dxa"/>
            <w:vAlign w:val="center"/>
          </w:tcPr>
          <w:p w14:paraId="441F929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real-world validation</w:t>
            </w:r>
          </w:p>
        </w:tc>
        <w:tc>
          <w:tcPr>
            <w:tcW w:w="1417" w:type="dxa"/>
            <w:vAlign w:val="center"/>
          </w:tcPr>
          <w:p w14:paraId="0A46E70D" w14:textId="77777777" w:rsidR="00E0665A" w:rsidRPr="000B78E1" w:rsidRDefault="00E0665A" w:rsidP="007E4611">
            <w:pPr>
              <w:spacing w:line="276" w:lineRule="auto"/>
              <w:rPr>
                <w:rFonts w:ascii="Arial" w:hAnsi="Arial" w:cs="Arial"/>
                <w:sz w:val="22"/>
                <w:szCs w:val="22"/>
              </w:rPr>
            </w:pPr>
            <w:r w:rsidRPr="000B78E1">
              <w:rPr>
                <w:rFonts w:ascii="Arial" w:hAnsi="Arial" w:cs="Arial"/>
                <w:sz w:val="22"/>
                <w:szCs w:val="22"/>
              </w:rPr>
              <w:t>Shows technological potential but institutional gap</w:t>
            </w:r>
          </w:p>
        </w:tc>
      </w:tr>
      <w:tr w:rsidR="00E0665A" w:rsidRPr="000B78E1" w14:paraId="551FA779" w14:textId="77777777" w:rsidTr="00500EEB">
        <w:tc>
          <w:tcPr>
            <w:tcW w:w="988" w:type="dxa"/>
            <w:vAlign w:val="center"/>
          </w:tcPr>
          <w:p w14:paraId="5D0ADCAD"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Omokhoa</w:t>
            </w:r>
            <w:proofErr w:type="spellEnd"/>
            <w:r w:rsidRPr="000B78E1">
              <w:rPr>
                <w:rFonts w:ascii="Arial" w:hAnsi="Arial" w:cs="Arial"/>
                <w:sz w:val="22"/>
                <w:szCs w:val="22"/>
              </w:rPr>
              <w:t xml:space="preserve"> et al. (2024)</w:t>
            </w:r>
          </w:p>
        </w:tc>
        <w:tc>
          <w:tcPr>
            <w:tcW w:w="1559" w:type="dxa"/>
            <w:vAlign w:val="center"/>
          </w:tcPr>
          <w:p w14:paraId="04C0B87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AI fintech improves credit and access but needs proper governance to avoid risks.</w:t>
            </w:r>
          </w:p>
        </w:tc>
        <w:tc>
          <w:tcPr>
            <w:tcW w:w="1559" w:type="dxa"/>
            <w:vAlign w:val="center"/>
          </w:tcPr>
          <w:p w14:paraId="707131A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AI &amp; financial inclusion logic</w:t>
            </w:r>
          </w:p>
        </w:tc>
        <w:tc>
          <w:tcPr>
            <w:tcW w:w="1559" w:type="dxa"/>
            <w:vAlign w:val="center"/>
          </w:tcPr>
          <w:p w14:paraId="418AA2A5"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Conceptual and narrative review synthesising academic literature and industry practices</w:t>
            </w:r>
          </w:p>
        </w:tc>
        <w:tc>
          <w:tcPr>
            <w:tcW w:w="1701" w:type="dxa"/>
            <w:vAlign w:val="center"/>
          </w:tcPr>
          <w:p w14:paraId="7E8E58CC"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AI improves credit accuracy, access and efficiency but creates </w:t>
            </w:r>
            <w:proofErr w:type="gramStart"/>
            <w:r w:rsidRPr="000B78E1">
              <w:rPr>
                <w:rFonts w:ascii="Arial" w:hAnsi="Arial" w:cs="Arial"/>
                <w:sz w:val="22"/>
                <w:szCs w:val="22"/>
              </w:rPr>
              <w:t>risks,  hybrid</w:t>
            </w:r>
            <w:proofErr w:type="gramEnd"/>
            <w:r w:rsidRPr="000B78E1">
              <w:rPr>
                <w:rFonts w:ascii="Arial" w:hAnsi="Arial" w:cs="Arial"/>
                <w:sz w:val="22"/>
                <w:szCs w:val="22"/>
              </w:rPr>
              <w:t xml:space="preserve"> human–AI models and strong policy support are needed.</w:t>
            </w:r>
          </w:p>
        </w:tc>
        <w:tc>
          <w:tcPr>
            <w:tcW w:w="1560" w:type="dxa"/>
            <w:vAlign w:val="center"/>
          </w:tcPr>
          <w:p w14:paraId="35F1878A"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Strong and well-explained </w:t>
            </w:r>
            <w:proofErr w:type="gramStart"/>
            <w:r w:rsidRPr="000B78E1">
              <w:rPr>
                <w:rFonts w:ascii="Arial" w:hAnsi="Arial" w:cs="Arial"/>
                <w:sz w:val="22"/>
                <w:szCs w:val="22"/>
              </w:rPr>
              <w:t>concept  but</w:t>
            </w:r>
            <w:proofErr w:type="gramEnd"/>
            <w:r w:rsidRPr="000B78E1">
              <w:rPr>
                <w:rFonts w:ascii="Arial" w:hAnsi="Arial" w:cs="Arial"/>
                <w:sz w:val="22"/>
                <w:szCs w:val="22"/>
              </w:rPr>
              <w:t xml:space="preserve"> lacks real data and causal evidence.</w:t>
            </w:r>
          </w:p>
        </w:tc>
        <w:tc>
          <w:tcPr>
            <w:tcW w:w="1417" w:type="dxa"/>
            <w:vAlign w:val="center"/>
          </w:tcPr>
          <w:p w14:paraId="0DE995AC"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DFS and AI create potential data, but institutions decide whether credit </w:t>
            </w:r>
            <w:proofErr w:type="gramStart"/>
            <w:r w:rsidRPr="000B78E1">
              <w:rPr>
                <w:rFonts w:ascii="Arial" w:hAnsi="Arial" w:cs="Arial"/>
                <w:sz w:val="22"/>
                <w:szCs w:val="22"/>
              </w:rPr>
              <w:t>actually happens</w:t>
            </w:r>
            <w:proofErr w:type="gramEnd"/>
          </w:p>
        </w:tc>
      </w:tr>
      <w:tr w:rsidR="00E0665A" w:rsidRPr="000B78E1" w14:paraId="2FCAB173" w14:textId="77777777" w:rsidTr="004002E7">
        <w:tc>
          <w:tcPr>
            <w:tcW w:w="988" w:type="dxa"/>
            <w:vAlign w:val="center"/>
          </w:tcPr>
          <w:p w14:paraId="3A68AB71" w14:textId="77777777" w:rsidR="00E0665A" w:rsidRPr="000B78E1" w:rsidRDefault="00E0665A" w:rsidP="007E4611">
            <w:pPr>
              <w:spacing w:line="276" w:lineRule="auto"/>
              <w:jc w:val="both"/>
              <w:rPr>
                <w:rFonts w:ascii="Arial" w:hAnsi="Arial" w:cs="Arial"/>
                <w:sz w:val="22"/>
                <w:szCs w:val="22"/>
              </w:rPr>
            </w:pPr>
            <w:proofErr w:type="spellStart"/>
            <w:r w:rsidRPr="000B78E1">
              <w:rPr>
                <w:rFonts w:ascii="Arial" w:hAnsi="Arial" w:cs="Arial"/>
                <w:sz w:val="22"/>
                <w:szCs w:val="22"/>
              </w:rPr>
              <w:t>Mulungula</w:t>
            </w:r>
            <w:proofErr w:type="spellEnd"/>
            <w:r w:rsidRPr="000B78E1">
              <w:rPr>
                <w:rFonts w:ascii="Arial" w:hAnsi="Arial" w:cs="Arial"/>
                <w:sz w:val="22"/>
                <w:szCs w:val="22"/>
              </w:rPr>
              <w:t xml:space="preserve"> et al. (2023)</w:t>
            </w:r>
          </w:p>
        </w:tc>
        <w:tc>
          <w:tcPr>
            <w:tcW w:w="1559" w:type="dxa"/>
            <w:vAlign w:val="center"/>
          </w:tcPr>
          <w:p w14:paraId="5C85E9C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DFS improves relationships, not credit</w:t>
            </w:r>
          </w:p>
        </w:tc>
        <w:tc>
          <w:tcPr>
            <w:tcW w:w="1559" w:type="dxa"/>
            <w:vAlign w:val="center"/>
          </w:tcPr>
          <w:p w14:paraId="1865C445" w14:textId="4DFD4F4F"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UTAUT</w:t>
            </w:r>
            <w:r w:rsidR="00CF1425" w:rsidRPr="000B78E1">
              <w:rPr>
                <w:rFonts w:ascii="Arial" w:hAnsi="Arial" w:cs="Arial"/>
                <w:sz w:val="22"/>
                <w:szCs w:val="22"/>
              </w:rPr>
              <w:t xml:space="preserve"> &amp;</w:t>
            </w:r>
            <w:r w:rsidRPr="000B78E1">
              <w:rPr>
                <w:rFonts w:ascii="Arial" w:hAnsi="Arial" w:cs="Arial"/>
                <w:sz w:val="22"/>
                <w:szCs w:val="22"/>
              </w:rPr>
              <w:t>PAM</w:t>
            </w:r>
          </w:p>
        </w:tc>
        <w:tc>
          <w:tcPr>
            <w:tcW w:w="1559" w:type="dxa"/>
            <w:vAlign w:val="center"/>
          </w:tcPr>
          <w:p w14:paraId="13274A2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SEM survey</w:t>
            </w:r>
          </w:p>
        </w:tc>
        <w:tc>
          <w:tcPr>
            <w:tcW w:w="1701" w:type="dxa"/>
            <w:vAlign w:val="center"/>
          </w:tcPr>
          <w:p w14:paraId="6554B81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Trust improves, credit unclear</w:t>
            </w:r>
          </w:p>
        </w:tc>
        <w:tc>
          <w:tcPr>
            <w:tcW w:w="1560" w:type="dxa"/>
            <w:vAlign w:val="center"/>
          </w:tcPr>
          <w:p w14:paraId="7E28640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No lending data</w:t>
            </w:r>
          </w:p>
        </w:tc>
        <w:tc>
          <w:tcPr>
            <w:tcW w:w="1417" w:type="dxa"/>
            <w:vAlign w:val="center"/>
          </w:tcPr>
          <w:p w14:paraId="6E939BBE" w14:textId="72249E65"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Strong contradiction</w:t>
            </w:r>
            <w:r w:rsidR="00CF1425" w:rsidRPr="000B78E1">
              <w:rPr>
                <w:rFonts w:ascii="Arial" w:hAnsi="Arial" w:cs="Arial"/>
                <w:sz w:val="22"/>
                <w:szCs w:val="22"/>
              </w:rPr>
              <w:t>,</w:t>
            </w:r>
            <w:r w:rsidRPr="000B78E1">
              <w:rPr>
                <w:rFonts w:ascii="Arial" w:hAnsi="Arial" w:cs="Arial"/>
                <w:sz w:val="22"/>
                <w:szCs w:val="22"/>
              </w:rPr>
              <w:t xml:space="preserve"> DFS </w:t>
            </w:r>
            <w:r w:rsidR="00CF1425" w:rsidRPr="000B78E1">
              <w:rPr>
                <w:rFonts w:ascii="Arial" w:hAnsi="Arial" w:cs="Arial"/>
                <w:sz w:val="22"/>
                <w:szCs w:val="22"/>
              </w:rPr>
              <w:t>does not lead</w:t>
            </w:r>
            <w:r w:rsidRPr="000B78E1">
              <w:rPr>
                <w:rFonts w:ascii="Arial" w:hAnsi="Arial" w:cs="Arial"/>
                <w:sz w:val="22"/>
                <w:szCs w:val="22"/>
              </w:rPr>
              <w:t xml:space="preserve"> credit</w:t>
            </w:r>
          </w:p>
        </w:tc>
      </w:tr>
      <w:tr w:rsidR="00E0665A" w:rsidRPr="000B78E1" w14:paraId="02B2D554" w14:textId="77777777" w:rsidTr="004002E7">
        <w:tc>
          <w:tcPr>
            <w:tcW w:w="988" w:type="dxa"/>
            <w:vAlign w:val="center"/>
          </w:tcPr>
          <w:p w14:paraId="0E06522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Irene et al. (2025)</w:t>
            </w:r>
          </w:p>
        </w:tc>
        <w:tc>
          <w:tcPr>
            <w:tcW w:w="1559" w:type="dxa"/>
            <w:vAlign w:val="center"/>
          </w:tcPr>
          <w:p w14:paraId="2389B586"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Institutions determine credit access</w:t>
            </w:r>
          </w:p>
        </w:tc>
        <w:tc>
          <w:tcPr>
            <w:tcW w:w="1559" w:type="dxa"/>
            <w:vAlign w:val="center"/>
          </w:tcPr>
          <w:p w14:paraId="7505A0F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Institutional theory</w:t>
            </w:r>
          </w:p>
        </w:tc>
        <w:tc>
          <w:tcPr>
            <w:tcW w:w="1559" w:type="dxa"/>
            <w:vAlign w:val="center"/>
          </w:tcPr>
          <w:p w14:paraId="73FDAC13" w14:textId="4B6A0E15"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Survey </w:t>
            </w:r>
            <w:r w:rsidR="00CF1425" w:rsidRPr="000B78E1">
              <w:rPr>
                <w:rFonts w:ascii="Arial" w:hAnsi="Arial" w:cs="Arial"/>
                <w:sz w:val="22"/>
                <w:szCs w:val="22"/>
              </w:rPr>
              <w:t>&amp;</w:t>
            </w:r>
            <w:r w:rsidRPr="000B78E1">
              <w:rPr>
                <w:rFonts w:ascii="Arial" w:hAnsi="Arial" w:cs="Arial"/>
                <w:sz w:val="22"/>
                <w:szCs w:val="22"/>
              </w:rPr>
              <w:t xml:space="preserve"> SEM</w:t>
            </w:r>
          </w:p>
        </w:tc>
        <w:tc>
          <w:tcPr>
            <w:tcW w:w="1701" w:type="dxa"/>
            <w:vAlign w:val="center"/>
          </w:tcPr>
          <w:p w14:paraId="65BF4E8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Institutional willingness key</w:t>
            </w:r>
          </w:p>
        </w:tc>
        <w:tc>
          <w:tcPr>
            <w:tcW w:w="1560" w:type="dxa"/>
            <w:vAlign w:val="center"/>
          </w:tcPr>
          <w:p w14:paraId="7733C9EF"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Small sample</w:t>
            </w:r>
          </w:p>
        </w:tc>
        <w:tc>
          <w:tcPr>
            <w:tcW w:w="1417" w:type="dxa"/>
            <w:vAlign w:val="center"/>
          </w:tcPr>
          <w:p w14:paraId="18D6C791"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 xml:space="preserve">Strong empirical support for </w:t>
            </w:r>
            <w:r w:rsidRPr="000B78E1">
              <w:rPr>
                <w:rFonts w:ascii="Arial" w:hAnsi="Arial" w:cs="Arial"/>
                <w:sz w:val="22"/>
                <w:szCs w:val="22"/>
              </w:rPr>
              <w:lastRenderedPageBreak/>
              <w:t>institutional role</w:t>
            </w:r>
          </w:p>
        </w:tc>
      </w:tr>
      <w:tr w:rsidR="00E0665A" w:rsidRPr="000B78E1" w14:paraId="1F4CDE37" w14:textId="77777777" w:rsidTr="004002E7">
        <w:tc>
          <w:tcPr>
            <w:tcW w:w="988" w:type="dxa"/>
            <w:vAlign w:val="center"/>
          </w:tcPr>
          <w:p w14:paraId="21AEAE37"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lastRenderedPageBreak/>
              <w:t>Jalil (2021)</w:t>
            </w:r>
          </w:p>
        </w:tc>
        <w:tc>
          <w:tcPr>
            <w:tcW w:w="1559" w:type="dxa"/>
            <w:vAlign w:val="center"/>
          </w:tcPr>
          <w:p w14:paraId="455E3E6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Digital finance mediates microfinance outcomes</w:t>
            </w:r>
          </w:p>
        </w:tc>
        <w:tc>
          <w:tcPr>
            <w:tcW w:w="1559" w:type="dxa"/>
            <w:vAlign w:val="center"/>
          </w:tcPr>
          <w:p w14:paraId="4B8C349B"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BOP theory</w:t>
            </w:r>
          </w:p>
        </w:tc>
        <w:tc>
          <w:tcPr>
            <w:tcW w:w="1559" w:type="dxa"/>
            <w:vAlign w:val="center"/>
          </w:tcPr>
          <w:p w14:paraId="5CCAF393"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SEM</w:t>
            </w:r>
          </w:p>
        </w:tc>
        <w:tc>
          <w:tcPr>
            <w:tcW w:w="1701" w:type="dxa"/>
            <w:vAlign w:val="center"/>
          </w:tcPr>
          <w:p w14:paraId="70EF435D"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Partial mediation effect</w:t>
            </w:r>
          </w:p>
        </w:tc>
        <w:tc>
          <w:tcPr>
            <w:tcW w:w="1560" w:type="dxa"/>
            <w:vAlign w:val="center"/>
          </w:tcPr>
          <w:p w14:paraId="25F83562"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Cross-sectional</w:t>
            </w:r>
          </w:p>
        </w:tc>
        <w:tc>
          <w:tcPr>
            <w:tcW w:w="1417" w:type="dxa"/>
            <w:vAlign w:val="center"/>
          </w:tcPr>
          <w:p w14:paraId="3E24A7F9" w14:textId="77777777" w:rsidR="00E0665A" w:rsidRPr="000B78E1" w:rsidRDefault="00E0665A" w:rsidP="007E4611">
            <w:pPr>
              <w:spacing w:line="276" w:lineRule="auto"/>
              <w:jc w:val="both"/>
              <w:rPr>
                <w:rFonts w:ascii="Arial" w:hAnsi="Arial" w:cs="Arial"/>
                <w:sz w:val="22"/>
                <w:szCs w:val="22"/>
              </w:rPr>
            </w:pPr>
            <w:r w:rsidRPr="000B78E1">
              <w:rPr>
                <w:rFonts w:ascii="Arial" w:hAnsi="Arial" w:cs="Arial"/>
                <w:sz w:val="22"/>
                <w:szCs w:val="22"/>
              </w:rPr>
              <w:t>Shows conversion mechanism logic</w:t>
            </w:r>
          </w:p>
        </w:tc>
      </w:tr>
    </w:tbl>
    <w:p w14:paraId="0EE80B4C" w14:textId="77777777" w:rsidR="00B25021" w:rsidRPr="000B78E1" w:rsidRDefault="00B25021" w:rsidP="000B78E1">
      <w:pPr>
        <w:spacing w:line="360" w:lineRule="auto"/>
        <w:jc w:val="both"/>
        <w:rPr>
          <w:rFonts w:ascii="Arial" w:hAnsi="Arial" w:cs="Arial"/>
          <w:b/>
          <w:bCs/>
          <w:sz w:val="22"/>
          <w:szCs w:val="22"/>
        </w:rPr>
      </w:pPr>
    </w:p>
    <w:p w14:paraId="5F6E0E36" w14:textId="037EAECD" w:rsidR="00E0665A" w:rsidRPr="000B78E1" w:rsidRDefault="00E0665A" w:rsidP="000B78E1">
      <w:pPr>
        <w:pStyle w:val="ListParagraph"/>
        <w:numPr>
          <w:ilvl w:val="0"/>
          <w:numId w:val="32"/>
        </w:numPr>
        <w:spacing w:line="360" w:lineRule="auto"/>
        <w:jc w:val="both"/>
        <w:rPr>
          <w:rFonts w:ascii="Arial" w:hAnsi="Arial" w:cs="Arial"/>
          <w:b/>
          <w:bCs/>
          <w:sz w:val="22"/>
          <w:szCs w:val="22"/>
        </w:rPr>
      </w:pPr>
      <w:r w:rsidRPr="000B78E1">
        <w:rPr>
          <w:rFonts w:ascii="Arial" w:hAnsi="Arial" w:cs="Arial"/>
          <w:b/>
          <w:bCs/>
          <w:sz w:val="22"/>
          <w:szCs w:val="22"/>
        </w:rPr>
        <w:t xml:space="preserve">Appendix C: </w:t>
      </w:r>
    </w:p>
    <w:p w14:paraId="03AF4486" w14:textId="77777777" w:rsidR="00D52B82" w:rsidRPr="000B78E1" w:rsidRDefault="00E0665A" w:rsidP="000B78E1">
      <w:pPr>
        <w:spacing w:line="360" w:lineRule="auto"/>
        <w:jc w:val="both"/>
        <w:rPr>
          <w:rFonts w:ascii="Arial" w:hAnsi="Arial" w:cs="Arial"/>
          <w:b/>
          <w:bCs/>
          <w:sz w:val="22"/>
          <w:szCs w:val="22"/>
        </w:rPr>
      </w:pPr>
      <w:r w:rsidRPr="000B78E1">
        <w:rPr>
          <w:rFonts w:ascii="Arial" w:hAnsi="Arial" w:cs="Arial"/>
          <w:sz w:val="22"/>
          <w:szCs w:val="22"/>
        </w:rPr>
        <w:t xml:space="preserve">List of Additional Reviewed Studies under Theme: </w:t>
      </w:r>
      <w:r w:rsidR="00D52B82" w:rsidRPr="000B78E1">
        <w:rPr>
          <w:rFonts w:ascii="Arial" w:hAnsi="Arial" w:cs="Arial"/>
          <w:sz w:val="22"/>
          <w:szCs w:val="22"/>
        </w:rPr>
        <w:t>Credit Access and SME Sustainability Outcomes</w:t>
      </w:r>
      <w:r w:rsidR="00D52B82" w:rsidRPr="000B78E1">
        <w:rPr>
          <w:rFonts w:ascii="Arial" w:hAnsi="Arial" w:cs="Arial"/>
          <w:b/>
          <w:bCs/>
          <w:sz w:val="22"/>
          <w:szCs w:val="22"/>
        </w:rPr>
        <w:t xml:space="preserve"> </w:t>
      </w:r>
    </w:p>
    <w:tbl>
      <w:tblPr>
        <w:tblStyle w:val="TableGrid"/>
        <w:tblpPr w:leftFromText="180" w:rightFromText="180" w:vertAnchor="text" w:horzAnchor="margin" w:tblpXSpec="center" w:tblpY="250"/>
        <w:tblW w:w="10627" w:type="dxa"/>
        <w:tblLayout w:type="fixed"/>
        <w:tblLook w:val="04A0" w:firstRow="1" w:lastRow="0" w:firstColumn="1" w:lastColumn="0" w:noHBand="0" w:noVBand="1"/>
      </w:tblPr>
      <w:tblGrid>
        <w:gridCol w:w="988"/>
        <w:gridCol w:w="1559"/>
        <w:gridCol w:w="1559"/>
        <w:gridCol w:w="1559"/>
        <w:gridCol w:w="1701"/>
        <w:gridCol w:w="1560"/>
        <w:gridCol w:w="1701"/>
      </w:tblGrid>
      <w:tr w:rsidR="00DE7B79" w:rsidRPr="000B78E1" w14:paraId="47418BEA" w14:textId="77777777" w:rsidTr="00500EEB">
        <w:trPr>
          <w:tblHeader/>
        </w:trPr>
        <w:tc>
          <w:tcPr>
            <w:tcW w:w="988" w:type="dxa"/>
            <w:shd w:val="clear" w:color="auto" w:fill="E8E8E8" w:themeFill="background2"/>
          </w:tcPr>
          <w:p w14:paraId="170589BE" w14:textId="77777777" w:rsidR="00DE7B79" w:rsidRPr="000B78E1" w:rsidRDefault="00DE7B79" w:rsidP="00F97793">
            <w:pPr>
              <w:spacing w:line="276" w:lineRule="auto"/>
              <w:jc w:val="center"/>
              <w:rPr>
                <w:rFonts w:ascii="Arial" w:hAnsi="Arial" w:cs="Arial"/>
                <w:sz w:val="22"/>
                <w:szCs w:val="22"/>
              </w:rPr>
            </w:pPr>
            <w:r w:rsidRPr="000B78E1">
              <w:rPr>
                <w:rFonts w:ascii="Arial" w:hAnsi="Arial" w:cs="Arial"/>
                <w:sz w:val="22"/>
                <w:szCs w:val="22"/>
              </w:rPr>
              <w:t>Citation</w:t>
            </w:r>
          </w:p>
        </w:tc>
        <w:tc>
          <w:tcPr>
            <w:tcW w:w="1559" w:type="dxa"/>
            <w:shd w:val="clear" w:color="auto" w:fill="E8E8E8" w:themeFill="background2"/>
          </w:tcPr>
          <w:p w14:paraId="4A820009" w14:textId="77777777" w:rsidR="00DE7B79" w:rsidRPr="000B78E1" w:rsidRDefault="00DE7B79" w:rsidP="00F97793">
            <w:pPr>
              <w:spacing w:line="276" w:lineRule="auto"/>
              <w:jc w:val="center"/>
              <w:rPr>
                <w:rFonts w:ascii="Arial" w:hAnsi="Arial" w:cs="Arial"/>
                <w:sz w:val="22"/>
                <w:szCs w:val="22"/>
              </w:rPr>
            </w:pPr>
            <w:r w:rsidRPr="000B78E1">
              <w:rPr>
                <w:rFonts w:ascii="Arial" w:hAnsi="Arial" w:cs="Arial"/>
                <w:sz w:val="22"/>
                <w:szCs w:val="22"/>
              </w:rPr>
              <w:t>Key Arguments</w:t>
            </w:r>
          </w:p>
        </w:tc>
        <w:tc>
          <w:tcPr>
            <w:tcW w:w="1559" w:type="dxa"/>
            <w:shd w:val="clear" w:color="auto" w:fill="E8E8E8" w:themeFill="background2"/>
          </w:tcPr>
          <w:p w14:paraId="78483414" w14:textId="77777777" w:rsidR="00DE7B79" w:rsidRPr="000B78E1" w:rsidRDefault="00DE7B79" w:rsidP="00F97793">
            <w:pPr>
              <w:spacing w:line="276" w:lineRule="auto"/>
              <w:jc w:val="center"/>
              <w:rPr>
                <w:rFonts w:ascii="Arial" w:hAnsi="Arial" w:cs="Arial"/>
                <w:sz w:val="22"/>
                <w:szCs w:val="22"/>
              </w:rPr>
            </w:pPr>
            <w:r w:rsidRPr="000B78E1">
              <w:rPr>
                <w:rFonts w:ascii="Arial" w:hAnsi="Arial" w:cs="Arial"/>
                <w:sz w:val="22"/>
                <w:szCs w:val="22"/>
              </w:rPr>
              <w:t>Theoretical Lens</w:t>
            </w:r>
          </w:p>
        </w:tc>
        <w:tc>
          <w:tcPr>
            <w:tcW w:w="1559" w:type="dxa"/>
            <w:shd w:val="clear" w:color="auto" w:fill="E8E8E8" w:themeFill="background2"/>
          </w:tcPr>
          <w:p w14:paraId="0502E92B" w14:textId="77777777" w:rsidR="00DE7B79" w:rsidRPr="000B78E1" w:rsidRDefault="00DE7B79" w:rsidP="00F97793">
            <w:pPr>
              <w:spacing w:line="276" w:lineRule="auto"/>
              <w:jc w:val="center"/>
              <w:rPr>
                <w:rFonts w:ascii="Arial" w:hAnsi="Arial" w:cs="Arial"/>
                <w:sz w:val="22"/>
                <w:szCs w:val="22"/>
              </w:rPr>
            </w:pPr>
            <w:r w:rsidRPr="000B78E1">
              <w:rPr>
                <w:rFonts w:ascii="Arial" w:hAnsi="Arial" w:cs="Arial"/>
                <w:sz w:val="22"/>
                <w:szCs w:val="22"/>
              </w:rPr>
              <w:t>Methodology</w:t>
            </w:r>
          </w:p>
        </w:tc>
        <w:tc>
          <w:tcPr>
            <w:tcW w:w="1701" w:type="dxa"/>
            <w:shd w:val="clear" w:color="auto" w:fill="E8E8E8" w:themeFill="background2"/>
          </w:tcPr>
          <w:p w14:paraId="5BB7BA83" w14:textId="77777777" w:rsidR="00DE7B79" w:rsidRPr="000B78E1" w:rsidRDefault="00DE7B79" w:rsidP="00F97793">
            <w:pPr>
              <w:spacing w:line="276" w:lineRule="auto"/>
              <w:jc w:val="center"/>
              <w:rPr>
                <w:rFonts w:ascii="Arial" w:hAnsi="Arial" w:cs="Arial"/>
                <w:sz w:val="22"/>
                <w:szCs w:val="22"/>
              </w:rPr>
            </w:pPr>
            <w:r w:rsidRPr="000B78E1">
              <w:rPr>
                <w:rFonts w:ascii="Arial" w:hAnsi="Arial" w:cs="Arial"/>
                <w:sz w:val="22"/>
                <w:szCs w:val="22"/>
              </w:rPr>
              <w:t>Key findings</w:t>
            </w:r>
          </w:p>
        </w:tc>
        <w:tc>
          <w:tcPr>
            <w:tcW w:w="1560" w:type="dxa"/>
            <w:shd w:val="clear" w:color="auto" w:fill="E8E8E8" w:themeFill="background2"/>
          </w:tcPr>
          <w:p w14:paraId="327B0DA8" w14:textId="77777777" w:rsidR="00DE7B79" w:rsidRPr="000B78E1" w:rsidRDefault="00DE7B79" w:rsidP="00F97793">
            <w:pPr>
              <w:spacing w:line="276" w:lineRule="auto"/>
              <w:jc w:val="center"/>
              <w:rPr>
                <w:rFonts w:ascii="Arial" w:hAnsi="Arial" w:cs="Arial"/>
                <w:sz w:val="22"/>
                <w:szCs w:val="22"/>
              </w:rPr>
            </w:pPr>
            <w:r w:rsidRPr="000B78E1">
              <w:rPr>
                <w:rFonts w:ascii="Arial" w:hAnsi="Arial" w:cs="Arial"/>
                <w:sz w:val="22"/>
                <w:szCs w:val="22"/>
              </w:rPr>
              <w:t>Critical Evaluation</w:t>
            </w:r>
          </w:p>
        </w:tc>
        <w:tc>
          <w:tcPr>
            <w:tcW w:w="1701" w:type="dxa"/>
            <w:shd w:val="clear" w:color="auto" w:fill="E8E8E8" w:themeFill="background2"/>
          </w:tcPr>
          <w:p w14:paraId="35C7A63F" w14:textId="77777777" w:rsidR="00DE7B79" w:rsidRPr="000B78E1" w:rsidRDefault="00DE7B79" w:rsidP="00F97793">
            <w:pPr>
              <w:spacing w:line="276" w:lineRule="auto"/>
              <w:jc w:val="center"/>
              <w:rPr>
                <w:rFonts w:ascii="Arial" w:hAnsi="Arial" w:cs="Arial"/>
                <w:sz w:val="22"/>
                <w:szCs w:val="22"/>
              </w:rPr>
            </w:pPr>
            <w:r w:rsidRPr="000B78E1">
              <w:rPr>
                <w:rFonts w:ascii="Arial" w:hAnsi="Arial" w:cs="Arial"/>
                <w:sz w:val="22"/>
                <w:szCs w:val="22"/>
              </w:rPr>
              <w:t>Study Relevance</w:t>
            </w:r>
          </w:p>
        </w:tc>
      </w:tr>
      <w:tr w:rsidR="00DE7B79" w:rsidRPr="000B78E1" w14:paraId="6FC541F8" w14:textId="77777777" w:rsidTr="00500EEB">
        <w:tc>
          <w:tcPr>
            <w:tcW w:w="988" w:type="dxa"/>
            <w:vAlign w:val="center"/>
          </w:tcPr>
          <w:p w14:paraId="38A15F5C"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Amin (2024)</w:t>
            </w:r>
          </w:p>
        </w:tc>
        <w:tc>
          <w:tcPr>
            <w:tcW w:w="1559" w:type="dxa"/>
            <w:vAlign w:val="center"/>
          </w:tcPr>
          <w:p w14:paraId="21D40D9D" w14:textId="77777777" w:rsidR="00DE7B79" w:rsidRPr="000B78E1" w:rsidRDefault="00DE7B79" w:rsidP="00F97793">
            <w:pPr>
              <w:spacing w:line="276" w:lineRule="auto"/>
              <w:rPr>
                <w:rFonts w:ascii="Arial" w:hAnsi="Arial" w:cs="Arial"/>
                <w:sz w:val="22"/>
                <w:szCs w:val="22"/>
              </w:rPr>
            </w:pPr>
            <w:r w:rsidRPr="000B78E1">
              <w:rPr>
                <w:rFonts w:ascii="Arial" w:hAnsi="Arial" w:cs="Arial"/>
                <w:sz w:val="22"/>
                <w:szCs w:val="22"/>
              </w:rPr>
              <w:t>Finance gaps, weak management, and regulation constrain SME sustainability in Bangladesh.</w:t>
            </w:r>
          </w:p>
        </w:tc>
        <w:tc>
          <w:tcPr>
            <w:tcW w:w="1559" w:type="dxa"/>
            <w:vAlign w:val="center"/>
          </w:tcPr>
          <w:p w14:paraId="5F1AF48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Agency theory, Pecking order theory, RBV and Institutional theory</w:t>
            </w:r>
          </w:p>
        </w:tc>
        <w:tc>
          <w:tcPr>
            <w:tcW w:w="1559" w:type="dxa"/>
            <w:vAlign w:val="center"/>
          </w:tcPr>
          <w:p w14:paraId="2824F874"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Mainly secondary data; unclear and inconsistent on primary data use.</w:t>
            </w:r>
          </w:p>
        </w:tc>
        <w:tc>
          <w:tcPr>
            <w:tcW w:w="1701" w:type="dxa"/>
            <w:vAlign w:val="center"/>
          </w:tcPr>
          <w:p w14:paraId="2D5C4033"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SMEs face limited finance, low literacy, and cash-flow problems that hurt growth.</w:t>
            </w:r>
          </w:p>
        </w:tc>
        <w:tc>
          <w:tcPr>
            <w:tcW w:w="1560" w:type="dxa"/>
            <w:vAlign w:val="center"/>
          </w:tcPr>
          <w:p w14:paraId="4717B7FF" w14:textId="77777777" w:rsidR="00DE7B79" w:rsidRPr="000B78E1" w:rsidRDefault="00DE7B79" w:rsidP="00F97793">
            <w:pPr>
              <w:spacing w:line="276" w:lineRule="auto"/>
              <w:rPr>
                <w:rFonts w:ascii="Arial" w:hAnsi="Arial" w:cs="Arial"/>
                <w:sz w:val="22"/>
                <w:szCs w:val="22"/>
              </w:rPr>
            </w:pPr>
            <w:r w:rsidRPr="000B78E1">
              <w:rPr>
                <w:rFonts w:ascii="Arial" w:hAnsi="Arial" w:cs="Arial"/>
                <w:sz w:val="22"/>
                <w:szCs w:val="22"/>
              </w:rPr>
              <w:t>Useful Bangladesh overview, but theory isn’t tested and methods are weak.</w:t>
            </w:r>
          </w:p>
        </w:tc>
        <w:tc>
          <w:tcPr>
            <w:tcW w:w="1701" w:type="dxa"/>
            <w:vAlign w:val="center"/>
          </w:tcPr>
          <w:p w14:paraId="73FA98C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credit limits interact with weak capability and management in Bangladesh.</w:t>
            </w:r>
          </w:p>
        </w:tc>
      </w:tr>
      <w:tr w:rsidR="00DE7B79" w:rsidRPr="000B78E1" w14:paraId="08520EEF" w14:textId="77777777" w:rsidTr="00500EEB">
        <w:tc>
          <w:tcPr>
            <w:tcW w:w="988" w:type="dxa"/>
            <w:vAlign w:val="center"/>
          </w:tcPr>
          <w:p w14:paraId="7D80C233" w14:textId="77777777" w:rsidR="00DE7B79" w:rsidRPr="000B78E1" w:rsidRDefault="00DE7B79" w:rsidP="00F97793">
            <w:pPr>
              <w:spacing w:line="276" w:lineRule="auto"/>
              <w:rPr>
                <w:rFonts w:ascii="Arial" w:hAnsi="Arial" w:cs="Arial"/>
                <w:sz w:val="22"/>
                <w:szCs w:val="22"/>
              </w:rPr>
            </w:pPr>
            <w:r w:rsidRPr="000B78E1">
              <w:rPr>
                <w:rFonts w:ascii="Arial" w:hAnsi="Arial" w:cs="Arial"/>
                <w:sz w:val="22"/>
                <w:szCs w:val="22"/>
              </w:rPr>
              <w:t>Nikaido et al. (2015)</w:t>
            </w:r>
          </w:p>
        </w:tc>
        <w:tc>
          <w:tcPr>
            <w:tcW w:w="1559" w:type="dxa"/>
            <w:vAlign w:val="center"/>
          </w:tcPr>
          <w:p w14:paraId="4FA70926" w14:textId="77777777" w:rsidR="00DE7B79" w:rsidRPr="000B78E1" w:rsidRDefault="00DE7B79" w:rsidP="00F97793">
            <w:pPr>
              <w:spacing w:line="276" w:lineRule="auto"/>
              <w:rPr>
                <w:rFonts w:ascii="Arial" w:hAnsi="Arial" w:cs="Arial"/>
                <w:sz w:val="22"/>
                <w:szCs w:val="22"/>
              </w:rPr>
            </w:pPr>
            <w:r w:rsidRPr="000B78E1">
              <w:rPr>
                <w:rFonts w:ascii="Arial" w:hAnsi="Arial" w:cs="Arial"/>
                <w:sz w:val="22"/>
                <w:szCs w:val="22"/>
              </w:rPr>
              <w:t>Formal credit depends more on firm capability and institutions than policy intent.</w:t>
            </w:r>
          </w:p>
        </w:tc>
        <w:tc>
          <w:tcPr>
            <w:tcW w:w="1559" w:type="dxa"/>
            <w:vAlign w:val="center"/>
          </w:tcPr>
          <w:p w14:paraId="5616E2E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Credit rationing, Information asymmetry &amp; Transaction cost logic</w:t>
            </w:r>
          </w:p>
        </w:tc>
        <w:tc>
          <w:tcPr>
            <w:tcW w:w="1559" w:type="dxa"/>
            <w:vAlign w:val="center"/>
          </w:tcPr>
          <w:p w14:paraId="470C7C0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Large-scale cross-sectional econometric analysis using probit with sample selection.</w:t>
            </w:r>
          </w:p>
        </w:tc>
        <w:tc>
          <w:tcPr>
            <w:tcW w:w="1701" w:type="dxa"/>
            <w:vAlign w:val="center"/>
          </w:tcPr>
          <w:p w14:paraId="45001CB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Larger, registered firms get more credit, female owned firms get less, with weak collateral and regional gaps.</w:t>
            </w:r>
          </w:p>
        </w:tc>
        <w:tc>
          <w:tcPr>
            <w:tcW w:w="1560" w:type="dxa"/>
            <w:vAlign w:val="center"/>
          </w:tcPr>
          <w:p w14:paraId="305BA84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cross-sectional and misses loan details and discouraged borrowers</w:t>
            </w:r>
          </w:p>
        </w:tc>
        <w:tc>
          <w:tcPr>
            <w:tcW w:w="1701" w:type="dxa"/>
            <w:vAlign w:val="center"/>
          </w:tcPr>
          <w:p w14:paraId="47544E7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how institutions and firm traits affect credit access.</w:t>
            </w:r>
          </w:p>
        </w:tc>
      </w:tr>
      <w:tr w:rsidR="00DE7B79" w:rsidRPr="000B78E1" w14:paraId="07B95EE2" w14:textId="77777777" w:rsidTr="00500EEB">
        <w:tc>
          <w:tcPr>
            <w:tcW w:w="988" w:type="dxa"/>
            <w:vAlign w:val="center"/>
          </w:tcPr>
          <w:p w14:paraId="4F139E0C" w14:textId="77777777" w:rsidR="00DE7B79" w:rsidRPr="000B78E1" w:rsidRDefault="00DE7B79" w:rsidP="00F97793">
            <w:pPr>
              <w:spacing w:line="276" w:lineRule="auto"/>
              <w:jc w:val="both"/>
              <w:rPr>
                <w:rFonts w:ascii="Arial" w:hAnsi="Arial" w:cs="Arial"/>
                <w:sz w:val="22"/>
                <w:szCs w:val="22"/>
              </w:rPr>
            </w:pPr>
            <w:proofErr w:type="spellStart"/>
            <w:r w:rsidRPr="000B78E1">
              <w:rPr>
                <w:rFonts w:ascii="Arial" w:hAnsi="Arial" w:cs="Arial"/>
                <w:sz w:val="22"/>
                <w:szCs w:val="22"/>
              </w:rPr>
              <w:t>Harianto</w:t>
            </w:r>
            <w:proofErr w:type="spellEnd"/>
            <w:r w:rsidRPr="000B78E1">
              <w:rPr>
                <w:rFonts w:ascii="Arial" w:hAnsi="Arial" w:cs="Arial"/>
                <w:sz w:val="22"/>
                <w:szCs w:val="22"/>
              </w:rPr>
              <w:t xml:space="preserve"> et al. (2025)</w:t>
            </w:r>
          </w:p>
        </w:tc>
        <w:tc>
          <w:tcPr>
            <w:tcW w:w="1559" w:type="dxa"/>
            <w:vAlign w:val="center"/>
          </w:tcPr>
          <w:p w14:paraId="3EA3072E"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Fintech adoption boosts SME sustainability by lowering risk and increasing confidence. .</w:t>
            </w:r>
          </w:p>
        </w:tc>
        <w:tc>
          <w:tcPr>
            <w:tcW w:w="1559" w:type="dxa"/>
            <w:vAlign w:val="center"/>
          </w:tcPr>
          <w:p w14:paraId="0F573ADE"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Risk perception fintech adoption mediation logic</w:t>
            </w:r>
          </w:p>
        </w:tc>
        <w:tc>
          <w:tcPr>
            <w:tcW w:w="1559" w:type="dxa"/>
            <w:vAlign w:val="center"/>
          </w:tcPr>
          <w:p w14:paraId="207A113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Cross-sectional survey, PLS-SEM</w:t>
            </w:r>
          </w:p>
        </w:tc>
        <w:tc>
          <w:tcPr>
            <w:tcW w:w="1701" w:type="dxa"/>
            <w:vAlign w:val="center"/>
          </w:tcPr>
          <w:p w14:paraId="05F45304"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Fintech adoption improves sustainability and links risk to sustainability.</w:t>
            </w:r>
          </w:p>
        </w:tc>
        <w:tc>
          <w:tcPr>
            <w:tcW w:w="1560" w:type="dxa"/>
            <w:vAlign w:val="center"/>
          </w:tcPr>
          <w:p w14:paraId="09216B9E"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Useful link, but based on perceptions, small sample, and no credit outcomes.</w:t>
            </w:r>
          </w:p>
        </w:tc>
        <w:tc>
          <w:tcPr>
            <w:tcW w:w="1701" w:type="dxa"/>
            <w:vAlign w:val="center"/>
          </w:tcPr>
          <w:p w14:paraId="622A317C"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digital finance may support sustainability, but results are indirect and depend on context.</w:t>
            </w:r>
          </w:p>
        </w:tc>
      </w:tr>
      <w:tr w:rsidR="00DE7B79" w:rsidRPr="000B78E1" w14:paraId="5B16E103" w14:textId="77777777" w:rsidTr="00500EEB">
        <w:tc>
          <w:tcPr>
            <w:tcW w:w="988" w:type="dxa"/>
            <w:vAlign w:val="center"/>
          </w:tcPr>
          <w:p w14:paraId="6D79A8B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lastRenderedPageBreak/>
              <w:t>Chowdhury et al. (2022)</w:t>
            </w:r>
          </w:p>
        </w:tc>
        <w:tc>
          <w:tcPr>
            <w:tcW w:w="1559" w:type="dxa"/>
            <w:vAlign w:val="center"/>
          </w:tcPr>
          <w:p w14:paraId="6F4B540B"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External finance improves SME productivity, but firm signals have little effect.</w:t>
            </w:r>
          </w:p>
        </w:tc>
        <w:tc>
          <w:tcPr>
            <w:tcW w:w="1559" w:type="dxa"/>
            <w:vAlign w:val="center"/>
          </w:tcPr>
          <w:p w14:paraId="37E40DBA"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Information asymmetry, Credit rationing, Signalling logic</w:t>
            </w:r>
          </w:p>
        </w:tc>
        <w:tc>
          <w:tcPr>
            <w:tcW w:w="1559" w:type="dxa"/>
            <w:vAlign w:val="center"/>
          </w:tcPr>
          <w:p w14:paraId="42EF696B" w14:textId="77777777" w:rsidR="00DE7B79" w:rsidRPr="000B78E1" w:rsidRDefault="00DE7B79" w:rsidP="00F97793">
            <w:pPr>
              <w:spacing w:line="276" w:lineRule="auto"/>
              <w:rPr>
                <w:rFonts w:ascii="Arial" w:hAnsi="Arial" w:cs="Arial"/>
                <w:sz w:val="22"/>
                <w:szCs w:val="22"/>
              </w:rPr>
            </w:pPr>
            <w:r w:rsidRPr="000B78E1">
              <w:rPr>
                <w:rFonts w:ascii="Arial" w:hAnsi="Arial" w:cs="Arial"/>
                <w:sz w:val="22"/>
                <w:szCs w:val="22"/>
              </w:rPr>
              <w:t>OLS with robust errors and Propensity Score Matching</w:t>
            </w:r>
          </w:p>
        </w:tc>
        <w:tc>
          <w:tcPr>
            <w:tcW w:w="1701" w:type="dxa"/>
            <w:vAlign w:val="center"/>
          </w:tcPr>
          <w:p w14:paraId="75AC0755"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External finance boosts productivity</w:t>
            </w:r>
          </w:p>
        </w:tc>
        <w:tc>
          <w:tcPr>
            <w:tcW w:w="1560" w:type="dxa"/>
            <w:vAlign w:val="center"/>
          </w:tcPr>
          <w:p w14:paraId="63A2436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Uses firm data and matching, but cross-sectional and based on older data.</w:t>
            </w:r>
          </w:p>
        </w:tc>
        <w:tc>
          <w:tcPr>
            <w:tcW w:w="1701" w:type="dxa"/>
            <w:vAlign w:val="center"/>
          </w:tcPr>
          <w:p w14:paraId="6301E764"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finance improves SME performance, but quality signals don’t strengthen credit benefits.</w:t>
            </w:r>
          </w:p>
        </w:tc>
      </w:tr>
      <w:tr w:rsidR="00DE7B79" w:rsidRPr="000B78E1" w14:paraId="3983088C" w14:textId="77777777" w:rsidTr="00500EEB">
        <w:tc>
          <w:tcPr>
            <w:tcW w:w="988" w:type="dxa"/>
            <w:vAlign w:val="center"/>
          </w:tcPr>
          <w:p w14:paraId="17C30955"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Qi et al. (2021)</w:t>
            </w:r>
          </w:p>
        </w:tc>
        <w:tc>
          <w:tcPr>
            <w:tcW w:w="1559" w:type="dxa"/>
            <w:vAlign w:val="center"/>
          </w:tcPr>
          <w:p w14:paraId="3049C22B"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Formal bank finance supports employment generation in Bangladeshi MSMEs, especially skilled employment.</w:t>
            </w:r>
          </w:p>
        </w:tc>
        <w:tc>
          <w:tcPr>
            <w:tcW w:w="1559" w:type="dxa"/>
            <w:vAlign w:val="center"/>
          </w:tcPr>
          <w:p w14:paraId="18AABF9E"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Finance–growth–employment logic</w:t>
            </w:r>
          </w:p>
        </w:tc>
        <w:tc>
          <w:tcPr>
            <w:tcW w:w="1559" w:type="dxa"/>
            <w:vAlign w:val="center"/>
          </w:tcPr>
          <w:p w14:paraId="6985DBA0"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Before–after comparison using t-tests and Mann–Whitney tests</w:t>
            </w:r>
          </w:p>
        </w:tc>
        <w:tc>
          <w:tcPr>
            <w:tcW w:w="1701" w:type="dxa"/>
            <w:vAlign w:val="center"/>
          </w:tcPr>
          <w:p w14:paraId="4F47710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Employment and skilled employment increased after receiving bank loans; low-skilled employment did not rise significantly</w:t>
            </w:r>
          </w:p>
        </w:tc>
        <w:tc>
          <w:tcPr>
            <w:tcW w:w="1560" w:type="dxa"/>
            <w:vAlign w:val="center"/>
          </w:tcPr>
          <w:p w14:paraId="02C8D718" w14:textId="77777777" w:rsidR="00DE7B79" w:rsidRPr="000B78E1" w:rsidRDefault="00DE7B79" w:rsidP="00F97793">
            <w:pPr>
              <w:spacing w:line="276" w:lineRule="auto"/>
              <w:rPr>
                <w:rFonts w:ascii="Arial" w:hAnsi="Arial" w:cs="Arial"/>
                <w:sz w:val="22"/>
                <w:szCs w:val="22"/>
              </w:rPr>
            </w:pPr>
            <w:r w:rsidRPr="000B78E1">
              <w:rPr>
                <w:rFonts w:ascii="Arial" w:hAnsi="Arial" w:cs="Arial"/>
                <w:sz w:val="22"/>
                <w:szCs w:val="22"/>
              </w:rPr>
              <w:t>Offers useful outcome evidence, but lacks a proper control group and cannot isolate causal effects well</w:t>
            </w:r>
          </w:p>
        </w:tc>
        <w:tc>
          <w:tcPr>
            <w:tcW w:w="1701" w:type="dxa"/>
            <w:vAlign w:val="center"/>
          </w:tcPr>
          <w:p w14:paraId="6DF05F40"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Relevant because it connects credit access to a concrete sustainability-related outcome: employment generation</w:t>
            </w:r>
          </w:p>
        </w:tc>
      </w:tr>
      <w:tr w:rsidR="00DE7B79" w:rsidRPr="000B78E1" w14:paraId="348D33BC" w14:textId="77777777" w:rsidTr="00500EEB">
        <w:tc>
          <w:tcPr>
            <w:tcW w:w="988" w:type="dxa"/>
            <w:vAlign w:val="center"/>
          </w:tcPr>
          <w:p w14:paraId="72EBBBCC"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Alvi et al. (2025)</w:t>
            </w:r>
          </w:p>
        </w:tc>
        <w:tc>
          <w:tcPr>
            <w:tcW w:w="1559" w:type="dxa"/>
            <w:vAlign w:val="center"/>
          </w:tcPr>
          <w:p w14:paraId="58907240"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Digital credit boosts resilience, but risks and uneven access remain.</w:t>
            </w:r>
          </w:p>
        </w:tc>
        <w:tc>
          <w:tcPr>
            <w:tcW w:w="1559" w:type="dxa"/>
            <w:vAlign w:val="center"/>
          </w:tcPr>
          <w:p w14:paraId="387BE5E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Financial inclusion poverty alleviation logic</w:t>
            </w:r>
          </w:p>
        </w:tc>
        <w:tc>
          <w:tcPr>
            <w:tcW w:w="1559" w:type="dxa"/>
            <w:vAlign w:val="center"/>
          </w:tcPr>
          <w:p w14:paraId="042EC069"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Mixed methods. Survey, regression, interviews, thematic analysis.</w:t>
            </w:r>
          </w:p>
        </w:tc>
        <w:tc>
          <w:tcPr>
            <w:tcW w:w="1701" w:type="dxa"/>
            <w:vAlign w:val="center"/>
          </w:tcPr>
          <w:p w14:paraId="10981D3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Improves access and income but faces literacy, privacy, cost, and regulatory barriers.</w:t>
            </w:r>
          </w:p>
          <w:p w14:paraId="36A49840" w14:textId="77777777" w:rsidR="00DE7B79" w:rsidRPr="000B78E1" w:rsidRDefault="00DE7B79" w:rsidP="00F97793">
            <w:pPr>
              <w:spacing w:line="276" w:lineRule="auto"/>
              <w:jc w:val="both"/>
              <w:rPr>
                <w:rFonts w:ascii="Arial" w:hAnsi="Arial" w:cs="Arial"/>
                <w:sz w:val="22"/>
                <w:szCs w:val="22"/>
              </w:rPr>
            </w:pPr>
          </w:p>
        </w:tc>
        <w:tc>
          <w:tcPr>
            <w:tcW w:w="1560" w:type="dxa"/>
            <w:vAlign w:val="center"/>
          </w:tcPr>
          <w:p w14:paraId="6371929C"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 xml:space="preserve">Based </w:t>
            </w:r>
            <w:proofErr w:type="gramStart"/>
            <w:r w:rsidRPr="000B78E1">
              <w:rPr>
                <w:rFonts w:ascii="Arial" w:hAnsi="Arial" w:cs="Arial"/>
                <w:sz w:val="22"/>
                <w:szCs w:val="22"/>
              </w:rPr>
              <w:t>on  perception</w:t>
            </w:r>
            <w:proofErr w:type="gramEnd"/>
            <w:r w:rsidRPr="000B78E1">
              <w:rPr>
                <w:rFonts w:ascii="Arial" w:hAnsi="Arial" w:cs="Arial"/>
                <w:sz w:val="22"/>
                <w:szCs w:val="22"/>
              </w:rPr>
              <w:t xml:space="preserve"> and lacks loan data validation.</w:t>
            </w:r>
          </w:p>
        </w:tc>
        <w:tc>
          <w:tcPr>
            <w:tcW w:w="1701" w:type="dxa"/>
            <w:vAlign w:val="center"/>
          </w:tcPr>
          <w:p w14:paraId="17124FD4"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credit improves welfare, but sustainability depends on conditions.</w:t>
            </w:r>
          </w:p>
        </w:tc>
      </w:tr>
      <w:tr w:rsidR="00DE7B79" w:rsidRPr="000B78E1" w14:paraId="703E2C6D" w14:textId="77777777" w:rsidTr="00500EEB">
        <w:tc>
          <w:tcPr>
            <w:tcW w:w="988" w:type="dxa"/>
            <w:vAlign w:val="center"/>
          </w:tcPr>
          <w:p w14:paraId="28068439"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b/>
                <w:bCs/>
                <w:sz w:val="22"/>
                <w:szCs w:val="22"/>
              </w:rPr>
              <w:t>Zhou and Pacala (2025)</w:t>
            </w:r>
          </w:p>
        </w:tc>
        <w:tc>
          <w:tcPr>
            <w:tcW w:w="1559" w:type="dxa"/>
            <w:vAlign w:val="center"/>
          </w:tcPr>
          <w:p w14:paraId="1D0B38C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Finance improves SME sustainability when it builds digital agility.</w:t>
            </w:r>
          </w:p>
        </w:tc>
        <w:tc>
          <w:tcPr>
            <w:tcW w:w="1559" w:type="dxa"/>
            <w:vAlign w:val="center"/>
          </w:tcPr>
          <w:p w14:paraId="528DFB5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RBV, Triple Bottom Line</w:t>
            </w:r>
          </w:p>
        </w:tc>
        <w:tc>
          <w:tcPr>
            <w:tcW w:w="1559" w:type="dxa"/>
            <w:vAlign w:val="center"/>
          </w:tcPr>
          <w:p w14:paraId="2BF10D28"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Cross-</w:t>
            </w:r>
            <w:proofErr w:type="gramStart"/>
            <w:r w:rsidRPr="000B78E1">
              <w:rPr>
                <w:rFonts w:ascii="Arial" w:hAnsi="Arial" w:cs="Arial"/>
                <w:sz w:val="22"/>
                <w:szCs w:val="22"/>
              </w:rPr>
              <w:t>sectional  383</w:t>
            </w:r>
            <w:proofErr w:type="gramEnd"/>
            <w:r w:rsidRPr="000B78E1">
              <w:rPr>
                <w:rFonts w:ascii="Arial" w:hAnsi="Arial" w:cs="Arial"/>
                <w:sz w:val="22"/>
                <w:szCs w:val="22"/>
              </w:rPr>
              <w:t xml:space="preserve"> SME survey; PLS-SEM.</w:t>
            </w:r>
          </w:p>
        </w:tc>
        <w:tc>
          <w:tcPr>
            <w:tcW w:w="1701" w:type="dxa"/>
            <w:vAlign w:val="center"/>
          </w:tcPr>
          <w:p w14:paraId="5992805C"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Finance boosts sustainability; digital agility mediates, Industry 5.0 strengthens</w:t>
            </w:r>
          </w:p>
        </w:tc>
        <w:tc>
          <w:tcPr>
            <w:tcW w:w="1560" w:type="dxa"/>
            <w:vAlign w:val="center"/>
          </w:tcPr>
          <w:p w14:paraId="6453388A"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Strong design, but survey-based, one country, and no finance quality data.</w:t>
            </w:r>
          </w:p>
        </w:tc>
        <w:tc>
          <w:tcPr>
            <w:tcW w:w="1701" w:type="dxa"/>
            <w:vAlign w:val="center"/>
          </w:tcPr>
          <w:p w14:paraId="67ACEE48"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finance supports sustainability through capability, not just capital.</w:t>
            </w:r>
          </w:p>
        </w:tc>
      </w:tr>
      <w:tr w:rsidR="00DE7B79" w:rsidRPr="000B78E1" w14:paraId="354BEB24" w14:textId="77777777" w:rsidTr="00500EEB">
        <w:tc>
          <w:tcPr>
            <w:tcW w:w="988" w:type="dxa"/>
            <w:vAlign w:val="center"/>
          </w:tcPr>
          <w:p w14:paraId="1C3B3D7F" w14:textId="77777777" w:rsidR="00DE7B79" w:rsidRPr="000B78E1" w:rsidRDefault="00DE7B79" w:rsidP="00F97793">
            <w:pPr>
              <w:spacing w:line="276" w:lineRule="auto"/>
              <w:jc w:val="both"/>
              <w:rPr>
                <w:rFonts w:ascii="Arial" w:hAnsi="Arial" w:cs="Arial"/>
                <w:b/>
                <w:bCs/>
                <w:sz w:val="22"/>
                <w:szCs w:val="22"/>
              </w:rPr>
            </w:pPr>
            <w:proofErr w:type="spellStart"/>
            <w:r w:rsidRPr="000B78E1">
              <w:rPr>
                <w:rFonts w:ascii="Arial" w:hAnsi="Arial" w:cs="Arial"/>
                <w:b/>
                <w:bCs/>
                <w:sz w:val="22"/>
                <w:szCs w:val="22"/>
              </w:rPr>
              <w:t>Mutsonziwa</w:t>
            </w:r>
            <w:proofErr w:type="spellEnd"/>
            <w:r w:rsidRPr="000B78E1">
              <w:rPr>
                <w:rFonts w:ascii="Arial" w:hAnsi="Arial" w:cs="Arial"/>
                <w:b/>
                <w:bCs/>
                <w:sz w:val="22"/>
                <w:szCs w:val="22"/>
              </w:rPr>
              <w:t xml:space="preserve"> and Fanta (2021)</w:t>
            </w:r>
          </w:p>
        </w:tc>
        <w:tc>
          <w:tcPr>
            <w:tcW w:w="1559" w:type="dxa"/>
            <w:vAlign w:val="center"/>
          </w:tcPr>
          <w:p w14:paraId="27B2FA32"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Formal credit can help SMEs, but effects vary by country.</w:t>
            </w:r>
          </w:p>
        </w:tc>
        <w:tc>
          <w:tcPr>
            <w:tcW w:w="1559" w:type="dxa"/>
            <w:vAlign w:val="center"/>
          </w:tcPr>
          <w:p w14:paraId="1835077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Lenders screen strong firms, based on info gaps and relationships.</w:t>
            </w:r>
          </w:p>
          <w:p w14:paraId="456C15A8" w14:textId="77777777" w:rsidR="00DE7B79" w:rsidRPr="000B78E1" w:rsidRDefault="00DE7B79" w:rsidP="00F97793">
            <w:pPr>
              <w:spacing w:line="276" w:lineRule="auto"/>
              <w:jc w:val="both"/>
              <w:rPr>
                <w:rFonts w:ascii="Arial" w:hAnsi="Arial" w:cs="Arial"/>
                <w:sz w:val="22"/>
                <w:szCs w:val="22"/>
              </w:rPr>
            </w:pPr>
          </w:p>
        </w:tc>
        <w:tc>
          <w:tcPr>
            <w:tcW w:w="1559" w:type="dxa"/>
            <w:vAlign w:val="center"/>
          </w:tcPr>
          <w:p w14:paraId="5E879510"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Propensity Score Matching using nationally representative survey data</w:t>
            </w:r>
          </w:p>
        </w:tc>
        <w:tc>
          <w:tcPr>
            <w:tcW w:w="1701" w:type="dxa"/>
            <w:vAlign w:val="center"/>
          </w:tcPr>
          <w:p w14:paraId="126E6826"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Formal credit boosts performance only in Zimbabwe, informal credit reduces it.</w:t>
            </w:r>
          </w:p>
        </w:tc>
        <w:tc>
          <w:tcPr>
            <w:tcW w:w="1560" w:type="dxa"/>
            <w:vAlign w:val="center"/>
          </w:tcPr>
          <w:p w14:paraId="309E2B69"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credit is measured simply and hidden factors may remain.</w:t>
            </w:r>
          </w:p>
        </w:tc>
        <w:tc>
          <w:tcPr>
            <w:tcW w:w="1701" w:type="dxa"/>
            <w:vAlign w:val="center"/>
          </w:tcPr>
          <w:p w14:paraId="3EF41810"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credit effects are context-specific, not universal.</w:t>
            </w:r>
          </w:p>
        </w:tc>
      </w:tr>
      <w:tr w:rsidR="00DE7B79" w:rsidRPr="000B78E1" w14:paraId="794143F4" w14:textId="77777777" w:rsidTr="00500EEB">
        <w:tc>
          <w:tcPr>
            <w:tcW w:w="988" w:type="dxa"/>
            <w:vAlign w:val="center"/>
          </w:tcPr>
          <w:p w14:paraId="3C8888F0" w14:textId="77777777" w:rsidR="00DE7B79" w:rsidRPr="000B78E1" w:rsidRDefault="00DE7B79" w:rsidP="00F97793">
            <w:pPr>
              <w:spacing w:line="276" w:lineRule="auto"/>
              <w:jc w:val="both"/>
              <w:rPr>
                <w:rFonts w:ascii="Arial" w:hAnsi="Arial" w:cs="Arial"/>
                <w:b/>
                <w:bCs/>
                <w:sz w:val="22"/>
                <w:szCs w:val="22"/>
              </w:rPr>
            </w:pPr>
            <w:r w:rsidRPr="000B78E1">
              <w:rPr>
                <w:rFonts w:ascii="Arial" w:hAnsi="Arial" w:cs="Arial"/>
                <w:b/>
                <w:bCs/>
                <w:sz w:val="22"/>
                <w:szCs w:val="22"/>
              </w:rPr>
              <w:t>Kato et al. (2024)</w:t>
            </w:r>
          </w:p>
        </w:tc>
        <w:tc>
          <w:tcPr>
            <w:tcW w:w="1559" w:type="dxa"/>
            <w:vAlign w:val="center"/>
          </w:tcPr>
          <w:p w14:paraId="5CFA364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 xml:space="preserve">Sustainable finance supports SMEs, but effects are </w:t>
            </w:r>
            <w:r w:rsidRPr="000B78E1">
              <w:rPr>
                <w:rFonts w:ascii="Arial" w:hAnsi="Arial" w:cs="Arial"/>
                <w:sz w:val="22"/>
                <w:szCs w:val="22"/>
              </w:rPr>
              <w:lastRenderedPageBreak/>
              <w:t xml:space="preserve">partial and </w:t>
            </w:r>
            <w:proofErr w:type="gramStart"/>
            <w:r w:rsidRPr="000B78E1">
              <w:rPr>
                <w:rFonts w:ascii="Arial" w:hAnsi="Arial" w:cs="Arial"/>
                <w:sz w:val="22"/>
                <w:szCs w:val="22"/>
              </w:rPr>
              <w:t>context-dependent</w:t>
            </w:r>
            <w:proofErr w:type="gramEnd"/>
            <w:r w:rsidRPr="000B78E1">
              <w:rPr>
                <w:rFonts w:ascii="Arial" w:hAnsi="Arial" w:cs="Arial"/>
                <w:sz w:val="22"/>
                <w:szCs w:val="22"/>
              </w:rPr>
              <w:t>.</w:t>
            </w:r>
          </w:p>
        </w:tc>
        <w:tc>
          <w:tcPr>
            <w:tcW w:w="1559" w:type="dxa"/>
            <w:vAlign w:val="center"/>
          </w:tcPr>
          <w:p w14:paraId="0600380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lastRenderedPageBreak/>
              <w:t>ESG, sustainable finance logic</w:t>
            </w:r>
          </w:p>
        </w:tc>
        <w:tc>
          <w:tcPr>
            <w:tcW w:w="1559" w:type="dxa"/>
            <w:vAlign w:val="center"/>
          </w:tcPr>
          <w:p w14:paraId="5171306A"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 xml:space="preserve">Mixed methods; multivariate regression; factor </w:t>
            </w:r>
            <w:r w:rsidRPr="000B78E1">
              <w:rPr>
                <w:rFonts w:ascii="Arial" w:hAnsi="Arial" w:cs="Arial"/>
                <w:sz w:val="22"/>
                <w:szCs w:val="22"/>
              </w:rPr>
              <w:lastRenderedPageBreak/>
              <w:t>analysis; interviews</w:t>
            </w:r>
          </w:p>
        </w:tc>
        <w:tc>
          <w:tcPr>
            <w:tcW w:w="1701" w:type="dxa"/>
            <w:vAlign w:val="center"/>
          </w:tcPr>
          <w:p w14:paraId="7E5B393B"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Sustainable finance and support improve SMEs, </w:t>
            </w:r>
            <w:r w:rsidRPr="000B78E1">
              <w:rPr>
                <w:rFonts w:ascii="Arial" w:hAnsi="Arial" w:cs="Arial"/>
                <w:sz w:val="22"/>
                <w:szCs w:val="22"/>
              </w:rPr>
              <w:lastRenderedPageBreak/>
              <w:t>but effects are moderate.</w:t>
            </w:r>
          </w:p>
        </w:tc>
        <w:tc>
          <w:tcPr>
            <w:tcW w:w="1560" w:type="dxa"/>
            <w:vAlign w:val="center"/>
          </w:tcPr>
          <w:p w14:paraId="0CAF8DC3"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Links finance to </w:t>
            </w:r>
            <w:proofErr w:type="gramStart"/>
            <w:r w:rsidRPr="000B78E1">
              <w:rPr>
                <w:rFonts w:ascii="Arial" w:hAnsi="Arial" w:cs="Arial"/>
                <w:sz w:val="22"/>
                <w:szCs w:val="22"/>
              </w:rPr>
              <w:t>sustainability, but</w:t>
            </w:r>
            <w:proofErr w:type="gramEnd"/>
            <w:r w:rsidRPr="000B78E1">
              <w:rPr>
                <w:rFonts w:ascii="Arial" w:hAnsi="Arial" w:cs="Arial"/>
                <w:sz w:val="22"/>
                <w:szCs w:val="22"/>
              </w:rPr>
              <w:t xml:space="preserve"> has unclear unit </w:t>
            </w:r>
            <w:r w:rsidRPr="000B78E1">
              <w:rPr>
                <w:rFonts w:ascii="Arial" w:hAnsi="Arial" w:cs="Arial"/>
                <w:sz w:val="22"/>
                <w:szCs w:val="22"/>
              </w:rPr>
              <w:lastRenderedPageBreak/>
              <w:t>and weak causality.</w:t>
            </w:r>
          </w:p>
        </w:tc>
        <w:tc>
          <w:tcPr>
            <w:tcW w:w="1701" w:type="dxa"/>
            <w:vAlign w:val="center"/>
          </w:tcPr>
          <w:p w14:paraId="45DE3919"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lastRenderedPageBreak/>
              <w:t>Broadens focus from access to finance quality and purpose.</w:t>
            </w:r>
          </w:p>
        </w:tc>
      </w:tr>
      <w:tr w:rsidR="00DE7B79" w:rsidRPr="000B78E1" w14:paraId="2947F2AE" w14:textId="77777777" w:rsidTr="00500EEB">
        <w:tc>
          <w:tcPr>
            <w:tcW w:w="988" w:type="dxa"/>
            <w:vAlign w:val="center"/>
          </w:tcPr>
          <w:p w14:paraId="57D8D99B" w14:textId="77777777" w:rsidR="00DE7B79" w:rsidRPr="000B78E1" w:rsidRDefault="00DE7B79" w:rsidP="00F97793">
            <w:pPr>
              <w:spacing w:line="276" w:lineRule="auto"/>
              <w:jc w:val="both"/>
              <w:rPr>
                <w:rFonts w:ascii="Arial" w:hAnsi="Arial" w:cs="Arial"/>
                <w:b/>
                <w:bCs/>
                <w:sz w:val="22"/>
                <w:szCs w:val="22"/>
              </w:rPr>
            </w:pPr>
            <w:r w:rsidRPr="000B78E1">
              <w:rPr>
                <w:rFonts w:ascii="Arial" w:hAnsi="Arial" w:cs="Arial"/>
                <w:b/>
                <w:bCs/>
                <w:sz w:val="22"/>
                <w:szCs w:val="22"/>
              </w:rPr>
              <w:t>Zhang et al. (2026)</w:t>
            </w:r>
          </w:p>
        </w:tc>
        <w:tc>
          <w:tcPr>
            <w:tcW w:w="1559" w:type="dxa"/>
            <w:vAlign w:val="center"/>
          </w:tcPr>
          <w:p w14:paraId="3520F3CA"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Digital finance improves SME sustainability partly via digital transformation</w:t>
            </w:r>
          </w:p>
        </w:tc>
        <w:tc>
          <w:tcPr>
            <w:tcW w:w="1559" w:type="dxa"/>
            <w:vAlign w:val="center"/>
          </w:tcPr>
          <w:p w14:paraId="4C35561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DIF digital transformation sustainability mediation logic.</w:t>
            </w:r>
          </w:p>
        </w:tc>
        <w:tc>
          <w:tcPr>
            <w:tcW w:w="1559" w:type="dxa"/>
            <w:vAlign w:val="center"/>
          </w:tcPr>
          <w:p w14:paraId="3535662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Longitudinal panel econometrics, mediation analysis, robustness checks.</w:t>
            </w:r>
          </w:p>
        </w:tc>
        <w:tc>
          <w:tcPr>
            <w:tcW w:w="1701" w:type="dxa"/>
            <w:vAlign w:val="center"/>
          </w:tcPr>
          <w:p w14:paraId="5C9DF622"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DIF boosts sustainability, digital transformation mediates, stronger for private firms.</w:t>
            </w:r>
          </w:p>
        </w:tc>
        <w:tc>
          <w:tcPr>
            <w:tcW w:w="1560" w:type="dxa"/>
            <w:vAlign w:val="center"/>
          </w:tcPr>
          <w:p w14:paraId="32F8671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Based on listed firms and proxy measures rather than actual loan contract data.</w:t>
            </w:r>
          </w:p>
          <w:p w14:paraId="7E98D1E5" w14:textId="77777777" w:rsidR="00DE7B79" w:rsidRPr="000B78E1" w:rsidRDefault="00DE7B79" w:rsidP="00F97793">
            <w:pPr>
              <w:spacing w:line="276" w:lineRule="auto"/>
              <w:jc w:val="both"/>
              <w:rPr>
                <w:rFonts w:ascii="Arial" w:hAnsi="Arial" w:cs="Arial"/>
                <w:sz w:val="22"/>
                <w:szCs w:val="22"/>
              </w:rPr>
            </w:pPr>
          </w:p>
        </w:tc>
        <w:tc>
          <w:tcPr>
            <w:tcW w:w="1701" w:type="dxa"/>
            <w:vAlign w:val="center"/>
          </w:tcPr>
          <w:p w14:paraId="47B942E4"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Links digital finance, capability-building, and sustainability outcomes</w:t>
            </w:r>
          </w:p>
        </w:tc>
      </w:tr>
      <w:tr w:rsidR="00DE7B79" w:rsidRPr="000B78E1" w14:paraId="27959651" w14:textId="77777777" w:rsidTr="00500EEB">
        <w:trPr>
          <w:trHeight w:val="2145"/>
        </w:trPr>
        <w:tc>
          <w:tcPr>
            <w:tcW w:w="988" w:type="dxa"/>
            <w:vAlign w:val="center"/>
          </w:tcPr>
          <w:p w14:paraId="4835CC7C" w14:textId="77777777" w:rsidR="00DE7B79" w:rsidRPr="000B78E1" w:rsidRDefault="00DE7B79" w:rsidP="00F97793">
            <w:pPr>
              <w:spacing w:line="276" w:lineRule="auto"/>
              <w:jc w:val="both"/>
              <w:rPr>
                <w:rFonts w:ascii="Arial" w:hAnsi="Arial" w:cs="Arial"/>
                <w:b/>
                <w:bCs/>
                <w:sz w:val="22"/>
                <w:szCs w:val="22"/>
              </w:rPr>
            </w:pPr>
            <w:r w:rsidRPr="000B78E1">
              <w:rPr>
                <w:rFonts w:ascii="Arial" w:hAnsi="Arial" w:cs="Arial"/>
                <w:b/>
                <w:bCs/>
                <w:sz w:val="22"/>
                <w:szCs w:val="22"/>
              </w:rPr>
              <w:t>Liu and Zhang (2020)</w:t>
            </w:r>
          </w:p>
        </w:tc>
        <w:tc>
          <w:tcPr>
            <w:tcW w:w="1559" w:type="dxa"/>
            <w:vAlign w:val="center"/>
          </w:tcPr>
          <w:p w14:paraId="52F291A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Digital finance drives sustainable growth by easing constraints.</w:t>
            </w:r>
          </w:p>
        </w:tc>
        <w:tc>
          <w:tcPr>
            <w:tcW w:w="1559" w:type="dxa"/>
            <w:vAlign w:val="center"/>
          </w:tcPr>
          <w:p w14:paraId="3EC9AC7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RBV, sustainable growth, and information asymmetry theories.</w:t>
            </w:r>
          </w:p>
        </w:tc>
        <w:tc>
          <w:tcPr>
            <w:tcW w:w="1559" w:type="dxa"/>
            <w:vAlign w:val="center"/>
          </w:tcPr>
          <w:p w14:paraId="59EB6A43"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Panel regression, dynamic GMM; IV/2SLS</w:t>
            </w:r>
          </w:p>
        </w:tc>
        <w:tc>
          <w:tcPr>
            <w:tcW w:w="1701" w:type="dxa"/>
            <w:vAlign w:val="center"/>
          </w:tcPr>
          <w:p w14:paraId="37587C49"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DFI boosts growth via easing constraints, stronger for private/high-tech firms.</w:t>
            </w:r>
          </w:p>
        </w:tc>
        <w:tc>
          <w:tcPr>
            <w:tcW w:w="1560" w:type="dxa"/>
            <w:vAlign w:val="center"/>
          </w:tcPr>
          <w:p w14:paraId="58A4BE3B"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Based on listed Chinese firms and proxy measures, not real loan data.</w:t>
            </w:r>
          </w:p>
        </w:tc>
        <w:tc>
          <w:tcPr>
            <w:tcW w:w="1701" w:type="dxa"/>
            <w:vAlign w:val="center"/>
          </w:tcPr>
          <w:p w14:paraId="4322C2B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finance improves sustainability via enabling mechanisms.</w:t>
            </w:r>
          </w:p>
        </w:tc>
      </w:tr>
      <w:tr w:rsidR="00DE7B79" w:rsidRPr="000B78E1" w14:paraId="6F14A689" w14:textId="77777777" w:rsidTr="00500EEB">
        <w:tc>
          <w:tcPr>
            <w:tcW w:w="988" w:type="dxa"/>
            <w:vAlign w:val="center"/>
          </w:tcPr>
          <w:p w14:paraId="30B46A1C" w14:textId="77777777" w:rsidR="00DE7B79" w:rsidRPr="000B78E1" w:rsidRDefault="00DE7B79" w:rsidP="00F97793">
            <w:pPr>
              <w:spacing w:line="276" w:lineRule="auto"/>
              <w:jc w:val="both"/>
              <w:rPr>
                <w:rFonts w:ascii="Arial" w:hAnsi="Arial" w:cs="Arial"/>
                <w:b/>
                <w:bCs/>
                <w:sz w:val="22"/>
                <w:szCs w:val="22"/>
              </w:rPr>
            </w:pPr>
            <w:r w:rsidRPr="000B78E1">
              <w:rPr>
                <w:rFonts w:ascii="Arial" w:hAnsi="Arial" w:cs="Arial"/>
                <w:b/>
                <w:bCs/>
                <w:sz w:val="22"/>
                <w:szCs w:val="22"/>
              </w:rPr>
              <w:t>Thomas and Mwenda (2025)</w:t>
            </w:r>
          </w:p>
        </w:tc>
        <w:tc>
          <w:tcPr>
            <w:tcW w:w="1559" w:type="dxa"/>
            <w:vAlign w:val="center"/>
          </w:tcPr>
          <w:p w14:paraId="14576EFE"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Digital credit boosts short-term SME performance and liquidity</w:t>
            </w:r>
          </w:p>
        </w:tc>
        <w:tc>
          <w:tcPr>
            <w:tcW w:w="1559" w:type="dxa"/>
            <w:vAlign w:val="center"/>
          </w:tcPr>
          <w:p w14:paraId="7949D04D"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DOI, credit rationing, bank-led, information asymmetry, and agency theory.</w:t>
            </w:r>
          </w:p>
        </w:tc>
        <w:tc>
          <w:tcPr>
            <w:tcW w:w="1559" w:type="dxa"/>
            <w:vAlign w:val="center"/>
          </w:tcPr>
          <w:p w14:paraId="1FC9057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Cross-sectional survey; correlation and multiple regression.</w:t>
            </w:r>
          </w:p>
        </w:tc>
        <w:tc>
          <w:tcPr>
            <w:tcW w:w="1701" w:type="dxa"/>
            <w:vAlign w:val="center"/>
          </w:tcPr>
          <w:p w14:paraId="7DE4A5C9"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Digital credit use and terms improve ROA; regulation has weaker impact</w:t>
            </w:r>
          </w:p>
        </w:tc>
        <w:tc>
          <w:tcPr>
            <w:tcW w:w="1560" w:type="dxa"/>
            <w:vAlign w:val="center"/>
          </w:tcPr>
          <w:p w14:paraId="47B9094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 xml:space="preserve">Useful for performance but relies on </w:t>
            </w:r>
            <w:proofErr w:type="spellStart"/>
            <w:r w:rsidRPr="000B78E1">
              <w:rPr>
                <w:rFonts w:ascii="Arial" w:hAnsi="Arial" w:cs="Arial"/>
                <w:sz w:val="22"/>
                <w:szCs w:val="22"/>
              </w:rPr>
              <w:t>self reported</w:t>
            </w:r>
            <w:proofErr w:type="spellEnd"/>
            <w:r w:rsidRPr="000B78E1">
              <w:rPr>
                <w:rFonts w:ascii="Arial" w:hAnsi="Arial" w:cs="Arial"/>
                <w:sz w:val="22"/>
                <w:szCs w:val="22"/>
              </w:rPr>
              <w:t xml:space="preserve"> data.</w:t>
            </w:r>
          </w:p>
        </w:tc>
        <w:tc>
          <w:tcPr>
            <w:tcW w:w="1701" w:type="dxa"/>
            <w:vAlign w:val="center"/>
          </w:tcPr>
          <w:p w14:paraId="20A4D88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credit stabilizes firms short-term, long-term effects unclear.</w:t>
            </w:r>
          </w:p>
        </w:tc>
      </w:tr>
      <w:tr w:rsidR="00DE7B79" w:rsidRPr="000B78E1" w14:paraId="69A92241" w14:textId="77777777" w:rsidTr="00500EEB">
        <w:tc>
          <w:tcPr>
            <w:tcW w:w="988" w:type="dxa"/>
            <w:vAlign w:val="center"/>
          </w:tcPr>
          <w:p w14:paraId="0645C5A4" w14:textId="77777777" w:rsidR="00DE7B79" w:rsidRPr="000B78E1" w:rsidRDefault="00DE7B79" w:rsidP="00F97793">
            <w:pPr>
              <w:spacing w:line="276" w:lineRule="auto"/>
              <w:jc w:val="both"/>
              <w:rPr>
                <w:rFonts w:ascii="Arial" w:hAnsi="Arial" w:cs="Arial"/>
                <w:b/>
                <w:bCs/>
                <w:sz w:val="22"/>
                <w:szCs w:val="22"/>
              </w:rPr>
            </w:pPr>
            <w:proofErr w:type="spellStart"/>
            <w:r w:rsidRPr="000B78E1">
              <w:rPr>
                <w:rFonts w:ascii="Arial" w:hAnsi="Arial" w:cs="Arial"/>
                <w:b/>
                <w:bCs/>
                <w:sz w:val="22"/>
                <w:szCs w:val="22"/>
              </w:rPr>
              <w:t>Alumasa</w:t>
            </w:r>
            <w:proofErr w:type="spellEnd"/>
            <w:r w:rsidRPr="000B78E1">
              <w:rPr>
                <w:rFonts w:ascii="Arial" w:hAnsi="Arial" w:cs="Arial"/>
                <w:b/>
                <w:bCs/>
                <w:sz w:val="22"/>
                <w:szCs w:val="22"/>
              </w:rPr>
              <w:t xml:space="preserve"> and </w:t>
            </w:r>
            <w:proofErr w:type="spellStart"/>
            <w:r w:rsidRPr="000B78E1">
              <w:rPr>
                <w:rFonts w:ascii="Arial" w:hAnsi="Arial" w:cs="Arial"/>
                <w:b/>
                <w:bCs/>
                <w:sz w:val="22"/>
                <w:szCs w:val="22"/>
              </w:rPr>
              <w:t>Muathe</w:t>
            </w:r>
            <w:proofErr w:type="spellEnd"/>
            <w:r w:rsidRPr="000B78E1">
              <w:rPr>
                <w:rFonts w:ascii="Arial" w:hAnsi="Arial" w:cs="Arial"/>
                <w:b/>
                <w:bCs/>
                <w:sz w:val="22"/>
                <w:szCs w:val="22"/>
              </w:rPr>
              <w:t xml:space="preserve"> (2021)</w:t>
            </w:r>
          </w:p>
        </w:tc>
        <w:tc>
          <w:tcPr>
            <w:tcW w:w="1559" w:type="dxa"/>
            <w:vAlign w:val="center"/>
          </w:tcPr>
          <w:p w14:paraId="3DBBDF66"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Mobile credit helps short term, but high cost and small loans limit long term value.</w:t>
            </w:r>
          </w:p>
          <w:p w14:paraId="6B761615" w14:textId="77777777" w:rsidR="00DE7B79" w:rsidRPr="000B78E1" w:rsidRDefault="00DE7B79" w:rsidP="00F97793">
            <w:pPr>
              <w:spacing w:line="276" w:lineRule="auto"/>
              <w:jc w:val="both"/>
              <w:rPr>
                <w:rFonts w:ascii="Arial" w:hAnsi="Arial" w:cs="Arial"/>
                <w:sz w:val="22"/>
                <w:szCs w:val="22"/>
              </w:rPr>
            </w:pPr>
          </w:p>
        </w:tc>
        <w:tc>
          <w:tcPr>
            <w:tcW w:w="1559" w:type="dxa"/>
            <w:vAlign w:val="center"/>
          </w:tcPr>
          <w:p w14:paraId="2C3A0F2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RBV, Dynamic Capabilities, Diffusion of Innovation; Credit Rationing, Information Asymmetry</w:t>
            </w:r>
          </w:p>
        </w:tc>
        <w:tc>
          <w:tcPr>
            <w:tcW w:w="1559" w:type="dxa"/>
            <w:vAlign w:val="center"/>
          </w:tcPr>
          <w:p w14:paraId="4A6417D2"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Cross-sectional explanatory survey, regression</w:t>
            </w:r>
          </w:p>
        </w:tc>
        <w:tc>
          <w:tcPr>
            <w:tcW w:w="1701" w:type="dxa"/>
            <w:vAlign w:val="center"/>
          </w:tcPr>
          <w:p w14:paraId="7CF2A628"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Access, amount and regulation boost performance; cost harms. Mainly supports working capital.</w:t>
            </w:r>
          </w:p>
        </w:tc>
        <w:tc>
          <w:tcPr>
            <w:tcW w:w="1560" w:type="dxa"/>
            <w:vAlign w:val="center"/>
          </w:tcPr>
          <w:p w14:paraId="03DD48B1"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Practical insight, but no long-term view or bank comparison.</w:t>
            </w:r>
          </w:p>
        </w:tc>
        <w:tc>
          <w:tcPr>
            <w:tcW w:w="1701" w:type="dxa"/>
            <w:vAlign w:val="center"/>
          </w:tcPr>
          <w:p w14:paraId="5B3A610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credit supports survival but not deeper sustainability.</w:t>
            </w:r>
          </w:p>
        </w:tc>
      </w:tr>
      <w:tr w:rsidR="00DE7B79" w:rsidRPr="000B78E1" w14:paraId="798BD065" w14:textId="77777777" w:rsidTr="00500EEB">
        <w:tc>
          <w:tcPr>
            <w:tcW w:w="988" w:type="dxa"/>
            <w:vAlign w:val="center"/>
          </w:tcPr>
          <w:p w14:paraId="18941A37" w14:textId="77777777" w:rsidR="00DE7B79" w:rsidRPr="000B78E1" w:rsidRDefault="00DE7B79" w:rsidP="00F97793">
            <w:pPr>
              <w:spacing w:line="276" w:lineRule="auto"/>
              <w:jc w:val="both"/>
              <w:rPr>
                <w:rFonts w:ascii="Arial" w:hAnsi="Arial" w:cs="Arial"/>
                <w:b/>
                <w:bCs/>
                <w:sz w:val="22"/>
                <w:szCs w:val="22"/>
              </w:rPr>
            </w:pPr>
            <w:r w:rsidRPr="000B78E1">
              <w:rPr>
                <w:rFonts w:ascii="Arial" w:hAnsi="Arial" w:cs="Arial"/>
                <w:b/>
                <w:bCs/>
                <w:sz w:val="22"/>
                <w:szCs w:val="22"/>
              </w:rPr>
              <w:t>D’Apolito et al. (2024)</w:t>
            </w:r>
          </w:p>
        </w:tc>
        <w:tc>
          <w:tcPr>
            <w:tcW w:w="1559" w:type="dxa"/>
            <w:vAlign w:val="center"/>
          </w:tcPr>
          <w:p w14:paraId="04BE7A7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Banks give more credit to SMEs with strong sustainability signals.</w:t>
            </w:r>
          </w:p>
        </w:tc>
        <w:tc>
          <w:tcPr>
            <w:tcW w:w="1559" w:type="dxa"/>
            <w:vAlign w:val="center"/>
          </w:tcPr>
          <w:p w14:paraId="1A6CC97A"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Financial intermediation. ESG-based credit risk logic</w:t>
            </w:r>
          </w:p>
        </w:tc>
        <w:tc>
          <w:tcPr>
            <w:tcW w:w="1559" w:type="dxa"/>
            <w:vAlign w:val="center"/>
          </w:tcPr>
          <w:p w14:paraId="5A7A012B"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Fixed-effects panel regression with lagged variables.</w:t>
            </w:r>
          </w:p>
        </w:tc>
        <w:tc>
          <w:tcPr>
            <w:tcW w:w="1701" w:type="dxa"/>
            <w:vAlign w:val="center"/>
          </w:tcPr>
          <w:p w14:paraId="158BC323"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Sustainability scores improve credit access and repayment ability.</w:t>
            </w:r>
          </w:p>
          <w:p w14:paraId="2DC9DA80" w14:textId="77777777" w:rsidR="00DE7B79" w:rsidRPr="000B78E1" w:rsidRDefault="00DE7B79" w:rsidP="00F97793">
            <w:pPr>
              <w:spacing w:line="276" w:lineRule="auto"/>
              <w:jc w:val="both"/>
              <w:rPr>
                <w:rFonts w:ascii="Arial" w:hAnsi="Arial" w:cs="Arial"/>
                <w:sz w:val="22"/>
                <w:szCs w:val="22"/>
              </w:rPr>
            </w:pPr>
          </w:p>
        </w:tc>
        <w:tc>
          <w:tcPr>
            <w:tcW w:w="1560" w:type="dxa"/>
            <w:vAlign w:val="center"/>
          </w:tcPr>
          <w:p w14:paraId="33D03099"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Strong evidence of recognised signals shaping credit, but no DFS focus.</w:t>
            </w:r>
          </w:p>
        </w:tc>
        <w:tc>
          <w:tcPr>
            <w:tcW w:w="1701" w:type="dxa"/>
            <w:vAlign w:val="center"/>
          </w:tcPr>
          <w:p w14:paraId="54E53E1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credit improves when signals are trusted, contrasting weak DFS signals.</w:t>
            </w:r>
          </w:p>
        </w:tc>
      </w:tr>
      <w:tr w:rsidR="00DE7B79" w:rsidRPr="000B78E1" w14:paraId="346BC9C5" w14:textId="77777777" w:rsidTr="00500EEB">
        <w:tc>
          <w:tcPr>
            <w:tcW w:w="988" w:type="dxa"/>
            <w:vAlign w:val="center"/>
          </w:tcPr>
          <w:p w14:paraId="03C69CF2" w14:textId="77777777" w:rsidR="00DE7B79" w:rsidRPr="000B78E1" w:rsidRDefault="00DE7B79" w:rsidP="00F97793">
            <w:pPr>
              <w:spacing w:line="276" w:lineRule="auto"/>
              <w:jc w:val="both"/>
              <w:rPr>
                <w:rFonts w:ascii="Arial" w:hAnsi="Arial" w:cs="Arial"/>
                <w:b/>
                <w:bCs/>
                <w:sz w:val="22"/>
                <w:szCs w:val="22"/>
              </w:rPr>
            </w:pPr>
            <w:r w:rsidRPr="000B78E1">
              <w:rPr>
                <w:rFonts w:ascii="Arial" w:hAnsi="Arial" w:cs="Arial"/>
                <w:b/>
                <w:bCs/>
                <w:sz w:val="22"/>
                <w:szCs w:val="22"/>
              </w:rPr>
              <w:lastRenderedPageBreak/>
              <w:t>Saad et al. (2021)</w:t>
            </w:r>
          </w:p>
        </w:tc>
        <w:tc>
          <w:tcPr>
            <w:tcW w:w="1559" w:type="dxa"/>
            <w:vAlign w:val="center"/>
          </w:tcPr>
          <w:p w14:paraId="757F92E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Finance supports resilience, but not enough for long-term sustainability</w:t>
            </w:r>
          </w:p>
        </w:tc>
        <w:tc>
          <w:tcPr>
            <w:tcW w:w="1559" w:type="dxa"/>
            <w:vAlign w:val="center"/>
          </w:tcPr>
          <w:p w14:paraId="3A33A174"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RBV, Dynamic Capabilities, Sustainability, Institutional theory</w:t>
            </w:r>
          </w:p>
        </w:tc>
        <w:tc>
          <w:tcPr>
            <w:tcW w:w="1559" w:type="dxa"/>
            <w:vAlign w:val="center"/>
          </w:tcPr>
          <w:p w14:paraId="69C5AA97"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Systematic literature review</w:t>
            </w:r>
          </w:p>
        </w:tc>
        <w:tc>
          <w:tcPr>
            <w:tcW w:w="1701" w:type="dxa"/>
            <w:vAlign w:val="center"/>
          </w:tcPr>
          <w:p w14:paraId="5F2E5FAF"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Resilience studies are fragmented; finance alone is not enough without capabilities and support.</w:t>
            </w:r>
          </w:p>
        </w:tc>
        <w:tc>
          <w:tcPr>
            <w:tcW w:w="1560" w:type="dxa"/>
            <w:vAlign w:val="center"/>
          </w:tcPr>
          <w:p w14:paraId="1119ADF2"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Strong conceptual contribution, though not empirical and not DFS-focused</w:t>
            </w:r>
          </w:p>
        </w:tc>
        <w:tc>
          <w:tcPr>
            <w:tcW w:w="1701" w:type="dxa"/>
            <w:vAlign w:val="center"/>
          </w:tcPr>
          <w:p w14:paraId="2132C993" w14:textId="77777777" w:rsidR="00DE7B79" w:rsidRPr="000B78E1" w:rsidRDefault="00DE7B79" w:rsidP="00F97793">
            <w:pPr>
              <w:spacing w:line="276" w:lineRule="auto"/>
              <w:jc w:val="both"/>
              <w:rPr>
                <w:rFonts w:ascii="Arial" w:hAnsi="Arial" w:cs="Arial"/>
                <w:sz w:val="22"/>
                <w:szCs w:val="22"/>
              </w:rPr>
            </w:pPr>
            <w:r w:rsidRPr="000B78E1">
              <w:rPr>
                <w:rFonts w:ascii="Arial" w:hAnsi="Arial" w:cs="Arial"/>
                <w:sz w:val="22"/>
                <w:szCs w:val="22"/>
              </w:rPr>
              <w:t>Shows credit helps, but sustainability needs broader capabilities and context.</w:t>
            </w:r>
          </w:p>
        </w:tc>
      </w:tr>
    </w:tbl>
    <w:p w14:paraId="26285B57" w14:textId="77777777" w:rsidR="00DE7B79" w:rsidRPr="000B78E1" w:rsidRDefault="00DE7B79" w:rsidP="000B78E1">
      <w:pPr>
        <w:spacing w:line="360" w:lineRule="auto"/>
        <w:jc w:val="both"/>
        <w:rPr>
          <w:rFonts w:ascii="Arial" w:hAnsi="Arial" w:cs="Arial"/>
          <w:sz w:val="22"/>
          <w:szCs w:val="22"/>
        </w:rPr>
      </w:pPr>
    </w:p>
    <w:p w14:paraId="373F330F" w14:textId="194EFBE3" w:rsidR="00D52B82" w:rsidRPr="000B78E1" w:rsidRDefault="00D52B82" w:rsidP="000B78E1">
      <w:pPr>
        <w:pStyle w:val="ListParagraph"/>
        <w:numPr>
          <w:ilvl w:val="0"/>
          <w:numId w:val="32"/>
        </w:numPr>
        <w:spacing w:line="360" w:lineRule="auto"/>
        <w:jc w:val="both"/>
        <w:rPr>
          <w:rFonts w:ascii="Arial" w:hAnsi="Arial" w:cs="Arial"/>
          <w:b/>
          <w:bCs/>
          <w:sz w:val="22"/>
          <w:szCs w:val="22"/>
        </w:rPr>
      </w:pPr>
      <w:r w:rsidRPr="000B78E1">
        <w:rPr>
          <w:rFonts w:ascii="Arial" w:hAnsi="Arial" w:cs="Arial"/>
          <w:b/>
          <w:bCs/>
          <w:sz w:val="22"/>
          <w:szCs w:val="22"/>
        </w:rPr>
        <w:t xml:space="preserve">Appendix D: </w:t>
      </w:r>
    </w:p>
    <w:p w14:paraId="2A90AB1A" w14:textId="2C010CC5" w:rsidR="00C74905" w:rsidRPr="000B78E1" w:rsidRDefault="00D52B82" w:rsidP="000B78E1">
      <w:pPr>
        <w:spacing w:line="360" w:lineRule="auto"/>
        <w:jc w:val="both"/>
        <w:rPr>
          <w:rFonts w:ascii="Arial" w:hAnsi="Arial" w:cs="Arial"/>
          <w:b/>
          <w:bCs/>
          <w:sz w:val="22"/>
          <w:szCs w:val="22"/>
        </w:rPr>
      </w:pPr>
      <w:r w:rsidRPr="000B78E1">
        <w:rPr>
          <w:rFonts w:ascii="Arial" w:hAnsi="Arial" w:cs="Arial"/>
          <w:sz w:val="22"/>
          <w:szCs w:val="22"/>
        </w:rPr>
        <w:t xml:space="preserve">List of Additional Reviewed Studies under Theme: </w:t>
      </w:r>
      <w:r w:rsidR="00B94D41" w:rsidRPr="000B78E1">
        <w:rPr>
          <w:rFonts w:ascii="Arial" w:hAnsi="Arial" w:cs="Arial"/>
          <w:sz w:val="22"/>
          <w:szCs w:val="22"/>
        </w:rPr>
        <w:t>Constraints and Context Shaping the Impact of Digital Financial Services on SMEs</w:t>
      </w:r>
      <w:r w:rsidR="00B94D41" w:rsidRPr="000B78E1">
        <w:rPr>
          <w:rFonts w:ascii="Arial" w:hAnsi="Arial" w:cs="Arial"/>
          <w:b/>
          <w:bCs/>
          <w:sz w:val="22"/>
          <w:szCs w:val="22"/>
        </w:rPr>
        <w:t xml:space="preserve"> </w:t>
      </w:r>
    </w:p>
    <w:tbl>
      <w:tblPr>
        <w:tblStyle w:val="TableGrid"/>
        <w:tblpPr w:leftFromText="180" w:rightFromText="180" w:vertAnchor="text" w:horzAnchor="margin" w:tblpXSpec="center" w:tblpY="250"/>
        <w:tblW w:w="10627" w:type="dxa"/>
        <w:tblLayout w:type="fixed"/>
        <w:tblLook w:val="04A0" w:firstRow="1" w:lastRow="0" w:firstColumn="1" w:lastColumn="0" w:noHBand="0" w:noVBand="1"/>
      </w:tblPr>
      <w:tblGrid>
        <w:gridCol w:w="988"/>
        <w:gridCol w:w="1559"/>
        <w:gridCol w:w="1559"/>
        <w:gridCol w:w="1559"/>
        <w:gridCol w:w="1701"/>
        <w:gridCol w:w="1560"/>
        <w:gridCol w:w="1701"/>
      </w:tblGrid>
      <w:tr w:rsidR="00C74905" w:rsidRPr="000B78E1" w14:paraId="55C16376" w14:textId="77777777" w:rsidTr="00500EEB">
        <w:tc>
          <w:tcPr>
            <w:tcW w:w="988" w:type="dxa"/>
            <w:tcBorders>
              <w:top w:val="single" w:sz="8" w:space="0" w:color="auto"/>
              <w:left w:val="single" w:sz="8" w:space="0" w:color="auto"/>
              <w:bottom w:val="single" w:sz="8" w:space="0" w:color="auto"/>
              <w:right w:val="single" w:sz="8" w:space="0" w:color="auto"/>
            </w:tcBorders>
            <w:shd w:val="clear" w:color="auto" w:fill="E8E8E8" w:themeFill="background2"/>
          </w:tcPr>
          <w:p w14:paraId="0B00C2F0" w14:textId="77777777" w:rsidR="00C74905" w:rsidRPr="000B78E1" w:rsidRDefault="00C74905" w:rsidP="00F97793">
            <w:pPr>
              <w:spacing w:line="276" w:lineRule="auto"/>
              <w:jc w:val="center"/>
              <w:rPr>
                <w:rFonts w:ascii="Arial" w:hAnsi="Arial" w:cs="Arial"/>
                <w:sz w:val="22"/>
                <w:szCs w:val="22"/>
              </w:rPr>
            </w:pPr>
            <w:r w:rsidRPr="000B78E1">
              <w:rPr>
                <w:rFonts w:ascii="Arial" w:hAnsi="Arial" w:cs="Arial"/>
                <w:sz w:val="22"/>
                <w:szCs w:val="22"/>
              </w:rPr>
              <w:t>Citation</w:t>
            </w:r>
          </w:p>
        </w:tc>
        <w:tc>
          <w:tcPr>
            <w:tcW w:w="1559" w:type="dxa"/>
            <w:tcBorders>
              <w:top w:val="single" w:sz="8" w:space="0" w:color="auto"/>
              <w:left w:val="single" w:sz="8" w:space="0" w:color="auto"/>
              <w:bottom w:val="single" w:sz="8" w:space="0" w:color="auto"/>
              <w:right w:val="single" w:sz="8" w:space="0" w:color="auto"/>
            </w:tcBorders>
            <w:shd w:val="clear" w:color="auto" w:fill="E8E8E8" w:themeFill="background2"/>
          </w:tcPr>
          <w:p w14:paraId="37433765" w14:textId="77777777" w:rsidR="00C74905" w:rsidRPr="000B78E1" w:rsidRDefault="00C74905" w:rsidP="00F97793">
            <w:pPr>
              <w:spacing w:line="276" w:lineRule="auto"/>
              <w:jc w:val="center"/>
              <w:rPr>
                <w:rFonts w:ascii="Arial" w:hAnsi="Arial" w:cs="Arial"/>
                <w:sz w:val="22"/>
                <w:szCs w:val="22"/>
              </w:rPr>
            </w:pPr>
            <w:r w:rsidRPr="000B78E1">
              <w:rPr>
                <w:rFonts w:ascii="Arial" w:hAnsi="Arial" w:cs="Arial"/>
                <w:sz w:val="22"/>
                <w:szCs w:val="22"/>
              </w:rPr>
              <w:t>Key Arguments</w:t>
            </w:r>
          </w:p>
        </w:tc>
        <w:tc>
          <w:tcPr>
            <w:tcW w:w="1559" w:type="dxa"/>
            <w:tcBorders>
              <w:top w:val="single" w:sz="8" w:space="0" w:color="auto"/>
              <w:left w:val="single" w:sz="8" w:space="0" w:color="auto"/>
              <w:bottom w:val="single" w:sz="8" w:space="0" w:color="auto"/>
              <w:right w:val="single" w:sz="8" w:space="0" w:color="auto"/>
            </w:tcBorders>
            <w:shd w:val="clear" w:color="auto" w:fill="E8E8E8" w:themeFill="background2"/>
          </w:tcPr>
          <w:p w14:paraId="28B0FF1A" w14:textId="77777777" w:rsidR="00C74905" w:rsidRPr="000B78E1" w:rsidRDefault="00C74905" w:rsidP="00F97793">
            <w:pPr>
              <w:spacing w:line="276" w:lineRule="auto"/>
              <w:jc w:val="center"/>
              <w:rPr>
                <w:rFonts w:ascii="Arial" w:hAnsi="Arial" w:cs="Arial"/>
                <w:sz w:val="22"/>
                <w:szCs w:val="22"/>
              </w:rPr>
            </w:pPr>
            <w:r w:rsidRPr="000B78E1">
              <w:rPr>
                <w:rFonts w:ascii="Arial" w:hAnsi="Arial" w:cs="Arial"/>
                <w:sz w:val="22"/>
                <w:szCs w:val="22"/>
              </w:rPr>
              <w:t>Theoretical Lens</w:t>
            </w:r>
          </w:p>
        </w:tc>
        <w:tc>
          <w:tcPr>
            <w:tcW w:w="1559" w:type="dxa"/>
            <w:tcBorders>
              <w:top w:val="single" w:sz="8" w:space="0" w:color="auto"/>
              <w:left w:val="single" w:sz="8" w:space="0" w:color="auto"/>
              <w:bottom w:val="single" w:sz="8" w:space="0" w:color="auto"/>
              <w:right w:val="single" w:sz="8" w:space="0" w:color="auto"/>
            </w:tcBorders>
            <w:shd w:val="clear" w:color="auto" w:fill="E8E8E8" w:themeFill="background2"/>
          </w:tcPr>
          <w:p w14:paraId="29374105" w14:textId="77777777" w:rsidR="00C74905" w:rsidRPr="000B78E1" w:rsidRDefault="00C74905" w:rsidP="00F97793">
            <w:pPr>
              <w:spacing w:line="276" w:lineRule="auto"/>
              <w:jc w:val="center"/>
              <w:rPr>
                <w:rFonts w:ascii="Arial" w:hAnsi="Arial" w:cs="Arial"/>
                <w:sz w:val="22"/>
                <w:szCs w:val="22"/>
              </w:rPr>
            </w:pPr>
            <w:r w:rsidRPr="000B78E1">
              <w:rPr>
                <w:rFonts w:ascii="Arial" w:hAnsi="Arial" w:cs="Arial"/>
                <w:sz w:val="22"/>
                <w:szCs w:val="22"/>
              </w:rPr>
              <w:t>Methodology</w:t>
            </w:r>
          </w:p>
        </w:tc>
        <w:tc>
          <w:tcPr>
            <w:tcW w:w="1701" w:type="dxa"/>
            <w:tcBorders>
              <w:top w:val="single" w:sz="8" w:space="0" w:color="auto"/>
              <w:left w:val="single" w:sz="8" w:space="0" w:color="auto"/>
              <w:bottom w:val="single" w:sz="8" w:space="0" w:color="auto"/>
              <w:right w:val="single" w:sz="8" w:space="0" w:color="auto"/>
            </w:tcBorders>
            <w:shd w:val="clear" w:color="auto" w:fill="E8E8E8" w:themeFill="background2"/>
          </w:tcPr>
          <w:p w14:paraId="47C6159D" w14:textId="77777777" w:rsidR="00C74905" w:rsidRPr="000B78E1" w:rsidRDefault="00C74905" w:rsidP="00F97793">
            <w:pPr>
              <w:spacing w:line="276" w:lineRule="auto"/>
              <w:jc w:val="center"/>
              <w:rPr>
                <w:rFonts w:ascii="Arial" w:hAnsi="Arial" w:cs="Arial"/>
                <w:sz w:val="22"/>
                <w:szCs w:val="22"/>
              </w:rPr>
            </w:pPr>
            <w:r w:rsidRPr="000B78E1">
              <w:rPr>
                <w:rFonts w:ascii="Arial" w:hAnsi="Arial" w:cs="Arial"/>
                <w:sz w:val="22"/>
                <w:szCs w:val="22"/>
              </w:rPr>
              <w:t>Key findings</w:t>
            </w:r>
          </w:p>
        </w:tc>
        <w:tc>
          <w:tcPr>
            <w:tcW w:w="1560" w:type="dxa"/>
            <w:tcBorders>
              <w:top w:val="single" w:sz="8" w:space="0" w:color="auto"/>
              <w:left w:val="single" w:sz="8" w:space="0" w:color="auto"/>
              <w:bottom w:val="single" w:sz="8" w:space="0" w:color="auto"/>
              <w:right w:val="single" w:sz="8" w:space="0" w:color="auto"/>
            </w:tcBorders>
            <w:shd w:val="clear" w:color="auto" w:fill="E8E8E8" w:themeFill="background2"/>
          </w:tcPr>
          <w:p w14:paraId="1537F5BD" w14:textId="77777777" w:rsidR="00C74905" w:rsidRPr="000B78E1" w:rsidRDefault="00C74905" w:rsidP="00F97793">
            <w:pPr>
              <w:spacing w:line="276" w:lineRule="auto"/>
              <w:jc w:val="center"/>
              <w:rPr>
                <w:rFonts w:ascii="Arial" w:hAnsi="Arial" w:cs="Arial"/>
                <w:sz w:val="22"/>
                <w:szCs w:val="22"/>
              </w:rPr>
            </w:pPr>
            <w:r w:rsidRPr="000B78E1">
              <w:rPr>
                <w:rFonts w:ascii="Arial" w:hAnsi="Arial" w:cs="Arial"/>
                <w:sz w:val="22"/>
                <w:szCs w:val="22"/>
              </w:rPr>
              <w:t>Critical Evaluation</w:t>
            </w:r>
          </w:p>
        </w:tc>
        <w:tc>
          <w:tcPr>
            <w:tcW w:w="1701" w:type="dxa"/>
            <w:tcBorders>
              <w:top w:val="single" w:sz="8" w:space="0" w:color="auto"/>
              <w:left w:val="single" w:sz="8" w:space="0" w:color="auto"/>
              <w:bottom w:val="single" w:sz="8" w:space="0" w:color="auto"/>
              <w:right w:val="single" w:sz="8" w:space="0" w:color="auto"/>
            </w:tcBorders>
            <w:shd w:val="clear" w:color="auto" w:fill="E8E8E8" w:themeFill="background2"/>
          </w:tcPr>
          <w:p w14:paraId="1EDB1500" w14:textId="77777777" w:rsidR="00C74905" w:rsidRPr="000B78E1" w:rsidRDefault="00C74905" w:rsidP="00F97793">
            <w:pPr>
              <w:spacing w:line="276" w:lineRule="auto"/>
              <w:jc w:val="center"/>
              <w:rPr>
                <w:rFonts w:ascii="Arial" w:hAnsi="Arial" w:cs="Arial"/>
                <w:sz w:val="22"/>
                <w:szCs w:val="22"/>
              </w:rPr>
            </w:pPr>
            <w:r w:rsidRPr="000B78E1">
              <w:rPr>
                <w:rFonts w:ascii="Arial" w:hAnsi="Arial" w:cs="Arial"/>
                <w:sz w:val="22"/>
                <w:szCs w:val="22"/>
              </w:rPr>
              <w:t>Study Relevance</w:t>
            </w:r>
          </w:p>
        </w:tc>
      </w:tr>
      <w:tr w:rsidR="00C74905" w:rsidRPr="000B78E1" w14:paraId="7B38C731" w14:textId="77777777" w:rsidTr="00500EEB">
        <w:tc>
          <w:tcPr>
            <w:tcW w:w="988" w:type="dxa"/>
            <w:tcBorders>
              <w:top w:val="single" w:sz="8" w:space="0" w:color="auto"/>
            </w:tcBorders>
            <w:vAlign w:val="center"/>
          </w:tcPr>
          <w:p w14:paraId="77118420"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Cruzado et al. (2023)</w:t>
            </w:r>
          </w:p>
        </w:tc>
        <w:tc>
          <w:tcPr>
            <w:tcW w:w="1559" w:type="dxa"/>
            <w:tcBorders>
              <w:top w:val="single" w:sz="8" w:space="0" w:color="auto"/>
            </w:tcBorders>
            <w:vAlign w:val="center"/>
          </w:tcPr>
          <w:p w14:paraId="7606ACCB" w14:textId="77777777" w:rsidR="00C74905" w:rsidRPr="000B78E1" w:rsidRDefault="00C74905" w:rsidP="00F97793">
            <w:pPr>
              <w:spacing w:line="276" w:lineRule="auto"/>
              <w:rPr>
                <w:rFonts w:ascii="Arial" w:hAnsi="Arial" w:cs="Arial"/>
                <w:sz w:val="22"/>
                <w:szCs w:val="22"/>
              </w:rPr>
            </w:pPr>
            <w:r w:rsidRPr="000B78E1">
              <w:rPr>
                <w:rFonts w:ascii="Arial" w:hAnsi="Arial" w:cs="Arial"/>
                <w:sz w:val="22"/>
                <w:szCs w:val="22"/>
              </w:rPr>
              <w:t>MSME access to finance is constrained by institutional barriers rather than availability of financial products</w:t>
            </w:r>
          </w:p>
        </w:tc>
        <w:tc>
          <w:tcPr>
            <w:tcW w:w="1559" w:type="dxa"/>
            <w:tcBorders>
              <w:top w:val="single" w:sz="8" w:space="0" w:color="auto"/>
            </w:tcBorders>
            <w:vAlign w:val="center"/>
          </w:tcPr>
          <w:p w14:paraId="791FDA9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Information asymmetry theory, pecking order theory, financial inclusion theory, financial intermediation theory</w:t>
            </w:r>
          </w:p>
        </w:tc>
        <w:tc>
          <w:tcPr>
            <w:tcW w:w="1559" w:type="dxa"/>
            <w:tcBorders>
              <w:top w:val="single" w:sz="8" w:space="0" w:color="auto"/>
            </w:tcBorders>
            <w:vAlign w:val="center"/>
          </w:tcPr>
          <w:p w14:paraId="56127E0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Quantitative survey of 363 NSMEs, descriptive design using self-structured questionnaires and correlation.</w:t>
            </w:r>
          </w:p>
        </w:tc>
        <w:tc>
          <w:tcPr>
            <w:tcW w:w="1701" w:type="dxa"/>
            <w:tcBorders>
              <w:top w:val="single" w:sz="8" w:space="0" w:color="auto"/>
            </w:tcBorders>
            <w:vAlign w:val="center"/>
          </w:tcPr>
          <w:p w14:paraId="1E7A5114"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Institutional factors significantly affect access, </w:t>
            </w:r>
            <w:proofErr w:type="gramStart"/>
            <w:r w:rsidRPr="000B78E1">
              <w:rPr>
                <w:rFonts w:ascii="Arial" w:hAnsi="Arial" w:cs="Arial"/>
                <w:sz w:val="22"/>
                <w:szCs w:val="22"/>
              </w:rPr>
              <w:t>Both</w:t>
            </w:r>
            <w:proofErr w:type="gramEnd"/>
            <w:r w:rsidRPr="000B78E1">
              <w:rPr>
                <w:rFonts w:ascii="Arial" w:hAnsi="Arial" w:cs="Arial"/>
                <w:sz w:val="22"/>
                <w:szCs w:val="22"/>
              </w:rPr>
              <w:t xml:space="preserve"> debt &amp; equity face same barriers. </w:t>
            </w:r>
          </w:p>
        </w:tc>
        <w:tc>
          <w:tcPr>
            <w:tcW w:w="1560" w:type="dxa"/>
            <w:tcBorders>
              <w:top w:val="single" w:sz="8" w:space="0" w:color="auto"/>
            </w:tcBorders>
            <w:vAlign w:val="center"/>
          </w:tcPr>
          <w:p w14:paraId="55852104" w14:textId="77777777" w:rsidR="00C74905" w:rsidRPr="000B78E1" w:rsidRDefault="00C74905" w:rsidP="00F97793">
            <w:pPr>
              <w:spacing w:line="276" w:lineRule="auto"/>
              <w:rPr>
                <w:rFonts w:ascii="Arial" w:hAnsi="Arial" w:cs="Arial"/>
                <w:sz w:val="22"/>
                <w:szCs w:val="22"/>
              </w:rPr>
            </w:pPr>
            <w:r w:rsidRPr="000B78E1">
              <w:rPr>
                <w:rFonts w:ascii="Arial" w:hAnsi="Arial" w:cs="Arial"/>
                <w:sz w:val="22"/>
                <w:szCs w:val="22"/>
              </w:rPr>
              <w:t>Lacks causal analysis, no actual loan data, geographically limited to one city</w:t>
            </w:r>
          </w:p>
        </w:tc>
        <w:tc>
          <w:tcPr>
            <w:tcW w:w="1701" w:type="dxa"/>
            <w:tcBorders>
              <w:top w:val="single" w:sz="8" w:space="0" w:color="auto"/>
            </w:tcBorders>
            <w:vAlign w:val="center"/>
          </w:tcPr>
          <w:p w14:paraId="6F506B7F"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Strong evidence that institutional constraints override financial availability </w:t>
            </w:r>
          </w:p>
        </w:tc>
      </w:tr>
      <w:tr w:rsidR="00C74905" w:rsidRPr="000B78E1" w14:paraId="23CBACE0" w14:textId="77777777" w:rsidTr="00500EEB">
        <w:tc>
          <w:tcPr>
            <w:tcW w:w="988" w:type="dxa"/>
            <w:vAlign w:val="center"/>
          </w:tcPr>
          <w:p w14:paraId="4C3E9DE8" w14:textId="77777777" w:rsidR="00C74905" w:rsidRPr="000B78E1" w:rsidRDefault="00C74905" w:rsidP="00F97793">
            <w:pPr>
              <w:spacing w:line="276" w:lineRule="auto"/>
              <w:rPr>
                <w:rFonts w:ascii="Arial" w:hAnsi="Arial" w:cs="Arial"/>
                <w:b/>
                <w:bCs/>
                <w:sz w:val="22"/>
                <w:szCs w:val="22"/>
              </w:rPr>
            </w:pPr>
            <w:r w:rsidRPr="000B78E1">
              <w:rPr>
                <w:rFonts w:ascii="Arial" w:hAnsi="Arial" w:cs="Arial"/>
                <w:b/>
                <w:bCs/>
                <w:sz w:val="22"/>
                <w:szCs w:val="22"/>
              </w:rPr>
              <w:t>Angeles (2022)</w:t>
            </w:r>
          </w:p>
        </w:tc>
        <w:tc>
          <w:tcPr>
            <w:tcW w:w="1559" w:type="dxa"/>
            <w:vAlign w:val="center"/>
          </w:tcPr>
          <w:p w14:paraId="193CB7E8" w14:textId="77777777" w:rsidR="00C74905" w:rsidRPr="000B78E1" w:rsidRDefault="00C74905" w:rsidP="00F97793">
            <w:pPr>
              <w:spacing w:line="276" w:lineRule="auto"/>
              <w:rPr>
                <w:rFonts w:ascii="Arial" w:hAnsi="Arial" w:cs="Arial"/>
                <w:sz w:val="22"/>
                <w:szCs w:val="22"/>
              </w:rPr>
            </w:pPr>
            <w:r w:rsidRPr="000B78E1">
              <w:rPr>
                <w:rFonts w:ascii="Arial" w:hAnsi="Arial" w:cs="Arial"/>
                <w:sz w:val="22"/>
                <w:szCs w:val="22"/>
              </w:rPr>
              <w:t>DFS alone does not improve financial behaviour, literacy determines outcomes.</w:t>
            </w:r>
          </w:p>
        </w:tc>
        <w:tc>
          <w:tcPr>
            <w:tcW w:w="1559" w:type="dxa"/>
            <w:vAlign w:val="center"/>
          </w:tcPr>
          <w:p w14:paraId="496804F7"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TAM &amp; Perceived </w:t>
            </w:r>
            <w:proofErr w:type="spellStart"/>
            <w:r w:rsidRPr="000B78E1">
              <w:rPr>
                <w:rFonts w:ascii="Arial" w:hAnsi="Arial" w:cs="Arial"/>
                <w:sz w:val="22"/>
                <w:szCs w:val="22"/>
              </w:rPr>
              <w:t>Behavioral</w:t>
            </w:r>
            <w:proofErr w:type="spellEnd"/>
            <w:r w:rsidRPr="000B78E1">
              <w:rPr>
                <w:rFonts w:ascii="Arial" w:hAnsi="Arial" w:cs="Arial"/>
                <w:sz w:val="22"/>
                <w:szCs w:val="22"/>
              </w:rPr>
              <w:t xml:space="preserve"> Control</w:t>
            </w:r>
          </w:p>
        </w:tc>
        <w:tc>
          <w:tcPr>
            <w:tcW w:w="1559" w:type="dxa"/>
            <w:vAlign w:val="center"/>
          </w:tcPr>
          <w:p w14:paraId="36934EB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Causal survey study of 678 MSMEs using correlation, regression, and moderation analysis.</w:t>
            </w:r>
          </w:p>
        </w:tc>
        <w:tc>
          <w:tcPr>
            <w:tcW w:w="1701" w:type="dxa"/>
            <w:vAlign w:val="center"/>
          </w:tcPr>
          <w:p w14:paraId="4C3FE4A0"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DFS has little direct effect on financial behaviour, while financial and digital literacy and gender significantly strengthen its impact.</w:t>
            </w:r>
          </w:p>
        </w:tc>
        <w:tc>
          <w:tcPr>
            <w:tcW w:w="1560" w:type="dxa"/>
            <w:vAlign w:val="center"/>
          </w:tcPr>
          <w:p w14:paraId="4A32AAA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No lending, side theory </w:t>
            </w:r>
            <w:proofErr w:type="gramStart"/>
            <w:r w:rsidRPr="000B78E1">
              <w:rPr>
                <w:rFonts w:ascii="Arial" w:hAnsi="Arial" w:cs="Arial"/>
                <w:sz w:val="22"/>
                <w:szCs w:val="22"/>
              </w:rPr>
              <w:t>&amp;  no</w:t>
            </w:r>
            <w:proofErr w:type="gramEnd"/>
            <w:r w:rsidRPr="000B78E1">
              <w:rPr>
                <w:rFonts w:ascii="Arial" w:hAnsi="Arial" w:cs="Arial"/>
                <w:sz w:val="22"/>
                <w:szCs w:val="22"/>
              </w:rPr>
              <w:t xml:space="preserve"> credit outcome measurement. Used cross sectional survey.</w:t>
            </w:r>
          </w:p>
        </w:tc>
        <w:tc>
          <w:tcPr>
            <w:tcW w:w="1701" w:type="dxa"/>
            <w:vAlign w:val="center"/>
          </w:tcPr>
          <w:p w14:paraId="14C9FBC0"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Supports the argument that DFS alone does not lead to credit access without capability factors.</w:t>
            </w:r>
          </w:p>
        </w:tc>
      </w:tr>
      <w:tr w:rsidR="00C74905" w:rsidRPr="000B78E1" w14:paraId="2FBA285E" w14:textId="77777777" w:rsidTr="00500EEB">
        <w:tc>
          <w:tcPr>
            <w:tcW w:w="988" w:type="dxa"/>
            <w:vAlign w:val="center"/>
          </w:tcPr>
          <w:p w14:paraId="57B3C2B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b/>
                <w:bCs/>
                <w:sz w:val="22"/>
                <w:szCs w:val="22"/>
              </w:rPr>
              <w:t>Ahsan et al. (2026)</w:t>
            </w:r>
          </w:p>
        </w:tc>
        <w:tc>
          <w:tcPr>
            <w:tcW w:w="1559" w:type="dxa"/>
            <w:vAlign w:val="center"/>
          </w:tcPr>
          <w:p w14:paraId="264219A3"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FinTech first increases </w:t>
            </w:r>
            <w:proofErr w:type="gramStart"/>
            <w:r w:rsidRPr="000B78E1">
              <w:rPr>
                <w:rFonts w:ascii="Arial" w:hAnsi="Arial" w:cs="Arial"/>
                <w:sz w:val="22"/>
                <w:szCs w:val="22"/>
              </w:rPr>
              <w:t>risk, but</w:t>
            </w:r>
            <w:proofErr w:type="gramEnd"/>
            <w:r w:rsidRPr="000B78E1">
              <w:rPr>
                <w:rFonts w:ascii="Arial" w:hAnsi="Arial" w:cs="Arial"/>
                <w:sz w:val="22"/>
                <w:szCs w:val="22"/>
              </w:rPr>
              <w:t xml:space="preserve"> later helps make </w:t>
            </w:r>
            <w:r w:rsidRPr="000B78E1">
              <w:rPr>
                <w:rFonts w:ascii="Arial" w:hAnsi="Arial" w:cs="Arial"/>
                <w:sz w:val="22"/>
                <w:szCs w:val="22"/>
              </w:rPr>
              <w:lastRenderedPageBreak/>
              <w:t>banks more stable.</w:t>
            </w:r>
          </w:p>
        </w:tc>
        <w:tc>
          <w:tcPr>
            <w:tcW w:w="1559" w:type="dxa"/>
            <w:vAlign w:val="center"/>
          </w:tcPr>
          <w:p w14:paraId="50DE414E"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Banking stability + </w:t>
            </w:r>
            <w:proofErr w:type="spellStart"/>
            <w:r w:rsidRPr="000B78E1">
              <w:rPr>
                <w:rFonts w:ascii="Arial" w:hAnsi="Arial" w:cs="Arial"/>
                <w:sz w:val="22"/>
                <w:szCs w:val="22"/>
              </w:rPr>
              <w:t>signaling</w:t>
            </w:r>
            <w:proofErr w:type="spellEnd"/>
            <w:r w:rsidRPr="000B78E1">
              <w:rPr>
                <w:rFonts w:ascii="Arial" w:hAnsi="Arial" w:cs="Arial"/>
                <w:sz w:val="22"/>
                <w:szCs w:val="22"/>
              </w:rPr>
              <w:t xml:space="preserve"> perspective</w:t>
            </w:r>
          </w:p>
        </w:tc>
        <w:tc>
          <w:tcPr>
            <w:tcW w:w="1559" w:type="dxa"/>
            <w:vAlign w:val="center"/>
          </w:tcPr>
          <w:p w14:paraId="797C24ED"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Panel data (2016–2024) of 30 banks; FinTech measured </w:t>
            </w:r>
            <w:r w:rsidRPr="000B78E1">
              <w:rPr>
                <w:rFonts w:ascii="Arial" w:hAnsi="Arial" w:cs="Arial"/>
                <w:sz w:val="22"/>
                <w:szCs w:val="22"/>
              </w:rPr>
              <w:lastRenderedPageBreak/>
              <w:t xml:space="preserve">from reports, analysed using panel models and GMM. </w:t>
            </w:r>
          </w:p>
        </w:tc>
        <w:tc>
          <w:tcPr>
            <w:tcW w:w="1701" w:type="dxa"/>
            <w:vAlign w:val="center"/>
          </w:tcPr>
          <w:p w14:paraId="2AA17EE7"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DFS increases </w:t>
            </w:r>
            <w:proofErr w:type="spellStart"/>
            <w:proofErr w:type="gramStart"/>
            <w:r w:rsidRPr="000B78E1">
              <w:rPr>
                <w:rFonts w:ascii="Arial" w:hAnsi="Arial" w:cs="Arial"/>
                <w:sz w:val="22"/>
                <w:szCs w:val="22"/>
              </w:rPr>
              <w:t>non performing</w:t>
            </w:r>
            <w:proofErr w:type="spellEnd"/>
            <w:proofErr w:type="gramEnd"/>
            <w:r w:rsidRPr="000B78E1">
              <w:rPr>
                <w:rFonts w:ascii="Arial" w:hAnsi="Arial" w:cs="Arial"/>
                <w:sz w:val="22"/>
                <w:szCs w:val="22"/>
              </w:rPr>
              <w:t xml:space="preserve"> assets initially, stabilizes over </w:t>
            </w:r>
            <w:r w:rsidRPr="000B78E1">
              <w:rPr>
                <w:rFonts w:ascii="Arial" w:hAnsi="Arial" w:cs="Arial"/>
                <w:sz w:val="22"/>
                <w:szCs w:val="22"/>
              </w:rPr>
              <w:lastRenderedPageBreak/>
              <w:t>time with regulation</w:t>
            </w:r>
          </w:p>
        </w:tc>
        <w:tc>
          <w:tcPr>
            <w:tcW w:w="1560" w:type="dxa"/>
            <w:vAlign w:val="center"/>
          </w:tcPr>
          <w:p w14:paraId="108E1F7D"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FinTech measures may reflect reporting </w:t>
            </w:r>
            <w:r w:rsidRPr="000B78E1">
              <w:rPr>
                <w:rFonts w:ascii="Arial" w:hAnsi="Arial" w:cs="Arial"/>
                <w:sz w:val="22"/>
                <w:szCs w:val="22"/>
              </w:rPr>
              <w:lastRenderedPageBreak/>
              <w:t>bias, not real use.</w:t>
            </w:r>
          </w:p>
        </w:tc>
        <w:tc>
          <w:tcPr>
            <w:tcW w:w="1701" w:type="dxa"/>
            <w:vAlign w:val="center"/>
          </w:tcPr>
          <w:p w14:paraId="375AC16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Shows risk dimension of DFS, critical for agent banking sustainability</w:t>
            </w:r>
          </w:p>
        </w:tc>
      </w:tr>
      <w:tr w:rsidR="00C74905" w:rsidRPr="000B78E1" w14:paraId="27C14EED" w14:textId="77777777" w:rsidTr="00500EEB">
        <w:tc>
          <w:tcPr>
            <w:tcW w:w="988" w:type="dxa"/>
            <w:vAlign w:val="center"/>
          </w:tcPr>
          <w:p w14:paraId="13AB6E7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b/>
                <w:bCs/>
                <w:sz w:val="22"/>
                <w:szCs w:val="22"/>
              </w:rPr>
              <w:t>Affandi et al. (2024)</w:t>
            </w:r>
          </w:p>
        </w:tc>
        <w:tc>
          <w:tcPr>
            <w:tcW w:w="1559" w:type="dxa"/>
            <w:vAlign w:val="center"/>
          </w:tcPr>
          <w:p w14:paraId="32B9E702"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Digital adoption improves performance and literacy but depends on infrastructure and trust</w:t>
            </w:r>
          </w:p>
        </w:tc>
        <w:tc>
          <w:tcPr>
            <w:tcW w:w="1559" w:type="dxa"/>
            <w:vAlign w:val="center"/>
          </w:tcPr>
          <w:p w14:paraId="20E00368"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 single theory is tested &amp; adoption is modelled using multiple factors.</w:t>
            </w:r>
          </w:p>
        </w:tc>
        <w:tc>
          <w:tcPr>
            <w:tcW w:w="1559" w:type="dxa"/>
            <w:vAlign w:val="center"/>
          </w:tcPr>
          <w:p w14:paraId="4CEF71CA" w14:textId="77777777" w:rsidR="00C74905" w:rsidRPr="000B78E1" w:rsidRDefault="00C74905" w:rsidP="00F97793">
            <w:pPr>
              <w:spacing w:line="276" w:lineRule="auto"/>
              <w:rPr>
                <w:rFonts w:ascii="Arial" w:hAnsi="Arial" w:cs="Arial"/>
                <w:sz w:val="22"/>
                <w:szCs w:val="22"/>
              </w:rPr>
            </w:pPr>
            <w:r w:rsidRPr="000B78E1">
              <w:rPr>
                <w:rFonts w:ascii="Arial" w:hAnsi="Arial" w:cs="Arial"/>
                <w:sz w:val="22"/>
                <w:szCs w:val="22"/>
              </w:rPr>
              <w:t xml:space="preserve">Survey of 5,035 firms, builds a digital </w:t>
            </w:r>
            <w:proofErr w:type="gramStart"/>
            <w:r w:rsidRPr="000B78E1">
              <w:rPr>
                <w:rFonts w:ascii="Arial" w:hAnsi="Arial" w:cs="Arial"/>
                <w:sz w:val="22"/>
                <w:szCs w:val="22"/>
              </w:rPr>
              <w:t>adoption ,index</w:t>
            </w:r>
            <w:proofErr w:type="gramEnd"/>
            <w:r w:rsidRPr="000B78E1">
              <w:rPr>
                <w:rFonts w:ascii="Arial" w:hAnsi="Arial" w:cs="Arial"/>
                <w:sz w:val="22"/>
                <w:szCs w:val="22"/>
              </w:rPr>
              <w:t xml:space="preserve"> uses OLS and 2SLS.</w:t>
            </w:r>
          </w:p>
        </w:tc>
        <w:tc>
          <w:tcPr>
            <w:tcW w:w="1701" w:type="dxa"/>
            <w:vAlign w:val="center"/>
          </w:tcPr>
          <w:p w14:paraId="18ED3764"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Adoption varies by owner, firm, environment, infrastructure and trust. it is linked to higher sales and financial literacy.</w:t>
            </w:r>
          </w:p>
        </w:tc>
        <w:tc>
          <w:tcPr>
            <w:tcW w:w="1560" w:type="dxa"/>
            <w:vAlign w:val="center"/>
          </w:tcPr>
          <w:p w14:paraId="5F72A51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 direct credit access measurement. weak theoretical integration.</w:t>
            </w:r>
          </w:p>
        </w:tc>
        <w:tc>
          <w:tcPr>
            <w:tcW w:w="1701" w:type="dxa"/>
            <w:vAlign w:val="center"/>
          </w:tcPr>
          <w:p w14:paraId="4C34FC5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Digital adoption does not automatically lead to credit access due to missing conversion mechanism.</w:t>
            </w:r>
          </w:p>
        </w:tc>
      </w:tr>
      <w:tr w:rsidR="00C74905" w:rsidRPr="000B78E1" w14:paraId="63DE76DC" w14:textId="77777777" w:rsidTr="00500EEB">
        <w:tc>
          <w:tcPr>
            <w:tcW w:w="988" w:type="dxa"/>
            <w:vAlign w:val="center"/>
          </w:tcPr>
          <w:p w14:paraId="3DFDB237"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b/>
                <w:bCs/>
                <w:sz w:val="22"/>
                <w:szCs w:val="22"/>
              </w:rPr>
              <w:t>Pingali et al. (2023)</w:t>
            </w:r>
          </w:p>
        </w:tc>
        <w:tc>
          <w:tcPr>
            <w:tcW w:w="1559" w:type="dxa"/>
            <w:vAlign w:val="center"/>
          </w:tcPr>
          <w:p w14:paraId="48AAB2D5"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Digital </w:t>
            </w:r>
            <w:proofErr w:type="gramStart"/>
            <w:r w:rsidRPr="000B78E1">
              <w:rPr>
                <w:rFonts w:ascii="Arial" w:hAnsi="Arial" w:cs="Arial"/>
                <w:sz w:val="22"/>
                <w:szCs w:val="22"/>
              </w:rPr>
              <w:t>readiness  drives</w:t>
            </w:r>
            <w:proofErr w:type="gramEnd"/>
            <w:r w:rsidRPr="000B78E1">
              <w:rPr>
                <w:rFonts w:ascii="Arial" w:hAnsi="Arial" w:cs="Arial"/>
                <w:sz w:val="22"/>
                <w:szCs w:val="22"/>
              </w:rPr>
              <w:t xml:space="preserve"> SME performance</w:t>
            </w:r>
          </w:p>
        </w:tc>
        <w:tc>
          <w:tcPr>
            <w:tcW w:w="1559" w:type="dxa"/>
            <w:vAlign w:val="center"/>
          </w:tcPr>
          <w:p w14:paraId="579B80D3"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Digital readiness is based on market orientation, dynamic capabilities and strategic flexibility.</w:t>
            </w:r>
          </w:p>
        </w:tc>
        <w:tc>
          <w:tcPr>
            <w:tcW w:w="1559" w:type="dxa"/>
            <w:vAlign w:val="center"/>
          </w:tcPr>
          <w:p w14:paraId="03AA0AA1" w14:textId="77777777" w:rsidR="00C74905" w:rsidRPr="000B78E1" w:rsidRDefault="00C74905" w:rsidP="00F97793">
            <w:pPr>
              <w:spacing w:line="276" w:lineRule="auto"/>
              <w:jc w:val="both"/>
              <w:rPr>
                <w:rFonts w:ascii="Arial" w:hAnsi="Arial" w:cs="Arial"/>
                <w:sz w:val="22"/>
                <w:szCs w:val="22"/>
              </w:rPr>
            </w:pPr>
            <w:proofErr w:type="gramStart"/>
            <w:r w:rsidRPr="000B78E1">
              <w:rPr>
                <w:rFonts w:ascii="Arial" w:hAnsi="Arial" w:cs="Arial"/>
                <w:sz w:val="22"/>
                <w:szCs w:val="22"/>
              </w:rPr>
              <w:t>Mixed-method</w:t>
            </w:r>
            <w:proofErr w:type="gramEnd"/>
            <w:r w:rsidRPr="000B78E1">
              <w:rPr>
                <w:rFonts w:ascii="Arial" w:hAnsi="Arial" w:cs="Arial"/>
                <w:sz w:val="22"/>
                <w:szCs w:val="22"/>
              </w:rPr>
              <w:t xml:space="preserve"> (interviews &amp; surveys)</w:t>
            </w:r>
          </w:p>
        </w:tc>
        <w:tc>
          <w:tcPr>
            <w:tcW w:w="1701" w:type="dxa"/>
            <w:vAlign w:val="center"/>
          </w:tcPr>
          <w:p w14:paraId="2D666C2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Defines digital readiness, develops a 20-item scale and shows it improves firm performance.</w:t>
            </w:r>
          </w:p>
        </w:tc>
        <w:tc>
          <w:tcPr>
            <w:tcW w:w="1560" w:type="dxa"/>
            <w:vAlign w:val="center"/>
          </w:tcPr>
          <w:p w14:paraId="4D4FC758" w14:textId="77777777" w:rsidR="00C74905" w:rsidRPr="000B78E1" w:rsidRDefault="00C74905" w:rsidP="00F97793">
            <w:pPr>
              <w:spacing w:line="276" w:lineRule="auto"/>
              <w:rPr>
                <w:rFonts w:ascii="Arial" w:hAnsi="Arial" w:cs="Arial"/>
                <w:sz w:val="22"/>
                <w:szCs w:val="22"/>
              </w:rPr>
            </w:pPr>
            <w:r w:rsidRPr="000B78E1">
              <w:rPr>
                <w:rFonts w:ascii="Arial" w:hAnsi="Arial" w:cs="Arial"/>
                <w:sz w:val="22"/>
                <w:szCs w:val="22"/>
              </w:rPr>
              <w:t>Lacks institutional finance perspective.</w:t>
            </w:r>
          </w:p>
        </w:tc>
        <w:tc>
          <w:tcPr>
            <w:tcW w:w="1701" w:type="dxa"/>
            <w:vAlign w:val="center"/>
          </w:tcPr>
          <w:p w14:paraId="089F5722"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Supports that capability is key moderator</w:t>
            </w:r>
            <w:r w:rsidRPr="000B78E1">
              <w:rPr>
                <w:rFonts w:ascii="Arial" w:hAnsi="Arial" w:cs="Arial"/>
                <w:b/>
                <w:bCs/>
                <w:sz w:val="22"/>
                <w:szCs w:val="22"/>
              </w:rPr>
              <w:t>.</w:t>
            </w:r>
          </w:p>
        </w:tc>
      </w:tr>
      <w:tr w:rsidR="00C74905" w:rsidRPr="000B78E1" w14:paraId="3D96676E" w14:textId="77777777" w:rsidTr="00500EEB">
        <w:tc>
          <w:tcPr>
            <w:tcW w:w="988" w:type="dxa"/>
            <w:vAlign w:val="center"/>
          </w:tcPr>
          <w:p w14:paraId="6882C902"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b/>
                <w:bCs/>
                <w:sz w:val="22"/>
                <w:szCs w:val="22"/>
              </w:rPr>
              <w:t>Kim &amp; Jin (2024)</w:t>
            </w:r>
          </w:p>
        </w:tc>
        <w:tc>
          <w:tcPr>
            <w:tcW w:w="1559" w:type="dxa"/>
            <w:vAlign w:val="center"/>
          </w:tcPr>
          <w:p w14:paraId="7C6651ED"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Digital capability improves performance via opportunity recognition.</w:t>
            </w:r>
          </w:p>
        </w:tc>
        <w:tc>
          <w:tcPr>
            <w:tcW w:w="1559" w:type="dxa"/>
            <w:vAlign w:val="center"/>
          </w:tcPr>
          <w:p w14:paraId="7C61E921"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Dynamic </w:t>
            </w:r>
            <w:proofErr w:type="gramStart"/>
            <w:r w:rsidRPr="000B78E1">
              <w:rPr>
                <w:rFonts w:ascii="Arial" w:hAnsi="Arial" w:cs="Arial"/>
                <w:sz w:val="22"/>
                <w:szCs w:val="22"/>
              </w:rPr>
              <w:t>capabilities  that</w:t>
            </w:r>
            <w:proofErr w:type="gramEnd"/>
            <w:r w:rsidRPr="000B78E1">
              <w:rPr>
                <w:rFonts w:ascii="Arial" w:hAnsi="Arial" w:cs="Arial"/>
                <w:sz w:val="22"/>
                <w:szCs w:val="22"/>
              </w:rPr>
              <w:t xml:space="preserve"> </w:t>
            </w:r>
            <w:proofErr w:type="gramStart"/>
            <w:r w:rsidRPr="000B78E1">
              <w:rPr>
                <w:rFonts w:ascii="Arial" w:hAnsi="Arial" w:cs="Arial"/>
                <w:sz w:val="22"/>
                <w:szCs w:val="22"/>
              </w:rPr>
              <w:t>helps</w:t>
            </w:r>
            <w:proofErr w:type="gramEnd"/>
            <w:r w:rsidRPr="000B78E1">
              <w:rPr>
                <w:rFonts w:ascii="Arial" w:hAnsi="Arial" w:cs="Arial"/>
                <w:sz w:val="22"/>
                <w:szCs w:val="22"/>
              </w:rPr>
              <w:t xml:space="preserve"> firms sense opportunities and improve performance</w:t>
            </w:r>
          </w:p>
        </w:tc>
        <w:tc>
          <w:tcPr>
            <w:tcW w:w="1559" w:type="dxa"/>
            <w:vAlign w:val="center"/>
          </w:tcPr>
          <w:p w14:paraId="533996E4"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Survey study (n=313) using EFA/CFA and regression-based mediation and moderation analysis.</w:t>
            </w:r>
          </w:p>
        </w:tc>
        <w:tc>
          <w:tcPr>
            <w:tcW w:w="1701" w:type="dxa"/>
            <w:vAlign w:val="center"/>
          </w:tcPr>
          <w:p w14:paraId="635E8510"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Leadership strengthens digital-performance link.</w:t>
            </w:r>
          </w:p>
        </w:tc>
        <w:tc>
          <w:tcPr>
            <w:tcW w:w="1560" w:type="dxa"/>
            <w:vAlign w:val="center"/>
          </w:tcPr>
          <w:p w14:paraId="3C23A7A8"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 financing dimension.</w:t>
            </w:r>
          </w:p>
        </w:tc>
        <w:tc>
          <w:tcPr>
            <w:tcW w:w="1701" w:type="dxa"/>
            <w:vAlign w:val="center"/>
          </w:tcPr>
          <w:p w14:paraId="3EE3A0A3"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Supports capability and leadership as key moderators.</w:t>
            </w:r>
          </w:p>
        </w:tc>
      </w:tr>
      <w:tr w:rsidR="00C74905" w:rsidRPr="000B78E1" w14:paraId="1043E14C" w14:textId="77777777" w:rsidTr="00500EEB">
        <w:tc>
          <w:tcPr>
            <w:tcW w:w="988" w:type="dxa"/>
            <w:vAlign w:val="center"/>
          </w:tcPr>
          <w:p w14:paraId="4E0AB51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b/>
                <w:bCs/>
                <w:sz w:val="22"/>
                <w:szCs w:val="22"/>
              </w:rPr>
              <w:t>Khan et al. (2024)</w:t>
            </w:r>
          </w:p>
        </w:tc>
        <w:tc>
          <w:tcPr>
            <w:tcW w:w="1559" w:type="dxa"/>
            <w:vAlign w:val="center"/>
          </w:tcPr>
          <w:p w14:paraId="0BD2DE53"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Access to finance varies by bank type, collateral and borrower characteristics.</w:t>
            </w:r>
          </w:p>
        </w:tc>
        <w:tc>
          <w:tcPr>
            <w:tcW w:w="1559" w:type="dxa"/>
            <w:vAlign w:val="center"/>
          </w:tcPr>
          <w:p w14:paraId="33A7BFE3"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Uses liberal feminism to stress equal rights and removing barriers for women entrepreneurs.</w:t>
            </w:r>
          </w:p>
        </w:tc>
        <w:tc>
          <w:tcPr>
            <w:tcW w:w="1559" w:type="dxa"/>
            <w:vAlign w:val="center"/>
          </w:tcPr>
          <w:p w14:paraId="457947F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Survey of 210 women entrepreneurs using logistic regression.</w:t>
            </w:r>
          </w:p>
        </w:tc>
        <w:tc>
          <w:tcPr>
            <w:tcW w:w="1701" w:type="dxa"/>
            <w:vAlign w:val="center"/>
          </w:tcPr>
          <w:p w14:paraId="58CAF37F"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Private banks more flexible &amp; collateral still a key barrier.</w:t>
            </w:r>
          </w:p>
        </w:tc>
        <w:tc>
          <w:tcPr>
            <w:tcW w:w="1560" w:type="dxa"/>
            <w:vAlign w:val="center"/>
          </w:tcPr>
          <w:p w14:paraId="7CEC3962" w14:textId="77777777" w:rsidR="00C74905" w:rsidRPr="000B78E1" w:rsidRDefault="00C74905" w:rsidP="00F97793">
            <w:pPr>
              <w:spacing w:line="276" w:lineRule="auto"/>
              <w:jc w:val="both"/>
              <w:rPr>
                <w:rFonts w:ascii="Arial" w:hAnsi="Arial" w:cs="Arial"/>
                <w:sz w:val="22"/>
                <w:szCs w:val="22"/>
              </w:rPr>
            </w:pPr>
            <w:r w:rsidRPr="00F97793">
              <w:rPr>
                <w:rFonts w:ascii="Arial" w:hAnsi="Arial" w:cs="Arial"/>
                <w:sz w:val="22"/>
                <w:szCs w:val="22"/>
              </w:rPr>
              <w:t>Limited causal inference.</w:t>
            </w:r>
          </w:p>
        </w:tc>
        <w:tc>
          <w:tcPr>
            <w:tcW w:w="1701" w:type="dxa"/>
            <w:vAlign w:val="center"/>
          </w:tcPr>
          <w:p w14:paraId="0D62542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Direct Bangladesh evidence of structural constraints.</w:t>
            </w:r>
          </w:p>
        </w:tc>
      </w:tr>
      <w:tr w:rsidR="00C74905" w:rsidRPr="000B78E1" w14:paraId="70225163" w14:textId="77777777" w:rsidTr="00500EEB">
        <w:tc>
          <w:tcPr>
            <w:tcW w:w="988" w:type="dxa"/>
            <w:vAlign w:val="center"/>
          </w:tcPr>
          <w:p w14:paraId="1726D4C3"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Hasan et al. (2024)</w:t>
            </w:r>
          </w:p>
        </w:tc>
        <w:tc>
          <w:tcPr>
            <w:tcW w:w="1559" w:type="dxa"/>
            <w:vAlign w:val="center"/>
          </w:tcPr>
          <w:p w14:paraId="47BD0080"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SME finance literature dominated by constraints, fintech is </w:t>
            </w:r>
            <w:r w:rsidRPr="000B78E1">
              <w:rPr>
                <w:rFonts w:ascii="Arial" w:hAnsi="Arial" w:cs="Arial"/>
                <w:sz w:val="22"/>
                <w:szCs w:val="22"/>
              </w:rPr>
              <w:lastRenderedPageBreak/>
              <w:t>emerging but underexplored.</w:t>
            </w:r>
          </w:p>
        </w:tc>
        <w:tc>
          <w:tcPr>
            <w:tcW w:w="1559" w:type="dxa"/>
            <w:vAlign w:val="center"/>
          </w:tcPr>
          <w:p w14:paraId="38C9092A"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No single theory, it draws on multiple finance </w:t>
            </w:r>
            <w:r w:rsidRPr="000B78E1">
              <w:rPr>
                <w:rFonts w:ascii="Arial" w:hAnsi="Arial" w:cs="Arial"/>
                <w:sz w:val="22"/>
                <w:szCs w:val="22"/>
              </w:rPr>
              <w:lastRenderedPageBreak/>
              <w:t>concepts like asymmetry, collateral and capital structure.</w:t>
            </w:r>
          </w:p>
        </w:tc>
        <w:tc>
          <w:tcPr>
            <w:tcW w:w="1559" w:type="dxa"/>
            <w:vAlign w:val="center"/>
          </w:tcPr>
          <w:p w14:paraId="137161D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Scopus bibliometric of 812 papers.</w:t>
            </w:r>
          </w:p>
        </w:tc>
        <w:tc>
          <w:tcPr>
            <w:tcW w:w="1701" w:type="dxa"/>
            <w:vAlign w:val="center"/>
          </w:tcPr>
          <w:p w14:paraId="7FC3E0FA"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The field is growing rapidly, led by UK/USA, focusing on </w:t>
            </w:r>
            <w:r w:rsidRPr="000B78E1">
              <w:rPr>
                <w:rFonts w:ascii="Arial" w:hAnsi="Arial" w:cs="Arial"/>
                <w:sz w:val="22"/>
                <w:szCs w:val="22"/>
              </w:rPr>
              <w:lastRenderedPageBreak/>
              <w:t>SME finance, with increasing attention to digital financial inclusion over time.</w:t>
            </w:r>
          </w:p>
        </w:tc>
        <w:tc>
          <w:tcPr>
            <w:tcW w:w="1560" w:type="dxa"/>
            <w:vAlign w:val="center"/>
          </w:tcPr>
          <w:p w14:paraId="189ACF88"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No causal insights, purely descriptive mapping.</w:t>
            </w:r>
          </w:p>
        </w:tc>
        <w:tc>
          <w:tcPr>
            <w:tcW w:w="1701" w:type="dxa"/>
            <w:vAlign w:val="center"/>
          </w:tcPr>
          <w:p w14:paraId="06185FDD"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Emphasises the novelty of examining the DFS - credit </w:t>
            </w:r>
            <w:r w:rsidRPr="000B78E1">
              <w:rPr>
                <w:rFonts w:ascii="Arial" w:hAnsi="Arial" w:cs="Arial"/>
                <w:sz w:val="22"/>
                <w:szCs w:val="22"/>
              </w:rPr>
              <w:lastRenderedPageBreak/>
              <w:t>conversion gap.</w:t>
            </w:r>
          </w:p>
        </w:tc>
      </w:tr>
      <w:tr w:rsidR="00C74905" w:rsidRPr="000B78E1" w14:paraId="7E8AB183" w14:textId="77777777" w:rsidTr="00500EEB">
        <w:tc>
          <w:tcPr>
            <w:tcW w:w="988" w:type="dxa"/>
            <w:vAlign w:val="center"/>
          </w:tcPr>
          <w:p w14:paraId="6F993454" w14:textId="77777777" w:rsidR="00C74905" w:rsidRPr="000B78E1" w:rsidRDefault="00C74905" w:rsidP="00F97793">
            <w:pPr>
              <w:spacing w:line="276" w:lineRule="auto"/>
              <w:jc w:val="both"/>
              <w:rPr>
                <w:rFonts w:ascii="Arial" w:hAnsi="Arial" w:cs="Arial"/>
                <w:b/>
                <w:bCs/>
                <w:sz w:val="22"/>
                <w:szCs w:val="22"/>
              </w:rPr>
            </w:pPr>
            <w:proofErr w:type="spellStart"/>
            <w:r w:rsidRPr="000B78E1">
              <w:rPr>
                <w:rFonts w:ascii="Arial" w:hAnsi="Arial" w:cs="Arial"/>
                <w:b/>
                <w:bCs/>
                <w:sz w:val="22"/>
                <w:szCs w:val="22"/>
              </w:rPr>
              <w:lastRenderedPageBreak/>
              <w:t>Thathsarani</w:t>
            </w:r>
            <w:proofErr w:type="spellEnd"/>
            <w:r w:rsidRPr="000B78E1">
              <w:rPr>
                <w:rFonts w:ascii="Arial" w:hAnsi="Arial" w:cs="Arial"/>
                <w:b/>
                <w:bCs/>
                <w:sz w:val="22"/>
                <w:szCs w:val="22"/>
              </w:rPr>
              <w:t xml:space="preserve"> &amp; Jianguo (2022)</w:t>
            </w:r>
          </w:p>
        </w:tc>
        <w:tc>
          <w:tcPr>
            <w:tcW w:w="1559" w:type="dxa"/>
            <w:vAlign w:val="center"/>
          </w:tcPr>
          <w:p w14:paraId="637973F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Digital finance and TAM enhance SME performance through financial inclusion.</w:t>
            </w:r>
          </w:p>
        </w:tc>
        <w:tc>
          <w:tcPr>
            <w:tcW w:w="1559" w:type="dxa"/>
            <w:vAlign w:val="center"/>
          </w:tcPr>
          <w:p w14:paraId="4563023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TAM explains adoption through usefulness and ease of use.</w:t>
            </w:r>
          </w:p>
        </w:tc>
        <w:tc>
          <w:tcPr>
            <w:tcW w:w="1559" w:type="dxa"/>
            <w:vAlign w:val="center"/>
          </w:tcPr>
          <w:p w14:paraId="0259650F"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Survey </w:t>
            </w:r>
            <w:proofErr w:type="gramStart"/>
            <w:r w:rsidRPr="000B78E1">
              <w:rPr>
                <w:rFonts w:ascii="Arial" w:hAnsi="Arial" w:cs="Arial"/>
                <w:sz w:val="22"/>
                <w:szCs w:val="22"/>
              </w:rPr>
              <w:t>study  of</w:t>
            </w:r>
            <w:proofErr w:type="gramEnd"/>
            <w:r w:rsidRPr="000B78E1">
              <w:rPr>
                <w:rFonts w:ascii="Arial" w:hAnsi="Arial" w:cs="Arial"/>
                <w:sz w:val="22"/>
                <w:szCs w:val="22"/>
              </w:rPr>
              <w:t xml:space="preserve"> 366 SME owner using PLS-SEM with reliability tests.</w:t>
            </w:r>
          </w:p>
        </w:tc>
        <w:tc>
          <w:tcPr>
            <w:tcW w:w="1701" w:type="dxa"/>
            <w:vAlign w:val="center"/>
          </w:tcPr>
          <w:p w14:paraId="3A8698D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Financial inclusion and digital finance improve SME performance.</w:t>
            </w:r>
          </w:p>
        </w:tc>
        <w:tc>
          <w:tcPr>
            <w:tcW w:w="1560" w:type="dxa"/>
            <w:vAlign w:val="center"/>
          </w:tcPr>
          <w:p w14:paraId="58A21FE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Self-reported data &amp; no actual lending outcomes</w:t>
            </w:r>
          </w:p>
        </w:tc>
        <w:tc>
          <w:tcPr>
            <w:tcW w:w="1701" w:type="dxa"/>
            <w:vAlign w:val="center"/>
          </w:tcPr>
          <w:p w14:paraId="5EAF1A24"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Shows that adoption readiness, literacy and service quality act as key moderators shaping outcomes.</w:t>
            </w:r>
          </w:p>
        </w:tc>
      </w:tr>
      <w:tr w:rsidR="00C74905" w:rsidRPr="000B78E1" w14:paraId="384DFEE9" w14:textId="77777777" w:rsidTr="00500EEB">
        <w:tc>
          <w:tcPr>
            <w:tcW w:w="988" w:type="dxa"/>
            <w:vAlign w:val="center"/>
          </w:tcPr>
          <w:p w14:paraId="29C8F803"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Gunawan et al. (2023)</w:t>
            </w:r>
          </w:p>
        </w:tc>
        <w:tc>
          <w:tcPr>
            <w:tcW w:w="1559" w:type="dxa"/>
            <w:vAlign w:val="center"/>
          </w:tcPr>
          <w:p w14:paraId="1DDF43AA"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FinTech improves performance but financial inclusion does not mediate effectively.</w:t>
            </w:r>
          </w:p>
        </w:tc>
        <w:tc>
          <w:tcPr>
            <w:tcW w:w="1559" w:type="dxa"/>
            <w:vAlign w:val="center"/>
          </w:tcPr>
          <w:p w14:paraId="1933898E"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Conceptual framing, no strong theory used.</w:t>
            </w:r>
          </w:p>
        </w:tc>
        <w:tc>
          <w:tcPr>
            <w:tcW w:w="1559" w:type="dxa"/>
            <w:vAlign w:val="center"/>
          </w:tcPr>
          <w:p w14:paraId="6930DA4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Survey 100 SMEs using PLS-SEM with reliability tests and mediation analysis.</w:t>
            </w:r>
          </w:p>
        </w:tc>
        <w:tc>
          <w:tcPr>
            <w:tcW w:w="1701" w:type="dxa"/>
            <w:vAlign w:val="center"/>
          </w:tcPr>
          <w:p w14:paraId="12330A3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FinTech significant; inclusion insignificant</w:t>
            </w:r>
          </w:p>
        </w:tc>
        <w:tc>
          <w:tcPr>
            <w:tcW w:w="1560" w:type="dxa"/>
            <w:vAlign w:val="center"/>
          </w:tcPr>
          <w:p w14:paraId="4B1BEF2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Data inconsistency, weak design &amp; small sample.</w:t>
            </w:r>
          </w:p>
        </w:tc>
        <w:tc>
          <w:tcPr>
            <w:tcW w:w="1701" w:type="dxa"/>
            <w:vAlign w:val="center"/>
          </w:tcPr>
          <w:p w14:paraId="09B322E2"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Inclusion does not guarantee outcomes.</w:t>
            </w:r>
          </w:p>
        </w:tc>
      </w:tr>
      <w:tr w:rsidR="00C74905" w:rsidRPr="000B78E1" w14:paraId="75E46457" w14:textId="77777777" w:rsidTr="00500EEB">
        <w:trPr>
          <w:trHeight w:val="2145"/>
        </w:trPr>
        <w:tc>
          <w:tcPr>
            <w:tcW w:w="988" w:type="dxa"/>
            <w:vAlign w:val="center"/>
          </w:tcPr>
          <w:p w14:paraId="2338FD13"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Molla et al. (2026)</w:t>
            </w:r>
          </w:p>
        </w:tc>
        <w:tc>
          <w:tcPr>
            <w:tcW w:w="1559" w:type="dxa"/>
            <w:vAlign w:val="center"/>
          </w:tcPr>
          <w:p w14:paraId="5C517FDE"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Digital bank adoption improves performance via TOE factors.</w:t>
            </w:r>
          </w:p>
        </w:tc>
        <w:tc>
          <w:tcPr>
            <w:tcW w:w="1559" w:type="dxa"/>
            <w:vAlign w:val="center"/>
          </w:tcPr>
          <w:p w14:paraId="3DA349CE"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TOE framework</w:t>
            </w:r>
          </w:p>
        </w:tc>
        <w:tc>
          <w:tcPr>
            <w:tcW w:w="1559" w:type="dxa"/>
            <w:vAlign w:val="center"/>
          </w:tcPr>
          <w:p w14:paraId="3C533BBA"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Survey of 459 bank </w:t>
            </w:r>
            <w:proofErr w:type="gramStart"/>
            <w:r w:rsidRPr="000B78E1">
              <w:rPr>
                <w:rFonts w:ascii="Arial" w:hAnsi="Arial" w:cs="Arial"/>
                <w:sz w:val="22"/>
                <w:szCs w:val="22"/>
              </w:rPr>
              <w:t>employees)using</w:t>
            </w:r>
            <w:proofErr w:type="gramEnd"/>
            <w:r w:rsidRPr="000B78E1">
              <w:rPr>
                <w:rFonts w:ascii="Arial" w:hAnsi="Arial" w:cs="Arial"/>
                <w:sz w:val="22"/>
                <w:szCs w:val="22"/>
              </w:rPr>
              <w:t xml:space="preserve"> SEM with reliability/validity and bias tests.</w:t>
            </w:r>
          </w:p>
        </w:tc>
        <w:tc>
          <w:tcPr>
            <w:tcW w:w="1701" w:type="dxa"/>
            <w:vAlign w:val="center"/>
          </w:tcPr>
          <w:p w14:paraId="60272AE1"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Adoption driven by leadership, regulation &amp; competition.</w:t>
            </w:r>
          </w:p>
        </w:tc>
        <w:tc>
          <w:tcPr>
            <w:tcW w:w="1560" w:type="dxa"/>
            <w:vAlign w:val="center"/>
          </w:tcPr>
          <w:p w14:paraId="59A4F18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Government support is insignificant.</w:t>
            </w:r>
          </w:p>
        </w:tc>
        <w:tc>
          <w:tcPr>
            <w:tcW w:w="1701" w:type="dxa"/>
            <w:vAlign w:val="center"/>
          </w:tcPr>
          <w:p w14:paraId="27D372B5"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Bank-side perspective.</w:t>
            </w:r>
          </w:p>
        </w:tc>
      </w:tr>
      <w:tr w:rsidR="00C74905" w:rsidRPr="000B78E1" w14:paraId="422EA125" w14:textId="77777777" w:rsidTr="00500EEB">
        <w:tc>
          <w:tcPr>
            <w:tcW w:w="988" w:type="dxa"/>
            <w:vAlign w:val="center"/>
          </w:tcPr>
          <w:p w14:paraId="55EA4E99"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Abu et al. (2025)</w:t>
            </w:r>
          </w:p>
        </w:tc>
        <w:tc>
          <w:tcPr>
            <w:tcW w:w="1559" w:type="dxa"/>
            <w:vAlign w:val="center"/>
          </w:tcPr>
          <w:p w14:paraId="18D61A20"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FinTech &amp; government policy must work together to improve SME finance.</w:t>
            </w:r>
          </w:p>
        </w:tc>
        <w:tc>
          <w:tcPr>
            <w:tcW w:w="1559" w:type="dxa"/>
            <w:vAlign w:val="center"/>
          </w:tcPr>
          <w:p w14:paraId="68B50F98"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 theory. PRISMA-based review with bibliometric and thematic analysis.</w:t>
            </w:r>
          </w:p>
        </w:tc>
        <w:tc>
          <w:tcPr>
            <w:tcW w:w="1559" w:type="dxa"/>
            <w:vAlign w:val="center"/>
          </w:tcPr>
          <w:p w14:paraId="05242F7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PRISMA SLR of 54 studies.</w:t>
            </w:r>
          </w:p>
        </w:tc>
        <w:tc>
          <w:tcPr>
            <w:tcW w:w="1701" w:type="dxa"/>
            <w:vAlign w:val="center"/>
          </w:tcPr>
          <w:p w14:paraId="583E65C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Government and FinTech can jointly improve SME </w:t>
            </w:r>
            <w:proofErr w:type="gramStart"/>
            <w:r w:rsidRPr="000B78E1">
              <w:rPr>
                <w:rFonts w:ascii="Arial" w:hAnsi="Arial" w:cs="Arial"/>
                <w:sz w:val="22"/>
                <w:szCs w:val="22"/>
              </w:rPr>
              <w:t>finance</w:t>
            </w:r>
            <w:proofErr w:type="gramEnd"/>
            <w:r w:rsidRPr="000B78E1">
              <w:rPr>
                <w:rFonts w:ascii="Arial" w:hAnsi="Arial" w:cs="Arial"/>
                <w:sz w:val="22"/>
                <w:szCs w:val="22"/>
              </w:rPr>
              <w:t xml:space="preserve"> but outcomes depend on policy quality, regulation, infrastructure, and trust.</w:t>
            </w:r>
          </w:p>
        </w:tc>
        <w:tc>
          <w:tcPr>
            <w:tcW w:w="1560" w:type="dxa"/>
            <w:vAlign w:val="center"/>
          </w:tcPr>
          <w:p w14:paraId="6CD3C3A2"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Biased toward developed FinTech contexts.</w:t>
            </w:r>
          </w:p>
        </w:tc>
        <w:tc>
          <w:tcPr>
            <w:tcW w:w="1701" w:type="dxa"/>
            <w:vAlign w:val="center"/>
          </w:tcPr>
          <w:p w14:paraId="1305021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Supports that the key gap is the interaction between policy and technology.</w:t>
            </w:r>
          </w:p>
        </w:tc>
      </w:tr>
      <w:tr w:rsidR="00C74905" w:rsidRPr="000B78E1" w14:paraId="66092FC7" w14:textId="77777777" w:rsidTr="00500EEB">
        <w:tc>
          <w:tcPr>
            <w:tcW w:w="988" w:type="dxa"/>
            <w:vAlign w:val="center"/>
          </w:tcPr>
          <w:p w14:paraId="11E8F265"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Morgan (2022)</w:t>
            </w:r>
          </w:p>
        </w:tc>
        <w:tc>
          <w:tcPr>
            <w:tcW w:w="1559" w:type="dxa"/>
            <w:vAlign w:val="center"/>
          </w:tcPr>
          <w:p w14:paraId="30A7BA0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FinTech improves payments inclusion but limited </w:t>
            </w:r>
            <w:r w:rsidRPr="000B78E1">
              <w:rPr>
                <w:rFonts w:ascii="Arial" w:hAnsi="Arial" w:cs="Arial"/>
                <w:sz w:val="22"/>
                <w:szCs w:val="22"/>
              </w:rPr>
              <w:lastRenderedPageBreak/>
              <w:t>evidence on credit impact.</w:t>
            </w:r>
          </w:p>
        </w:tc>
        <w:tc>
          <w:tcPr>
            <w:tcW w:w="1559" w:type="dxa"/>
            <w:vAlign w:val="center"/>
          </w:tcPr>
          <w:p w14:paraId="2D984DE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Policy review using established concepts, no single theory </w:t>
            </w:r>
            <w:r w:rsidRPr="000B78E1">
              <w:rPr>
                <w:rFonts w:ascii="Arial" w:hAnsi="Arial" w:cs="Arial"/>
                <w:sz w:val="22"/>
                <w:szCs w:val="22"/>
              </w:rPr>
              <w:lastRenderedPageBreak/>
              <w:t>is built or tested.</w:t>
            </w:r>
          </w:p>
        </w:tc>
        <w:tc>
          <w:tcPr>
            <w:tcW w:w="1559" w:type="dxa"/>
            <w:vAlign w:val="center"/>
          </w:tcPr>
          <w:p w14:paraId="46F1429A"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Comparative policy review using secondary </w:t>
            </w:r>
            <w:r w:rsidRPr="000B78E1">
              <w:rPr>
                <w:rFonts w:ascii="Arial" w:hAnsi="Arial" w:cs="Arial"/>
                <w:sz w:val="22"/>
                <w:szCs w:val="22"/>
              </w:rPr>
              <w:lastRenderedPageBreak/>
              <w:t>country-level data.</w:t>
            </w:r>
          </w:p>
        </w:tc>
        <w:tc>
          <w:tcPr>
            <w:tcW w:w="1701" w:type="dxa"/>
            <w:vAlign w:val="center"/>
          </w:tcPr>
          <w:p w14:paraId="3094E3D0"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lastRenderedPageBreak/>
              <w:t xml:space="preserve">Digital payments drive </w:t>
            </w:r>
            <w:proofErr w:type="gramStart"/>
            <w:r w:rsidRPr="000B78E1">
              <w:rPr>
                <w:rFonts w:ascii="Arial" w:hAnsi="Arial" w:cs="Arial"/>
                <w:sz w:val="22"/>
                <w:szCs w:val="22"/>
              </w:rPr>
              <w:t>inclusion</w:t>
            </w:r>
            <w:proofErr w:type="gramEnd"/>
            <w:r w:rsidRPr="000B78E1">
              <w:rPr>
                <w:rFonts w:ascii="Arial" w:hAnsi="Arial" w:cs="Arial"/>
                <w:sz w:val="22"/>
                <w:szCs w:val="22"/>
              </w:rPr>
              <w:t xml:space="preserve"> but lending impact is still small.</w:t>
            </w:r>
          </w:p>
        </w:tc>
        <w:tc>
          <w:tcPr>
            <w:tcW w:w="1560" w:type="dxa"/>
            <w:vAlign w:val="center"/>
          </w:tcPr>
          <w:p w14:paraId="5AF4828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Lack of causal data, macro-level analysis.</w:t>
            </w:r>
          </w:p>
        </w:tc>
        <w:tc>
          <w:tcPr>
            <w:tcW w:w="1701" w:type="dxa"/>
            <w:vAlign w:val="center"/>
          </w:tcPr>
          <w:p w14:paraId="7141027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DFS is widely used but its impact on credit remains unclear.</w:t>
            </w:r>
          </w:p>
        </w:tc>
      </w:tr>
      <w:tr w:rsidR="00C74905" w:rsidRPr="000B78E1" w14:paraId="14AA4583" w14:textId="77777777" w:rsidTr="00500EEB">
        <w:tc>
          <w:tcPr>
            <w:tcW w:w="988" w:type="dxa"/>
            <w:vAlign w:val="center"/>
          </w:tcPr>
          <w:p w14:paraId="097AD251" w14:textId="77777777" w:rsidR="00C74905" w:rsidRPr="000B78E1" w:rsidRDefault="00C74905" w:rsidP="00F97793">
            <w:pPr>
              <w:spacing w:line="276" w:lineRule="auto"/>
              <w:jc w:val="both"/>
              <w:rPr>
                <w:rFonts w:ascii="Arial" w:hAnsi="Arial" w:cs="Arial"/>
                <w:b/>
                <w:bCs/>
                <w:sz w:val="22"/>
                <w:szCs w:val="22"/>
              </w:rPr>
            </w:pPr>
            <w:proofErr w:type="spellStart"/>
            <w:r w:rsidRPr="000B78E1">
              <w:rPr>
                <w:rFonts w:ascii="Arial" w:hAnsi="Arial" w:cs="Arial"/>
                <w:b/>
                <w:bCs/>
                <w:sz w:val="22"/>
                <w:szCs w:val="22"/>
              </w:rPr>
              <w:t>Bongomin</w:t>
            </w:r>
            <w:proofErr w:type="spellEnd"/>
            <w:r w:rsidRPr="000B78E1">
              <w:rPr>
                <w:rFonts w:ascii="Arial" w:hAnsi="Arial" w:cs="Arial"/>
                <w:b/>
                <w:bCs/>
                <w:sz w:val="22"/>
                <w:szCs w:val="22"/>
              </w:rPr>
              <w:t xml:space="preserve"> &amp; Munene (2021)</w:t>
            </w:r>
          </w:p>
        </w:tc>
        <w:tc>
          <w:tcPr>
            <w:tcW w:w="1559" w:type="dxa"/>
            <w:vAlign w:val="center"/>
          </w:tcPr>
          <w:p w14:paraId="47E32BEA"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Cultural norms shape mobile money adoption and inclusion</w:t>
            </w:r>
          </w:p>
        </w:tc>
        <w:tc>
          <w:tcPr>
            <w:tcW w:w="1559" w:type="dxa"/>
            <w:vAlign w:val="center"/>
          </w:tcPr>
          <w:p w14:paraId="71189C94"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Cultural-institutional</w:t>
            </w:r>
          </w:p>
        </w:tc>
        <w:tc>
          <w:tcPr>
            <w:tcW w:w="1559" w:type="dxa"/>
            <w:vAlign w:val="center"/>
          </w:tcPr>
          <w:p w14:paraId="583BBB2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SEM (n=364 MSMEs)</w:t>
            </w:r>
          </w:p>
        </w:tc>
        <w:tc>
          <w:tcPr>
            <w:tcW w:w="1701" w:type="dxa"/>
            <w:vAlign w:val="center"/>
          </w:tcPr>
          <w:p w14:paraId="068865E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Norms significantly influence outcomes</w:t>
            </w:r>
          </w:p>
        </w:tc>
        <w:tc>
          <w:tcPr>
            <w:tcW w:w="1560" w:type="dxa"/>
            <w:vAlign w:val="center"/>
          </w:tcPr>
          <w:p w14:paraId="39BAC788"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 credit-level outcomes; limited geography</w:t>
            </w:r>
          </w:p>
        </w:tc>
        <w:tc>
          <w:tcPr>
            <w:tcW w:w="1701" w:type="dxa"/>
            <w:vAlign w:val="center"/>
          </w:tcPr>
          <w:p w14:paraId="4D857A1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Shows </w:t>
            </w:r>
            <w:r w:rsidRPr="000B78E1">
              <w:rPr>
                <w:rFonts w:ascii="Arial" w:hAnsi="Arial" w:cs="Arial"/>
                <w:b/>
                <w:bCs/>
                <w:sz w:val="22"/>
                <w:szCs w:val="22"/>
              </w:rPr>
              <w:t>social context matters (Theme 4)</w:t>
            </w:r>
          </w:p>
        </w:tc>
      </w:tr>
      <w:tr w:rsidR="00C74905" w:rsidRPr="000B78E1" w14:paraId="56BED4AE" w14:textId="77777777" w:rsidTr="00500EEB">
        <w:tc>
          <w:tcPr>
            <w:tcW w:w="988" w:type="dxa"/>
            <w:vAlign w:val="center"/>
          </w:tcPr>
          <w:p w14:paraId="6339750D" w14:textId="77777777" w:rsidR="00C74905" w:rsidRPr="000B78E1" w:rsidRDefault="00C74905" w:rsidP="00F97793">
            <w:pPr>
              <w:spacing w:line="276" w:lineRule="auto"/>
              <w:jc w:val="both"/>
              <w:rPr>
                <w:rFonts w:ascii="Arial" w:hAnsi="Arial" w:cs="Arial"/>
                <w:b/>
                <w:bCs/>
                <w:sz w:val="22"/>
                <w:szCs w:val="22"/>
              </w:rPr>
            </w:pPr>
            <w:proofErr w:type="spellStart"/>
            <w:r w:rsidRPr="000B78E1">
              <w:rPr>
                <w:rFonts w:ascii="Arial" w:hAnsi="Arial" w:cs="Arial"/>
                <w:b/>
                <w:bCs/>
                <w:sz w:val="22"/>
                <w:szCs w:val="22"/>
              </w:rPr>
              <w:t>Tandilino</w:t>
            </w:r>
            <w:proofErr w:type="spellEnd"/>
            <w:r w:rsidRPr="000B78E1">
              <w:rPr>
                <w:rFonts w:ascii="Arial" w:hAnsi="Arial" w:cs="Arial"/>
                <w:b/>
                <w:bCs/>
                <w:sz w:val="22"/>
                <w:szCs w:val="22"/>
              </w:rPr>
              <w:t xml:space="preserve"> et al. (2025)</w:t>
            </w:r>
          </w:p>
        </w:tc>
        <w:tc>
          <w:tcPr>
            <w:tcW w:w="1559" w:type="dxa"/>
            <w:vAlign w:val="center"/>
          </w:tcPr>
          <w:p w14:paraId="2E4C51F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Digital financial inclusion works only when literacy &amp; government support exist.</w:t>
            </w:r>
          </w:p>
        </w:tc>
        <w:tc>
          <w:tcPr>
            <w:tcW w:w="1559" w:type="dxa"/>
            <w:vAlign w:val="center"/>
          </w:tcPr>
          <w:p w14:paraId="40F1F75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Uses RBV as the main theory, with TPB as a supporting lens.</w:t>
            </w:r>
          </w:p>
        </w:tc>
        <w:tc>
          <w:tcPr>
            <w:tcW w:w="1559" w:type="dxa"/>
            <w:vAlign w:val="center"/>
          </w:tcPr>
          <w:p w14:paraId="1DAB2A7D"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Survey 260 SMEs using PLS-SEM with bootstrapping and validity checks.</w:t>
            </w:r>
          </w:p>
          <w:p w14:paraId="4A89BB60" w14:textId="77777777" w:rsidR="00C74905" w:rsidRPr="000B78E1" w:rsidRDefault="00C74905" w:rsidP="00F97793">
            <w:pPr>
              <w:spacing w:line="276" w:lineRule="auto"/>
              <w:jc w:val="both"/>
              <w:rPr>
                <w:rFonts w:ascii="Arial" w:hAnsi="Arial" w:cs="Arial"/>
                <w:sz w:val="22"/>
                <w:szCs w:val="22"/>
              </w:rPr>
            </w:pPr>
          </w:p>
        </w:tc>
        <w:tc>
          <w:tcPr>
            <w:tcW w:w="1701" w:type="dxa"/>
            <w:vAlign w:val="center"/>
          </w:tcPr>
          <w:p w14:paraId="20E63409"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Government support strongest driver with DFI mediation.</w:t>
            </w:r>
          </w:p>
        </w:tc>
        <w:tc>
          <w:tcPr>
            <w:tcW w:w="1560" w:type="dxa"/>
            <w:vAlign w:val="center"/>
          </w:tcPr>
          <w:p w14:paraId="3A66EEC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 credit-level validation.</w:t>
            </w:r>
          </w:p>
        </w:tc>
        <w:tc>
          <w:tcPr>
            <w:tcW w:w="1701" w:type="dxa"/>
            <w:vAlign w:val="center"/>
          </w:tcPr>
          <w:p w14:paraId="19E3E46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Institutions and capabilities must align.</w:t>
            </w:r>
          </w:p>
        </w:tc>
      </w:tr>
      <w:tr w:rsidR="00C74905" w:rsidRPr="000B78E1" w14:paraId="78F61CC4" w14:textId="77777777" w:rsidTr="00500EEB">
        <w:tc>
          <w:tcPr>
            <w:tcW w:w="988" w:type="dxa"/>
            <w:vAlign w:val="center"/>
          </w:tcPr>
          <w:p w14:paraId="71F2020E"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 xml:space="preserve">Maesu and </w:t>
            </w:r>
            <w:proofErr w:type="spellStart"/>
            <w:r w:rsidRPr="000B78E1">
              <w:rPr>
                <w:rFonts w:ascii="Arial" w:hAnsi="Arial" w:cs="Arial"/>
                <w:b/>
                <w:bCs/>
                <w:sz w:val="22"/>
                <w:szCs w:val="22"/>
              </w:rPr>
              <w:t>Syrovátka</w:t>
            </w:r>
            <w:proofErr w:type="spellEnd"/>
            <w:r w:rsidRPr="000B78E1">
              <w:rPr>
                <w:rFonts w:ascii="Arial" w:hAnsi="Arial" w:cs="Arial"/>
                <w:b/>
                <w:bCs/>
                <w:sz w:val="22"/>
                <w:szCs w:val="22"/>
              </w:rPr>
              <w:t>, 2025</w:t>
            </w:r>
          </w:p>
        </w:tc>
        <w:tc>
          <w:tcPr>
            <w:tcW w:w="1559" w:type="dxa"/>
            <w:vAlign w:val="center"/>
          </w:tcPr>
          <w:p w14:paraId="6C45D409" w14:textId="77777777" w:rsidR="00C74905" w:rsidRPr="000B78E1" w:rsidRDefault="00C74905" w:rsidP="00F97793">
            <w:pPr>
              <w:spacing w:line="276" w:lineRule="auto"/>
              <w:jc w:val="both"/>
              <w:rPr>
                <w:rFonts w:ascii="Arial" w:hAnsi="Arial" w:cs="Arial"/>
                <w:sz w:val="22"/>
                <w:szCs w:val="22"/>
              </w:rPr>
            </w:pPr>
          </w:p>
        </w:tc>
        <w:tc>
          <w:tcPr>
            <w:tcW w:w="1559" w:type="dxa"/>
            <w:vAlign w:val="center"/>
          </w:tcPr>
          <w:p w14:paraId="4DE44E56" w14:textId="77777777" w:rsidR="00C74905" w:rsidRPr="000B78E1" w:rsidRDefault="00C74905" w:rsidP="00F97793">
            <w:pPr>
              <w:spacing w:line="276" w:lineRule="auto"/>
              <w:jc w:val="both"/>
              <w:rPr>
                <w:rFonts w:ascii="Arial" w:hAnsi="Arial" w:cs="Arial"/>
                <w:sz w:val="22"/>
                <w:szCs w:val="22"/>
              </w:rPr>
            </w:pPr>
            <w:proofErr w:type="gramStart"/>
            <w:r w:rsidRPr="000B78E1">
              <w:rPr>
                <w:rFonts w:ascii="Arial" w:hAnsi="Arial" w:cs="Arial"/>
                <w:sz w:val="22"/>
                <w:szCs w:val="22"/>
              </w:rPr>
              <w:t>No single theory,</w:t>
            </w:r>
            <w:proofErr w:type="gramEnd"/>
            <w:r w:rsidRPr="000B78E1">
              <w:rPr>
                <w:rFonts w:ascii="Arial" w:hAnsi="Arial" w:cs="Arial"/>
                <w:sz w:val="22"/>
                <w:szCs w:val="22"/>
              </w:rPr>
              <w:t xml:space="preserve"> draws on RBV, dynamic capabilities, and contingency logic.</w:t>
            </w:r>
          </w:p>
          <w:p w14:paraId="4A9E16D4" w14:textId="77777777" w:rsidR="00C74905" w:rsidRPr="000B78E1" w:rsidRDefault="00C74905" w:rsidP="00F97793">
            <w:pPr>
              <w:spacing w:line="276" w:lineRule="auto"/>
              <w:jc w:val="both"/>
              <w:rPr>
                <w:rFonts w:ascii="Arial" w:hAnsi="Arial" w:cs="Arial"/>
                <w:sz w:val="22"/>
                <w:szCs w:val="22"/>
              </w:rPr>
            </w:pPr>
          </w:p>
        </w:tc>
        <w:tc>
          <w:tcPr>
            <w:tcW w:w="1559" w:type="dxa"/>
            <w:vAlign w:val="center"/>
          </w:tcPr>
          <w:p w14:paraId="2DDE97D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Panel data regression using country-level data during 2000–2018.</w:t>
            </w:r>
          </w:p>
        </w:tc>
        <w:tc>
          <w:tcPr>
            <w:tcW w:w="1701" w:type="dxa"/>
            <w:vAlign w:val="center"/>
          </w:tcPr>
          <w:p w14:paraId="4F73B7E5"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Key factors for SME success are finance, networking and technology but success driven by their combined effect.</w:t>
            </w:r>
          </w:p>
        </w:tc>
        <w:tc>
          <w:tcPr>
            <w:tcW w:w="1560" w:type="dxa"/>
            <w:vAlign w:val="center"/>
          </w:tcPr>
          <w:p w14:paraId="2562AD27"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Limited to English journal articles, excludes grey literature and local insights.</w:t>
            </w:r>
          </w:p>
        </w:tc>
        <w:tc>
          <w:tcPr>
            <w:tcW w:w="1701" w:type="dxa"/>
            <w:vAlign w:val="center"/>
          </w:tcPr>
          <w:p w14:paraId="5599664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Shows outcomes vary by context, institutions and networks matter and DFS does not guarantee credit access.</w:t>
            </w:r>
          </w:p>
        </w:tc>
      </w:tr>
      <w:tr w:rsidR="00C74905" w:rsidRPr="000B78E1" w14:paraId="718D444F" w14:textId="77777777" w:rsidTr="00500EEB">
        <w:tc>
          <w:tcPr>
            <w:tcW w:w="988" w:type="dxa"/>
            <w:vAlign w:val="center"/>
          </w:tcPr>
          <w:p w14:paraId="14BA7D06" w14:textId="77777777" w:rsidR="00C74905" w:rsidRPr="000B78E1" w:rsidRDefault="00C74905" w:rsidP="00F97793">
            <w:pPr>
              <w:spacing w:line="276" w:lineRule="auto"/>
              <w:jc w:val="both"/>
              <w:rPr>
                <w:rFonts w:ascii="Arial" w:hAnsi="Arial" w:cs="Arial"/>
                <w:b/>
                <w:bCs/>
                <w:sz w:val="22"/>
                <w:szCs w:val="22"/>
              </w:rPr>
            </w:pPr>
            <w:proofErr w:type="spellStart"/>
            <w:r w:rsidRPr="000B78E1">
              <w:rPr>
                <w:rFonts w:ascii="Arial" w:hAnsi="Arial" w:cs="Arial"/>
                <w:b/>
                <w:bCs/>
                <w:sz w:val="22"/>
                <w:szCs w:val="22"/>
              </w:rPr>
              <w:t>Tumiwa</w:t>
            </w:r>
            <w:proofErr w:type="spellEnd"/>
            <w:r w:rsidRPr="000B78E1">
              <w:rPr>
                <w:rFonts w:ascii="Arial" w:hAnsi="Arial" w:cs="Arial"/>
                <w:b/>
                <w:bCs/>
                <w:sz w:val="22"/>
                <w:szCs w:val="22"/>
              </w:rPr>
              <w:t xml:space="preserve"> and Nagy, 2021</w:t>
            </w:r>
          </w:p>
        </w:tc>
        <w:tc>
          <w:tcPr>
            <w:tcW w:w="1559" w:type="dxa"/>
            <w:vAlign w:val="center"/>
          </w:tcPr>
          <w:p w14:paraId="515AFF5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MSMEs drive growth and jobs but impact depends more on policy and demographics than finance alone.</w:t>
            </w:r>
          </w:p>
        </w:tc>
        <w:tc>
          <w:tcPr>
            <w:tcW w:w="1559" w:type="dxa"/>
            <w:vAlign w:val="center"/>
          </w:tcPr>
          <w:p w14:paraId="2B033E65"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No specific theory, uses macro growth, entrepreneurship and policy perspectives.</w:t>
            </w:r>
          </w:p>
        </w:tc>
        <w:tc>
          <w:tcPr>
            <w:tcW w:w="1559" w:type="dxa"/>
            <w:vAlign w:val="center"/>
          </w:tcPr>
          <w:p w14:paraId="367D7798"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Country-level panel data of 2000–2018 using log-transformed variables and regression.</w:t>
            </w:r>
          </w:p>
          <w:p w14:paraId="0661BFF7" w14:textId="77777777" w:rsidR="00C74905" w:rsidRPr="000B78E1" w:rsidRDefault="00C74905" w:rsidP="00F97793">
            <w:pPr>
              <w:spacing w:line="276" w:lineRule="auto"/>
              <w:jc w:val="both"/>
              <w:rPr>
                <w:rFonts w:ascii="Arial" w:hAnsi="Arial" w:cs="Arial"/>
                <w:sz w:val="22"/>
                <w:szCs w:val="22"/>
              </w:rPr>
            </w:pPr>
          </w:p>
        </w:tc>
        <w:tc>
          <w:tcPr>
            <w:tcW w:w="1701" w:type="dxa"/>
            <w:vAlign w:val="center"/>
          </w:tcPr>
          <w:p w14:paraId="6F0E0D9E"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MSMEs affect GDP (positive in Indonesia, mixed in Hungary) but findings focus on growth, not finance.</w:t>
            </w:r>
          </w:p>
        </w:tc>
        <w:tc>
          <w:tcPr>
            <w:tcW w:w="1560" w:type="dxa"/>
            <w:vAlign w:val="center"/>
          </w:tcPr>
          <w:p w14:paraId="092D4AA8"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Uses macro data only, no firm-level or finance or DFS analysis.</w:t>
            </w:r>
          </w:p>
        </w:tc>
        <w:tc>
          <w:tcPr>
            <w:tcW w:w="1701" w:type="dxa"/>
            <w:vAlign w:val="center"/>
          </w:tcPr>
          <w:p w14:paraId="2995C402"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MSMEs drive growth but the role of finance and DFS is not examined.</w:t>
            </w:r>
          </w:p>
        </w:tc>
      </w:tr>
      <w:tr w:rsidR="00C74905" w:rsidRPr="000B78E1" w14:paraId="58F41947" w14:textId="77777777" w:rsidTr="00500EEB">
        <w:tc>
          <w:tcPr>
            <w:tcW w:w="988" w:type="dxa"/>
            <w:vAlign w:val="center"/>
          </w:tcPr>
          <w:p w14:paraId="538284C2" w14:textId="77777777" w:rsidR="00C74905" w:rsidRPr="000B78E1" w:rsidRDefault="00C74905" w:rsidP="00F97793">
            <w:pPr>
              <w:spacing w:line="276" w:lineRule="auto"/>
              <w:jc w:val="both"/>
              <w:rPr>
                <w:rFonts w:ascii="Arial" w:hAnsi="Arial" w:cs="Arial"/>
                <w:b/>
                <w:bCs/>
                <w:sz w:val="22"/>
                <w:szCs w:val="22"/>
              </w:rPr>
            </w:pPr>
            <w:r w:rsidRPr="000B78E1">
              <w:rPr>
                <w:rFonts w:ascii="Arial" w:hAnsi="Arial" w:cs="Arial"/>
                <w:b/>
                <w:bCs/>
                <w:sz w:val="22"/>
                <w:szCs w:val="22"/>
              </w:rPr>
              <w:t xml:space="preserve">Pulka and </w:t>
            </w:r>
            <w:proofErr w:type="spellStart"/>
            <w:r w:rsidRPr="000B78E1">
              <w:rPr>
                <w:rFonts w:ascii="Arial" w:hAnsi="Arial" w:cs="Arial"/>
                <w:b/>
                <w:bCs/>
                <w:sz w:val="22"/>
                <w:szCs w:val="22"/>
              </w:rPr>
              <w:t>Gawuna</w:t>
            </w:r>
            <w:proofErr w:type="spellEnd"/>
            <w:r w:rsidRPr="000B78E1">
              <w:rPr>
                <w:rFonts w:ascii="Arial" w:hAnsi="Arial" w:cs="Arial"/>
                <w:b/>
                <w:bCs/>
                <w:sz w:val="22"/>
                <w:szCs w:val="22"/>
              </w:rPr>
              <w:t xml:space="preserve"> (2022)</w:t>
            </w:r>
          </w:p>
          <w:p w14:paraId="512BDC45" w14:textId="77777777" w:rsidR="00C74905" w:rsidRPr="000B78E1" w:rsidRDefault="00C74905" w:rsidP="00F97793">
            <w:pPr>
              <w:spacing w:line="276" w:lineRule="auto"/>
              <w:jc w:val="both"/>
              <w:rPr>
                <w:rFonts w:ascii="Arial" w:hAnsi="Arial" w:cs="Arial"/>
                <w:b/>
                <w:bCs/>
                <w:sz w:val="22"/>
                <w:szCs w:val="22"/>
              </w:rPr>
            </w:pPr>
          </w:p>
        </w:tc>
        <w:tc>
          <w:tcPr>
            <w:tcW w:w="1559" w:type="dxa"/>
            <w:vAlign w:val="center"/>
          </w:tcPr>
          <w:p w14:paraId="1AAE1C15"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SMEs drive growth, but in Nigeria their performance is limited by finance, infrastructure, and policy issues</w:t>
            </w:r>
          </w:p>
        </w:tc>
        <w:tc>
          <w:tcPr>
            <w:tcW w:w="1559" w:type="dxa"/>
            <w:vAlign w:val="center"/>
          </w:tcPr>
          <w:p w14:paraId="24782361"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 xml:space="preserve">No formal theory, uses a descriptive, </w:t>
            </w:r>
            <w:proofErr w:type="gramStart"/>
            <w:r w:rsidRPr="000B78E1">
              <w:rPr>
                <w:rFonts w:ascii="Arial" w:hAnsi="Arial" w:cs="Arial"/>
                <w:sz w:val="22"/>
                <w:szCs w:val="22"/>
              </w:rPr>
              <w:t>policy based</w:t>
            </w:r>
            <w:proofErr w:type="gramEnd"/>
            <w:r w:rsidRPr="000B78E1">
              <w:rPr>
                <w:rFonts w:ascii="Arial" w:hAnsi="Arial" w:cs="Arial"/>
                <w:sz w:val="22"/>
                <w:szCs w:val="22"/>
              </w:rPr>
              <w:t xml:space="preserve"> SME development approach.</w:t>
            </w:r>
          </w:p>
        </w:tc>
        <w:tc>
          <w:tcPr>
            <w:tcW w:w="1559" w:type="dxa"/>
            <w:vAlign w:val="center"/>
          </w:tcPr>
          <w:p w14:paraId="2FF1FA3C"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Secondary data review using reports and literature.</w:t>
            </w:r>
          </w:p>
        </w:tc>
        <w:tc>
          <w:tcPr>
            <w:tcW w:w="1701" w:type="dxa"/>
            <w:vAlign w:val="center"/>
          </w:tcPr>
          <w:p w14:paraId="711999E6"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SMEs are important but underperform in Nigeria due to internal and external constraints, policy support is weak.</w:t>
            </w:r>
          </w:p>
        </w:tc>
        <w:tc>
          <w:tcPr>
            <w:tcW w:w="1560" w:type="dxa"/>
            <w:vAlign w:val="center"/>
          </w:tcPr>
          <w:p w14:paraId="7E31FF0B"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Uses secondary data and descriptive analysis, no causal testing or DFS focus.</w:t>
            </w:r>
          </w:p>
        </w:tc>
        <w:tc>
          <w:tcPr>
            <w:tcW w:w="1701" w:type="dxa"/>
            <w:vAlign w:val="center"/>
          </w:tcPr>
          <w:p w14:paraId="5F1237D0" w14:textId="77777777" w:rsidR="00C74905" w:rsidRPr="000B78E1" w:rsidRDefault="00C74905" w:rsidP="00F97793">
            <w:pPr>
              <w:spacing w:line="276" w:lineRule="auto"/>
              <w:jc w:val="both"/>
              <w:rPr>
                <w:rFonts w:ascii="Arial" w:hAnsi="Arial" w:cs="Arial"/>
                <w:sz w:val="22"/>
                <w:szCs w:val="22"/>
              </w:rPr>
            </w:pPr>
            <w:r w:rsidRPr="000B78E1">
              <w:rPr>
                <w:rFonts w:ascii="Arial" w:hAnsi="Arial" w:cs="Arial"/>
                <w:sz w:val="22"/>
                <w:szCs w:val="22"/>
              </w:rPr>
              <w:t>Shows how structural constraints and context shape SME outcomes.</w:t>
            </w:r>
          </w:p>
        </w:tc>
      </w:tr>
    </w:tbl>
    <w:p w14:paraId="24833850" w14:textId="1FC02D25" w:rsidR="002A3076" w:rsidRPr="000B78E1" w:rsidRDefault="002A3076" w:rsidP="00F97793">
      <w:pPr>
        <w:spacing w:line="276" w:lineRule="auto"/>
        <w:jc w:val="both"/>
        <w:rPr>
          <w:rFonts w:ascii="Arial" w:hAnsi="Arial" w:cs="Arial"/>
          <w:b/>
          <w:bCs/>
          <w:sz w:val="22"/>
          <w:szCs w:val="22"/>
        </w:rPr>
      </w:pPr>
      <w:r w:rsidRPr="000B78E1">
        <w:rPr>
          <w:rFonts w:ascii="Arial" w:hAnsi="Arial" w:cs="Arial"/>
          <w:b/>
          <w:bCs/>
          <w:sz w:val="22"/>
          <w:szCs w:val="22"/>
        </w:rPr>
        <w:br w:type="page"/>
      </w:r>
    </w:p>
    <w:p w14:paraId="3C44A47D" w14:textId="77777777" w:rsidR="002A3076" w:rsidRPr="000B78E1" w:rsidRDefault="002A3076" w:rsidP="000B78E1">
      <w:pPr>
        <w:spacing w:line="360" w:lineRule="auto"/>
        <w:jc w:val="both"/>
        <w:rPr>
          <w:rFonts w:ascii="Arial" w:hAnsi="Arial" w:cs="Arial"/>
          <w:b/>
          <w:bCs/>
          <w:sz w:val="22"/>
          <w:szCs w:val="22"/>
        </w:rPr>
      </w:pPr>
    </w:p>
    <w:p w14:paraId="481142F4" w14:textId="35168950" w:rsidR="00EB511C" w:rsidRPr="000B78E1" w:rsidRDefault="00EB511C" w:rsidP="000B78E1">
      <w:pPr>
        <w:pStyle w:val="ListParagraph"/>
        <w:spacing w:line="360" w:lineRule="auto"/>
        <w:jc w:val="both"/>
        <w:rPr>
          <w:rFonts w:ascii="Arial" w:hAnsi="Arial" w:cs="Arial"/>
          <w:sz w:val="22"/>
          <w:szCs w:val="22"/>
        </w:rPr>
      </w:pPr>
    </w:p>
    <w:sectPr w:rsidR="00EB511C" w:rsidRPr="000B78E1">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78AE4" w14:textId="77777777" w:rsidR="00797FA1" w:rsidRDefault="00797FA1" w:rsidP="00CC73BB">
      <w:pPr>
        <w:spacing w:after="0" w:line="240" w:lineRule="auto"/>
      </w:pPr>
      <w:r>
        <w:separator/>
      </w:r>
    </w:p>
  </w:endnote>
  <w:endnote w:type="continuationSeparator" w:id="0">
    <w:p w14:paraId="00A403EB" w14:textId="77777777" w:rsidR="00797FA1" w:rsidRDefault="00797FA1" w:rsidP="00CC7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4933707"/>
      <w:docPartObj>
        <w:docPartGallery w:val="Page Numbers (Bottom of Page)"/>
        <w:docPartUnique/>
      </w:docPartObj>
    </w:sdtPr>
    <w:sdtContent>
      <w:p w14:paraId="75CF1396" w14:textId="74290544" w:rsidR="00AA7712" w:rsidRDefault="00AA7712">
        <w:pPr>
          <w:pStyle w:val="Footer"/>
          <w:jc w:val="right"/>
        </w:pPr>
        <w:r>
          <w:fldChar w:fldCharType="begin"/>
        </w:r>
        <w:r>
          <w:instrText>PAGE   \* MERGEFORMAT</w:instrText>
        </w:r>
        <w:r>
          <w:fldChar w:fldCharType="separate"/>
        </w:r>
        <w:r>
          <w:t>2</w:t>
        </w:r>
        <w:r>
          <w:fldChar w:fldCharType="end"/>
        </w:r>
      </w:p>
    </w:sdtContent>
  </w:sdt>
  <w:p w14:paraId="56E6CB91" w14:textId="77777777" w:rsidR="00326C22" w:rsidRDefault="00326C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4AB5F" w14:textId="77777777" w:rsidR="00797FA1" w:rsidRDefault="00797FA1" w:rsidP="00CC73BB">
      <w:pPr>
        <w:spacing w:after="0" w:line="240" w:lineRule="auto"/>
      </w:pPr>
      <w:r>
        <w:separator/>
      </w:r>
    </w:p>
  </w:footnote>
  <w:footnote w:type="continuationSeparator" w:id="0">
    <w:p w14:paraId="381B13E9" w14:textId="77777777" w:rsidR="00797FA1" w:rsidRDefault="00797FA1" w:rsidP="00CC73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10AC"/>
    <w:multiLevelType w:val="multilevel"/>
    <w:tmpl w:val="919CB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839DD"/>
    <w:multiLevelType w:val="multilevel"/>
    <w:tmpl w:val="3F6CA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65F50"/>
    <w:multiLevelType w:val="multilevel"/>
    <w:tmpl w:val="AAA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88784D"/>
    <w:multiLevelType w:val="hybridMultilevel"/>
    <w:tmpl w:val="2ABAA7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0610E"/>
    <w:multiLevelType w:val="multilevel"/>
    <w:tmpl w:val="5D0A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340BB4"/>
    <w:multiLevelType w:val="multilevel"/>
    <w:tmpl w:val="4224CD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74DAC"/>
    <w:multiLevelType w:val="multilevel"/>
    <w:tmpl w:val="1D6E4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B03B5F"/>
    <w:multiLevelType w:val="multilevel"/>
    <w:tmpl w:val="5D58786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69C5FB5"/>
    <w:multiLevelType w:val="multilevel"/>
    <w:tmpl w:val="B52E221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A412D04"/>
    <w:multiLevelType w:val="multilevel"/>
    <w:tmpl w:val="693E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C1F29"/>
    <w:multiLevelType w:val="multilevel"/>
    <w:tmpl w:val="58BA6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7C237C"/>
    <w:multiLevelType w:val="multilevel"/>
    <w:tmpl w:val="FA9CF9E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AC9191B"/>
    <w:multiLevelType w:val="hybridMultilevel"/>
    <w:tmpl w:val="949E1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0F5134"/>
    <w:multiLevelType w:val="multilevel"/>
    <w:tmpl w:val="DDC0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4A37BF"/>
    <w:multiLevelType w:val="hybridMultilevel"/>
    <w:tmpl w:val="2176065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ADD6EB0"/>
    <w:multiLevelType w:val="multilevel"/>
    <w:tmpl w:val="5D40C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766A9"/>
    <w:multiLevelType w:val="multilevel"/>
    <w:tmpl w:val="2764A504"/>
    <w:lvl w:ilvl="0">
      <w:start w:val="5"/>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40B927FF"/>
    <w:multiLevelType w:val="hybridMultilevel"/>
    <w:tmpl w:val="2176065A"/>
    <w:lvl w:ilvl="0" w:tplc="87E032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C09285B"/>
    <w:multiLevelType w:val="hybridMultilevel"/>
    <w:tmpl w:val="1E109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1854DC"/>
    <w:multiLevelType w:val="multilevel"/>
    <w:tmpl w:val="6F28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915C45"/>
    <w:multiLevelType w:val="multilevel"/>
    <w:tmpl w:val="067AD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717949"/>
    <w:multiLevelType w:val="multilevel"/>
    <w:tmpl w:val="73AA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D74342"/>
    <w:multiLevelType w:val="multilevel"/>
    <w:tmpl w:val="E61E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1168A0"/>
    <w:multiLevelType w:val="multilevel"/>
    <w:tmpl w:val="0078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C474D3"/>
    <w:multiLevelType w:val="multilevel"/>
    <w:tmpl w:val="156C4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2A57AA"/>
    <w:multiLevelType w:val="multilevel"/>
    <w:tmpl w:val="BDFC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960E75"/>
    <w:multiLevelType w:val="hybridMultilevel"/>
    <w:tmpl w:val="2176065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5E9D7F62"/>
    <w:multiLevelType w:val="multilevel"/>
    <w:tmpl w:val="3ED0F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5845FB"/>
    <w:multiLevelType w:val="multilevel"/>
    <w:tmpl w:val="FC46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A3462E"/>
    <w:multiLevelType w:val="hybridMultilevel"/>
    <w:tmpl w:val="7F706146"/>
    <w:lvl w:ilvl="0" w:tplc="0D720F2C">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6E0921ED"/>
    <w:multiLevelType w:val="multilevel"/>
    <w:tmpl w:val="FA9CF9E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1D11D7D"/>
    <w:multiLevelType w:val="multilevel"/>
    <w:tmpl w:val="E76C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A6440"/>
    <w:multiLevelType w:val="hybridMultilevel"/>
    <w:tmpl w:val="2176065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3" w15:restartNumberingAfterBreak="0">
    <w:nsid w:val="720F74AD"/>
    <w:multiLevelType w:val="multilevel"/>
    <w:tmpl w:val="BA8C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8A5C32"/>
    <w:multiLevelType w:val="multilevel"/>
    <w:tmpl w:val="8AF0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196AC0"/>
    <w:multiLevelType w:val="multilevel"/>
    <w:tmpl w:val="05C6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460EED"/>
    <w:multiLevelType w:val="multilevel"/>
    <w:tmpl w:val="AAF29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B07A09"/>
    <w:multiLevelType w:val="multilevel"/>
    <w:tmpl w:val="FA9CF9E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372727740">
    <w:abstractNumId w:val="12"/>
  </w:num>
  <w:num w:numId="2" w16cid:durableId="230628649">
    <w:abstractNumId w:val="7"/>
  </w:num>
  <w:num w:numId="3" w16cid:durableId="1179661925">
    <w:abstractNumId w:val="3"/>
  </w:num>
  <w:num w:numId="4" w16cid:durableId="1241520933">
    <w:abstractNumId w:val="18"/>
  </w:num>
  <w:num w:numId="5" w16cid:durableId="136533934">
    <w:abstractNumId w:val="29"/>
  </w:num>
  <w:num w:numId="6" w16cid:durableId="667293947">
    <w:abstractNumId w:val="37"/>
  </w:num>
  <w:num w:numId="7" w16cid:durableId="1673339137">
    <w:abstractNumId w:val="31"/>
  </w:num>
  <w:num w:numId="8" w16cid:durableId="386221799">
    <w:abstractNumId w:val="28"/>
  </w:num>
  <w:num w:numId="9" w16cid:durableId="457837080">
    <w:abstractNumId w:val="23"/>
  </w:num>
  <w:num w:numId="10" w16cid:durableId="941911407">
    <w:abstractNumId w:val="33"/>
  </w:num>
  <w:num w:numId="11" w16cid:durableId="393352383">
    <w:abstractNumId w:val="4"/>
  </w:num>
  <w:num w:numId="12" w16cid:durableId="210772306">
    <w:abstractNumId w:val="35"/>
  </w:num>
  <w:num w:numId="13" w16cid:durableId="1620844150">
    <w:abstractNumId w:val="34"/>
  </w:num>
  <w:num w:numId="14" w16cid:durableId="1760978251">
    <w:abstractNumId w:val="19"/>
  </w:num>
  <w:num w:numId="15" w16cid:durableId="444470787">
    <w:abstractNumId w:val="6"/>
  </w:num>
  <w:num w:numId="16" w16cid:durableId="1957905077">
    <w:abstractNumId w:val="13"/>
  </w:num>
  <w:num w:numId="17" w16cid:durableId="279923922">
    <w:abstractNumId w:val="27"/>
  </w:num>
  <w:num w:numId="18" w16cid:durableId="1919703059">
    <w:abstractNumId w:val="25"/>
  </w:num>
  <w:num w:numId="19" w16cid:durableId="1179857006">
    <w:abstractNumId w:val="9"/>
  </w:num>
  <w:num w:numId="20" w16cid:durableId="1917352699">
    <w:abstractNumId w:val="5"/>
  </w:num>
  <w:num w:numId="21" w16cid:durableId="1238590960">
    <w:abstractNumId w:val="15"/>
  </w:num>
  <w:num w:numId="22" w16cid:durableId="992879633">
    <w:abstractNumId w:val="0"/>
  </w:num>
  <w:num w:numId="23" w16cid:durableId="1399010838">
    <w:abstractNumId w:val="22"/>
  </w:num>
  <w:num w:numId="24" w16cid:durableId="853883360">
    <w:abstractNumId w:val="20"/>
  </w:num>
  <w:num w:numId="25" w16cid:durableId="852963593">
    <w:abstractNumId w:val="1"/>
  </w:num>
  <w:num w:numId="26" w16cid:durableId="26875306">
    <w:abstractNumId w:val="24"/>
  </w:num>
  <w:num w:numId="27" w16cid:durableId="1790665227">
    <w:abstractNumId w:val="21"/>
  </w:num>
  <w:num w:numId="28" w16cid:durableId="718820544">
    <w:abstractNumId w:val="2"/>
  </w:num>
  <w:num w:numId="29" w16cid:durableId="2072656484">
    <w:abstractNumId w:val="36"/>
  </w:num>
  <w:num w:numId="30" w16cid:durableId="1329555368">
    <w:abstractNumId w:val="10"/>
  </w:num>
  <w:num w:numId="31" w16cid:durableId="816992587">
    <w:abstractNumId w:val="16"/>
  </w:num>
  <w:num w:numId="32" w16cid:durableId="443034411">
    <w:abstractNumId w:val="17"/>
  </w:num>
  <w:num w:numId="33" w16cid:durableId="1236207001">
    <w:abstractNumId w:val="30"/>
  </w:num>
  <w:num w:numId="34" w16cid:durableId="1565948638">
    <w:abstractNumId w:val="14"/>
  </w:num>
  <w:num w:numId="35" w16cid:durableId="873619590">
    <w:abstractNumId w:val="32"/>
  </w:num>
  <w:num w:numId="36" w16cid:durableId="1098714677">
    <w:abstractNumId w:val="26"/>
  </w:num>
  <w:num w:numId="37" w16cid:durableId="533805906">
    <w:abstractNumId w:val="8"/>
  </w:num>
  <w:num w:numId="38" w16cid:durableId="63063809">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E0C"/>
    <w:rsid w:val="0000047E"/>
    <w:rsid w:val="0000075E"/>
    <w:rsid w:val="00000E3E"/>
    <w:rsid w:val="00002073"/>
    <w:rsid w:val="000020D2"/>
    <w:rsid w:val="00002599"/>
    <w:rsid w:val="00004520"/>
    <w:rsid w:val="00005E8E"/>
    <w:rsid w:val="000064EC"/>
    <w:rsid w:val="00006AE2"/>
    <w:rsid w:val="00006F6E"/>
    <w:rsid w:val="000074DD"/>
    <w:rsid w:val="000104B0"/>
    <w:rsid w:val="0001277C"/>
    <w:rsid w:val="00012DCB"/>
    <w:rsid w:val="00013595"/>
    <w:rsid w:val="00013F72"/>
    <w:rsid w:val="00014F7B"/>
    <w:rsid w:val="00020829"/>
    <w:rsid w:val="00020B9E"/>
    <w:rsid w:val="00020EC7"/>
    <w:rsid w:val="00021272"/>
    <w:rsid w:val="000218CF"/>
    <w:rsid w:val="000230CD"/>
    <w:rsid w:val="00023983"/>
    <w:rsid w:val="00023D87"/>
    <w:rsid w:val="0002406A"/>
    <w:rsid w:val="000267D4"/>
    <w:rsid w:val="000322EE"/>
    <w:rsid w:val="0003294B"/>
    <w:rsid w:val="00032A03"/>
    <w:rsid w:val="00033D53"/>
    <w:rsid w:val="0003446C"/>
    <w:rsid w:val="00034F88"/>
    <w:rsid w:val="00035987"/>
    <w:rsid w:val="000366DB"/>
    <w:rsid w:val="00036C4C"/>
    <w:rsid w:val="00037AB7"/>
    <w:rsid w:val="00040206"/>
    <w:rsid w:val="000402A4"/>
    <w:rsid w:val="0004212A"/>
    <w:rsid w:val="00042FE1"/>
    <w:rsid w:val="0004396D"/>
    <w:rsid w:val="00043A30"/>
    <w:rsid w:val="000440B3"/>
    <w:rsid w:val="00044579"/>
    <w:rsid w:val="00044743"/>
    <w:rsid w:val="0004493E"/>
    <w:rsid w:val="00045991"/>
    <w:rsid w:val="0004636F"/>
    <w:rsid w:val="000479B5"/>
    <w:rsid w:val="00050C1D"/>
    <w:rsid w:val="0005129C"/>
    <w:rsid w:val="0005156C"/>
    <w:rsid w:val="00051840"/>
    <w:rsid w:val="00053560"/>
    <w:rsid w:val="000535AE"/>
    <w:rsid w:val="00056491"/>
    <w:rsid w:val="000569B7"/>
    <w:rsid w:val="00056E88"/>
    <w:rsid w:val="00057C81"/>
    <w:rsid w:val="00060237"/>
    <w:rsid w:val="000602A4"/>
    <w:rsid w:val="0006062B"/>
    <w:rsid w:val="00060922"/>
    <w:rsid w:val="000638EE"/>
    <w:rsid w:val="00064603"/>
    <w:rsid w:val="0006493C"/>
    <w:rsid w:val="000649B1"/>
    <w:rsid w:val="000666D7"/>
    <w:rsid w:val="0006671D"/>
    <w:rsid w:val="000674B8"/>
    <w:rsid w:val="00067D58"/>
    <w:rsid w:val="000721C6"/>
    <w:rsid w:val="00072CD7"/>
    <w:rsid w:val="00073063"/>
    <w:rsid w:val="000742AC"/>
    <w:rsid w:val="00075B68"/>
    <w:rsid w:val="00076175"/>
    <w:rsid w:val="00082A8F"/>
    <w:rsid w:val="00083DB9"/>
    <w:rsid w:val="000841DB"/>
    <w:rsid w:val="00084AC3"/>
    <w:rsid w:val="00085919"/>
    <w:rsid w:val="00085F5E"/>
    <w:rsid w:val="00086450"/>
    <w:rsid w:val="00090F51"/>
    <w:rsid w:val="000912BB"/>
    <w:rsid w:val="0009201B"/>
    <w:rsid w:val="00092718"/>
    <w:rsid w:val="000927D4"/>
    <w:rsid w:val="00092D4D"/>
    <w:rsid w:val="00092FDC"/>
    <w:rsid w:val="000931DC"/>
    <w:rsid w:val="00093A1E"/>
    <w:rsid w:val="00094461"/>
    <w:rsid w:val="00094848"/>
    <w:rsid w:val="00094D75"/>
    <w:rsid w:val="00095FA4"/>
    <w:rsid w:val="00096A2A"/>
    <w:rsid w:val="00096DF8"/>
    <w:rsid w:val="0009783E"/>
    <w:rsid w:val="00097FC3"/>
    <w:rsid w:val="000A061F"/>
    <w:rsid w:val="000A0C17"/>
    <w:rsid w:val="000A20C3"/>
    <w:rsid w:val="000A2732"/>
    <w:rsid w:val="000A4308"/>
    <w:rsid w:val="000A51A7"/>
    <w:rsid w:val="000A71FE"/>
    <w:rsid w:val="000A77F3"/>
    <w:rsid w:val="000B0743"/>
    <w:rsid w:val="000B0E65"/>
    <w:rsid w:val="000B1C5D"/>
    <w:rsid w:val="000B23B5"/>
    <w:rsid w:val="000B2A94"/>
    <w:rsid w:val="000B34E4"/>
    <w:rsid w:val="000B405B"/>
    <w:rsid w:val="000B488C"/>
    <w:rsid w:val="000B65C7"/>
    <w:rsid w:val="000B6E8A"/>
    <w:rsid w:val="000B78E1"/>
    <w:rsid w:val="000C0086"/>
    <w:rsid w:val="000C0A42"/>
    <w:rsid w:val="000C25A8"/>
    <w:rsid w:val="000C3979"/>
    <w:rsid w:val="000C3B20"/>
    <w:rsid w:val="000C7B34"/>
    <w:rsid w:val="000D3B46"/>
    <w:rsid w:val="000D48A4"/>
    <w:rsid w:val="000E03D0"/>
    <w:rsid w:val="000E0D49"/>
    <w:rsid w:val="000E159C"/>
    <w:rsid w:val="000E1CAB"/>
    <w:rsid w:val="000E21F4"/>
    <w:rsid w:val="000E3C13"/>
    <w:rsid w:val="000E3EDF"/>
    <w:rsid w:val="000E43DF"/>
    <w:rsid w:val="000E5600"/>
    <w:rsid w:val="000E5849"/>
    <w:rsid w:val="000E5887"/>
    <w:rsid w:val="000E5E26"/>
    <w:rsid w:val="000E6E9A"/>
    <w:rsid w:val="000E7C19"/>
    <w:rsid w:val="000F2E59"/>
    <w:rsid w:val="000F3072"/>
    <w:rsid w:val="000F3406"/>
    <w:rsid w:val="000F3458"/>
    <w:rsid w:val="000F349B"/>
    <w:rsid w:val="000F358D"/>
    <w:rsid w:val="000F3D07"/>
    <w:rsid w:val="000F3D0F"/>
    <w:rsid w:val="000F6689"/>
    <w:rsid w:val="00100AD3"/>
    <w:rsid w:val="00100EBB"/>
    <w:rsid w:val="00102E87"/>
    <w:rsid w:val="00103208"/>
    <w:rsid w:val="00105530"/>
    <w:rsid w:val="001061BF"/>
    <w:rsid w:val="00106ADE"/>
    <w:rsid w:val="00112224"/>
    <w:rsid w:val="00112AF1"/>
    <w:rsid w:val="001156AB"/>
    <w:rsid w:val="00115706"/>
    <w:rsid w:val="00116002"/>
    <w:rsid w:val="001168F2"/>
    <w:rsid w:val="00121031"/>
    <w:rsid w:val="001218B9"/>
    <w:rsid w:val="00122019"/>
    <w:rsid w:val="00123E6E"/>
    <w:rsid w:val="0012416C"/>
    <w:rsid w:val="00124F35"/>
    <w:rsid w:val="001252E8"/>
    <w:rsid w:val="001255B7"/>
    <w:rsid w:val="00126366"/>
    <w:rsid w:val="00126792"/>
    <w:rsid w:val="00127E3A"/>
    <w:rsid w:val="00127E3B"/>
    <w:rsid w:val="001307A5"/>
    <w:rsid w:val="00130D91"/>
    <w:rsid w:val="00130DD3"/>
    <w:rsid w:val="00131B57"/>
    <w:rsid w:val="00131F90"/>
    <w:rsid w:val="001336E1"/>
    <w:rsid w:val="001342D2"/>
    <w:rsid w:val="001346DD"/>
    <w:rsid w:val="00134EC3"/>
    <w:rsid w:val="0013517D"/>
    <w:rsid w:val="00136963"/>
    <w:rsid w:val="001376E5"/>
    <w:rsid w:val="001377F5"/>
    <w:rsid w:val="0013787E"/>
    <w:rsid w:val="00140916"/>
    <w:rsid w:val="001432F7"/>
    <w:rsid w:val="00144140"/>
    <w:rsid w:val="00144DCA"/>
    <w:rsid w:val="00146EF8"/>
    <w:rsid w:val="00146F81"/>
    <w:rsid w:val="001473C8"/>
    <w:rsid w:val="00150C4A"/>
    <w:rsid w:val="00151980"/>
    <w:rsid w:val="00152C78"/>
    <w:rsid w:val="001535EC"/>
    <w:rsid w:val="00153B5C"/>
    <w:rsid w:val="001551C1"/>
    <w:rsid w:val="00155EB6"/>
    <w:rsid w:val="001567B3"/>
    <w:rsid w:val="001573C6"/>
    <w:rsid w:val="0016139E"/>
    <w:rsid w:val="00162C29"/>
    <w:rsid w:val="001644F7"/>
    <w:rsid w:val="001661CD"/>
    <w:rsid w:val="001663A0"/>
    <w:rsid w:val="001664E8"/>
    <w:rsid w:val="001674FA"/>
    <w:rsid w:val="0016783F"/>
    <w:rsid w:val="00167F98"/>
    <w:rsid w:val="00170457"/>
    <w:rsid w:val="00170D44"/>
    <w:rsid w:val="00171ABE"/>
    <w:rsid w:val="00172EF2"/>
    <w:rsid w:val="001752F2"/>
    <w:rsid w:val="001759E8"/>
    <w:rsid w:val="0017691B"/>
    <w:rsid w:val="00176AE7"/>
    <w:rsid w:val="001771EF"/>
    <w:rsid w:val="00180FE4"/>
    <w:rsid w:val="00182021"/>
    <w:rsid w:val="0018338B"/>
    <w:rsid w:val="00184D42"/>
    <w:rsid w:val="0018534C"/>
    <w:rsid w:val="00185D14"/>
    <w:rsid w:val="0018686E"/>
    <w:rsid w:val="0018745F"/>
    <w:rsid w:val="001875B6"/>
    <w:rsid w:val="00187DC9"/>
    <w:rsid w:val="00190038"/>
    <w:rsid w:val="00190C3D"/>
    <w:rsid w:val="0019376A"/>
    <w:rsid w:val="00194346"/>
    <w:rsid w:val="00196BD5"/>
    <w:rsid w:val="001977A4"/>
    <w:rsid w:val="00197B5B"/>
    <w:rsid w:val="001A0988"/>
    <w:rsid w:val="001A34C4"/>
    <w:rsid w:val="001A3AB3"/>
    <w:rsid w:val="001A52BA"/>
    <w:rsid w:val="001A75ED"/>
    <w:rsid w:val="001B0089"/>
    <w:rsid w:val="001B0B26"/>
    <w:rsid w:val="001B0BF6"/>
    <w:rsid w:val="001B0D3E"/>
    <w:rsid w:val="001B2EAD"/>
    <w:rsid w:val="001B5E35"/>
    <w:rsid w:val="001B6083"/>
    <w:rsid w:val="001B64DE"/>
    <w:rsid w:val="001B6E0A"/>
    <w:rsid w:val="001B717D"/>
    <w:rsid w:val="001C0014"/>
    <w:rsid w:val="001C05F0"/>
    <w:rsid w:val="001C1E06"/>
    <w:rsid w:val="001C28DB"/>
    <w:rsid w:val="001C309A"/>
    <w:rsid w:val="001C3306"/>
    <w:rsid w:val="001C4128"/>
    <w:rsid w:val="001C553F"/>
    <w:rsid w:val="001D01EE"/>
    <w:rsid w:val="001D0460"/>
    <w:rsid w:val="001D061B"/>
    <w:rsid w:val="001D0F1A"/>
    <w:rsid w:val="001D126B"/>
    <w:rsid w:val="001D3A62"/>
    <w:rsid w:val="001D40E6"/>
    <w:rsid w:val="001D43D4"/>
    <w:rsid w:val="001D4C53"/>
    <w:rsid w:val="001D6540"/>
    <w:rsid w:val="001D6D0F"/>
    <w:rsid w:val="001D7080"/>
    <w:rsid w:val="001E18A8"/>
    <w:rsid w:val="001E24C7"/>
    <w:rsid w:val="001E2AC2"/>
    <w:rsid w:val="001E2E39"/>
    <w:rsid w:val="001E3BCA"/>
    <w:rsid w:val="001E6C80"/>
    <w:rsid w:val="001E794C"/>
    <w:rsid w:val="001F1329"/>
    <w:rsid w:val="001F175A"/>
    <w:rsid w:val="001F1D25"/>
    <w:rsid w:val="001F21B0"/>
    <w:rsid w:val="001F3DBF"/>
    <w:rsid w:val="001F4D29"/>
    <w:rsid w:val="001F5C00"/>
    <w:rsid w:val="001F5E1A"/>
    <w:rsid w:val="001F626F"/>
    <w:rsid w:val="00200924"/>
    <w:rsid w:val="00200A46"/>
    <w:rsid w:val="00202C4E"/>
    <w:rsid w:val="00202C72"/>
    <w:rsid w:val="00204389"/>
    <w:rsid w:val="00205C45"/>
    <w:rsid w:val="00205EA1"/>
    <w:rsid w:val="0020646E"/>
    <w:rsid w:val="0020705C"/>
    <w:rsid w:val="002071BA"/>
    <w:rsid w:val="00211F02"/>
    <w:rsid w:val="00212D2F"/>
    <w:rsid w:val="00213170"/>
    <w:rsid w:val="00214EDD"/>
    <w:rsid w:val="0021511B"/>
    <w:rsid w:val="002156FE"/>
    <w:rsid w:val="00217142"/>
    <w:rsid w:val="002173C8"/>
    <w:rsid w:val="002176A2"/>
    <w:rsid w:val="00220727"/>
    <w:rsid w:val="00221720"/>
    <w:rsid w:val="00222014"/>
    <w:rsid w:val="00223FB6"/>
    <w:rsid w:val="00223FBD"/>
    <w:rsid w:val="00225C02"/>
    <w:rsid w:val="002305D1"/>
    <w:rsid w:val="00230896"/>
    <w:rsid w:val="00232BC2"/>
    <w:rsid w:val="002332D0"/>
    <w:rsid w:val="00233973"/>
    <w:rsid w:val="00233D62"/>
    <w:rsid w:val="002341CF"/>
    <w:rsid w:val="00234BF5"/>
    <w:rsid w:val="00234D9B"/>
    <w:rsid w:val="0024014B"/>
    <w:rsid w:val="002420BF"/>
    <w:rsid w:val="0024227F"/>
    <w:rsid w:val="002428E6"/>
    <w:rsid w:val="00244096"/>
    <w:rsid w:val="00244C1B"/>
    <w:rsid w:val="00246350"/>
    <w:rsid w:val="002468EC"/>
    <w:rsid w:val="00246FBE"/>
    <w:rsid w:val="0024769D"/>
    <w:rsid w:val="002477EF"/>
    <w:rsid w:val="00250225"/>
    <w:rsid w:val="0025056F"/>
    <w:rsid w:val="002508F7"/>
    <w:rsid w:val="00250E9B"/>
    <w:rsid w:val="00253F78"/>
    <w:rsid w:val="00254356"/>
    <w:rsid w:val="00254E0C"/>
    <w:rsid w:val="002560F4"/>
    <w:rsid w:val="00256950"/>
    <w:rsid w:val="00256A56"/>
    <w:rsid w:val="00256C17"/>
    <w:rsid w:val="002570E7"/>
    <w:rsid w:val="0025718D"/>
    <w:rsid w:val="00257E88"/>
    <w:rsid w:val="00261F39"/>
    <w:rsid w:val="00261F72"/>
    <w:rsid w:val="00264657"/>
    <w:rsid w:val="0026535E"/>
    <w:rsid w:val="00265434"/>
    <w:rsid w:val="00265C84"/>
    <w:rsid w:val="00266624"/>
    <w:rsid w:val="00266CD4"/>
    <w:rsid w:val="00267861"/>
    <w:rsid w:val="00267B59"/>
    <w:rsid w:val="002709B3"/>
    <w:rsid w:val="002713E5"/>
    <w:rsid w:val="00271CBC"/>
    <w:rsid w:val="00271F33"/>
    <w:rsid w:val="002724C5"/>
    <w:rsid w:val="0027297F"/>
    <w:rsid w:val="00272F93"/>
    <w:rsid w:val="00272FA1"/>
    <w:rsid w:val="00274056"/>
    <w:rsid w:val="00276337"/>
    <w:rsid w:val="00276D47"/>
    <w:rsid w:val="0027770F"/>
    <w:rsid w:val="0028065F"/>
    <w:rsid w:val="002807BD"/>
    <w:rsid w:val="00280BE6"/>
    <w:rsid w:val="00281E2D"/>
    <w:rsid w:val="00283020"/>
    <w:rsid w:val="00284220"/>
    <w:rsid w:val="00287C36"/>
    <w:rsid w:val="00287ED1"/>
    <w:rsid w:val="0029211D"/>
    <w:rsid w:val="002931BD"/>
    <w:rsid w:val="00294454"/>
    <w:rsid w:val="002A0D97"/>
    <w:rsid w:val="002A1CD8"/>
    <w:rsid w:val="002A2A45"/>
    <w:rsid w:val="002A3076"/>
    <w:rsid w:val="002A3570"/>
    <w:rsid w:val="002A4FB9"/>
    <w:rsid w:val="002A5500"/>
    <w:rsid w:val="002A5CCD"/>
    <w:rsid w:val="002A639B"/>
    <w:rsid w:val="002A6699"/>
    <w:rsid w:val="002A7684"/>
    <w:rsid w:val="002B043B"/>
    <w:rsid w:val="002B04FD"/>
    <w:rsid w:val="002B0661"/>
    <w:rsid w:val="002B2643"/>
    <w:rsid w:val="002B2EED"/>
    <w:rsid w:val="002B32EB"/>
    <w:rsid w:val="002B39EA"/>
    <w:rsid w:val="002B4500"/>
    <w:rsid w:val="002B4C34"/>
    <w:rsid w:val="002B63E7"/>
    <w:rsid w:val="002B65D4"/>
    <w:rsid w:val="002C193F"/>
    <w:rsid w:val="002C1ED7"/>
    <w:rsid w:val="002C1FAD"/>
    <w:rsid w:val="002C49BA"/>
    <w:rsid w:val="002C4B7F"/>
    <w:rsid w:val="002C609A"/>
    <w:rsid w:val="002C73CC"/>
    <w:rsid w:val="002D4853"/>
    <w:rsid w:val="002D5770"/>
    <w:rsid w:val="002D644A"/>
    <w:rsid w:val="002E1039"/>
    <w:rsid w:val="002E1155"/>
    <w:rsid w:val="002E2528"/>
    <w:rsid w:val="002E3A7F"/>
    <w:rsid w:val="002E4A2D"/>
    <w:rsid w:val="002E4C3C"/>
    <w:rsid w:val="002E51FF"/>
    <w:rsid w:val="002E52C4"/>
    <w:rsid w:val="002E550F"/>
    <w:rsid w:val="002E71D8"/>
    <w:rsid w:val="002F061E"/>
    <w:rsid w:val="002F0FAB"/>
    <w:rsid w:val="002F2D29"/>
    <w:rsid w:val="002F65B6"/>
    <w:rsid w:val="002F6E8E"/>
    <w:rsid w:val="00300B70"/>
    <w:rsid w:val="00300C4E"/>
    <w:rsid w:val="00301852"/>
    <w:rsid w:val="00301ED8"/>
    <w:rsid w:val="00302180"/>
    <w:rsid w:val="003024D1"/>
    <w:rsid w:val="003025EF"/>
    <w:rsid w:val="0030282A"/>
    <w:rsid w:val="00302BB2"/>
    <w:rsid w:val="003033CF"/>
    <w:rsid w:val="003037B1"/>
    <w:rsid w:val="00303827"/>
    <w:rsid w:val="003049CF"/>
    <w:rsid w:val="00310982"/>
    <w:rsid w:val="003124B1"/>
    <w:rsid w:val="003133D4"/>
    <w:rsid w:val="00314746"/>
    <w:rsid w:val="00314D2E"/>
    <w:rsid w:val="00314D6C"/>
    <w:rsid w:val="00320B50"/>
    <w:rsid w:val="003211D2"/>
    <w:rsid w:val="00321481"/>
    <w:rsid w:val="00321B66"/>
    <w:rsid w:val="00321DE9"/>
    <w:rsid w:val="00322839"/>
    <w:rsid w:val="00322928"/>
    <w:rsid w:val="00322A05"/>
    <w:rsid w:val="0032357D"/>
    <w:rsid w:val="00324C04"/>
    <w:rsid w:val="00324DCE"/>
    <w:rsid w:val="00326C22"/>
    <w:rsid w:val="00327709"/>
    <w:rsid w:val="00327F40"/>
    <w:rsid w:val="003305B3"/>
    <w:rsid w:val="00331315"/>
    <w:rsid w:val="00332022"/>
    <w:rsid w:val="0033434C"/>
    <w:rsid w:val="00334B45"/>
    <w:rsid w:val="0033516F"/>
    <w:rsid w:val="00335567"/>
    <w:rsid w:val="00335684"/>
    <w:rsid w:val="0033709F"/>
    <w:rsid w:val="003410CA"/>
    <w:rsid w:val="003421CC"/>
    <w:rsid w:val="00342E8D"/>
    <w:rsid w:val="00343274"/>
    <w:rsid w:val="00344644"/>
    <w:rsid w:val="00344CB2"/>
    <w:rsid w:val="00346750"/>
    <w:rsid w:val="003467AB"/>
    <w:rsid w:val="00350EF9"/>
    <w:rsid w:val="00353E18"/>
    <w:rsid w:val="003549FE"/>
    <w:rsid w:val="0035537D"/>
    <w:rsid w:val="00356A17"/>
    <w:rsid w:val="003632AB"/>
    <w:rsid w:val="0036376E"/>
    <w:rsid w:val="003642B1"/>
    <w:rsid w:val="003649EB"/>
    <w:rsid w:val="0036525D"/>
    <w:rsid w:val="003660B7"/>
    <w:rsid w:val="003666BA"/>
    <w:rsid w:val="00366DE5"/>
    <w:rsid w:val="003704DB"/>
    <w:rsid w:val="003725B3"/>
    <w:rsid w:val="00372734"/>
    <w:rsid w:val="00373AB0"/>
    <w:rsid w:val="00373E26"/>
    <w:rsid w:val="0037450B"/>
    <w:rsid w:val="00375815"/>
    <w:rsid w:val="00375E62"/>
    <w:rsid w:val="00376005"/>
    <w:rsid w:val="00376429"/>
    <w:rsid w:val="00377631"/>
    <w:rsid w:val="00377CAD"/>
    <w:rsid w:val="00377D4B"/>
    <w:rsid w:val="00380A4E"/>
    <w:rsid w:val="00381757"/>
    <w:rsid w:val="00382BE8"/>
    <w:rsid w:val="00382ED7"/>
    <w:rsid w:val="00383E03"/>
    <w:rsid w:val="00383E18"/>
    <w:rsid w:val="0038445D"/>
    <w:rsid w:val="00384CC8"/>
    <w:rsid w:val="00386845"/>
    <w:rsid w:val="003900FC"/>
    <w:rsid w:val="00390355"/>
    <w:rsid w:val="00390C5F"/>
    <w:rsid w:val="0039384B"/>
    <w:rsid w:val="003942F2"/>
    <w:rsid w:val="00395440"/>
    <w:rsid w:val="003958C0"/>
    <w:rsid w:val="0039604A"/>
    <w:rsid w:val="00396105"/>
    <w:rsid w:val="003A2DA2"/>
    <w:rsid w:val="003A3B69"/>
    <w:rsid w:val="003A4761"/>
    <w:rsid w:val="003A489C"/>
    <w:rsid w:val="003A4958"/>
    <w:rsid w:val="003A62CE"/>
    <w:rsid w:val="003A653B"/>
    <w:rsid w:val="003B0977"/>
    <w:rsid w:val="003B1084"/>
    <w:rsid w:val="003B132B"/>
    <w:rsid w:val="003B4F43"/>
    <w:rsid w:val="003B5043"/>
    <w:rsid w:val="003B5550"/>
    <w:rsid w:val="003B59B5"/>
    <w:rsid w:val="003B5A2F"/>
    <w:rsid w:val="003C030F"/>
    <w:rsid w:val="003C0CBC"/>
    <w:rsid w:val="003C2421"/>
    <w:rsid w:val="003C2A8A"/>
    <w:rsid w:val="003C3300"/>
    <w:rsid w:val="003C4002"/>
    <w:rsid w:val="003C4B7B"/>
    <w:rsid w:val="003C6333"/>
    <w:rsid w:val="003C689C"/>
    <w:rsid w:val="003C71DB"/>
    <w:rsid w:val="003D23EA"/>
    <w:rsid w:val="003D267B"/>
    <w:rsid w:val="003D2721"/>
    <w:rsid w:val="003D2FDB"/>
    <w:rsid w:val="003D3114"/>
    <w:rsid w:val="003D4466"/>
    <w:rsid w:val="003D4B9D"/>
    <w:rsid w:val="003D59A9"/>
    <w:rsid w:val="003D69E5"/>
    <w:rsid w:val="003D7E7E"/>
    <w:rsid w:val="003E1D4F"/>
    <w:rsid w:val="003E1DE1"/>
    <w:rsid w:val="003E2687"/>
    <w:rsid w:val="003E2D9A"/>
    <w:rsid w:val="003E5D70"/>
    <w:rsid w:val="003E61DB"/>
    <w:rsid w:val="003E64DE"/>
    <w:rsid w:val="003E6E6E"/>
    <w:rsid w:val="003E7E26"/>
    <w:rsid w:val="003F071A"/>
    <w:rsid w:val="003F0A7E"/>
    <w:rsid w:val="003F101E"/>
    <w:rsid w:val="003F156C"/>
    <w:rsid w:val="003F204B"/>
    <w:rsid w:val="003F206C"/>
    <w:rsid w:val="003F27FE"/>
    <w:rsid w:val="003F65D0"/>
    <w:rsid w:val="003F6E3F"/>
    <w:rsid w:val="003F71CC"/>
    <w:rsid w:val="003F7D30"/>
    <w:rsid w:val="004002E7"/>
    <w:rsid w:val="004017B5"/>
    <w:rsid w:val="00401ABE"/>
    <w:rsid w:val="004025C9"/>
    <w:rsid w:val="0040317F"/>
    <w:rsid w:val="00403315"/>
    <w:rsid w:val="00404F64"/>
    <w:rsid w:val="00406014"/>
    <w:rsid w:val="00406150"/>
    <w:rsid w:val="004062B2"/>
    <w:rsid w:val="004063A9"/>
    <w:rsid w:val="0040640D"/>
    <w:rsid w:val="004070A9"/>
    <w:rsid w:val="00407ED8"/>
    <w:rsid w:val="00410AD8"/>
    <w:rsid w:val="0041108F"/>
    <w:rsid w:val="0041181B"/>
    <w:rsid w:val="00412510"/>
    <w:rsid w:val="00412FF2"/>
    <w:rsid w:val="0041397C"/>
    <w:rsid w:val="00414FD5"/>
    <w:rsid w:val="004152E2"/>
    <w:rsid w:val="0041615E"/>
    <w:rsid w:val="00416728"/>
    <w:rsid w:val="0042196A"/>
    <w:rsid w:val="0042339F"/>
    <w:rsid w:val="00424DEA"/>
    <w:rsid w:val="00425EEC"/>
    <w:rsid w:val="0043017F"/>
    <w:rsid w:val="004313B0"/>
    <w:rsid w:val="0043170A"/>
    <w:rsid w:val="00431AF3"/>
    <w:rsid w:val="00433E23"/>
    <w:rsid w:val="00434061"/>
    <w:rsid w:val="004356B7"/>
    <w:rsid w:val="00436968"/>
    <w:rsid w:val="00443283"/>
    <w:rsid w:val="00443502"/>
    <w:rsid w:val="00444E6F"/>
    <w:rsid w:val="004450EB"/>
    <w:rsid w:val="004463FC"/>
    <w:rsid w:val="00446B87"/>
    <w:rsid w:val="00450047"/>
    <w:rsid w:val="004500D4"/>
    <w:rsid w:val="00450359"/>
    <w:rsid w:val="0045041F"/>
    <w:rsid w:val="0045045F"/>
    <w:rsid w:val="00451BEC"/>
    <w:rsid w:val="0045245F"/>
    <w:rsid w:val="004558EA"/>
    <w:rsid w:val="00456C7D"/>
    <w:rsid w:val="00461E4E"/>
    <w:rsid w:val="00462019"/>
    <w:rsid w:val="00463A39"/>
    <w:rsid w:val="00463F25"/>
    <w:rsid w:val="00463FC5"/>
    <w:rsid w:val="00466FA8"/>
    <w:rsid w:val="004671DD"/>
    <w:rsid w:val="004674FE"/>
    <w:rsid w:val="00467CA0"/>
    <w:rsid w:val="00470925"/>
    <w:rsid w:val="0047097D"/>
    <w:rsid w:val="004727C8"/>
    <w:rsid w:val="00472C00"/>
    <w:rsid w:val="00472DAC"/>
    <w:rsid w:val="00473170"/>
    <w:rsid w:val="00474726"/>
    <w:rsid w:val="00474FB0"/>
    <w:rsid w:val="00476795"/>
    <w:rsid w:val="00476EEF"/>
    <w:rsid w:val="00481064"/>
    <w:rsid w:val="00481D75"/>
    <w:rsid w:val="0048236F"/>
    <w:rsid w:val="0048383F"/>
    <w:rsid w:val="0048582B"/>
    <w:rsid w:val="0048752A"/>
    <w:rsid w:val="0049004E"/>
    <w:rsid w:val="00490B67"/>
    <w:rsid w:val="004912B9"/>
    <w:rsid w:val="004916F9"/>
    <w:rsid w:val="0049179B"/>
    <w:rsid w:val="004930C7"/>
    <w:rsid w:val="00493414"/>
    <w:rsid w:val="0049358B"/>
    <w:rsid w:val="0049365D"/>
    <w:rsid w:val="00493DDB"/>
    <w:rsid w:val="004941C6"/>
    <w:rsid w:val="004949CB"/>
    <w:rsid w:val="00494B76"/>
    <w:rsid w:val="00497A7F"/>
    <w:rsid w:val="004A2163"/>
    <w:rsid w:val="004A28B6"/>
    <w:rsid w:val="004A37BF"/>
    <w:rsid w:val="004A40F0"/>
    <w:rsid w:val="004A53CA"/>
    <w:rsid w:val="004A5EFC"/>
    <w:rsid w:val="004A634F"/>
    <w:rsid w:val="004A676C"/>
    <w:rsid w:val="004A694A"/>
    <w:rsid w:val="004A6D6A"/>
    <w:rsid w:val="004A7F2A"/>
    <w:rsid w:val="004B2AA0"/>
    <w:rsid w:val="004B388C"/>
    <w:rsid w:val="004B4A7B"/>
    <w:rsid w:val="004B54DA"/>
    <w:rsid w:val="004B5809"/>
    <w:rsid w:val="004B5B8D"/>
    <w:rsid w:val="004B5D08"/>
    <w:rsid w:val="004B76D2"/>
    <w:rsid w:val="004B7772"/>
    <w:rsid w:val="004B78A2"/>
    <w:rsid w:val="004B798A"/>
    <w:rsid w:val="004C06A6"/>
    <w:rsid w:val="004C21D7"/>
    <w:rsid w:val="004C284C"/>
    <w:rsid w:val="004C3C04"/>
    <w:rsid w:val="004C4E0F"/>
    <w:rsid w:val="004C577B"/>
    <w:rsid w:val="004C58A8"/>
    <w:rsid w:val="004C7074"/>
    <w:rsid w:val="004D013A"/>
    <w:rsid w:val="004D08CB"/>
    <w:rsid w:val="004D3C7D"/>
    <w:rsid w:val="004D4E88"/>
    <w:rsid w:val="004D4F9F"/>
    <w:rsid w:val="004D5BBC"/>
    <w:rsid w:val="004D6560"/>
    <w:rsid w:val="004D6694"/>
    <w:rsid w:val="004D6A23"/>
    <w:rsid w:val="004D7413"/>
    <w:rsid w:val="004E1F53"/>
    <w:rsid w:val="004E38F3"/>
    <w:rsid w:val="004E5445"/>
    <w:rsid w:val="004E5B40"/>
    <w:rsid w:val="004F1C8B"/>
    <w:rsid w:val="004F2163"/>
    <w:rsid w:val="004F360A"/>
    <w:rsid w:val="004F3A15"/>
    <w:rsid w:val="004F5F06"/>
    <w:rsid w:val="004F753B"/>
    <w:rsid w:val="004F75CE"/>
    <w:rsid w:val="00500BAE"/>
    <w:rsid w:val="0050264F"/>
    <w:rsid w:val="005038A2"/>
    <w:rsid w:val="005044BC"/>
    <w:rsid w:val="00504B7E"/>
    <w:rsid w:val="00505838"/>
    <w:rsid w:val="0050697A"/>
    <w:rsid w:val="0050799D"/>
    <w:rsid w:val="00507D65"/>
    <w:rsid w:val="005102F6"/>
    <w:rsid w:val="005111AE"/>
    <w:rsid w:val="005133C5"/>
    <w:rsid w:val="00513587"/>
    <w:rsid w:val="00514529"/>
    <w:rsid w:val="005146B2"/>
    <w:rsid w:val="00515AEA"/>
    <w:rsid w:val="00516031"/>
    <w:rsid w:val="00517275"/>
    <w:rsid w:val="00517F4B"/>
    <w:rsid w:val="00520413"/>
    <w:rsid w:val="0052045C"/>
    <w:rsid w:val="00520EDB"/>
    <w:rsid w:val="0052183C"/>
    <w:rsid w:val="00521B4B"/>
    <w:rsid w:val="00521B86"/>
    <w:rsid w:val="00523BBE"/>
    <w:rsid w:val="00523C17"/>
    <w:rsid w:val="00523C82"/>
    <w:rsid w:val="00526072"/>
    <w:rsid w:val="00526943"/>
    <w:rsid w:val="00530B1E"/>
    <w:rsid w:val="005313AA"/>
    <w:rsid w:val="005318CD"/>
    <w:rsid w:val="005339D2"/>
    <w:rsid w:val="00534212"/>
    <w:rsid w:val="0053450D"/>
    <w:rsid w:val="0053498D"/>
    <w:rsid w:val="005349B8"/>
    <w:rsid w:val="00535A96"/>
    <w:rsid w:val="0053661A"/>
    <w:rsid w:val="005366A1"/>
    <w:rsid w:val="00536C83"/>
    <w:rsid w:val="005376DE"/>
    <w:rsid w:val="00537D0E"/>
    <w:rsid w:val="0054162B"/>
    <w:rsid w:val="005422B0"/>
    <w:rsid w:val="00542928"/>
    <w:rsid w:val="00542FE8"/>
    <w:rsid w:val="00543777"/>
    <w:rsid w:val="00543B67"/>
    <w:rsid w:val="0054480E"/>
    <w:rsid w:val="00544DB1"/>
    <w:rsid w:val="00545F86"/>
    <w:rsid w:val="00547592"/>
    <w:rsid w:val="00547CEA"/>
    <w:rsid w:val="00550362"/>
    <w:rsid w:val="00550EAC"/>
    <w:rsid w:val="00551602"/>
    <w:rsid w:val="00551866"/>
    <w:rsid w:val="0055405E"/>
    <w:rsid w:val="00556011"/>
    <w:rsid w:val="00556295"/>
    <w:rsid w:val="005604E4"/>
    <w:rsid w:val="00561429"/>
    <w:rsid w:val="00561B32"/>
    <w:rsid w:val="005626B8"/>
    <w:rsid w:val="0056360F"/>
    <w:rsid w:val="00563A3F"/>
    <w:rsid w:val="0056529D"/>
    <w:rsid w:val="0056531C"/>
    <w:rsid w:val="00565DCC"/>
    <w:rsid w:val="00565E65"/>
    <w:rsid w:val="00567860"/>
    <w:rsid w:val="00570C8F"/>
    <w:rsid w:val="00571C24"/>
    <w:rsid w:val="00572B4B"/>
    <w:rsid w:val="00573092"/>
    <w:rsid w:val="005748E2"/>
    <w:rsid w:val="005749BC"/>
    <w:rsid w:val="0057697C"/>
    <w:rsid w:val="00576F63"/>
    <w:rsid w:val="00582539"/>
    <w:rsid w:val="00583172"/>
    <w:rsid w:val="00584802"/>
    <w:rsid w:val="005852D9"/>
    <w:rsid w:val="005872EA"/>
    <w:rsid w:val="00587EA2"/>
    <w:rsid w:val="005902DC"/>
    <w:rsid w:val="005907EE"/>
    <w:rsid w:val="00591140"/>
    <w:rsid w:val="005915A7"/>
    <w:rsid w:val="00591BF5"/>
    <w:rsid w:val="00594115"/>
    <w:rsid w:val="00594DC8"/>
    <w:rsid w:val="00597463"/>
    <w:rsid w:val="00597D93"/>
    <w:rsid w:val="005A0B68"/>
    <w:rsid w:val="005A207F"/>
    <w:rsid w:val="005A380D"/>
    <w:rsid w:val="005A4749"/>
    <w:rsid w:val="005A542E"/>
    <w:rsid w:val="005B12DD"/>
    <w:rsid w:val="005B13A2"/>
    <w:rsid w:val="005B1D53"/>
    <w:rsid w:val="005B24DA"/>
    <w:rsid w:val="005B2600"/>
    <w:rsid w:val="005B2861"/>
    <w:rsid w:val="005B3254"/>
    <w:rsid w:val="005B3FAD"/>
    <w:rsid w:val="005B411E"/>
    <w:rsid w:val="005B41B4"/>
    <w:rsid w:val="005B5A69"/>
    <w:rsid w:val="005B7741"/>
    <w:rsid w:val="005C1C74"/>
    <w:rsid w:val="005C22DD"/>
    <w:rsid w:val="005C34D5"/>
    <w:rsid w:val="005C3613"/>
    <w:rsid w:val="005C5064"/>
    <w:rsid w:val="005C6F2C"/>
    <w:rsid w:val="005C6F75"/>
    <w:rsid w:val="005C6FF4"/>
    <w:rsid w:val="005D0665"/>
    <w:rsid w:val="005D0D7C"/>
    <w:rsid w:val="005D10FD"/>
    <w:rsid w:val="005D13CE"/>
    <w:rsid w:val="005D282C"/>
    <w:rsid w:val="005D381A"/>
    <w:rsid w:val="005D47B4"/>
    <w:rsid w:val="005D5FF4"/>
    <w:rsid w:val="005D6361"/>
    <w:rsid w:val="005D6666"/>
    <w:rsid w:val="005D7BF5"/>
    <w:rsid w:val="005E1B2E"/>
    <w:rsid w:val="005E1FF7"/>
    <w:rsid w:val="005E2ED0"/>
    <w:rsid w:val="005E30BE"/>
    <w:rsid w:val="005E33EE"/>
    <w:rsid w:val="005E45F7"/>
    <w:rsid w:val="005E4C31"/>
    <w:rsid w:val="005E4FD6"/>
    <w:rsid w:val="005E6425"/>
    <w:rsid w:val="005E6FB9"/>
    <w:rsid w:val="005E7C03"/>
    <w:rsid w:val="005F0AD7"/>
    <w:rsid w:val="005F1EFD"/>
    <w:rsid w:val="005F3D2E"/>
    <w:rsid w:val="005F50FF"/>
    <w:rsid w:val="005F56D0"/>
    <w:rsid w:val="005F6BEC"/>
    <w:rsid w:val="0060036A"/>
    <w:rsid w:val="00600C73"/>
    <w:rsid w:val="0060295D"/>
    <w:rsid w:val="00602A7F"/>
    <w:rsid w:val="0060311A"/>
    <w:rsid w:val="006032BD"/>
    <w:rsid w:val="00603432"/>
    <w:rsid w:val="00603C38"/>
    <w:rsid w:val="0060489E"/>
    <w:rsid w:val="00604A5A"/>
    <w:rsid w:val="00605FCC"/>
    <w:rsid w:val="00606887"/>
    <w:rsid w:val="006075F4"/>
    <w:rsid w:val="0060784D"/>
    <w:rsid w:val="006102A5"/>
    <w:rsid w:val="00610439"/>
    <w:rsid w:val="00611325"/>
    <w:rsid w:val="00611EE0"/>
    <w:rsid w:val="00613745"/>
    <w:rsid w:val="00617BE4"/>
    <w:rsid w:val="00620986"/>
    <w:rsid w:val="00620BE2"/>
    <w:rsid w:val="00621182"/>
    <w:rsid w:val="00621ADA"/>
    <w:rsid w:val="00621F56"/>
    <w:rsid w:val="00623EB0"/>
    <w:rsid w:val="00625056"/>
    <w:rsid w:val="006254A2"/>
    <w:rsid w:val="00625E18"/>
    <w:rsid w:val="00625F88"/>
    <w:rsid w:val="00626AE3"/>
    <w:rsid w:val="00627649"/>
    <w:rsid w:val="006277A9"/>
    <w:rsid w:val="006300FF"/>
    <w:rsid w:val="00630EE0"/>
    <w:rsid w:val="006312AD"/>
    <w:rsid w:val="00633CCB"/>
    <w:rsid w:val="00634318"/>
    <w:rsid w:val="00636342"/>
    <w:rsid w:val="006374CD"/>
    <w:rsid w:val="00637B89"/>
    <w:rsid w:val="00640E52"/>
    <w:rsid w:val="00640F03"/>
    <w:rsid w:val="006414B1"/>
    <w:rsid w:val="006415F8"/>
    <w:rsid w:val="00641E2A"/>
    <w:rsid w:val="00643D76"/>
    <w:rsid w:val="006443B1"/>
    <w:rsid w:val="00645079"/>
    <w:rsid w:val="00646C2D"/>
    <w:rsid w:val="00650B5A"/>
    <w:rsid w:val="00650C1A"/>
    <w:rsid w:val="00651F87"/>
    <w:rsid w:val="0065254B"/>
    <w:rsid w:val="00652A36"/>
    <w:rsid w:val="00652E19"/>
    <w:rsid w:val="006545BA"/>
    <w:rsid w:val="00655DC8"/>
    <w:rsid w:val="006562D2"/>
    <w:rsid w:val="00657015"/>
    <w:rsid w:val="00660A8E"/>
    <w:rsid w:val="00661250"/>
    <w:rsid w:val="0066253D"/>
    <w:rsid w:val="006635B3"/>
    <w:rsid w:val="00663BF5"/>
    <w:rsid w:val="00665421"/>
    <w:rsid w:val="0066632C"/>
    <w:rsid w:val="00666572"/>
    <w:rsid w:val="006715D0"/>
    <w:rsid w:val="00671D86"/>
    <w:rsid w:val="00671FF0"/>
    <w:rsid w:val="00672217"/>
    <w:rsid w:val="0067357D"/>
    <w:rsid w:val="006766FD"/>
    <w:rsid w:val="00676EA4"/>
    <w:rsid w:val="0067778F"/>
    <w:rsid w:val="006779AD"/>
    <w:rsid w:val="00680D3B"/>
    <w:rsid w:val="006812B9"/>
    <w:rsid w:val="00681392"/>
    <w:rsid w:val="00681D8C"/>
    <w:rsid w:val="00682681"/>
    <w:rsid w:val="00682C2E"/>
    <w:rsid w:val="00684467"/>
    <w:rsid w:val="00684709"/>
    <w:rsid w:val="00684E7C"/>
    <w:rsid w:val="00685426"/>
    <w:rsid w:val="00687AF4"/>
    <w:rsid w:val="00692F23"/>
    <w:rsid w:val="00693968"/>
    <w:rsid w:val="00695065"/>
    <w:rsid w:val="00695148"/>
    <w:rsid w:val="0069550E"/>
    <w:rsid w:val="00695866"/>
    <w:rsid w:val="00695B6C"/>
    <w:rsid w:val="00696659"/>
    <w:rsid w:val="00697618"/>
    <w:rsid w:val="00697E69"/>
    <w:rsid w:val="006A05C5"/>
    <w:rsid w:val="006A0B41"/>
    <w:rsid w:val="006A255C"/>
    <w:rsid w:val="006A3313"/>
    <w:rsid w:val="006A364F"/>
    <w:rsid w:val="006A37E2"/>
    <w:rsid w:val="006A3C0B"/>
    <w:rsid w:val="006A4EC9"/>
    <w:rsid w:val="006A7290"/>
    <w:rsid w:val="006B16BA"/>
    <w:rsid w:val="006B17F3"/>
    <w:rsid w:val="006B22AD"/>
    <w:rsid w:val="006B3AD2"/>
    <w:rsid w:val="006B3C75"/>
    <w:rsid w:val="006B538D"/>
    <w:rsid w:val="006B622F"/>
    <w:rsid w:val="006B6DC1"/>
    <w:rsid w:val="006C0BEE"/>
    <w:rsid w:val="006C1702"/>
    <w:rsid w:val="006C3E23"/>
    <w:rsid w:val="006C62DE"/>
    <w:rsid w:val="006C7A0F"/>
    <w:rsid w:val="006D0560"/>
    <w:rsid w:val="006D18C5"/>
    <w:rsid w:val="006D24ED"/>
    <w:rsid w:val="006D3F75"/>
    <w:rsid w:val="006D524E"/>
    <w:rsid w:val="006D6D5F"/>
    <w:rsid w:val="006D78EE"/>
    <w:rsid w:val="006D7CC4"/>
    <w:rsid w:val="006E085D"/>
    <w:rsid w:val="006E098F"/>
    <w:rsid w:val="006E3F6D"/>
    <w:rsid w:val="006E4C05"/>
    <w:rsid w:val="006E689F"/>
    <w:rsid w:val="006E6A36"/>
    <w:rsid w:val="006E7233"/>
    <w:rsid w:val="006E781E"/>
    <w:rsid w:val="006F12B8"/>
    <w:rsid w:val="006F1A04"/>
    <w:rsid w:val="006F1C66"/>
    <w:rsid w:val="006F212E"/>
    <w:rsid w:val="006F3306"/>
    <w:rsid w:val="006F3E93"/>
    <w:rsid w:val="006F4410"/>
    <w:rsid w:val="006F5BEF"/>
    <w:rsid w:val="006F6FD7"/>
    <w:rsid w:val="00702865"/>
    <w:rsid w:val="007028D5"/>
    <w:rsid w:val="007032A9"/>
    <w:rsid w:val="00704555"/>
    <w:rsid w:val="00704B47"/>
    <w:rsid w:val="00705450"/>
    <w:rsid w:val="00706A22"/>
    <w:rsid w:val="007070FD"/>
    <w:rsid w:val="00710236"/>
    <w:rsid w:val="007119A8"/>
    <w:rsid w:val="0071254A"/>
    <w:rsid w:val="00712A88"/>
    <w:rsid w:val="00715F84"/>
    <w:rsid w:val="0071609F"/>
    <w:rsid w:val="00716439"/>
    <w:rsid w:val="00716D4E"/>
    <w:rsid w:val="007175A4"/>
    <w:rsid w:val="007207CC"/>
    <w:rsid w:val="00720F36"/>
    <w:rsid w:val="0072302E"/>
    <w:rsid w:val="00723053"/>
    <w:rsid w:val="007234B0"/>
    <w:rsid w:val="00725AEF"/>
    <w:rsid w:val="00726A47"/>
    <w:rsid w:val="00727279"/>
    <w:rsid w:val="007305D5"/>
    <w:rsid w:val="007307EC"/>
    <w:rsid w:val="00732D02"/>
    <w:rsid w:val="007334B6"/>
    <w:rsid w:val="007336DA"/>
    <w:rsid w:val="00733DD5"/>
    <w:rsid w:val="00734750"/>
    <w:rsid w:val="007347EE"/>
    <w:rsid w:val="00734B5E"/>
    <w:rsid w:val="007350F1"/>
    <w:rsid w:val="007355C4"/>
    <w:rsid w:val="00736FF4"/>
    <w:rsid w:val="007371A0"/>
    <w:rsid w:val="00740866"/>
    <w:rsid w:val="0074138F"/>
    <w:rsid w:val="007418E6"/>
    <w:rsid w:val="00741901"/>
    <w:rsid w:val="007433C5"/>
    <w:rsid w:val="00745FEF"/>
    <w:rsid w:val="007461A1"/>
    <w:rsid w:val="00746383"/>
    <w:rsid w:val="00746BA3"/>
    <w:rsid w:val="0075041E"/>
    <w:rsid w:val="007511D7"/>
    <w:rsid w:val="007527F4"/>
    <w:rsid w:val="00752C9C"/>
    <w:rsid w:val="0075346B"/>
    <w:rsid w:val="0075357E"/>
    <w:rsid w:val="0075435B"/>
    <w:rsid w:val="00754E88"/>
    <w:rsid w:val="00754EC9"/>
    <w:rsid w:val="00755CCF"/>
    <w:rsid w:val="007564D6"/>
    <w:rsid w:val="0076032E"/>
    <w:rsid w:val="0076042F"/>
    <w:rsid w:val="0076249D"/>
    <w:rsid w:val="007629EA"/>
    <w:rsid w:val="00762AF1"/>
    <w:rsid w:val="00763FA2"/>
    <w:rsid w:val="00764025"/>
    <w:rsid w:val="00764C25"/>
    <w:rsid w:val="00764D8A"/>
    <w:rsid w:val="00765093"/>
    <w:rsid w:val="007669C1"/>
    <w:rsid w:val="00767D5D"/>
    <w:rsid w:val="00770056"/>
    <w:rsid w:val="007707AD"/>
    <w:rsid w:val="00771877"/>
    <w:rsid w:val="00771FD0"/>
    <w:rsid w:val="00772175"/>
    <w:rsid w:val="00772A61"/>
    <w:rsid w:val="00772B97"/>
    <w:rsid w:val="00773917"/>
    <w:rsid w:val="00774B98"/>
    <w:rsid w:val="00775719"/>
    <w:rsid w:val="00775C75"/>
    <w:rsid w:val="00777351"/>
    <w:rsid w:val="007829C3"/>
    <w:rsid w:val="00784A5A"/>
    <w:rsid w:val="00785323"/>
    <w:rsid w:val="00787F43"/>
    <w:rsid w:val="00791346"/>
    <w:rsid w:val="0079135E"/>
    <w:rsid w:val="0079200F"/>
    <w:rsid w:val="007924F6"/>
    <w:rsid w:val="00795BAC"/>
    <w:rsid w:val="00795BC5"/>
    <w:rsid w:val="007961D6"/>
    <w:rsid w:val="0079635A"/>
    <w:rsid w:val="00797FA1"/>
    <w:rsid w:val="007A2641"/>
    <w:rsid w:val="007A2DA8"/>
    <w:rsid w:val="007A393B"/>
    <w:rsid w:val="007A425C"/>
    <w:rsid w:val="007A492A"/>
    <w:rsid w:val="007B0402"/>
    <w:rsid w:val="007B0B8F"/>
    <w:rsid w:val="007B179A"/>
    <w:rsid w:val="007B52E9"/>
    <w:rsid w:val="007B575B"/>
    <w:rsid w:val="007C1C23"/>
    <w:rsid w:val="007C2160"/>
    <w:rsid w:val="007C30F5"/>
    <w:rsid w:val="007C3E26"/>
    <w:rsid w:val="007C7AFA"/>
    <w:rsid w:val="007C7B92"/>
    <w:rsid w:val="007D1F8A"/>
    <w:rsid w:val="007D260F"/>
    <w:rsid w:val="007D28D2"/>
    <w:rsid w:val="007D3394"/>
    <w:rsid w:val="007D342F"/>
    <w:rsid w:val="007D389B"/>
    <w:rsid w:val="007D4195"/>
    <w:rsid w:val="007D510E"/>
    <w:rsid w:val="007E00A1"/>
    <w:rsid w:val="007E09D6"/>
    <w:rsid w:val="007E10CB"/>
    <w:rsid w:val="007E1201"/>
    <w:rsid w:val="007E1871"/>
    <w:rsid w:val="007E3C77"/>
    <w:rsid w:val="007E4611"/>
    <w:rsid w:val="007E68AE"/>
    <w:rsid w:val="007F0E06"/>
    <w:rsid w:val="007F3EC2"/>
    <w:rsid w:val="007F4828"/>
    <w:rsid w:val="007F5C44"/>
    <w:rsid w:val="007F5E83"/>
    <w:rsid w:val="007F671A"/>
    <w:rsid w:val="00800CC1"/>
    <w:rsid w:val="008041C3"/>
    <w:rsid w:val="00805D9E"/>
    <w:rsid w:val="00806C2F"/>
    <w:rsid w:val="00806F1F"/>
    <w:rsid w:val="0081044E"/>
    <w:rsid w:val="00810A1B"/>
    <w:rsid w:val="00813068"/>
    <w:rsid w:val="00813938"/>
    <w:rsid w:val="0081458F"/>
    <w:rsid w:val="00814991"/>
    <w:rsid w:val="00815A21"/>
    <w:rsid w:val="008165BD"/>
    <w:rsid w:val="00816B02"/>
    <w:rsid w:val="00816BD8"/>
    <w:rsid w:val="0081796F"/>
    <w:rsid w:val="00817E1B"/>
    <w:rsid w:val="0082150A"/>
    <w:rsid w:val="00821920"/>
    <w:rsid w:val="008277F4"/>
    <w:rsid w:val="00830806"/>
    <w:rsid w:val="008312E5"/>
    <w:rsid w:val="00831A7D"/>
    <w:rsid w:val="008324E4"/>
    <w:rsid w:val="00832E69"/>
    <w:rsid w:val="0083368D"/>
    <w:rsid w:val="00833D4C"/>
    <w:rsid w:val="008353BB"/>
    <w:rsid w:val="0083748F"/>
    <w:rsid w:val="0083769B"/>
    <w:rsid w:val="0083797F"/>
    <w:rsid w:val="00841695"/>
    <w:rsid w:val="00841DF2"/>
    <w:rsid w:val="00844CA6"/>
    <w:rsid w:val="008453E5"/>
    <w:rsid w:val="008478DB"/>
    <w:rsid w:val="0085090C"/>
    <w:rsid w:val="0085454E"/>
    <w:rsid w:val="0085678D"/>
    <w:rsid w:val="00860E9C"/>
    <w:rsid w:val="00861E63"/>
    <w:rsid w:val="00862CEB"/>
    <w:rsid w:val="00862E8A"/>
    <w:rsid w:val="0086340E"/>
    <w:rsid w:val="00863477"/>
    <w:rsid w:val="008649CA"/>
    <w:rsid w:val="00864E35"/>
    <w:rsid w:val="00865217"/>
    <w:rsid w:val="0087091B"/>
    <w:rsid w:val="0087123A"/>
    <w:rsid w:val="00871CA0"/>
    <w:rsid w:val="00871CB3"/>
    <w:rsid w:val="008746E8"/>
    <w:rsid w:val="00874F42"/>
    <w:rsid w:val="00877AE5"/>
    <w:rsid w:val="00880831"/>
    <w:rsid w:val="00880A8C"/>
    <w:rsid w:val="00883B1A"/>
    <w:rsid w:val="008844B6"/>
    <w:rsid w:val="008857CC"/>
    <w:rsid w:val="00886AA2"/>
    <w:rsid w:val="00890B4C"/>
    <w:rsid w:val="00891361"/>
    <w:rsid w:val="00892090"/>
    <w:rsid w:val="008920D8"/>
    <w:rsid w:val="00892BC5"/>
    <w:rsid w:val="0089437A"/>
    <w:rsid w:val="008945FE"/>
    <w:rsid w:val="00894644"/>
    <w:rsid w:val="00894B2C"/>
    <w:rsid w:val="00894EC4"/>
    <w:rsid w:val="0089598C"/>
    <w:rsid w:val="008962DC"/>
    <w:rsid w:val="00896606"/>
    <w:rsid w:val="008A00EB"/>
    <w:rsid w:val="008A0240"/>
    <w:rsid w:val="008A0916"/>
    <w:rsid w:val="008A2FAB"/>
    <w:rsid w:val="008A35B2"/>
    <w:rsid w:val="008A67FA"/>
    <w:rsid w:val="008A69F0"/>
    <w:rsid w:val="008A6C47"/>
    <w:rsid w:val="008B1C30"/>
    <w:rsid w:val="008B201F"/>
    <w:rsid w:val="008B3528"/>
    <w:rsid w:val="008B5113"/>
    <w:rsid w:val="008B51CE"/>
    <w:rsid w:val="008B5FD7"/>
    <w:rsid w:val="008B64A0"/>
    <w:rsid w:val="008B6EE9"/>
    <w:rsid w:val="008C2242"/>
    <w:rsid w:val="008C2856"/>
    <w:rsid w:val="008C486A"/>
    <w:rsid w:val="008C4E26"/>
    <w:rsid w:val="008C7666"/>
    <w:rsid w:val="008D1368"/>
    <w:rsid w:val="008D1867"/>
    <w:rsid w:val="008D2785"/>
    <w:rsid w:val="008D39BB"/>
    <w:rsid w:val="008D40EA"/>
    <w:rsid w:val="008D50CE"/>
    <w:rsid w:val="008D5D19"/>
    <w:rsid w:val="008D6AA3"/>
    <w:rsid w:val="008D6B5B"/>
    <w:rsid w:val="008D6E22"/>
    <w:rsid w:val="008E06D5"/>
    <w:rsid w:val="008E180A"/>
    <w:rsid w:val="008E1E17"/>
    <w:rsid w:val="008E2CA7"/>
    <w:rsid w:val="008E4E95"/>
    <w:rsid w:val="008E5348"/>
    <w:rsid w:val="008E596E"/>
    <w:rsid w:val="008E5BCB"/>
    <w:rsid w:val="008E5F3E"/>
    <w:rsid w:val="008E622C"/>
    <w:rsid w:val="008E72F2"/>
    <w:rsid w:val="008E7EF9"/>
    <w:rsid w:val="008F2901"/>
    <w:rsid w:val="008F2C39"/>
    <w:rsid w:val="008F3CE1"/>
    <w:rsid w:val="008F43C0"/>
    <w:rsid w:val="008F5B6C"/>
    <w:rsid w:val="008F5CE5"/>
    <w:rsid w:val="008F6752"/>
    <w:rsid w:val="008F6F0E"/>
    <w:rsid w:val="00900A88"/>
    <w:rsid w:val="009015C2"/>
    <w:rsid w:val="009029CD"/>
    <w:rsid w:val="0090303A"/>
    <w:rsid w:val="00903748"/>
    <w:rsid w:val="00903856"/>
    <w:rsid w:val="00903888"/>
    <w:rsid w:val="00904644"/>
    <w:rsid w:val="009059D8"/>
    <w:rsid w:val="00906244"/>
    <w:rsid w:val="00906A7F"/>
    <w:rsid w:val="00906E4D"/>
    <w:rsid w:val="00907F81"/>
    <w:rsid w:val="009110BF"/>
    <w:rsid w:val="00911D2F"/>
    <w:rsid w:val="00912976"/>
    <w:rsid w:val="0091346C"/>
    <w:rsid w:val="0091464F"/>
    <w:rsid w:val="00914B3D"/>
    <w:rsid w:val="0092064A"/>
    <w:rsid w:val="00920B9C"/>
    <w:rsid w:val="0092207E"/>
    <w:rsid w:val="009223A4"/>
    <w:rsid w:val="00923B6A"/>
    <w:rsid w:val="009243C1"/>
    <w:rsid w:val="009269F2"/>
    <w:rsid w:val="00927BEA"/>
    <w:rsid w:val="009321D4"/>
    <w:rsid w:val="00932210"/>
    <w:rsid w:val="00933DCA"/>
    <w:rsid w:val="00934569"/>
    <w:rsid w:val="00935351"/>
    <w:rsid w:val="00935CCB"/>
    <w:rsid w:val="00936281"/>
    <w:rsid w:val="00937C1D"/>
    <w:rsid w:val="00937E9C"/>
    <w:rsid w:val="00940929"/>
    <w:rsid w:val="00941D58"/>
    <w:rsid w:val="00941FC9"/>
    <w:rsid w:val="009425E2"/>
    <w:rsid w:val="009428D8"/>
    <w:rsid w:val="00943CA7"/>
    <w:rsid w:val="00946C05"/>
    <w:rsid w:val="00946DBE"/>
    <w:rsid w:val="0095088D"/>
    <w:rsid w:val="00950CB2"/>
    <w:rsid w:val="0095130A"/>
    <w:rsid w:val="009519A1"/>
    <w:rsid w:val="00951BE3"/>
    <w:rsid w:val="00953B1C"/>
    <w:rsid w:val="00953E69"/>
    <w:rsid w:val="00954205"/>
    <w:rsid w:val="00954D49"/>
    <w:rsid w:val="00954F62"/>
    <w:rsid w:val="009557B1"/>
    <w:rsid w:val="00956A99"/>
    <w:rsid w:val="00957F2A"/>
    <w:rsid w:val="00960830"/>
    <w:rsid w:val="00960C03"/>
    <w:rsid w:val="00960D22"/>
    <w:rsid w:val="00960FBC"/>
    <w:rsid w:val="009610CF"/>
    <w:rsid w:val="00961745"/>
    <w:rsid w:val="00961DCB"/>
    <w:rsid w:val="009627B7"/>
    <w:rsid w:val="009641E1"/>
    <w:rsid w:val="00964BC5"/>
    <w:rsid w:val="00965C0D"/>
    <w:rsid w:val="00966696"/>
    <w:rsid w:val="009674FE"/>
    <w:rsid w:val="00973B65"/>
    <w:rsid w:val="00973C58"/>
    <w:rsid w:val="0097501E"/>
    <w:rsid w:val="00975027"/>
    <w:rsid w:val="00975BDB"/>
    <w:rsid w:val="00976A84"/>
    <w:rsid w:val="00977783"/>
    <w:rsid w:val="0098065F"/>
    <w:rsid w:val="00981800"/>
    <w:rsid w:val="00981DB9"/>
    <w:rsid w:val="009835AD"/>
    <w:rsid w:val="00984BAC"/>
    <w:rsid w:val="009864D7"/>
    <w:rsid w:val="0098747B"/>
    <w:rsid w:val="0099026A"/>
    <w:rsid w:val="009920C8"/>
    <w:rsid w:val="00992654"/>
    <w:rsid w:val="0099469A"/>
    <w:rsid w:val="009955A6"/>
    <w:rsid w:val="00995A55"/>
    <w:rsid w:val="00996041"/>
    <w:rsid w:val="00996C20"/>
    <w:rsid w:val="00997573"/>
    <w:rsid w:val="009978EC"/>
    <w:rsid w:val="009A01A4"/>
    <w:rsid w:val="009A1771"/>
    <w:rsid w:val="009A191D"/>
    <w:rsid w:val="009A1E83"/>
    <w:rsid w:val="009A2594"/>
    <w:rsid w:val="009A2BD8"/>
    <w:rsid w:val="009A43F5"/>
    <w:rsid w:val="009A4DE0"/>
    <w:rsid w:val="009A4E8B"/>
    <w:rsid w:val="009A5CE3"/>
    <w:rsid w:val="009A6252"/>
    <w:rsid w:val="009B05F2"/>
    <w:rsid w:val="009B256B"/>
    <w:rsid w:val="009B327B"/>
    <w:rsid w:val="009B4BA7"/>
    <w:rsid w:val="009B5CD6"/>
    <w:rsid w:val="009B6173"/>
    <w:rsid w:val="009B69D8"/>
    <w:rsid w:val="009B743C"/>
    <w:rsid w:val="009B79EF"/>
    <w:rsid w:val="009C02A7"/>
    <w:rsid w:val="009C0F7C"/>
    <w:rsid w:val="009C2EAD"/>
    <w:rsid w:val="009C488E"/>
    <w:rsid w:val="009D14AA"/>
    <w:rsid w:val="009D19CF"/>
    <w:rsid w:val="009D2295"/>
    <w:rsid w:val="009D3C95"/>
    <w:rsid w:val="009D4381"/>
    <w:rsid w:val="009D6766"/>
    <w:rsid w:val="009E0EBD"/>
    <w:rsid w:val="009E10D5"/>
    <w:rsid w:val="009E3E49"/>
    <w:rsid w:val="009E5746"/>
    <w:rsid w:val="009E58CE"/>
    <w:rsid w:val="009E59C8"/>
    <w:rsid w:val="009E6A9F"/>
    <w:rsid w:val="009E7ABE"/>
    <w:rsid w:val="009E7E60"/>
    <w:rsid w:val="009F2248"/>
    <w:rsid w:val="009F28ED"/>
    <w:rsid w:val="009F3237"/>
    <w:rsid w:val="009F4A4D"/>
    <w:rsid w:val="009F6156"/>
    <w:rsid w:val="009F6BD4"/>
    <w:rsid w:val="009F7C56"/>
    <w:rsid w:val="009F7F55"/>
    <w:rsid w:val="00A0010D"/>
    <w:rsid w:val="00A00406"/>
    <w:rsid w:val="00A011FC"/>
    <w:rsid w:val="00A016C9"/>
    <w:rsid w:val="00A01D90"/>
    <w:rsid w:val="00A02A0C"/>
    <w:rsid w:val="00A040F1"/>
    <w:rsid w:val="00A05453"/>
    <w:rsid w:val="00A0558F"/>
    <w:rsid w:val="00A055A9"/>
    <w:rsid w:val="00A05CA6"/>
    <w:rsid w:val="00A06411"/>
    <w:rsid w:val="00A072FF"/>
    <w:rsid w:val="00A1058B"/>
    <w:rsid w:val="00A11673"/>
    <w:rsid w:val="00A1286E"/>
    <w:rsid w:val="00A12930"/>
    <w:rsid w:val="00A12D26"/>
    <w:rsid w:val="00A155B8"/>
    <w:rsid w:val="00A16014"/>
    <w:rsid w:val="00A16A35"/>
    <w:rsid w:val="00A16ABC"/>
    <w:rsid w:val="00A2114A"/>
    <w:rsid w:val="00A22255"/>
    <w:rsid w:val="00A2229D"/>
    <w:rsid w:val="00A2289E"/>
    <w:rsid w:val="00A22CF3"/>
    <w:rsid w:val="00A2360C"/>
    <w:rsid w:val="00A2410A"/>
    <w:rsid w:val="00A26985"/>
    <w:rsid w:val="00A27E33"/>
    <w:rsid w:val="00A318B3"/>
    <w:rsid w:val="00A31FF8"/>
    <w:rsid w:val="00A32E86"/>
    <w:rsid w:val="00A34260"/>
    <w:rsid w:val="00A3460C"/>
    <w:rsid w:val="00A357FA"/>
    <w:rsid w:val="00A3630C"/>
    <w:rsid w:val="00A36B44"/>
    <w:rsid w:val="00A373B9"/>
    <w:rsid w:val="00A376D1"/>
    <w:rsid w:val="00A37CAC"/>
    <w:rsid w:val="00A43F72"/>
    <w:rsid w:val="00A44717"/>
    <w:rsid w:val="00A455FD"/>
    <w:rsid w:val="00A46072"/>
    <w:rsid w:val="00A4624B"/>
    <w:rsid w:val="00A47434"/>
    <w:rsid w:val="00A475C4"/>
    <w:rsid w:val="00A50430"/>
    <w:rsid w:val="00A5127F"/>
    <w:rsid w:val="00A51290"/>
    <w:rsid w:val="00A51424"/>
    <w:rsid w:val="00A52AB2"/>
    <w:rsid w:val="00A53BDE"/>
    <w:rsid w:val="00A55E0D"/>
    <w:rsid w:val="00A575DB"/>
    <w:rsid w:val="00A57821"/>
    <w:rsid w:val="00A57A68"/>
    <w:rsid w:val="00A600B1"/>
    <w:rsid w:val="00A6084D"/>
    <w:rsid w:val="00A60FAF"/>
    <w:rsid w:val="00A630A3"/>
    <w:rsid w:val="00A6314B"/>
    <w:rsid w:val="00A6408A"/>
    <w:rsid w:val="00A64C8F"/>
    <w:rsid w:val="00A67293"/>
    <w:rsid w:val="00A67708"/>
    <w:rsid w:val="00A67BD8"/>
    <w:rsid w:val="00A67C64"/>
    <w:rsid w:val="00A70647"/>
    <w:rsid w:val="00A7186C"/>
    <w:rsid w:val="00A71955"/>
    <w:rsid w:val="00A744A8"/>
    <w:rsid w:val="00A74DAC"/>
    <w:rsid w:val="00A75C7E"/>
    <w:rsid w:val="00A81FA6"/>
    <w:rsid w:val="00A83458"/>
    <w:rsid w:val="00A84E52"/>
    <w:rsid w:val="00A85B94"/>
    <w:rsid w:val="00A879F4"/>
    <w:rsid w:val="00A90094"/>
    <w:rsid w:val="00A9068A"/>
    <w:rsid w:val="00A90C8A"/>
    <w:rsid w:val="00A91AD4"/>
    <w:rsid w:val="00A92C2A"/>
    <w:rsid w:val="00A94C1B"/>
    <w:rsid w:val="00A95917"/>
    <w:rsid w:val="00A95DC7"/>
    <w:rsid w:val="00A96D19"/>
    <w:rsid w:val="00AA0DFB"/>
    <w:rsid w:val="00AA2587"/>
    <w:rsid w:val="00AA266E"/>
    <w:rsid w:val="00AA410D"/>
    <w:rsid w:val="00AA47D0"/>
    <w:rsid w:val="00AA59A5"/>
    <w:rsid w:val="00AA6841"/>
    <w:rsid w:val="00AA7712"/>
    <w:rsid w:val="00AA793E"/>
    <w:rsid w:val="00AA7A42"/>
    <w:rsid w:val="00AA7CF6"/>
    <w:rsid w:val="00AB03AA"/>
    <w:rsid w:val="00AB1AC1"/>
    <w:rsid w:val="00AB1E29"/>
    <w:rsid w:val="00AB29FD"/>
    <w:rsid w:val="00AB320A"/>
    <w:rsid w:val="00AB4C0F"/>
    <w:rsid w:val="00AB50A8"/>
    <w:rsid w:val="00AB5C34"/>
    <w:rsid w:val="00AB5E6C"/>
    <w:rsid w:val="00AB6C2B"/>
    <w:rsid w:val="00AB6DEF"/>
    <w:rsid w:val="00AB6E20"/>
    <w:rsid w:val="00AC0440"/>
    <w:rsid w:val="00AC1C2C"/>
    <w:rsid w:val="00AC4A20"/>
    <w:rsid w:val="00AC4F06"/>
    <w:rsid w:val="00AC5745"/>
    <w:rsid w:val="00AC5797"/>
    <w:rsid w:val="00AC6E8F"/>
    <w:rsid w:val="00AC7297"/>
    <w:rsid w:val="00AC751C"/>
    <w:rsid w:val="00AD19B4"/>
    <w:rsid w:val="00AD1CE7"/>
    <w:rsid w:val="00AD2B3C"/>
    <w:rsid w:val="00AD3E7A"/>
    <w:rsid w:val="00AD4A18"/>
    <w:rsid w:val="00AD6545"/>
    <w:rsid w:val="00AD7084"/>
    <w:rsid w:val="00AD7ED5"/>
    <w:rsid w:val="00AE0C22"/>
    <w:rsid w:val="00AE3809"/>
    <w:rsid w:val="00AE392D"/>
    <w:rsid w:val="00AE42A5"/>
    <w:rsid w:val="00AE4F13"/>
    <w:rsid w:val="00AE51A5"/>
    <w:rsid w:val="00AE5AB2"/>
    <w:rsid w:val="00AE5E81"/>
    <w:rsid w:val="00AE6455"/>
    <w:rsid w:val="00AF0CFE"/>
    <w:rsid w:val="00AF205F"/>
    <w:rsid w:val="00AF330A"/>
    <w:rsid w:val="00AF480B"/>
    <w:rsid w:val="00AF7D16"/>
    <w:rsid w:val="00AF7E48"/>
    <w:rsid w:val="00AF7F07"/>
    <w:rsid w:val="00B00661"/>
    <w:rsid w:val="00B00A61"/>
    <w:rsid w:val="00B01155"/>
    <w:rsid w:val="00B0295E"/>
    <w:rsid w:val="00B03010"/>
    <w:rsid w:val="00B03E1D"/>
    <w:rsid w:val="00B045C8"/>
    <w:rsid w:val="00B05A17"/>
    <w:rsid w:val="00B05D53"/>
    <w:rsid w:val="00B06A2D"/>
    <w:rsid w:val="00B06D51"/>
    <w:rsid w:val="00B079B0"/>
    <w:rsid w:val="00B07A66"/>
    <w:rsid w:val="00B07B00"/>
    <w:rsid w:val="00B07CB2"/>
    <w:rsid w:val="00B1031E"/>
    <w:rsid w:val="00B110EC"/>
    <w:rsid w:val="00B11137"/>
    <w:rsid w:val="00B12460"/>
    <w:rsid w:val="00B13B36"/>
    <w:rsid w:val="00B14E4D"/>
    <w:rsid w:val="00B16B2E"/>
    <w:rsid w:val="00B17390"/>
    <w:rsid w:val="00B17522"/>
    <w:rsid w:val="00B17EBC"/>
    <w:rsid w:val="00B2166B"/>
    <w:rsid w:val="00B219B3"/>
    <w:rsid w:val="00B25021"/>
    <w:rsid w:val="00B2531E"/>
    <w:rsid w:val="00B257DA"/>
    <w:rsid w:val="00B25988"/>
    <w:rsid w:val="00B27747"/>
    <w:rsid w:val="00B2795B"/>
    <w:rsid w:val="00B30CA9"/>
    <w:rsid w:val="00B319B7"/>
    <w:rsid w:val="00B33785"/>
    <w:rsid w:val="00B347D2"/>
    <w:rsid w:val="00B34EE4"/>
    <w:rsid w:val="00B350CA"/>
    <w:rsid w:val="00B35A52"/>
    <w:rsid w:val="00B41203"/>
    <w:rsid w:val="00B419D9"/>
    <w:rsid w:val="00B44597"/>
    <w:rsid w:val="00B44737"/>
    <w:rsid w:val="00B45FC8"/>
    <w:rsid w:val="00B463C5"/>
    <w:rsid w:val="00B47059"/>
    <w:rsid w:val="00B516D4"/>
    <w:rsid w:val="00B52583"/>
    <w:rsid w:val="00B532CD"/>
    <w:rsid w:val="00B548E4"/>
    <w:rsid w:val="00B54A06"/>
    <w:rsid w:val="00B60136"/>
    <w:rsid w:val="00B60CA4"/>
    <w:rsid w:val="00B63551"/>
    <w:rsid w:val="00B63C4D"/>
    <w:rsid w:val="00B66038"/>
    <w:rsid w:val="00B671D6"/>
    <w:rsid w:val="00B67EA1"/>
    <w:rsid w:val="00B70CC3"/>
    <w:rsid w:val="00B70EF3"/>
    <w:rsid w:val="00B7109C"/>
    <w:rsid w:val="00B714D0"/>
    <w:rsid w:val="00B73BC5"/>
    <w:rsid w:val="00B74F42"/>
    <w:rsid w:val="00B776EC"/>
    <w:rsid w:val="00B77A95"/>
    <w:rsid w:val="00B77BEB"/>
    <w:rsid w:val="00B802E7"/>
    <w:rsid w:val="00B8030A"/>
    <w:rsid w:val="00B8079F"/>
    <w:rsid w:val="00B8173F"/>
    <w:rsid w:val="00B8296D"/>
    <w:rsid w:val="00B83AC3"/>
    <w:rsid w:val="00B848F6"/>
    <w:rsid w:val="00B8583F"/>
    <w:rsid w:val="00B90328"/>
    <w:rsid w:val="00B91FD7"/>
    <w:rsid w:val="00B926B6"/>
    <w:rsid w:val="00B9327A"/>
    <w:rsid w:val="00B94996"/>
    <w:rsid w:val="00B94D41"/>
    <w:rsid w:val="00B96E5A"/>
    <w:rsid w:val="00B96F6B"/>
    <w:rsid w:val="00B97147"/>
    <w:rsid w:val="00B9783E"/>
    <w:rsid w:val="00BA0430"/>
    <w:rsid w:val="00BA2B9F"/>
    <w:rsid w:val="00BA3C38"/>
    <w:rsid w:val="00BA5ACB"/>
    <w:rsid w:val="00BA60E3"/>
    <w:rsid w:val="00BA71DC"/>
    <w:rsid w:val="00BB0084"/>
    <w:rsid w:val="00BB0F94"/>
    <w:rsid w:val="00BB1CDA"/>
    <w:rsid w:val="00BB1CDC"/>
    <w:rsid w:val="00BB22CD"/>
    <w:rsid w:val="00BB2958"/>
    <w:rsid w:val="00BB2A10"/>
    <w:rsid w:val="00BB2EF1"/>
    <w:rsid w:val="00BB49FA"/>
    <w:rsid w:val="00BB58F6"/>
    <w:rsid w:val="00BB5BC6"/>
    <w:rsid w:val="00BC0475"/>
    <w:rsid w:val="00BC07AC"/>
    <w:rsid w:val="00BC0E5D"/>
    <w:rsid w:val="00BC0EDA"/>
    <w:rsid w:val="00BC17E4"/>
    <w:rsid w:val="00BC25D5"/>
    <w:rsid w:val="00BC2793"/>
    <w:rsid w:val="00BC5960"/>
    <w:rsid w:val="00BC603C"/>
    <w:rsid w:val="00BC61EA"/>
    <w:rsid w:val="00BC62F6"/>
    <w:rsid w:val="00BC69AE"/>
    <w:rsid w:val="00BC6A1B"/>
    <w:rsid w:val="00BD2969"/>
    <w:rsid w:val="00BD4599"/>
    <w:rsid w:val="00BD4F80"/>
    <w:rsid w:val="00BD58D2"/>
    <w:rsid w:val="00BD6287"/>
    <w:rsid w:val="00BD6820"/>
    <w:rsid w:val="00BD7A90"/>
    <w:rsid w:val="00BD7B90"/>
    <w:rsid w:val="00BE01A4"/>
    <w:rsid w:val="00BE0A1D"/>
    <w:rsid w:val="00BE1032"/>
    <w:rsid w:val="00BE1DF1"/>
    <w:rsid w:val="00BE1DFE"/>
    <w:rsid w:val="00BE351B"/>
    <w:rsid w:val="00BE39D2"/>
    <w:rsid w:val="00BE41E9"/>
    <w:rsid w:val="00BE4B34"/>
    <w:rsid w:val="00BE5724"/>
    <w:rsid w:val="00BE6727"/>
    <w:rsid w:val="00BE6754"/>
    <w:rsid w:val="00BE6F2E"/>
    <w:rsid w:val="00BF0820"/>
    <w:rsid w:val="00BF10DA"/>
    <w:rsid w:val="00BF1E10"/>
    <w:rsid w:val="00BF2B5B"/>
    <w:rsid w:val="00BF357F"/>
    <w:rsid w:val="00BF3932"/>
    <w:rsid w:val="00BF4598"/>
    <w:rsid w:val="00BF4942"/>
    <w:rsid w:val="00BF55B8"/>
    <w:rsid w:val="00BF6E43"/>
    <w:rsid w:val="00C007D6"/>
    <w:rsid w:val="00C00C2B"/>
    <w:rsid w:val="00C00D86"/>
    <w:rsid w:val="00C011A3"/>
    <w:rsid w:val="00C01ED7"/>
    <w:rsid w:val="00C0200D"/>
    <w:rsid w:val="00C0306E"/>
    <w:rsid w:val="00C05B3E"/>
    <w:rsid w:val="00C062AD"/>
    <w:rsid w:val="00C07237"/>
    <w:rsid w:val="00C0790C"/>
    <w:rsid w:val="00C07BD0"/>
    <w:rsid w:val="00C07DAF"/>
    <w:rsid w:val="00C07E2A"/>
    <w:rsid w:val="00C07E55"/>
    <w:rsid w:val="00C10680"/>
    <w:rsid w:val="00C12822"/>
    <w:rsid w:val="00C12E9E"/>
    <w:rsid w:val="00C1313B"/>
    <w:rsid w:val="00C13BDB"/>
    <w:rsid w:val="00C13C91"/>
    <w:rsid w:val="00C1434C"/>
    <w:rsid w:val="00C14839"/>
    <w:rsid w:val="00C14B12"/>
    <w:rsid w:val="00C14C56"/>
    <w:rsid w:val="00C14C96"/>
    <w:rsid w:val="00C159F5"/>
    <w:rsid w:val="00C15E49"/>
    <w:rsid w:val="00C17459"/>
    <w:rsid w:val="00C20362"/>
    <w:rsid w:val="00C229DA"/>
    <w:rsid w:val="00C231FB"/>
    <w:rsid w:val="00C2327B"/>
    <w:rsid w:val="00C239DC"/>
    <w:rsid w:val="00C24C0F"/>
    <w:rsid w:val="00C2509D"/>
    <w:rsid w:val="00C250DA"/>
    <w:rsid w:val="00C25310"/>
    <w:rsid w:val="00C2609F"/>
    <w:rsid w:val="00C26E4C"/>
    <w:rsid w:val="00C27659"/>
    <w:rsid w:val="00C2799C"/>
    <w:rsid w:val="00C27D5D"/>
    <w:rsid w:val="00C30C62"/>
    <w:rsid w:val="00C30DF5"/>
    <w:rsid w:val="00C34D36"/>
    <w:rsid w:val="00C3644D"/>
    <w:rsid w:val="00C36F17"/>
    <w:rsid w:val="00C377D9"/>
    <w:rsid w:val="00C41769"/>
    <w:rsid w:val="00C42A18"/>
    <w:rsid w:val="00C42B3F"/>
    <w:rsid w:val="00C42DFB"/>
    <w:rsid w:val="00C45327"/>
    <w:rsid w:val="00C45FCA"/>
    <w:rsid w:val="00C46CAF"/>
    <w:rsid w:val="00C508FB"/>
    <w:rsid w:val="00C50927"/>
    <w:rsid w:val="00C51381"/>
    <w:rsid w:val="00C520C5"/>
    <w:rsid w:val="00C539A6"/>
    <w:rsid w:val="00C55D59"/>
    <w:rsid w:val="00C560C0"/>
    <w:rsid w:val="00C56A0F"/>
    <w:rsid w:val="00C57B4B"/>
    <w:rsid w:val="00C62ADC"/>
    <w:rsid w:val="00C63111"/>
    <w:rsid w:val="00C63D8C"/>
    <w:rsid w:val="00C63FDF"/>
    <w:rsid w:val="00C64310"/>
    <w:rsid w:val="00C64B7E"/>
    <w:rsid w:val="00C668B2"/>
    <w:rsid w:val="00C67401"/>
    <w:rsid w:val="00C707EF"/>
    <w:rsid w:val="00C70AD8"/>
    <w:rsid w:val="00C70C37"/>
    <w:rsid w:val="00C71123"/>
    <w:rsid w:val="00C7136A"/>
    <w:rsid w:val="00C731B9"/>
    <w:rsid w:val="00C73F06"/>
    <w:rsid w:val="00C74905"/>
    <w:rsid w:val="00C74B42"/>
    <w:rsid w:val="00C74D3A"/>
    <w:rsid w:val="00C75460"/>
    <w:rsid w:val="00C75565"/>
    <w:rsid w:val="00C75BB6"/>
    <w:rsid w:val="00C76C3D"/>
    <w:rsid w:val="00C77667"/>
    <w:rsid w:val="00C8066D"/>
    <w:rsid w:val="00C808CF"/>
    <w:rsid w:val="00C80ADD"/>
    <w:rsid w:val="00C80F34"/>
    <w:rsid w:val="00C817C1"/>
    <w:rsid w:val="00C81A05"/>
    <w:rsid w:val="00C82F7E"/>
    <w:rsid w:val="00C85061"/>
    <w:rsid w:val="00C86449"/>
    <w:rsid w:val="00C936A1"/>
    <w:rsid w:val="00C93A40"/>
    <w:rsid w:val="00C95A29"/>
    <w:rsid w:val="00C97226"/>
    <w:rsid w:val="00CA1335"/>
    <w:rsid w:val="00CA4A02"/>
    <w:rsid w:val="00CB1347"/>
    <w:rsid w:val="00CB245C"/>
    <w:rsid w:val="00CB2497"/>
    <w:rsid w:val="00CB2E20"/>
    <w:rsid w:val="00CB5D59"/>
    <w:rsid w:val="00CB6DE8"/>
    <w:rsid w:val="00CC0D0E"/>
    <w:rsid w:val="00CC14F3"/>
    <w:rsid w:val="00CC2691"/>
    <w:rsid w:val="00CC31DE"/>
    <w:rsid w:val="00CC47AF"/>
    <w:rsid w:val="00CC686E"/>
    <w:rsid w:val="00CC6A88"/>
    <w:rsid w:val="00CC6F01"/>
    <w:rsid w:val="00CC6F8E"/>
    <w:rsid w:val="00CC73BB"/>
    <w:rsid w:val="00CC756E"/>
    <w:rsid w:val="00CC7C12"/>
    <w:rsid w:val="00CC7F55"/>
    <w:rsid w:val="00CD070A"/>
    <w:rsid w:val="00CD0DA3"/>
    <w:rsid w:val="00CD2044"/>
    <w:rsid w:val="00CD642A"/>
    <w:rsid w:val="00CD79A8"/>
    <w:rsid w:val="00CD79BD"/>
    <w:rsid w:val="00CE0229"/>
    <w:rsid w:val="00CE1A0D"/>
    <w:rsid w:val="00CE5823"/>
    <w:rsid w:val="00CE6AB2"/>
    <w:rsid w:val="00CE6C5C"/>
    <w:rsid w:val="00CE76E0"/>
    <w:rsid w:val="00CE7E49"/>
    <w:rsid w:val="00CF1038"/>
    <w:rsid w:val="00CF112A"/>
    <w:rsid w:val="00CF1425"/>
    <w:rsid w:val="00CF158A"/>
    <w:rsid w:val="00CF2F40"/>
    <w:rsid w:val="00CF3350"/>
    <w:rsid w:val="00CF59BE"/>
    <w:rsid w:val="00CF699B"/>
    <w:rsid w:val="00CF69FB"/>
    <w:rsid w:val="00CF6F08"/>
    <w:rsid w:val="00D006C1"/>
    <w:rsid w:val="00D01601"/>
    <w:rsid w:val="00D01F6E"/>
    <w:rsid w:val="00D030E7"/>
    <w:rsid w:val="00D04201"/>
    <w:rsid w:val="00D11593"/>
    <w:rsid w:val="00D11BC8"/>
    <w:rsid w:val="00D12564"/>
    <w:rsid w:val="00D131A8"/>
    <w:rsid w:val="00D146B5"/>
    <w:rsid w:val="00D1577E"/>
    <w:rsid w:val="00D16246"/>
    <w:rsid w:val="00D17B63"/>
    <w:rsid w:val="00D20055"/>
    <w:rsid w:val="00D21584"/>
    <w:rsid w:val="00D23001"/>
    <w:rsid w:val="00D2312F"/>
    <w:rsid w:val="00D23A18"/>
    <w:rsid w:val="00D23F34"/>
    <w:rsid w:val="00D24400"/>
    <w:rsid w:val="00D25795"/>
    <w:rsid w:val="00D3180C"/>
    <w:rsid w:val="00D318D4"/>
    <w:rsid w:val="00D318D5"/>
    <w:rsid w:val="00D323EE"/>
    <w:rsid w:val="00D33EF8"/>
    <w:rsid w:val="00D342C3"/>
    <w:rsid w:val="00D3460F"/>
    <w:rsid w:val="00D34DDF"/>
    <w:rsid w:val="00D353DA"/>
    <w:rsid w:val="00D377D2"/>
    <w:rsid w:val="00D408D5"/>
    <w:rsid w:val="00D4123C"/>
    <w:rsid w:val="00D413DC"/>
    <w:rsid w:val="00D419F6"/>
    <w:rsid w:val="00D41C15"/>
    <w:rsid w:val="00D43247"/>
    <w:rsid w:val="00D43DE1"/>
    <w:rsid w:val="00D43E38"/>
    <w:rsid w:val="00D43E9B"/>
    <w:rsid w:val="00D442EF"/>
    <w:rsid w:val="00D45686"/>
    <w:rsid w:val="00D46970"/>
    <w:rsid w:val="00D50E0C"/>
    <w:rsid w:val="00D51062"/>
    <w:rsid w:val="00D5168A"/>
    <w:rsid w:val="00D51B4F"/>
    <w:rsid w:val="00D52312"/>
    <w:rsid w:val="00D52B82"/>
    <w:rsid w:val="00D5557A"/>
    <w:rsid w:val="00D55D39"/>
    <w:rsid w:val="00D561C0"/>
    <w:rsid w:val="00D564CA"/>
    <w:rsid w:val="00D56B06"/>
    <w:rsid w:val="00D56B7B"/>
    <w:rsid w:val="00D56BBC"/>
    <w:rsid w:val="00D615FC"/>
    <w:rsid w:val="00D620FD"/>
    <w:rsid w:val="00D623A2"/>
    <w:rsid w:val="00D6253E"/>
    <w:rsid w:val="00D62E72"/>
    <w:rsid w:val="00D6307D"/>
    <w:rsid w:val="00D64B94"/>
    <w:rsid w:val="00D661CE"/>
    <w:rsid w:val="00D66652"/>
    <w:rsid w:val="00D677C2"/>
    <w:rsid w:val="00D708E8"/>
    <w:rsid w:val="00D70EDB"/>
    <w:rsid w:val="00D72651"/>
    <w:rsid w:val="00D726AE"/>
    <w:rsid w:val="00D72B94"/>
    <w:rsid w:val="00D74072"/>
    <w:rsid w:val="00D7421D"/>
    <w:rsid w:val="00D7438F"/>
    <w:rsid w:val="00D74D23"/>
    <w:rsid w:val="00D76291"/>
    <w:rsid w:val="00D7663A"/>
    <w:rsid w:val="00D7685D"/>
    <w:rsid w:val="00D774BB"/>
    <w:rsid w:val="00D81DA9"/>
    <w:rsid w:val="00D82377"/>
    <w:rsid w:val="00D82610"/>
    <w:rsid w:val="00D829B0"/>
    <w:rsid w:val="00D84F86"/>
    <w:rsid w:val="00D85215"/>
    <w:rsid w:val="00D85405"/>
    <w:rsid w:val="00D85F9A"/>
    <w:rsid w:val="00D86140"/>
    <w:rsid w:val="00D86FAC"/>
    <w:rsid w:val="00D872D8"/>
    <w:rsid w:val="00D9576F"/>
    <w:rsid w:val="00D96909"/>
    <w:rsid w:val="00DA0640"/>
    <w:rsid w:val="00DA1419"/>
    <w:rsid w:val="00DA190E"/>
    <w:rsid w:val="00DA1B27"/>
    <w:rsid w:val="00DA3E29"/>
    <w:rsid w:val="00DA4985"/>
    <w:rsid w:val="00DA5717"/>
    <w:rsid w:val="00DA6176"/>
    <w:rsid w:val="00DA74D3"/>
    <w:rsid w:val="00DB018E"/>
    <w:rsid w:val="00DB1E81"/>
    <w:rsid w:val="00DB3D14"/>
    <w:rsid w:val="00DB5133"/>
    <w:rsid w:val="00DB6E0C"/>
    <w:rsid w:val="00DB7203"/>
    <w:rsid w:val="00DB739C"/>
    <w:rsid w:val="00DB773F"/>
    <w:rsid w:val="00DB793D"/>
    <w:rsid w:val="00DC2195"/>
    <w:rsid w:val="00DC24AC"/>
    <w:rsid w:val="00DC31E1"/>
    <w:rsid w:val="00DC4D46"/>
    <w:rsid w:val="00DC613E"/>
    <w:rsid w:val="00DC778E"/>
    <w:rsid w:val="00DC7AD3"/>
    <w:rsid w:val="00DD01CE"/>
    <w:rsid w:val="00DD1A71"/>
    <w:rsid w:val="00DD313D"/>
    <w:rsid w:val="00DD3237"/>
    <w:rsid w:val="00DD3471"/>
    <w:rsid w:val="00DD50E9"/>
    <w:rsid w:val="00DD55EE"/>
    <w:rsid w:val="00DD6D41"/>
    <w:rsid w:val="00DD710E"/>
    <w:rsid w:val="00DD7175"/>
    <w:rsid w:val="00DD78BC"/>
    <w:rsid w:val="00DE24D7"/>
    <w:rsid w:val="00DE2B73"/>
    <w:rsid w:val="00DE4707"/>
    <w:rsid w:val="00DE4DBC"/>
    <w:rsid w:val="00DE6C93"/>
    <w:rsid w:val="00DE70DB"/>
    <w:rsid w:val="00DE77B1"/>
    <w:rsid w:val="00DE7B79"/>
    <w:rsid w:val="00DF152B"/>
    <w:rsid w:val="00DF26B7"/>
    <w:rsid w:val="00DF2AED"/>
    <w:rsid w:val="00DF370F"/>
    <w:rsid w:val="00DF3AFD"/>
    <w:rsid w:val="00DF51D2"/>
    <w:rsid w:val="00DF7081"/>
    <w:rsid w:val="00DF7796"/>
    <w:rsid w:val="00E003C6"/>
    <w:rsid w:val="00E00B9E"/>
    <w:rsid w:val="00E01895"/>
    <w:rsid w:val="00E01B33"/>
    <w:rsid w:val="00E01E9A"/>
    <w:rsid w:val="00E0455C"/>
    <w:rsid w:val="00E04E09"/>
    <w:rsid w:val="00E06297"/>
    <w:rsid w:val="00E0665A"/>
    <w:rsid w:val="00E1086B"/>
    <w:rsid w:val="00E1388A"/>
    <w:rsid w:val="00E169CD"/>
    <w:rsid w:val="00E16F57"/>
    <w:rsid w:val="00E178BC"/>
    <w:rsid w:val="00E17AC8"/>
    <w:rsid w:val="00E2111B"/>
    <w:rsid w:val="00E212BD"/>
    <w:rsid w:val="00E216CE"/>
    <w:rsid w:val="00E239BA"/>
    <w:rsid w:val="00E248B2"/>
    <w:rsid w:val="00E24A45"/>
    <w:rsid w:val="00E25024"/>
    <w:rsid w:val="00E256E3"/>
    <w:rsid w:val="00E25BAD"/>
    <w:rsid w:val="00E260DB"/>
    <w:rsid w:val="00E265C8"/>
    <w:rsid w:val="00E26A03"/>
    <w:rsid w:val="00E277E0"/>
    <w:rsid w:val="00E27A57"/>
    <w:rsid w:val="00E30CC3"/>
    <w:rsid w:val="00E318DD"/>
    <w:rsid w:val="00E33BB2"/>
    <w:rsid w:val="00E344AC"/>
    <w:rsid w:val="00E3477A"/>
    <w:rsid w:val="00E35612"/>
    <w:rsid w:val="00E3568A"/>
    <w:rsid w:val="00E36CBE"/>
    <w:rsid w:val="00E40193"/>
    <w:rsid w:val="00E40A41"/>
    <w:rsid w:val="00E41E76"/>
    <w:rsid w:val="00E4220D"/>
    <w:rsid w:val="00E424C1"/>
    <w:rsid w:val="00E44290"/>
    <w:rsid w:val="00E455DB"/>
    <w:rsid w:val="00E45964"/>
    <w:rsid w:val="00E47F9D"/>
    <w:rsid w:val="00E50555"/>
    <w:rsid w:val="00E5092A"/>
    <w:rsid w:val="00E54657"/>
    <w:rsid w:val="00E54F93"/>
    <w:rsid w:val="00E55138"/>
    <w:rsid w:val="00E561A7"/>
    <w:rsid w:val="00E576A8"/>
    <w:rsid w:val="00E63D1C"/>
    <w:rsid w:val="00E6597D"/>
    <w:rsid w:val="00E66532"/>
    <w:rsid w:val="00E67515"/>
    <w:rsid w:val="00E676DC"/>
    <w:rsid w:val="00E70E87"/>
    <w:rsid w:val="00E71C97"/>
    <w:rsid w:val="00E72BD3"/>
    <w:rsid w:val="00E750A8"/>
    <w:rsid w:val="00E75DCC"/>
    <w:rsid w:val="00E76942"/>
    <w:rsid w:val="00E77269"/>
    <w:rsid w:val="00E8022F"/>
    <w:rsid w:val="00E8126A"/>
    <w:rsid w:val="00E821ED"/>
    <w:rsid w:val="00E822B8"/>
    <w:rsid w:val="00E8435C"/>
    <w:rsid w:val="00E85340"/>
    <w:rsid w:val="00E85ED0"/>
    <w:rsid w:val="00E85FC6"/>
    <w:rsid w:val="00E86B4D"/>
    <w:rsid w:val="00E87003"/>
    <w:rsid w:val="00E8708C"/>
    <w:rsid w:val="00E92B9E"/>
    <w:rsid w:val="00E92F5E"/>
    <w:rsid w:val="00E932E7"/>
    <w:rsid w:val="00E934C3"/>
    <w:rsid w:val="00E96785"/>
    <w:rsid w:val="00EA078F"/>
    <w:rsid w:val="00EA0E16"/>
    <w:rsid w:val="00EA153D"/>
    <w:rsid w:val="00EA1F1D"/>
    <w:rsid w:val="00EA20A9"/>
    <w:rsid w:val="00EA3C70"/>
    <w:rsid w:val="00EA3C93"/>
    <w:rsid w:val="00EA3F3F"/>
    <w:rsid w:val="00EA4661"/>
    <w:rsid w:val="00EA4C79"/>
    <w:rsid w:val="00EA4D42"/>
    <w:rsid w:val="00EA565E"/>
    <w:rsid w:val="00EA6A1B"/>
    <w:rsid w:val="00EB11AF"/>
    <w:rsid w:val="00EB2040"/>
    <w:rsid w:val="00EB2C4A"/>
    <w:rsid w:val="00EB4346"/>
    <w:rsid w:val="00EB488E"/>
    <w:rsid w:val="00EB50BE"/>
    <w:rsid w:val="00EB5112"/>
    <w:rsid w:val="00EB511C"/>
    <w:rsid w:val="00EB567F"/>
    <w:rsid w:val="00EB66E0"/>
    <w:rsid w:val="00EB7478"/>
    <w:rsid w:val="00EC088A"/>
    <w:rsid w:val="00EC2FE7"/>
    <w:rsid w:val="00EC3383"/>
    <w:rsid w:val="00EC44AF"/>
    <w:rsid w:val="00EC4D1D"/>
    <w:rsid w:val="00EC5883"/>
    <w:rsid w:val="00EC5D3C"/>
    <w:rsid w:val="00EC5D8C"/>
    <w:rsid w:val="00EC6B01"/>
    <w:rsid w:val="00EC6D0F"/>
    <w:rsid w:val="00EC766B"/>
    <w:rsid w:val="00ED08F6"/>
    <w:rsid w:val="00ED0A88"/>
    <w:rsid w:val="00ED133F"/>
    <w:rsid w:val="00ED1F42"/>
    <w:rsid w:val="00ED1FA5"/>
    <w:rsid w:val="00ED23FA"/>
    <w:rsid w:val="00ED2E41"/>
    <w:rsid w:val="00ED3018"/>
    <w:rsid w:val="00ED317D"/>
    <w:rsid w:val="00ED3B71"/>
    <w:rsid w:val="00ED467D"/>
    <w:rsid w:val="00ED4918"/>
    <w:rsid w:val="00ED52B8"/>
    <w:rsid w:val="00ED56F1"/>
    <w:rsid w:val="00ED5A36"/>
    <w:rsid w:val="00EE0533"/>
    <w:rsid w:val="00EE1829"/>
    <w:rsid w:val="00EE1E80"/>
    <w:rsid w:val="00EE22EE"/>
    <w:rsid w:val="00EE253A"/>
    <w:rsid w:val="00EE3E8E"/>
    <w:rsid w:val="00EE4B64"/>
    <w:rsid w:val="00EE5444"/>
    <w:rsid w:val="00EE5E7C"/>
    <w:rsid w:val="00EE6125"/>
    <w:rsid w:val="00EE6F5C"/>
    <w:rsid w:val="00EE7C95"/>
    <w:rsid w:val="00EE7E86"/>
    <w:rsid w:val="00EF0154"/>
    <w:rsid w:val="00EF0812"/>
    <w:rsid w:val="00EF0CBB"/>
    <w:rsid w:val="00EF1671"/>
    <w:rsid w:val="00EF20D8"/>
    <w:rsid w:val="00EF25A9"/>
    <w:rsid w:val="00EF2A39"/>
    <w:rsid w:val="00EF3EE6"/>
    <w:rsid w:val="00EF4C27"/>
    <w:rsid w:val="00EF5952"/>
    <w:rsid w:val="00EF6BCF"/>
    <w:rsid w:val="00F003BE"/>
    <w:rsid w:val="00F00C05"/>
    <w:rsid w:val="00F00F6A"/>
    <w:rsid w:val="00F01361"/>
    <w:rsid w:val="00F01CD4"/>
    <w:rsid w:val="00F0382B"/>
    <w:rsid w:val="00F074B7"/>
    <w:rsid w:val="00F0766F"/>
    <w:rsid w:val="00F0775D"/>
    <w:rsid w:val="00F0793A"/>
    <w:rsid w:val="00F11DCC"/>
    <w:rsid w:val="00F1229D"/>
    <w:rsid w:val="00F12877"/>
    <w:rsid w:val="00F1356D"/>
    <w:rsid w:val="00F14DFA"/>
    <w:rsid w:val="00F20C34"/>
    <w:rsid w:val="00F211EC"/>
    <w:rsid w:val="00F21922"/>
    <w:rsid w:val="00F228C3"/>
    <w:rsid w:val="00F24B91"/>
    <w:rsid w:val="00F24E2B"/>
    <w:rsid w:val="00F24E32"/>
    <w:rsid w:val="00F310FA"/>
    <w:rsid w:val="00F317D1"/>
    <w:rsid w:val="00F337AC"/>
    <w:rsid w:val="00F33B7F"/>
    <w:rsid w:val="00F33C75"/>
    <w:rsid w:val="00F34293"/>
    <w:rsid w:val="00F40B4E"/>
    <w:rsid w:val="00F41D68"/>
    <w:rsid w:val="00F424C3"/>
    <w:rsid w:val="00F4416D"/>
    <w:rsid w:val="00F44C1E"/>
    <w:rsid w:val="00F45147"/>
    <w:rsid w:val="00F454C1"/>
    <w:rsid w:val="00F459EA"/>
    <w:rsid w:val="00F46858"/>
    <w:rsid w:val="00F46CB7"/>
    <w:rsid w:val="00F47702"/>
    <w:rsid w:val="00F52880"/>
    <w:rsid w:val="00F52FF5"/>
    <w:rsid w:val="00F531ED"/>
    <w:rsid w:val="00F5375C"/>
    <w:rsid w:val="00F53EB1"/>
    <w:rsid w:val="00F53F76"/>
    <w:rsid w:val="00F5446B"/>
    <w:rsid w:val="00F54FE5"/>
    <w:rsid w:val="00F56CA3"/>
    <w:rsid w:val="00F573B9"/>
    <w:rsid w:val="00F60F48"/>
    <w:rsid w:val="00F6206D"/>
    <w:rsid w:val="00F626F0"/>
    <w:rsid w:val="00F629AA"/>
    <w:rsid w:val="00F6344D"/>
    <w:rsid w:val="00F65B52"/>
    <w:rsid w:val="00F66D57"/>
    <w:rsid w:val="00F70FC9"/>
    <w:rsid w:val="00F75F90"/>
    <w:rsid w:val="00F81A63"/>
    <w:rsid w:val="00F82D8C"/>
    <w:rsid w:val="00F8308C"/>
    <w:rsid w:val="00F836D9"/>
    <w:rsid w:val="00F84A05"/>
    <w:rsid w:val="00F84F15"/>
    <w:rsid w:val="00F864C5"/>
    <w:rsid w:val="00F87312"/>
    <w:rsid w:val="00F90211"/>
    <w:rsid w:val="00F91ADF"/>
    <w:rsid w:val="00F91E3F"/>
    <w:rsid w:val="00F930C5"/>
    <w:rsid w:val="00F950DC"/>
    <w:rsid w:val="00F958B3"/>
    <w:rsid w:val="00F96B1B"/>
    <w:rsid w:val="00F972C7"/>
    <w:rsid w:val="00F97793"/>
    <w:rsid w:val="00FA317E"/>
    <w:rsid w:val="00FA37F5"/>
    <w:rsid w:val="00FA451B"/>
    <w:rsid w:val="00FA55FD"/>
    <w:rsid w:val="00FA63ED"/>
    <w:rsid w:val="00FA6622"/>
    <w:rsid w:val="00FA7182"/>
    <w:rsid w:val="00FB0622"/>
    <w:rsid w:val="00FB1061"/>
    <w:rsid w:val="00FB1F1B"/>
    <w:rsid w:val="00FB3077"/>
    <w:rsid w:val="00FB4B1A"/>
    <w:rsid w:val="00FB4E34"/>
    <w:rsid w:val="00FB4E65"/>
    <w:rsid w:val="00FB6139"/>
    <w:rsid w:val="00FB6B1B"/>
    <w:rsid w:val="00FB6E61"/>
    <w:rsid w:val="00FB7B52"/>
    <w:rsid w:val="00FC2B5D"/>
    <w:rsid w:val="00FC328A"/>
    <w:rsid w:val="00FC32EA"/>
    <w:rsid w:val="00FC3847"/>
    <w:rsid w:val="00FC405D"/>
    <w:rsid w:val="00FC4489"/>
    <w:rsid w:val="00FC4DEE"/>
    <w:rsid w:val="00FC7CD1"/>
    <w:rsid w:val="00FD0C58"/>
    <w:rsid w:val="00FD1FFC"/>
    <w:rsid w:val="00FD3D41"/>
    <w:rsid w:val="00FD434E"/>
    <w:rsid w:val="00FD49B2"/>
    <w:rsid w:val="00FD49F1"/>
    <w:rsid w:val="00FD5DED"/>
    <w:rsid w:val="00FD5E6B"/>
    <w:rsid w:val="00FE0BA1"/>
    <w:rsid w:val="00FE0DC9"/>
    <w:rsid w:val="00FE38FA"/>
    <w:rsid w:val="00FE3D3E"/>
    <w:rsid w:val="00FE4516"/>
    <w:rsid w:val="00FE541E"/>
    <w:rsid w:val="00FE64E8"/>
    <w:rsid w:val="00FE6B21"/>
    <w:rsid w:val="00FF03E4"/>
    <w:rsid w:val="00FF06D6"/>
    <w:rsid w:val="00FF0DF1"/>
    <w:rsid w:val="00FF1562"/>
    <w:rsid w:val="00FF15F7"/>
    <w:rsid w:val="00FF1ABA"/>
    <w:rsid w:val="00FF2EC0"/>
    <w:rsid w:val="00FF30A4"/>
    <w:rsid w:val="00FF4070"/>
    <w:rsid w:val="00FF4075"/>
    <w:rsid w:val="00FF4EA9"/>
    <w:rsid w:val="00FF4FE7"/>
    <w:rsid w:val="00FF5678"/>
    <w:rsid w:val="00FF56DA"/>
    <w:rsid w:val="00FF5CFC"/>
    <w:rsid w:val="00FF779D"/>
    <w:rsid w:val="00FF7E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7618"/>
  <w15:chartTrackingRefBased/>
  <w15:docId w15:val="{F02A5616-78AF-441C-B38B-9B5A091C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E0C"/>
  </w:style>
  <w:style w:type="paragraph" w:styleId="Heading1">
    <w:name w:val="heading 1"/>
    <w:basedOn w:val="Normal"/>
    <w:next w:val="Normal"/>
    <w:link w:val="Heading1Char"/>
    <w:uiPriority w:val="9"/>
    <w:qFormat/>
    <w:rsid w:val="00DB6E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E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E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E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E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E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E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E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E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E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E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E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E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E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E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E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E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E0C"/>
    <w:rPr>
      <w:rFonts w:eastAsiaTheme="majorEastAsia" w:cstheme="majorBidi"/>
      <w:color w:val="272727" w:themeColor="text1" w:themeTint="D8"/>
    </w:rPr>
  </w:style>
  <w:style w:type="paragraph" w:styleId="Title">
    <w:name w:val="Title"/>
    <w:basedOn w:val="Normal"/>
    <w:next w:val="Normal"/>
    <w:link w:val="TitleChar"/>
    <w:uiPriority w:val="10"/>
    <w:qFormat/>
    <w:rsid w:val="00DB6E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E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E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E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E0C"/>
    <w:pPr>
      <w:spacing w:before="160"/>
      <w:jc w:val="center"/>
    </w:pPr>
    <w:rPr>
      <w:i/>
      <w:iCs/>
      <w:color w:val="404040" w:themeColor="text1" w:themeTint="BF"/>
    </w:rPr>
  </w:style>
  <w:style w:type="character" w:customStyle="1" w:styleId="QuoteChar">
    <w:name w:val="Quote Char"/>
    <w:basedOn w:val="DefaultParagraphFont"/>
    <w:link w:val="Quote"/>
    <w:uiPriority w:val="29"/>
    <w:rsid w:val="00DB6E0C"/>
    <w:rPr>
      <w:i/>
      <w:iCs/>
      <w:color w:val="404040" w:themeColor="text1" w:themeTint="BF"/>
    </w:rPr>
  </w:style>
  <w:style w:type="paragraph" w:styleId="ListParagraph">
    <w:name w:val="List Paragraph"/>
    <w:basedOn w:val="Normal"/>
    <w:uiPriority w:val="34"/>
    <w:qFormat/>
    <w:rsid w:val="00DB6E0C"/>
    <w:pPr>
      <w:ind w:left="720"/>
      <w:contextualSpacing/>
    </w:pPr>
  </w:style>
  <w:style w:type="character" w:styleId="IntenseEmphasis">
    <w:name w:val="Intense Emphasis"/>
    <w:basedOn w:val="DefaultParagraphFont"/>
    <w:uiPriority w:val="21"/>
    <w:qFormat/>
    <w:rsid w:val="00DB6E0C"/>
    <w:rPr>
      <w:i/>
      <w:iCs/>
      <w:color w:val="0F4761" w:themeColor="accent1" w:themeShade="BF"/>
    </w:rPr>
  </w:style>
  <w:style w:type="paragraph" w:styleId="IntenseQuote">
    <w:name w:val="Intense Quote"/>
    <w:basedOn w:val="Normal"/>
    <w:next w:val="Normal"/>
    <w:link w:val="IntenseQuoteChar"/>
    <w:uiPriority w:val="30"/>
    <w:qFormat/>
    <w:rsid w:val="00DB6E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E0C"/>
    <w:rPr>
      <w:i/>
      <w:iCs/>
      <w:color w:val="0F4761" w:themeColor="accent1" w:themeShade="BF"/>
    </w:rPr>
  </w:style>
  <w:style w:type="character" w:styleId="IntenseReference">
    <w:name w:val="Intense Reference"/>
    <w:basedOn w:val="DefaultParagraphFont"/>
    <w:uiPriority w:val="32"/>
    <w:qFormat/>
    <w:rsid w:val="00DB6E0C"/>
    <w:rPr>
      <w:b/>
      <w:bCs/>
      <w:smallCaps/>
      <w:color w:val="0F4761" w:themeColor="accent1" w:themeShade="BF"/>
      <w:spacing w:val="5"/>
    </w:rPr>
  </w:style>
  <w:style w:type="character" w:styleId="Hyperlink">
    <w:name w:val="Hyperlink"/>
    <w:basedOn w:val="DefaultParagraphFont"/>
    <w:uiPriority w:val="99"/>
    <w:unhideWhenUsed/>
    <w:rsid w:val="005902DC"/>
    <w:rPr>
      <w:color w:val="467886" w:themeColor="hyperlink"/>
      <w:u w:val="single"/>
    </w:rPr>
  </w:style>
  <w:style w:type="character" w:styleId="UnresolvedMention">
    <w:name w:val="Unresolved Mention"/>
    <w:basedOn w:val="DefaultParagraphFont"/>
    <w:uiPriority w:val="99"/>
    <w:semiHidden/>
    <w:unhideWhenUsed/>
    <w:rsid w:val="005902DC"/>
    <w:rPr>
      <w:color w:val="605E5C"/>
      <w:shd w:val="clear" w:color="auto" w:fill="E1DFDD"/>
    </w:rPr>
  </w:style>
  <w:style w:type="character" w:styleId="Emphasis">
    <w:name w:val="Emphasis"/>
    <w:basedOn w:val="DefaultParagraphFont"/>
    <w:uiPriority w:val="20"/>
    <w:qFormat/>
    <w:rsid w:val="00390C5F"/>
    <w:rPr>
      <w:i/>
      <w:iCs/>
    </w:rPr>
  </w:style>
  <w:style w:type="paragraph" w:styleId="EndnoteText">
    <w:name w:val="endnote text"/>
    <w:basedOn w:val="Normal"/>
    <w:link w:val="EndnoteTextChar"/>
    <w:uiPriority w:val="99"/>
    <w:semiHidden/>
    <w:unhideWhenUsed/>
    <w:rsid w:val="00CC73B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73BB"/>
    <w:rPr>
      <w:sz w:val="20"/>
      <w:szCs w:val="20"/>
    </w:rPr>
  </w:style>
  <w:style w:type="character" w:styleId="EndnoteReference">
    <w:name w:val="endnote reference"/>
    <w:basedOn w:val="DefaultParagraphFont"/>
    <w:uiPriority w:val="99"/>
    <w:semiHidden/>
    <w:unhideWhenUsed/>
    <w:rsid w:val="00CC73BB"/>
    <w:rPr>
      <w:vertAlign w:val="superscript"/>
    </w:rPr>
  </w:style>
  <w:style w:type="table" w:styleId="TableGrid">
    <w:name w:val="Table Grid"/>
    <w:basedOn w:val="TableNormal"/>
    <w:uiPriority w:val="39"/>
    <w:rsid w:val="00184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627B7"/>
    <w:rPr>
      <w:rFonts w:ascii="Times New Roman" w:hAnsi="Times New Roman" w:cs="Times New Roman"/>
    </w:rPr>
  </w:style>
  <w:style w:type="character" w:styleId="Strong">
    <w:name w:val="Strong"/>
    <w:basedOn w:val="DefaultParagraphFont"/>
    <w:uiPriority w:val="22"/>
    <w:qFormat/>
    <w:rsid w:val="00342E8D"/>
    <w:rPr>
      <w:b/>
      <w:bCs/>
    </w:rPr>
  </w:style>
  <w:style w:type="paragraph" w:customStyle="1" w:styleId="Default">
    <w:name w:val="Default"/>
    <w:rsid w:val="00FE4516"/>
    <w:pPr>
      <w:autoSpaceDE w:val="0"/>
      <w:autoSpaceDN w:val="0"/>
      <w:adjustRightInd w:val="0"/>
      <w:spacing w:after="0" w:line="240" w:lineRule="auto"/>
    </w:pPr>
    <w:rPr>
      <w:rFonts w:ascii="Times New Roman" w:hAnsi="Times New Roman" w:cs="Times New Roman"/>
      <w:color w:val="000000"/>
      <w:kern w:val="0"/>
    </w:rPr>
  </w:style>
  <w:style w:type="paragraph" w:styleId="Header">
    <w:name w:val="header"/>
    <w:basedOn w:val="Normal"/>
    <w:link w:val="HeaderChar"/>
    <w:uiPriority w:val="99"/>
    <w:unhideWhenUsed/>
    <w:rsid w:val="005E4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FD6"/>
  </w:style>
  <w:style w:type="paragraph" w:styleId="Footer">
    <w:name w:val="footer"/>
    <w:basedOn w:val="Normal"/>
    <w:link w:val="FooterChar"/>
    <w:uiPriority w:val="99"/>
    <w:unhideWhenUsed/>
    <w:rsid w:val="005E4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63125/k7tgr183" TargetMode="External"/><Relationship Id="rId18" Type="http://schemas.openxmlformats.org/officeDocument/2006/relationships/hyperlink" Target="https://doi.org/10.24123/jeb.v6i1.7212" TargetMode="External"/><Relationship Id="rId26" Type="http://schemas.openxmlformats.org/officeDocument/2006/relationships/hyperlink" Target="https://doi.org/10.1016/j.heliyon.2024.e32302" TargetMode="External"/><Relationship Id="rId39" Type="http://schemas.openxmlformats.org/officeDocument/2006/relationships/hyperlink" Target="https://doi.org/10.47772/IJRISS.2025.910000018" TargetMode="External"/><Relationship Id="rId21" Type="http://schemas.openxmlformats.org/officeDocument/2006/relationships/hyperlink" Target="https://doi.org/10.54560/jracr.v14i4.555" TargetMode="External"/><Relationship Id="rId34" Type="http://schemas.openxmlformats.org/officeDocument/2006/relationships/hyperlink" Target="https://doi.org/10.3390/su15086625" TargetMode="External"/><Relationship Id="rId42" Type="http://schemas.openxmlformats.org/officeDocument/2006/relationships/hyperlink" Target="https://doi.org/10.51594/gjabr.v6i2.55" TargetMode="External"/><Relationship Id="rId47" Type="http://schemas.openxmlformats.org/officeDocument/2006/relationships/hyperlink" Target="https://doi.org/10.3390/su12093733" TargetMode="External"/><Relationship Id="rId50" Type="http://schemas.openxmlformats.org/officeDocument/2006/relationships/hyperlink" Target="https://doi.org/10.1016/j.ribaf.2024.102242"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0270-019-00739-8" TargetMode="External"/><Relationship Id="rId29" Type="http://schemas.openxmlformats.org/officeDocument/2006/relationships/hyperlink" Target="https://doi.org/10.33545/26175754.2025.v8.i2e.568" TargetMode="External"/><Relationship Id="rId11" Type="http://schemas.openxmlformats.org/officeDocument/2006/relationships/hyperlink" Target="https://doi.org/10.51583/IJLTEMAS.2025.1410000083" TargetMode="External"/><Relationship Id="rId24" Type="http://schemas.openxmlformats.org/officeDocument/2006/relationships/hyperlink" Target="http://dx.doi.org/10.12775/CJFA.2020.002" TargetMode="External"/><Relationship Id="rId32" Type="http://schemas.openxmlformats.org/officeDocument/2006/relationships/hyperlink" Target="https://doi.org/10.1007/s11135-024-02037-y" TargetMode="External"/><Relationship Id="rId37" Type="http://schemas.openxmlformats.org/officeDocument/2006/relationships/hyperlink" Target="https://ssrn.com/abstract=3796896" TargetMode="External"/><Relationship Id="rId40" Type="http://schemas.openxmlformats.org/officeDocument/2006/relationships/hyperlink" Target="https://doi.org/10.1007/s43621-025-01916-0" TargetMode="External"/><Relationship Id="rId45" Type="http://schemas.openxmlformats.org/officeDocument/2006/relationships/hyperlink" Target="https://doi.org/10.1007/s43621-021-00066-3" TargetMode="External"/><Relationship Id="rId53" Type="http://schemas.openxmlformats.org/officeDocument/2006/relationships/hyperlink" Target="https://doi.org/10.1016/j.jik.2024.100609" TargetMode="External"/><Relationship Id="rId5" Type="http://schemas.openxmlformats.org/officeDocument/2006/relationships/webSettings" Target="webSettings.xml"/><Relationship Id="rId19" Type="http://schemas.openxmlformats.org/officeDocument/2006/relationships/hyperlink" Target="https://doi.org/10.3390/su14127410" TargetMode="External"/><Relationship Id="rId4" Type="http://schemas.openxmlformats.org/officeDocument/2006/relationships/settings" Target="settings.xml"/><Relationship Id="rId9" Type="http://schemas.openxmlformats.org/officeDocument/2006/relationships/hyperlink" Target="https://doi.org/10.1016/j.ribaf.2024.102376" TargetMode="External"/><Relationship Id="rId14" Type="http://schemas.openxmlformats.org/officeDocument/2006/relationships/hyperlink" Target="https://doi.org/10.1177/21582440221095046" TargetMode="External"/><Relationship Id="rId22" Type="http://schemas.openxmlformats.org/officeDocument/2006/relationships/hyperlink" Target="https://doi.org/10.1016/j.digbus.2023.100067" TargetMode="External"/><Relationship Id="rId27" Type="http://schemas.openxmlformats.org/officeDocument/2006/relationships/hyperlink" Target="https://doi.org/10.26661/2522-1566/2026-1/35-01" TargetMode="External"/><Relationship Id="rId30" Type="http://schemas.openxmlformats.org/officeDocument/2006/relationships/hyperlink" Target="https://doi.org/10.51594/gjabr.v6i2.55" TargetMode="External"/><Relationship Id="rId35" Type="http://schemas.openxmlformats.org/officeDocument/2006/relationships/hyperlink" Target="https://doi.org/10.1016/j.jclepro.2020.125217" TargetMode="External"/><Relationship Id="rId43" Type="http://schemas.openxmlformats.org/officeDocument/2006/relationships/hyperlink" Target="https://doi.org/10.4236/jfrm.2023.121007" TargetMode="External"/><Relationship Id="rId48" Type="http://schemas.openxmlformats.org/officeDocument/2006/relationships/hyperlink" Target="https://doi.org/10.53819/81018102t5385"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80/23311975.2021.1938347" TargetMode="External"/><Relationship Id="rId3" Type="http://schemas.openxmlformats.org/officeDocument/2006/relationships/styles" Target="styles.xml"/><Relationship Id="rId12" Type="http://schemas.openxmlformats.org/officeDocument/2006/relationships/hyperlink" Target="https://doi.org/10.1016/j.jclepro.2025.144830" TargetMode="External"/><Relationship Id="rId17" Type="http://schemas.openxmlformats.org/officeDocument/2006/relationships/hyperlink" Target="https://doi.org/10.1093/femsle/fny204" TargetMode="External"/><Relationship Id="rId25" Type="http://schemas.openxmlformats.org/officeDocument/2006/relationships/hyperlink" Target="https://doi.org/10.62270/jirms.v6i2.99" TargetMode="External"/><Relationship Id="rId33" Type="http://schemas.openxmlformats.org/officeDocument/2006/relationships/hyperlink" Target="https://doi.org/10.9734/air/2025/v26i41401" TargetMode="External"/><Relationship Id="rId38" Type="http://schemas.openxmlformats.org/officeDocument/2006/relationships/hyperlink" Target="https://doi.org/10.1016/j.irfa.2025.104074" TargetMode="External"/><Relationship Id="rId46" Type="http://schemas.openxmlformats.org/officeDocument/2006/relationships/hyperlink" Target="https://doi.org/10.1016/j.frl.2025.109079" TargetMode="External"/><Relationship Id="rId20" Type="http://schemas.openxmlformats.org/officeDocument/2006/relationships/hyperlink" Target="https://doi.org/10.5296/jebi.v8i2.19115" TargetMode="External"/><Relationship Id="rId41" Type="http://schemas.openxmlformats.org/officeDocument/2006/relationships/hyperlink" Target="https://doi.org/10.30574/ijsra.2021.4.1.0211" TargetMode="External"/><Relationship Id="rId54" Type="http://schemas.openxmlformats.org/officeDocument/2006/relationships/hyperlink" Target="https://doi.org/10.1186/s43093-025-00458-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5446/dyna.v91n233.113699" TargetMode="External"/><Relationship Id="rId23" Type="http://schemas.openxmlformats.org/officeDocument/2006/relationships/hyperlink" Target="https://doi.org/10.11648/j.ijdsa.20241002.11" TargetMode="External"/><Relationship Id="rId28" Type="http://schemas.openxmlformats.org/officeDocument/2006/relationships/hyperlink" Target="https://doi.org/10.33545/26179210.2025.v8.i2.609" TargetMode="External"/><Relationship Id="rId36" Type="http://schemas.openxmlformats.org/officeDocument/2006/relationships/hyperlink" Target="https://doi.org/10.1108/RAF-09-2025-0328" TargetMode="External"/><Relationship Id="rId49" Type="http://schemas.openxmlformats.org/officeDocument/2006/relationships/hyperlink" Target="https://doi.org/10.47260/jafb/1146" TargetMode="External"/><Relationship Id="rId57" Type="http://schemas.openxmlformats.org/officeDocument/2006/relationships/theme" Target="theme/theme1.xml"/><Relationship Id="rId10" Type="http://schemas.openxmlformats.org/officeDocument/2006/relationships/hyperlink" Target="https://www.worldbank.org" TargetMode="External"/><Relationship Id="rId31" Type="http://schemas.openxmlformats.org/officeDocument/2006/relationships/hyperlink" Target="https://doi.org/10.2478/eoik-2024-0031" TargetMode="External"/><Relationship Id="rId44" Type="http://schemas.openxmlformats.org/officeDocument/2006/relationships/hyperlink" Target="https://doi.org/10.3390/admsci15080323" TargetMode="External"/><Relationship Id="rId52" Type="http://schemas.openxmlformats.org/officeDocument/2006/relationships/hyperlink" Target="https://doi.org/10.1016/j.jbusres.2023.1139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08B09-B939-459E-87F6-8A9BA8C95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61</Pages>
  <Words>18879</Words>
  <Characters>107615</Characters>
  <Application>Microsoft Office Word</Application>
  <DocSecurity>0</DocSecurity>
  <Lines>896</Lines>
  <Paragraphs>252</Paragraphs>
  <ScaleCrop>false</ScaleCrop>
  <Company/>
  <LinksUpToDate>false</LinksUpToDate>
  <CharactersWithSpaces>126242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Habiba</dc:creator>
  <cp:keywords/>
  <dc:description/>
  <cp:lastModifiedBy>Ahmad Habiba</cp:lastModifiedBy>
  <cp:revision>6</cp:revision>
  <dcterms:created xsi:type="dcterms:W3CDTF">2026-04-20T23:14:00Z</dcterms:created>
  <dcterms:modified xsi:type="dcterms:W3CDTF">2026-04-20T23:14:00Z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d0e809f7-8ab4-4036-970b-2c394d480294</vt:lpwstr>
  </property>
</Properties>
</file>