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stylesWithEffects.xml" ContentType="application/vnd.ms-word.stylesWithEffects+xml"/>
  <Override PartName="/word/theme/theme1.xml" ContentType="application/vnd.openxmlformats-officedocument.theme+xml"/>
  <Override PartName="/word/webSettings.xml" ContentType="application/vnd.openxmlformats-officedocument.wordprocessingml.webSetting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xmlns:wp14="http://schemas.microsoft.com/office/word/2010/wordml" w14:paraId="2FDA8FF2" wp14:textId="77777777">
      <w:pPr>
        <w:jc w:val="center"/>
      </w:pPr>
      <w:r>
        <w:rPr>
          <w:b/>
          <w:sz w:val="56"/>
        </w:rPr>
        <w:t>PERFORMANCE MANAGEMENT AT</w:t>
      </w:r>
      <w:r>
        <w:rPr>
          <w:b/>
          <w:sz w:val="56"/>
        </w:rPr>
        <w:br/>
      </w:r>
      <w:r>
        <w:rPr>
          <w:b/>
          <w:sz w:val="56"/>
        </w:rPr>
        <w:t>BRIGHTWAVE SERVICES LTD</w:t>
      </w:r>
    </w:p>
    <w:p xmlns:wp14="http://schemas.microsoft.com/office/word/2010/wordml" w14:paraId="672A6659" wp14:textId="77777777"/>
    <w:p xmlns:wp14="http://schemas.microsoft.com/office/word/2010/wordml" w:rsidP="6F53E6DE" w14:paraId="375E5F0D" wp14:textId="482B58AF">
      <w:pPr>
        <w:spacing w:before="120" w:after="12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6F53E6DE" w:rsidR="6F53E6DE">
        <w:rPr>
          <w:sz w:val="28"/>
          <w:szCs w:val="28"/>
        </w:rPr>
        <w:t xml:space="preserve">Module </w:t>
      </w:r>
      <w:r w:rsidRPr="6F53E6DE" w:rsidR="6F53E6DE">
        <w:rPr>
          <w:sz w:val="28"/>
          <w:szCs w:val="28"/>
        </w:rPr>
        <w:t>Name :</w:t>
      </w:r>
      <w:r w:rsidRPr="6F53E6DE" w:rsidR="6F53E6DE">
        <w:rPr>
          <w:sz w:val="28"/>
          <w:szCs w:val="28"/>
        </w:rPr>
        <w:t xml:space="preserve"> </w:t>
      </w:r>
      <w:r w:rsidRPr="6F53E6DE" w:rsidR="6F53E6DE">
        <w:rPr>
          <w:rFonts w:ascii="Arial" w:hAnsi="Arial" w:eastAsia="Arial" w:cs="Arial"/>
          <w:b w:val="0"/>
          <w:bCs w:val="0"/>
          <w:i w:val="0"/>
          <w:iCs w:val="0"/>
          <w:caps w:val="0"/>
          <w:smallCaps w:val="0"/>
          <w:noProof w:val="0"/>
          <w:color w:val="000000" w:themeColor="text1" w:themeTint="FF" w:themeShade="FF"/>
          <w:sz w:val="22"/>
          <w:szCs w:val="22"/>
          <w:lang w:val="en-GB"/>
        </w:rPr>
        <w:t>People Management</w:t>
      </w:r>
    </w:p>
    <w:p xmlns:wp14="http://schemas.microsoft.com/office/word/2010/wordml" w:rsidP="6F53E6DE" w14:paraId="18079FF6" wp14:textId="7CBEB6D4">
      <w:pPr>
        <w:jc w:val="center"/>
        <w:rPr>
          <w:sz w:val="28"/>
          <w:szCs w:val="28"/>
        </w:rPr>
      </w:pPr>
    </w:p>
    <w:p xmlns:wp14="http://schemas.microsoft.com/office/word/2010/wordml" w14:paraId="0A37501D" wp14:textId="77777777"/>
    <w:p xmlns:wp14="http://schemas.microsoft.com/office/word/2010/wordml" w14:paraId="5DAB6C7B" wp14:textId="77777777"/>
    <w:p xmlns:wp14="http://schemas.microsoft.com/office/word/2010/wordml" w14:paraId="02EB378F" wp14:textId="77777777"/>
    <w:p xmlns:wp14="http://schemas.microsoft.com/office/word/2010/wordml" w14:paraId="6A05A809" wp14:textId="77777777"/>
    <w:p xmlns:wp14="http://schemas.microsoft.com/office/word/2010/wordml" w14:paraId="5A39BBE3" wp14:textId="77777777"/>
    <w:p xmlns:wp14="http://schemas.microsoft.com/office/word/2010/wordml" w14:paraId="41C8F396" wp14:textId="77777777"/>
    <w:p xmlns:wp14="http://schemas.microsoft.com/office/word/2010/wordml" w14:paraId="72A3D3EC" wp14:textId="77777777"/>
    <w:p xmlns:wp14="http://schemas.microsoft.com/office/word/2010/wordml" w14:paraId="0D0B940D" wp14:textId="77777777"/>
    <w:p xmlns:wp14="http://schemas.microsoft.com/office/word/2010/wordml" w14:paraId="0E27B00A" wp14:textId="77777777"/>
    <w:p xmlns:wp14="http://schemas.microsoft.com/office/word/2010/wordml" w14:paraId="60061E4C" wp14:textId="77777777"/>
    <w:p xmlns:wp14="http://schemas.microsoft.com/office/word/2010/wordml" w14:paraId="44EAFD9C" wp14:textId="77777777"/>
    <w:p xmlns:wp14="http://schemas.microsoft.com/office/word/2010/wordml" w14:paraId="4B94D5A5" wp14:textId="77777777"/>
    <w:p xmlns:wp14="http://schemas.microsoft.com/office/word/2010/wordml" w:rsidP="6F53E6DE" w14:paraId="72B6B10C" wp14:textId="2F58DB17">
      <w:pPr>
        <w:jc w:val="right"/>
        <w:rPr>
          <w:rFonts w:ascii="Arial" w:hAnsi="Arial" w:eastAsia="Arial" w:cs="Arial"/>
          <w:sz w:val="24"/>
          <w:szCs w:val="24"/>
        </w:rPr>
      </w:pPr>
      <w:r w:rsidRPr="6F53E6DE" w:rsidR="6F53E6DE">
        <w:rPr>
          <w:rFonts w:ascii="Arial" w:hAnsi="Arial" w:eastAsia="Arial" w:cs="Arial"/>
          <w:sz w:val="24"/>
          <w:szCs w:val="24"/>
        </w:rPr>
        <w:t>Student Name: Daniel-Mihai Naica</w:t>
      </w:r>
      <w:r>
        <w:br/>
      </w:r>
      <w:r w:rsidRPr="6F53E6DE" w:rsidR="6F53E6DE">
        <w:rPr>
          <w:rFonts w:ascii="Arial" w:hAnsi="Arial" w:eastAsia="Arial" w:cs="Arial"/>
          <w:sz w:val="24"/>
          <w:szCs w:val="24"/>
        </w:rPr>
        <w:t>Student ID: 2411629</w:t>
      </w:r>
    </w:p>
    <w:p xmlns:wp14="http://schemas.microsoft.com/office/word/2010/wordml" w14:paraId="3DEEC669" wp14:textId="77777777">
      <w:r>
        <w:br w:type="page"/>
      </w:r>
    </w:p>
    <w:p xmlns:wp14="http://schemas.microsoft.com/office/word/2010/wordml" w14:paraId="2664F4B3" wp14:textId="77777777">
      <w:pPr>
        <w:pStyle w:val="Heading1"/>
        <w:spacing w:before="240" w:after="120"/>
      </w:pPr>
      <w:r>
        <w:t>Executive Summary</w:t>
      </w:r>
    </w:p>
    <w:p xmlns:wp14="http://schemas.microsoft.com/office/word/2010/wordml" w:rsidP="6F53E6DE" w14:paraId="67BBC785" wp14:textId="77777777" wp14:noSpellErr="1">
      <w:pPr>
        <w:spacing w:after="120" w:line="360" w:lineRule="auto"/>
        <w:rPr>
          <w:rFonts w:ascii="Arial" w:hAnsi="Arial" w:eastAsia="Arial" w:cs="Arial"/>
          <w:sz w:val="24"/>
          <w:szCs w:val="24"/>
        </w:rPr>
      </w:pPr>
      <w:r w:rsidRPr="6F53E6DE" w:rsidR="6F53E6DE">
        <w:rPr>
          <w:rFonts w:ascii="Arial" w:hAnsi="Arial" w:eastAsia="Arial" w:cs="Arial"/>
          <w:sz w:val="24"/>
          <w:szCs w:val="24"/>
        </w:rPr>
        <w:t>BrightWave</w:t>
      </w:r>
      <w:r w:rsidRPr="6F53E6DE" w:rsidR="6F53E6DE">
        <w:rPr>
          <w:rFonts w:ascii="Arial" w:hAnsi="Arial" w:eastAsia="Arial" w:cs="Arial"/>
          <w:sz w:val="24"/>
          <w:szCs w:val="24"/>
        </w:rPr>
        <w:t xml:space="preserve"> Services Ltd is a medium-sized facilities management company in South Wales with around 350 staff across building maintenance, cleaning </w:t>
      </w:r>
      <w:r w:rsidRPr="6F53E6DE" w:rsidR="6F53E6DE">
        <w:rPr>
          <w:rFonts w:ascii="Arial" w:hAnsi="Arial" w:eastAsia="Arial" w:cs="Arial"/>
          <w:sz w:val="24"/>
          <w:szCs w:val="24"/>
        </w:rPr>
        <w:t>services</w:t>
      </w:r>
      <w:r w:rsidRPr="6F53E6DE" w:rsidR="6F53E6DE">
        <w:rPr>
          <w:rFonts w:ascii="Arial" w:hAnsi="Arial" w:eastAsia="Arial" w:cs="Arial"/>
          <w:sz w:val="24"/>
          <w:szCs w:val="24"/>
        </w:rPr>
        <w:t xml:space="preserve"> and workplace support. The case study shows that rapid growth has not been matched by strong people management.</w:t>
      </w:r>
    </w:p>
    <w:p xmlns:wp14="http://schemas.microsoft.com/office/word/2010/wordml" w:rsidP="6F53E6DE" w14:paraId="5B1289DA" wp14:textId="77777777" wp14:noSpellErr="1">
      <w:pPr>
        <w:spacing w:after="120" w:line="360" w:lineRule="auto"/>
        <w:rPr>
          <w:rFonts w:ascii="Arial" w:hAnsi="Arial" w:eastAsia="Arial" w:cs="Arial"/>
          <w:sz w:val="24"/>
          <w:szCs w:val="24"/>
        </w:rPr>
      </w:pPr>
      <w:r w:rsidRPr="6F53E6DE" w:rsidR="6F53E6DE">
        <w:rPr>
          <w:rFonts w:ascii="Arial" w:hAnsi="Arial" w:eastAsia="Arial" w:cs="Arial"/>
          <w:sz w:val="24"/>
          <w:szCs w:val="24"/>
        </w:rPr>
        <w:t xml:space="preserve">Supervisors often avoid feedback, underperformance is left unresolved, and staff report unfair workload allocation, low </w:t>
      </w:r>
      <w:r w:rsidRPr="6F53E6DE" w:rsidR="6F53E6DE">
        <w:rPr>
          <w:rFonts w:ascii="Arial" w:hAnsi="Arial" w:eastAsia="Arial" w:cs="Arial"/>
          <w:sz w:val="24"/>
          <w:szCs w:val="24"/>
        </w:rPr>
        <w:t>recognition</w:t>
      </w:r>
      <w:r w:rsidRPr="6F53E6DE" w:rsidR="6F53E6DE">
        <w:rPr>
          <w:rFonts w:ascii="Arial" w:hAnsi="Arial" w:eastAsia="Arial" w:cs="Arial"/>
          <w:sz w:val="24"/>
          <w:szCs w:val="24"/>
        </w:rPr>
        <w:t xml:space="preserve"> and limited development. Annual turnover has reached 28%, particularly in cleaning roles, and client complaints about inconsistent service are rising.</w:t>
      </w:r>
    </w:p>
    <w:p xmlns:wp14="http://schemas.microsoft.com/office/word/2010/wordml" w:rsidP="6F53E6DE" w14:paraId="0ECCBD41" wp14:textId="77777777" wp14:noSpellErr="1">
      <w:pPr>
        <w:spacing w:after="120" w:line="360" w:lineRule="auto"/>
        <w:rPr>
          <w:rFonts w:ascii="Arial" w:hAnsi="Arial" w:eastAsia="Arial" w:cs="Arial"/>
          <w:sz w:val="24"/>
          <w:szCs w:val="24"/>
        </w:rPr>
      </w:pPr>
      <w:r w:rsidRPr="6F53E6DE" w:rsidR="6F53E6DE">
        <w:rPr>
          <w:rFonts w:ascii="Arial" w:hAnsi="Arial" w:eastAsia="Arial" w:cs="Arial"/>
          <w:sz w:val="24"/>
          <w:szCs w:val="24"/>
        </w:rPr>
        <w:t xml:space="preserve">This report explains the roles and skills </w:t>
      </w:r>
      <w:r w:rsidRPr="6F53E6DE" w:rsidR="6F53E6DE">
        <w:rPr>
          <w:rFonts w:ascii="Arial" w:hAnsi="Arial" w:eastAsia="Arial" w:cs="Arial"/>
          <w:sz w:val="24"/>
          <w:szCs w:val="24"/>
        </w:rPr>
        <w:t>BrightWave</w:t>
      </w:r>
      <w:r w:rsidRPr="6F53E6DE" w:rsidR="6F53E6DE">
        <w:rPr>
          <w:rFonts w:ascii="Arial" w:hAnsi="Arial" w:eastAsia="Arial" w:cs="Arial"/>
          <w:sz w:val="24"/>
          <w:szCs w:val="24"/>
        </w:rPr>
        <w:t xml:space="preserve"> managers need to manage performance well and applies people-management theories to diagnose the situation. It recommends a simple, continuous performance approach: clear standards, regular short check-ins, practical coaching, fair handling of </w:t>
      </w:r>
      <w:r w:rsidRPr="6F53E6DE" w:rsidR="6F53E6DE">
        <w:rPr>
          <w:rFonts w:ascii="Arial" w:hAnsi="Arial" w:eastAsia="Arial" w:cs="Arial"/>
          <w:sz w:val="24"/>
          <w:szCs w:val="24"/>
        </w:rPr>
        <w:t>underperformance</w:t>
      </w:r>
      <w:r w:rsidRPr="6F53E6DE" w:rsidR="6F53E6DE">
        <w:rPr>
          <w:rFonts w:ascii="Arial" w:hAnsi="Arial" w:eastAsia="Arial" w:cs="Arial"/>
          <w:sz w:val="24"/>
          <w:szCs w:val="24"/>
        </w:rPr>
        <w:t xml:space="preserve"> and everyday recognition. It also recommends focused line-manager development and adding </w:t>
      </w:r>
      <w:r w:rsidRPr="6F53E6DE" w:rsidR="6F53E6DE">
        <w:rPr>
          <w:rFonts w:ascii="Arial" w:hAnsi="Arial" w:eastAsia="Arial" w:cs="Arial"/>
          <w:sz w:val="24"/>
          <w:szCs w:val="24"/>
        </w:rPr>
        <w:t>people</w:t>
      </w:r>
      <w:r w:rsidRPr="6F53E6DE" w:rsidR="6F53E6DE">
        <w:rPr>
          <w:rFonts w:ascii="Arial" w:hAnsi="Arial" w:eastAsia="Arial" w:cs="Arial"/>
          <w:sz w:val="24"/>
          <w:szCs w:val="24"/>
        </w:rPr>
        <w:t xml:space="preserve"> outcomes (turnover, engagement, completion of check-ins) alongside cost and compliance targets.</w:t>
      </w:r>
    </w:p>
    <w:p xmlns:wp14="http://schemas.microsoft.com/office/word/2010/wordml" w14:paraId="3656B9AB" wp14:textId="77777777">
      <w:r>
        <w:br w:type="page"/>
      </w:r>
    </w:p>
    <w:p xmlns:wp14="http://schemas.microsoft.com/office/word/2010/wordml" w:rsidP="6F53E6DE" w14:paraId="22E0FC93" wp14:textId="77777777" wp14:noSpellErr="1">
      <w:pPr>
        <w:pStyle w:val="Heading1"/>
        <w:spacing w:before="240" w:after="120"/>
        <w:jc w:val="both"/>
        <w:rPr>
          <w:rFonts w:ascii="Arial" w:hAnsi="Arial" w:eastAsia="Arial" w:cs="Arial"/>
          <w:sz w:val="24"/>
          <w:szCs w:val="24"/>
        </w:rPr>
      </w:pPr>
      <w:r w:rsidRPr="6F53E6DE" w:rsidR="6F53E6DE">
        <w:rPr>
          <w:rFonts w:ascii="Arial" w:hAnsi="Arial" w:eastAsia="Arial" w:cs="Arial"/>
          <w:sz w:val="24"/>
          <w:szCs w:val="24"/>
        </w:rPr>
        <w:t>Table of Contents</w:t>
      </w:r>
    </w:p>
    <w:p xmlns:wp14="http://schemas.microsoft.com/office/word/2010/wordml" w:rsidP="6F53E6DE" w14:paraId="146C1E7C" wp14:textId="77777777" wp14:noSpellErr="1">
      <w:pPr>
        <w:spacing w:after="0"/>
        <w:jc w:val="both"/>
        <w:rPr>
          <w:rFonts w:ascii="Arial" w:hAnsi="Arial" w:eastAsia="Arial" w:cs="Arial"/>
          <w:sz w:val="24"/>
          <w:szCs w:val="24"/>
        </w:rPr>
      </w:pPr>
      <w:r w:rsidRPr="6F53E6DE" w:rsidR="6F53E6DE">
        <w:rPr>
          <w:rFonts w:ascii="Arial" w:hAnsi="Arial" w:eastAsia="Arial" w:cs="Arial"/>
          <w:sz w:val="24"/>
          <w:szCs w:val="24"/>
        </w:rPr>
        <w:t>Executive Summary</w:t>
      </w:r>
    </w:p>
    <w:p xmlns:wp14="http://schemas.microsoft.com/office/word/2010/wordml" w:rsidP="6F53E6DE" w14:paraId="32A36C38" wp14:textId="77777777" wp14:noSpellErr="1">
      <w:pPr>
        <w:spacing w:after="0"/>
        <w:jc w:val="both"/>
        <w:rPr>
          <w:rFonts w:ascii="Arial" w:hAnsi="Arial" w:eastAsia="Arial" w:cs="Arial"/>
          <w:sz w:val="24"/>
          <w:szCs w:val="24"/>
        </w:rPr>
      </w:pPr>
      <w:r w:rsidRPr="6F53E6DE" w:rsidR="6F53E6DE">
        <w:rPr>
          <w:rFonts w:ascii="Arial" w:hAnsi="Arial" w:eastAsia="Arial" w:cs="Arial"/>
          <w:sz w:val="24"/>
          <w:szCs w:val="24"/>
        </w:rPr>
        <w:t>1. Introduction</w:t>
      </w:r>
    </w:p>
    <w:p xmlns:wp14="http://schemas.microsoft.com/office/word/2010/wordml" w:rsidP="6F53E6DE" w14:paraId="419EC033" wp14:textId="77777777" wp14:noSpellErr="1">
      <w:pPr>
        <w:spacing w:after="0"/>
        <w:jc w:val="both"/>
        <w:rPr>
          <w:rFonts w:ascii="Arial" w:hAnsi="Arial" w:eastAsia="Arial" w:cs="Arial"/>
          <w:sz w:val="24"/>
          <w:szCs w:val="24"/>
        </w:rPr>
      </w:pPr>
      <w:r w:rsidRPr="6F53E6DE" w:rsidR="6F53E6DE">
        <w:rPr>
          <w:rFonts w:ascii="Arial" w:hAnsi="Arial" w:eastAsia="Arial" w:cs="Arial"/>
          <w:sz w:val="24"/>
          <w:szCs w:val="24"/>
        </w:rPr>
        <w:t>2. Main Findings</w:t>
      </w:r>
    </w:p>
    <w:p xmlns:wp14="http://schemas.microsoft.com/office/word/2010/wordml" w:rsidP="6F53E6DE" w14:paraId="1133A241" wp14:textId="77777777" wp14:noSpellErr="1">
      <w:pPr>
        <w:spacing w:after="0"/>
        <w:jc w:val="both"/>
        <w:rPr>
          <w:rFonts w:ascii="Arial" w:hAnsi="Arial" w:eastAsia="Arial" w:cs="Arial"/>
          <w:sz w:val="24"/>
          <w:szCs w:val="24"/>
        </w:rPr>
      </w:pPr>
      <w:r w:rsidRPr="6F53E6DE" w:rsidR="6F53E6DE">
        <w:rPr>
          <w:rFonts w:ascii="Arial" w:hAnsi="Arial" w:eastAsia="Arial" w:cs="Arial"/>
          <w:sz w:val="24"/>
          <w:szCs w:val="24"/>
        </w:rPr>
        <w:t xml:space="preserve">   2.1 </w:t>
      </w:r>
      <w:r w:rsidRPr="6F53E6DE" w:rsidR="6F53E6DE">
        <w:rPr>
          <w:rFonts w:ascii="Arial" w:hAnsi="Arial" w:eastAsia="Arial" w:cs="Arial"/>
          <w:sz w:val="24"/>
          <w:szCs w:val="24"/>
        </w:rPr>
        <w:t>Organisational</w:t>
      </w:r>
      <w:r w:rsidRPr="6F53E6DE" w:rsidR="6F53E6DE">
        <w:rPr>
          <w:rFonts w:ascii="Arial" w:hAnsi="Arial" w:eastAsia="Arial" w:cs="Arial"/>
          <w:sz w:val="24"/>
          <w:szCs w:val="24"/>
        </w:rPr>
        <w:t xml:space="preserve"> context and causes of performance gaps</w:t>
      </w:r>
    </w:p>
    <w:p xmlns:wp14="http://schemas.microsoft.com/office/word/2010/wordml" w:rsidP="6F53E6DE" w14:paraId="77CEA888" wp14:textId="77777777" wp14:noSpellErr="1">
      <w:pPr>
        <w:spacing w:after="0"/>
        <w:jc w:val="both"/>
        <w:rPr>
          <w:rFonts w:ascii="Arial" w:hAnsi="Arial" w:eastAsia="Arial" w:cs="Arial"/>
          <w:sz w:val="24"/>
          <w:szCs w:val="24"/>
        </w:rPr>
      </w:pPr>
      <w:r w:rsidRPr="6F53E6DE" w:rsidR="6F53E6DE">
        <w:rPr>
          <w:rFonts w:ascii="Arial" w:hAnsi="Arial" w:eastAsia="Arial" w:cs="Arial"/>
          <w:sz w:val="24"/>
          <w:szCs w:val="24"/>
        </w:rPr>
        <w:t xml:space="preserve">   2.2 Roles managers must perform to manage performance effectively</w:t>
      </w:r>
    </w:p>
    <w:p xmlns:wp14="http://schemas.microsoft.com/office/word/2010/wordml" w:rsidP="6F53E6DE" w14:paraId="347C8E83" wp14:textId="77777777" wp14:noSpellErr="1">
      <w:pPr>
        <w:spacing w:after="0"/>
        <w:jc w:val="both"/>
        <w:rPr>
          <w:rFonts w:ascii="Arial" w:hAnsi="Arial" w:eastAsia="Arial" w:cs="Arial"/>
          <w:sz w:val="24"/>
          <w:szCs w:val="24"/>
        </w:rPr>
      </w:pPr>
      <w:r w:rsidRPr="6F53E6DE" w:rsidR="6F53E6DE">
        <w:rPr>
          <w:rFonts w:ascii="Arial" w:hAnsi="Arial" w:eastAsia="Arial" w:cs="Arial"/>
          <w:sz w:val="24"/>
          <w:szCs w:val="24"/>
        </w:rPr>
        <w:t xml:space="preserve">   2.3 Skills </w:t>
      </w:r>
      <w:r w:rsidRPr="6F53E6DE" w:rsidR="6F53E6DE">
        <w:rPr>
          <w:rFonts w:ascii="Arial" w:hAnsi="Arial" w:eastAsia="Arial" w:cs="Arial"/>
          <w:sz w:val="24"/>
          <w:szCs w:val="24"/>
        </w:rPr>
        <w:t>BrightWave</w:t>
      </w:r>
      <w:r w:rsidRPr="6F53E6DE" w:rsidR="6F53E6DE">
        <w:rPr>
          <w:rFonts w:ascii="Arial" w:hAnsi="Arial" w:eastAsia="Arial" w:cs="Arial"/>
          <w:sz w:val="24"/>
          <w:szCs w:val="24"/>
        </w:rPr>
        <w:t xml:space="preserve"> managers need</w:t>
      </w:r>
    </w:p>
    <w:p xmlns:wp14="http://schemas.microsoft.com/office/word/2010/wordml" w:rsidP="6F53E6DE" w14:paraId="22BBC283" wp14:textId="77777777" wp14:noSpellErr="1">
      <w:pPr>
        <w:spacing w:after="0"/>
        <w:jc w:val="both"/>
        <w:rPr>
          <w:rFonts w:ascii="Arial" w:hAnsi="Arial" w:eastAsia="Arial" w:cs="Arial"/>
          <w:sz w:val="24"/>
          <w:szCs w:val="24"/>
        </w:rPr>
      </w:pPr>
      <w:r w:rsidRPr="6F53E6DE" w:rsidR="6F53E6DE">
        <w:rPr>
          <w:rFonts w:ascii="Arial" w:hAnsi="Arial" w:eastAsia="Arial" w:cs="Arial"/>
          <w:sz w:val="24"/>
          <w:szCs w:val="24"/>
        </w:rPr>
        <w:t xml:space="preserve">   2.4 Applying people-management theories and models to </w:t>
      </w:r>
      <w:r w:rsidRPr="6F53E6DE" w:rsidR="6F53E6DE">
        <w:rPr>
          <w:rFonts w:ascii="Arial" w:hAnsi="Arial" w:eastAsia="Arial" w:cs="Arial"/>
          <w:sz w:val="24"/>
          <w:szCs w:val="24"/>
        </w:rPr>
        <w:t>BrightWave</w:t>
      </w:r>
    </w:p>
    <w:p xmlns:wp14="http://schemas.microsoft.com/office/word/2010/wordml" w:rsidP="6F53E6DE" w14:paraId="32CAA3AC" wp14:textId="77777777" wp14:noSpellErr="1">
      <w:pPr>
        <w:spacing w:after="0"/>
        <w:jc w:val="both"/>
        <w:rPr>
          <w:rFonts w:ascii="Arial" w:hAnsi="Arial" w:eastAsia="Arial" w:cs="Arial"/>
          <w:sz w:val="24"/>
          <w:szCs w:val="24"/>
        </w:rPr>
      </w:pPr>
      <w:r w:rsidRPr="6F53E6DE" w:rsidR="6F53E6DE">
        <w:rPr>
          <w:rFonts w:ascii="Arial" w:hAnsi="Arial" w:eastAsia="Arial" w:cs="Arial"/>
          <w:sz w:val="24"/>
          <w:szCs w:val="24"/>
        </w:rPr>
        <w:t xml:space="preserve">   2.5 Recommendations for </w:t>
      </w:r>
      <w:r w:rsidRPr="6F53E6DE" w:rsidR="6F53E6DE">
        <w:rPr>
          <w:rFonts w:ascii="Arial" w:hAnsi="Arial" w:eastAsia="Arial" w:cs="Arial"/>
          <w:sz w:val="24"/>
          <w:szCs w:val="24"/>
        </w:rPr>
        <w:t>BrightWave</w:t>
      </w:r>
    </w:p>
    <w:p xmlns:wp14="http://schemas.microsoft.com/office/word/2010/wordml" w:rsidP="6F53E6DE" w14:paraId="1BE0326D" wp14:textId="77777777" wp14:noSpellErr="1">
      <w:pPr>
        <w:spacing w:after="0"/>
        <w:jc w:val="both"/>
        <w:rPr>
          <w:rFonts w:ascii="Arial" w:hAnsi="Arial" w:eastAsia="Arial" w:cs="Arial"/>
          <w:sz w:val="24"/>
          <w:szCs w:val="24"/>
        </w:rPr>
      </w:pPr>
      <w:r w:rsidRPr="6F53E6DE" w:rsidR="6F53E6DE">
        <w:rPr>
          <w:rFonts w:ascii="Arial" w:hAnsi="Arial" w:eastAsia="Arial" w:cs="Arial"/>
          <w:sz w:val="24"/>
          <w:szCs w:val="24"/>
        </w:rPr>
        <w:t>3. Conclusion</w:t>
      </w:r>
    </w:p>
    <w:p xmlns:wp14="http://schemas.microsoft.com/office/word/2010/wordml" w:rsidP="6F53E6DE" w14:paraId="546CA98F" wp14:textId="77777777" wp14:noSpellErr="1">
      <w:pPr>
        <w:spacing w:after="0"/>
        <w:jc w:val="both"/>
        <w:rPr>
          <w:rFonts w:ascii="Arial" w:hAnsi="Arial" w:eastAsia="Arial" w:cs="Arial"/>
          <w:sz w:val="24"/>
          <w:szCs w:val="24"/>
        </w:rPr>
      </w:pPr>
      <w:r w:rsidRPr="6F53E6DE" w:rsidR="6F53E6DE">
        <w:rPr>
          <w:rFonts w:ascii="Arial" w:hAnsi="Arial" w:eastAsia="Arial" w:cs="Arial"/>
          <w:sz w:val="24"/>
          <w:szCs w:val="24"/>
        </w:rPr>
        <w:t>4. Reference List</w:t>
      </w:r>
    </w:p>
    <w:p xmlns:wp14="http://schemas.microsoft.com/office/word/2010/wordml" w14:paraId="45FB0818" wp14:textId="77777777">
      <w:r>
        <w:br w:type="page"/>
      </w:r>
    </w:p>
    <w:p xmlns:wp14="http://schemas.microsoft.com/office/word/2010/wordml" w14:paraId="1D17AE44" wp14:textId="77777777">
      <w:pPr>
        <w:pStyle w:val="Heading1"/>
        <w:spacing w:before="240" w:after="120"/>
      </w:pPr>
      <w:r>
        <w:t>1. Introduction</w:t>
      </w:r>
    </w:p>
    <w:p xmlns:wp14="http://schemas.microsoft.com/office/word/2010/wordml" w:rsidP="6F53E6DE" w14:paraId="2E87BFAE" wp14:textId="77777777" wp14:noSpellErr="1">
      <w:pPr>
        <w:spacing w:after="120" w:line="360" w:lineRule="auto"/>
        <w:jc w:val="both"/>
        <w:rPr>
          <w:rFonts w:ascii="Arial" w:hAnsi="Arial" w:eastAsia="Arial" w:cs="Arial"/>
          <w:sz w:val="24"/>
          <w:szCs w:val="24"/>
        </w:rPr>
      </w:pPr>
      <w:r w:rsidRPr="6F53E6DE" w:rsidR="6F53E6DE">
        <w:rPr>
          <w:rFonts w:ascii="Arial" w:hAnsi="Arial" w:eastAsia="Arial" w:cs="Arial"/>
          <w:sz w:val="24"/>
          <w:szCs w:val="24"/>
        </w:rPr>
        <w:t xml:space="preserve">Performance management is the everyday work of agreeing expectations, supporting staff to deliver, and dealing with problems early and fairly. In services delivered across many sites, clients see performance through consistency: standards, </w:t>
      </w:r>
      <w:r w:rsidRPr="6F53E6DE" w:rsidR="6F53E6DE">
        <w:rPr>
          <w:rFonts w:ascii="Arial" w:hAnsi="Arial" w:eastAsia="Arial" w:cs="Arial"/>
          <w:sz w:val="24"/>
          <w:szCs w:val="24"/>
        </w:rPr>
        <w:t>responsiveness</w:t>
      </w:r>
      <w:r w:rsidRPr="6F53E6DE" w:rsidR="6F53E6DE">
        <w:rPr>
          <w:rFonts w:ascii="Arial" w:hAnsi="Arial" w:eastAsia="Arial" w:cs="Arial"/>
          <w:sz w:val="24"/>
          <w:szCs w:val="24"/>
        </w:rPr>
        <w:t xml:space="preserve"> and professional </w:t>
      </w:r>
      <w:r w:rsidRPr="6F53E6DE" w:rsidR="6F53E6DE">
        <w:rPr>
          <w:rFonts w:ascii="Arial" w:hAnsi="Arial" w:eastAsia="Arial" w:cs="Arial"/>
          <w:sz w:val="24"/>
          <w:szCs w:val="24"/>
        </w:rPr>
        <w:t>behaviour</w:t>
      </w:r>
      <w:r w:rsidRPr="6F53E6DE" w:rsidR="6F53E6DE">
        <w:rPr>
          <w:rFonts w:ascii="Arial" w:hAnsi="Arial" w:eastAsia="Arial" w:cs="Arial"/>
          <w:sz w:val="24"/>
          <w:szCs w:val="24"/>
        </w:rPr>
        <w:t xml:space="preserve"> (Armstrong, 2020).</w:t>
      </w:r>
    </w:p>
    <w:p xmlns:wp14="http://schemas.microsoft.com/office/word/2010/wordml" w:rsidP="6F53E6DE" w14:paraId="1D71B2B8" wp14:textId="77777777" wp14:noSpellErr="1">
      <w:pPr>
        <w:spacing w:after="120" w:line="360" w:lineRule="auto"/>
        <w:jc w:val="both"/>
        <w:rPr>
          <w:rFonts w:ascii="Arial" w:hAnsi="Arial" w:eastAsia="Arial" w:cs="Arial"/>
          <w:sz w:val="24"/>
          <w:szCs w:val="24"/>
        </w:rPr>
      </w:pPr>
      <w:r w:rsidRPr="6F53E6DE" w:rsidR="6F53E6DE">
        <w:rPr>
          <w:rFonts w:ascii="Arial" w:hAnsi="Arial" w:eastAsia="Arial" w:cs="Arial"/>
          <w:sz w:val="24"/>
          <w:szCs w:val="24"/>
        </w:rPr>
        <w:t>BrightWave</w:t>
      </w:r>
      <w:r w:rsidRPr="6F53E6DE" w:rsidR="6F53E6DE">
        <w:rPr>
          <w:rFonts w:ascii="Arial" w:hAnsi="Arial" w:eastAsia="Arial" w:cs="Arial"/>
          <w:sz w:val="24"/>
          <w:szCs w:val="24"/>
        </w:rPr>
        <w:t xml:space="preserve"> has grown quickly, but the case study shows its management approach is still heavily focused on </w:t>
      </w:r>
      <w:r w:rsidRPr="6F53E6DE" w:rsidR="6F53E6DE">
        <w:rPr>
          <w:rFonts w:ascii="Arial" w:hAnsi="Arial" w:eastAsia="Arial" w:cs="Arial"/>
          <w:sz w:val="24"/>
          <w:szCs w:val="24"/>
        </w:rPr>
        <w:t>rotas</w:t>
      </w:r>
      <w:r w:rsidRPr="6F53E6DE" w:rsidR="6F53E6DE">
        <w:rPr>
          <w:rFonts w:ascii="Arial" w:hAnsi="Arial" w:eastAsia="Arial" w:cs="Arial"/>
          <w:sz w:val="24"/>
          <w:szCs w:val="24"/>
        </w:rPr>
        <w:t xml:space="preserve">, cost </w:t>
      </w:r>
      <w:r w:rsidRPr="6F53E6DE" w:rsidR="6F53E6DE">
        <w:rPr>
          <w:rFonts w:ascii="Arial" w:hAnsi="Arial" w:eastAsia="Arial" w:cs="Arial"/>
          <w:sz w:val="24"/>
          <w:szCs w:val="24"/>
        </w:rPr>
        <w:t>control</w:t>
      </w:r>
      <w:r w:rsidRPr="6F53E6DE" w:rsidR="6F53E6DE">
        <w:rPr>
          <w:rFonts w:ascii="Arial" w:hAnsi="Arial" w:eastAsia="Arial" w:cs="Arial"/>
          <w:sz w:val="24"/>
          <w:szCs w:val="24"/>
        </w:rPr>
        <w:t xml:space="preserve"> and compliance reporting. Supervisors lack confidence </w:t>
      </w:r>
      <w:r w:rsidRPr="6F53E6DE" w:rsidR="6F53E6DE">
        <w:rPr>
          <w:rFonts w:ascii="Arial" w:hAnsi="Arial" w:eastAsia="Arial" w:cs="Arial"/>
          <w:sz w:val="24"/>
          <w:szCs w:val="24"/>
        </w:rPr>
        <w:t>with</w:t>
      </w:r>
      <w:r w:rsidRPr="6F53E6DE" w:rsidR="6F53E6DE">
        <w:rPr>
          <w:rFonts w:ascii="Arial" w:hAnsi="Arial" w:eastAsia="Arial" w:cs="Arial"/>
          <w:sz w:val="24"/>
          <w:szCs w:val="24"/>
        </w:rPr>
        <w:t xml:space="preserve"> coaching and performance conversations, which contributes to inconsistent service, low </w:t>
      </w:r>
      <w:r w:rsidRPr="6F53E6DE" w:rsidR="6F53E6DE">
        <w:rPr>
          <w:rFonts w:ascii="Arial" w:hAnsi="Arial" w:eastAsia="Arial" w:cs="Arial"/>
          <w:sz w:val="24"/>
          <w:szCs w:val="24"/>
        </w:rPr>
        <w:t>engagement</w:t>
      </w:r>
      <w:r w:rsidRPr="6F53E6DE" w:rsidR="6F53E6DE">
        <w:rPr>
          <w:rFonts w:ascii="Arial" w:hAnsi="Arial" w:eastAsia="Arial" w:cs="Arial"/>
          <w:sz w:val="24"/>
          <w:szCs w:val="24"/>
        </w:rPr>
        <w:t xml:space="preserve"> and high turnover.</w:t>
      </w:r>
    </w:p>
    <w:p xmlns:wp14="http://schemas.microsoft.com/office/word/2010/wordml" w:rsidP="6F53E6DE" w14:paraId="6762FE6D" wp14:textId="77777777" wp14:noSpellErr="1">
      <w:pPr>
        <w:spacing w:after="120" w:line="360" w:lineRule="auto"/>
        <w:jc w:val="both"/>
        <w:rPr>
          <w:rFonts w:ascii="Arial" w:hAnsi="Arial" w:eastAsia="Arial" w:cs="Arial"/>
          <w:sz w:val="24"/>
          <w:szCs w:val="24"/>
        </w:rPr>
      </w:pPr>
      <w:r w:rsidRPr="6F53E6DE" w:rsidR="6F53E6DE">
        <w:rPr>
          <w:rFonts w:ascii="Arial" w:hAnsi="Arial" w:eastAsia="Arial" w:cs="Arial"/>
          <w:sz w:val="24"/>
          <w:szCs w:val="24"/>
        </w:rPr>
        <w:t xml:space="preserve">This report evaluates what </w:t>
      </w:r>
      <w:r w:rsidRPr="6F53E6DE" w:rsidR="6F53E6DE">
        <w:rPr>
          <w:rFonts w:ascii="Arial" w:hAnsi="Arial" w:eastAsia="Arial" w:cs="Arial"/>
          <w:sz w:val="24"/>
          <w:szCs w:val="24"/>
        </w:rPr>
        <w:t>BrightWave</w:t>
      </w:r>
      <w:r w:rsidRPr="6F53E6DE" w:rsidR="6F53E6DE">
        <w:rPr>
          <w:rFonts w:ascii="Arial" w:hAnsi="Arial" w:eastAsia="Arial" w:cs="Arial"/>
          <w:sz w:val="24"/>
          <w:szCs w:val="24"/>
        </w:rPr>
        <w:t xml:space="preserve"> managers need to do (their roles) and what they need to be able to do (their skills). It also applies relevant theories and models to explain why the current approach is not working and what should change.</w:t>
      </w:r>
    </w:p>
    <w:p xmlns:wp14="http://schemas.microsoft.com/office/word/2010/wordml" w14:paraId="4E9211EE" wp14:textId="77777777">
      <w:pPr>
        <w:pStyle w:val="Heading1"/>
        <w:spacing w:before="240" w:after="120"/>
      </w:pPr>
      <w:r>
        <w:t>2. Main Findings</w:t>
      </w:r>
    </w:p>
    <w:p xmlns:wp14="http://schemas.microsoft.com/office/word/2010/wordml" w:rsidP="6F53E6DE" w14:paraId="53FCF0F4" wp14:textId="77777777" wp14:noSpellErr="1">
      <w:pPr>
        <w:spacing w:after="120" w:line="360" w:lineRule="auto"/>
        <w:jc w:val="both"/>
        <w:rPr>
          <w:rFonts w:ascii="Arial" w:hAnsi="Arial" w:eastAsia="Arial" w:cs="Arial"/>
          <w:sz w:val="24"/>
          <w:szCs w:val="24"/>
        </w:rPr>
      </w:pPr>
      <w:r w:rsidRPr="6F53E6DE" w:rsidR="6F53E6DE">
        <w:rPr>
          <w:rFonts w:ascii="Arial" w:hAnsi="Arial" w:eastAsia="Arial" w:cs="Arial"/>
          <w:sz w:val="24"/>
          <w:szCs w:val="24"/>
        </w:rPr>
        <w:t xml:space="preserve">This section </w:t>
      </w:r>
      <w:r w:rsidRPr="6F53E6DE" w:rsidR="6F53E6DE">
        <w:rPr>
          <w:rFonts w:ascii="Arial" w:hAnsi="Arial" w:eastAsia="Arial" w:cs="Arial"/>
          <w:sz w:val="24"/>
          <w:szCs w:val="24"/>
        </w:rPr>
        <w:t>summarises</w:t>
      </w:r>
      <w:r w:rsidRPr="6F53E6DE" w:rsidR="6F53E6DE">
        <w:rPr>
          <w:rFonts w:ascii="Arial" w:hAnsi="Arial" w:eastAsia="Arial" w:cs="Arial"/>
          <w:sz w:val="24"/>
          <w:szCs w:val="24"/>
        </w:rPr>
        <w:t xml:space="preserve"> the main causes of </w:t>
      </w:r>
      <w:r w:rsidRPr="6F53E6DE" w:rsidR="6F53E6DE">
        <w:rPr>
          <w:rFonts w:ascii="Arial" w:hAnsi="Arial" w:eastAsia="Arial" w:cs="Arial"/>
          <w:sz w:val="24"/>
          <w:szCs w:val="24"/>
        </w:rPr>
        <w:t>BrightWave’s</w:t>
      </w:r>
      <w:r w:rsidRPr="6F53E6DE" w:rsidR="6F53E6DE">
        <w:rPr>
          <w:rFonts w:ascii="Arial" w:hAnsi="Arial" w:eastAsia="Arial" w:cs="Arial"/>
          <w:sz w:val="24"/>
          <w:szCs w:val="24"/>
        </w:rPr>
        <w:t xml:space="preserve"> performance gaps and the roles, skills, </w:t>
      </w:r>
      <w:r w:rsidRPr="6F53E6DE" w:rsidR="6F53E6DE">
        <w:rPr>
          <w:rFonts w:ascii="Arial" w:hAnsi="Arial" w:eastAsia="Arial" w:cs="Arial"/>
          <w:sz w:val="24"/>
          <w:szCs w:val="24"/>
        </w:rPr>
        <w:t>theory</w:t>
      </w:r>
      <w:r w:rsidRPr="6F53E6DE" w:rsidR="6F53E6DE">
        <w:rPr>
          <w:rFonts w:ascii="Arial" w:hAnsi="Arial" w:eastAsia="Arial" w:cs="Arial"/>
          <w:sz w:val="24"/>
          <w:szCs w:val="24"/>
        </w:rPr>
        <w:t xml:space="preserve"> </w:t>
      </w:r>
      <w:r w:rsidRPr="6F53E6DE" w:rsidR="6F53E6DE">
        <w:rPr>
          <w:rFonts w:ascii="Arial" w:hAnsi="Arial" w:eastAsia="Arial" w:cs="Arial"/>
          <w:sz w:val="24"/>
          <w:szCs w:val="24"/>
        </w:rPr>
        <w:t>insights</w:t>
      </w:r>
      <w:r w:rsidRPr="6F53E6DE" w:rsidR="6F53E6DE">
        <w:rPr>
          <w:rFonts w:ascii="Arial" w:hAnsi="Arial" w:eastAsia="Arial" w:cs="Arial"/>
          <w:sz w:val="24"/>
          <w:szCs w:val="24"/>
        </w:rPr>
        <w:t xml:space="preserve"> and practical actions needed to improve performance and retention across sites.</w:t>
      </w:r>
    </w:p>
    <w:p xmlns:wp14="http://schemas.microsoft.com/office/word/2010/wordml" w:rsidP="6F53E6DE" w14:paraId="693ED60D" wp14:textId="77777777" wp14:noSpellErr="1">
      <w:pPr>
        <w:pStyle w:val="Heading2"/>
        <w:spacing w:before="200" w:after="120"/>
        <w:rPr>
          <w:rFonts w:ascii="Arial" w:hAnsi="Arial" w:eastAsia="Arial" w:cs="Arial"/>
          <w:sz w:val="24"/>
          <w:szCs w:val="24"/>
        </w:rPr>
      </w:pPr>
      <w:r w:rsidRPr="6F53E6DE" w:rsidR="6F53E6DE">
        <w:rPr>
          <w:rFonts w:ascii="Arial" w:hAnsi="Arial" w:eastAsia="Arial" w:cs="Arial"/>
          <w:sz w:val="24"/>
          <w:szCs w:val="24"/>
        </w:rPr>
        <w:t xml:space="preserve">2.1 </w:t>
      </w:r>
      <w:r w:rsidRPr="6F53E6DE" w:rsidR="6F53E6DE">
        <w:rPr>
          <w:rFonts w:ascii="Arial" w:hAnsi="Arial" w:eastAsia="Arial" w:cs="Arial"/>
          <w:sz w:val="24"/>
          <w:szCs w:val="24"/>
        </w:rPr>
        <w:t>Organisational</w:t>
      </w:r>
      <w:r w:rsidRPr="6F53E6DE" w:rsidR="6F53E6DE">
        <w:rPr>
          <w:rFonts w:ascii="Arial" w:hAnsi="Arial" w:eastAsia="Arial" w:cs="Arial"/>
          <w:sz w:val="24"/>
          <w:szCs w:val="24"/>
        </w:rPr>
        <w:t xml:space="preserve"> context and causes of performance gaps</w:t>
      </w:r>
    </w:p>
    <w:p xmlns:wp14="http://schemas.microsoft.com/office/word/2010/wordml" w:rsidP="6F53E6DE" w14:paraId="3EA3DF17" wp14:textId="77777777" wp14:noSpellErr="1">
      <w:pPr>
        <w:spacing w:after="120" w:line="360" w:lineRule="auto"/>
        <w:jc w:val="both"/>
        <w:rPr>
          <w:rFonts w:ascii="Arial" w:hAnsi="Arial" w:eastAsia="Arial" w:cs="Arial"/>
          <w:sz w:val="24"/>
          <w:szCs w:val="24"/>
        </w:rPr>
      </w:pPr>
      <w:r w:rsidRPr="6F53E6DE" w:rsidR="6F53E6DE">
        <w:rPr>
          <w:rFonts w:ascii="Arial" w:hAnsi="Arial" w:eastAsia="Arial" w:cs="Arial"/>
          <w:sz w:val="24"/>
          <w:szCs w:val="24"/>
        </w:rPr>
        <w:t>BrightWave</w:t>
      </w:r>
      <w:r w:rsidRPr="6F53E6DE" w:rsidR="6F53E6DE">
        <w:rPr>
          <w:rFonts w:ascii="Arial" w:hAnsi="Arial" w:eastAsia="Arial" w:cs="Arial"/>
          <w:sz w:val="24"/>
          <w:szCs w:val="24"/>
        </w:rPr>
        <w:t xml:space="preserve"> has a flat structure with senior leaders at head office and frontline managers supervising dispersed teams across client sites. In this set-up, line managers are the main link between </w:t>
      </w:r>
      <w:r w:rsidRPr="6F53E6DE" w:rsidR="6F53E6DE">
        <w:rPr>
          <w:rFonts w:ascii="Arial" w:hAnsi="Arial" w:eastAsia="Arial" w:cs="Arial"/>
          <w:sz w:val="24"/>
          <w:szCs w:val="24"/>
        </w:rPr>
        <w:t>organisational</w:t>
      </w:r>
      <w:r w:rsidRPr="6F53E6DE" w:rsidR="6F53E6DE">
        <w:rPr>
          <w:rFonts w:ascii="Arial" w:hAnsi="Arial" w:eastAsia="Arial" w:cs="Arial"/>
          <w:sz w:val="24"/>
          <w:szCs w:val="24"/>
        </w:rPr>
        <w:t xml:space="preserve"> goals and day-to-day </w:t>
      </w:r>
      <w:r w:rsidRPr="6F53E6DE" w:rsidR="6F53E6DE">
        <w:rPr>
          <w:rFonts w:ascii="Arial" w:hAnsi="Arial" w:eastAsia="Arial" w:cs="Arial"/>
          <w:sz w:val="24"/>
          <w:szCs w:val="24"/>
        </w:rPr>
        <w:t>behaviour</w:t>
      </w:r>
      <w:r w:rsidRPr="6F53E6DE" w:rsidR="6F53E6DE">
        <w:rPr>
          <w:rFonts w:ascii="Arial" w:hAnsi="Arial" w:eastAsia="Arial" w:cs="Arial"/>
          <w:sz w:val="24"/>
          <w:szCs w:val="24"/>
        </w:rPr>
        <w:t>. If managers do not apply standards and support consistently, staff experience will vary by site. Research shows this ‘line manager effect’ is central to whether people practices improve performance (Purcell and Hutchinson, 2007).</w:t>
      </w:r>
    </w:p>
    <w:p xmlns:wp14="http://schemas.microsoft.com/office/word/2010/wordml" w:rsidP="6F53E6DE" w14:paraId="0064D396" wp14:textId="77777777" wp14:noSpellErr="1">
      <w:pPr>
        <w:pStyle w:val="Heading3"/>
        <w:spacing w:before="200" w:after="120"/>
        <w:rPr>
          <w:rFonts w:ascii="Arial" w:hAnsi="Arial" w:eastAsia="Arial" w:cs="Arial"/>
          <w:sz w:val="24"/>
          <w:szCs w:val="24"/>
        </w:rPr>
      </w:pPr>
      <w:r w:rsidRPr="6F53E6DE" w:rsidR="6F53E6DE">
        <w:rPr>
          <w:rFonts w:ascii="Arial" w:hAnsi="Arial" w:eastAsia="Arial" w:cs="Arial"/>
          <w:sz w:val="24"/>
          <w:szCs w:val="24"/>
        </w:rPr>
        <w:t>2.1.1 Culture signals: ‘tasks and numbers first’</w:t>
      </w:r>
    </w:p>
    <w:p xmlns:wp14="http://schemas.microsoft.com/office/word/2010/wordml" w:rsidP="6F53E6DE" w14:paraId="74542914" wp14:textId="77777777" wp14:noSpellErr="1">
      <w:pPr>
        <w:spacing w:after="120" w:line="360" w:lineRule="auto"/>
        <w:jc w:val="both"/>
        <w:rPr>
          <w:rFonts w:ascii="Arial" w:hAnsi="Arial" w:eastAsia="Arial" w:cs="Arial"/>
          <w:sz w:val="24"/>
          <w:szCs w:val="24"/>
        </w:rPr>
      </w:pPr>
      <w:r w:rsidRPr="6F53E6DE" w:rsidR="6F53E6DE">
        <w:rPr>
          <w:rFonts w:ascii="Arial" w:hAnsi="Arial" w:eastAsia="Arial" w:cs="Arial"/>
          <w:sz w:val="24"/>
          <w:szCs w:val="24"/>
        </w:rPr>
        <w:t xml:space="preserve">Staff describe a task-driven culture that is low on recognition. When the strongest signals are speed, cost and reporting, managers focus on what is urgent and measurable, and the </w:t>
      </w:r>
      <w:r w:rsidRPr="6F53E6DE" w:rsidR="6F53E6DE">
        <w:rPr>
          <w:rFonts w:ascii="Arial" w:hAnsi="Arial" w:eastAsia="Arial" w:cs="Arial"/>
          <w:sz w:val="24"/>
          <w:szCs w:val="24"/>
        </w:rPr>
        <w:t>people</w:t>
      </w:r>
      <w:r w:rsidRPr="6F53E6DE" w:rsidR="6F53E6DE">
        <w:rPr>
          <w:rFonts w:ascii="Arial" w:hAnsi="Arial" w:eastAsia="Arial" w:cs="Arial"/>
          <w:sz w:val="24"/>
          <w:szCs w:val="24"/>
        </w:rPr>
        <w:t xml:space="preserve"> side of performance is squeezed. Culture is reinforced by what leaders pay attention to and what they reward (Schein, 2017).</w:t>
      </w:r>
    </w:p>
    <w:p xmlns:wp14="http://schemas.microsoft.com/office/word/2010/wordml" w:rsidP="6F53E6DE" w14:paraId="1269FB7F" wp14:textId="77777777" wp14:noSpellErr="1">
      <w:pPr>
        <w:pStyle w:val="Heading3"/>
        <w:spacing w:before="200" w:after="120" w:line="360" w:lineRule="auto"/>
        <w:jc w:val="both"/>
        <w:rPr>
          <w:rFonts w:ascii="Arial" w:hAnsi="Arial" w:eastAsia="Arial" w:cs="Arial"/>
          <w:sz w:val="24"/>
          <w:szCs w:val="24"/>
        </w:rPr>
      </w:pPr>
      <w:r w:rsidRPr="6F53E6DE" w:rsidR="6F53E6DE">
        <w:rPr>
          <w:rFonts w:ascii="Arial" w:hAnsi="Arial" w:eastAsia="Arial" w:cs="Arial"/>
          <w:sz w:val="24"/>
          <w:szCs w:val="24"/>
        </w:rPr>
        <w:t>2.1.2 Technical promotion without people-management preparation</w:t>
      </w:r>
    </w:p>
    <w:p xmlns:wp14="http://schemas.microsoft.com/office/word/2010/wordml" w:rsidP="6F53E6DE" w14:paraId="657078BA" wp14:textId="77777777" wp14:noSpellErr="1">
      <w:pPr>
        <w:spacing w:after="120" w:line="360" w:lineRule="auto"/>
        <w:jc w:val="both"/>
        <w:rPr>
          <w:rFonts w:ascii="Arial" w:hAnsi="Arial" w:eastAsia="Arial" w:cs="Arial"/>
          <w:sz w:val="24"/>
          <w:szCs w:val="24"/>
        </w:rPr>
      </w:pPr>
      <w:r w:rsidRPr="6F53E6DE" w:rsidR="6F53E6DE">
        <w:rPr>
          <w:rFonts w:ascii="Arial" w:hAnsi="Arial" w:eastAsia="Arial" w:cs="Arial"/>
          <w:sz w:val="24"/>
          <w:szCs w:val="24"/>
        </w:rPr>
        <w:t>BrightWave</w:t>
      </w:r>
      <w:r w:rsidRPr="6F53E6DE" w:rsidR="6F53E6DE">
        <w:rPr>
          <w:rFonts w:ascii="Arial" w:hAnsi="Arial" w:eastAsia="Arial" w:cs="Arial"/>
          <w:sz w:val="24"/>
          <w:szCs w:val="24"/>
        </w:rPr>
        <w:t xml:space="preserve"> has often promoted its best technical staff into supervisory roles. Technical competence is valuable, but the role also requires communication, fairness, </w:t>
      </w:r>
      <w:r w:rsidRPr="6F53E6DE" w:rsidR="6F53E6DE">
        <w:rPr>
          <w:rFonts w:ascii="Arial" w:hAnsi="Arial" w:eastAsia="Arial" w:cs="Arial"/>
          <w:sz w:val="24"/>
          <w:szCs w:val="24"/>
        </w:rPr>
        <w:t>coaching</w:t>
      </w:r>
      <w:r w:rsidRPr="6F53E6DE" w:rsidR="6F53E6DE">
        <w:rPr>
          <w:rFonts w:ascii="Arial" w:hAnsi="Arial" w:eastAsia="Arial" w:cs="Arial"/>
          <w:sz w:val="24"/>
          <w:szCs w:val="24"/>
        </w:rPr>
        <w:t xml:space="preserve"> and confidence with difficult conversations. CIPD notes that </w:t>
      </w:r>
      <w:r w:rsidRPr="6F53E6DE" w:rsidR="6F53E6DE">
        <w:rPr>
          <w:rFonts w:ascii="Arial" w:hAnsi="Arial" w:eastAsia="Arial" w:cs="Arial"/>
          <w:sz w:val="24"/>
          <w:szCs w:val="24"/>
        </w:rPr>
        <w:t>organisations</w:t>
      </w:r>
      <w:r w:rsidRPr="6F53E6DE" w:rsidR="6F53E6DE">
        <w:rPr>
          <w:rFonts w:ascii="Arial" w:hAnsi="Arial" w:eastAsia="Arial" w:cs="Arial"/>
          <w:sz w:val="24"/>
          <w:szCs w:val="24"/>
        </w:rPr>
        <w:t xml:space="preserve"> often underinvest in developing line managers, even though they shape everyday performance and retention (CIPD, 2023).</w:t>
      </w:r>
    </w:p>
    <w:p xmlns:wp14="http://schemas.microsoft.com/office/word/2010/wordml" w:rsidP="6F53E6DE" w14:paraId="64043BE0" wp14:textId="77777777" wp14:noSpellErr="1">
      <w:pPr>
        <w:pStyle w:val="Heading3"/>
        <w:spacing w:before="200" w:after="120" w:line="360" w:lineRule="auto"/>
        <w:jc w:val="both"/>
        <w:rPr>
          <w:rFonts w:ascii="Arial" w:hAnsi="Arial" w:eastAsia="Arial" w:cs="Arial"/>
          <w:sz w:val="24"/>
          <w:szCs w:val="24"/>
        </w:rPr>
      </w:pPr>
      <w:r w:rsidRPr="6F53E6DE" w:rsidR="6F53E6DE">
        <w:rPr>
          <w:rFonts w:ascii="Arial" w:hAnsi="Arial" w:eastAsia="Arial" w:cs="Arial"/>
          <w:sz w:val="24"/>
          <w:szCs w:val="24"/>
        </w:rPr>
        <w:t>2.1.3 Avoidance of feedback and underperformance</w:t>
      </w:r>
    </w:p>
    <w:p xmlns:wp14="http://schemas.microsoft.com/office/word/2010/wordml" w:rsidP="6F53E6DE" w14:paraId="266B01C7" wp14:textId="77777777" wp14:noSpellErr="1">
      <w:pPr>
        <w:spacing w:after="120" w:line="360" w:lineRule="auto"/>
        <w:jc w:val="both"/>
        <w:rPr>
          <w:rFonts w:ascii="Arial" w:hAnsi="Arial" w:eastAsia="Arial" w:cs="Arial"/>
          <w:sz w:val="24"/>
          <w:szCs w:val="24"/>
        </w:rPr>
      </w:pPr>
      <w:r w:rsidRPr="6F53E6DE" w:rsidR="6F53E6DE">
        <w:rPr>
          <w:rFonts w:ascii="Arial" w:hAnsi="Arial" w:eastAsia="Arial" w:cs="Arial"/>
          <w:sz w:val="24"/>
          <w:szCs w:val="24"/>
        </w:rPr>
        <w:t>Supervisors avoid performance conversations because they feel uncomfortable challenging long-standing staff or are unsure how to give constructive feedback. When problems are not addressed early, underperformance becomes normal and higher performers feel it is unfair. ACAS recommends early, informal conversations using clear examples and agreed next steps, before issues become formal (ACAS, 2023).</w:t>
      </w:r>
    </w:p>
    <w:p xmlns:wp14="http://schemas.microsoft.com/office/word/2010/wordml" w:rsidP="6F53E6DE" w14:paraId="0F05CC5A" wp14:textId="77777777" wp14:noSpellErr="1">
      <w:pPr>
        <w:pStyle w:val="Heading3"/>
        <w:spacing w:before="200" w:after="120" w:line="360" w:lineRule="auto"/>
        <w:jc w:val="both"/>
        <w:rPr>
          <w:rFonts w:ascii="Arial" w:hAnsi="Arial" w:eastAsia="Arial" w:cs="Arial"/>
          <w:sz w:val="24"/>
          <w:szCs w:val="24"/>
        </w:rPr>
      </w:pPr>
      <w:r w:rsidRPr="6F53E6DE" w:rsidR="6F53E6DE">
        <w:rPr>
          <w:rFonts w:ascii="Arial" w:hAnsi="Arial" w:eastAsia="Arial" w:cs="Arial"/>
          <w:sz w:val="24"/>
          <w:szCs w:val="24"/>
        </w:rPr>
        <w:t xml:space="preserve">2.1.4 Low engagement, unclear </w:t>
      </w:r>
      <w:r w:rsidRPr="6F53E6DE" w:rsidR="6F53E6DE">
        <w:rPr>
          <w:rFonts w:ascii="Arial" w:hAnsi="Arial" w:eastAsia="Arial" w:cs="Arial"/>
          <w:sz w:val="24"/>
          <w:szCs w:val="24"/>
        </w:rPr>
        <w:t>progression</w:t>
      </w:r>
      <w:r w:rsidRPr="6F53E6DE" w:rsidR="6F53E6DE">
        <w:rPr>
          <w:rFonts w:ascii="Arial" w:hAnsi="Arial" w:eastAsia="Arial" w:cs="Arial"/>
          <w:sz w:val="24"/>
          <w:szCs w:val="24"/>
        </w:rPr>
        <w:t xml:space="preserve"> and high turnover</w:t>
      </w:r>
    </w:p>
    <w:p xmlns:wp14="http://schemas.microsoft.com/office/word/2010/wordml" w:rsidP="6F53E6DE" w14:paraId="0204AF8D" wp14:textId="77777777" wp14:noSpellErr="1">
      <w:pPr>
        <w:spacing w:after="120" w:line="360" w:lineRule="auto"/>
        <w:jc w:val="both"/>
        <w:rPr>
          <w:rFonts w:ascii="Arial" w:hAnsi="Arial" w:eastAsia="Arial" w:cs="Arial"/>
          <w:sz w:val="24"/>
          <w:szCs w:val="24"/>
        </w:rPr>
      </w:pPr>
      <w:r w:rsidRPr="6F53E6DE" w:rsidR="6F53E6DE">
        <w:rPr>
          <w:rFonts w:ascii="Arial" w:hAnsi="Arial" w:eastAsia="Arial" w:cs="Arial"/>
          <w:sz w:val="24"/>
          <w:szCs w:val="24"/>
        </w:rPr>
        <w:t>Turnover has reached 28%, especially among cleaning staff, and younger staff report they do not know what career paths exist. When people do not feel valued or see development, their willingness to stay reduces. This reflects a weakened psychological contract: the ‘unwritten deal’ about respect and opportunity (Rousseau, 1995).</w:t>
      </w:r>
    </w:p>
    <w:p xmlns:wp14="http://schemas.microsoft.com/office/word/2010/wordml" w:rsidP="6F53E6DE" w14:paraId="663F5835" wp14:textId="77777777" wp14:noSpellErr="1">
      <w:pPr>
        <w:pStyle w:val="Heading3"/>
        <w:spacing w:before="200" w:after="120" w:line="360" w:lineRule="auto"/>
        <w:jc w:val="both"/>
        <w:rPr>
          <w:rFonts w:ascii="Arial" w:hAnsi="Arial" w:eastAsia="Arial" w:cs="Arial"/>
          <w:sz w:val="24"/>
          <w:szCs w:val="24"/>
        </w:rPr>
      </w:pPr>
      <w:r w:rsidRPr="6F53E6DE" w:rsidR="6F53E6DE">
        <w:rPr>
          <w:rFonts w:ascii="Arial" w:hAnsi="Arial" w:eastAsia="Arial" w:cs="Arial"/>
          <w:sz w:val="24"/>
          <w:szCs w:val="24"/>
        </w:rPr>
        <w:t>2.1.5 External pressure: clients expect fair work and social value</w:t>
      </w:r>
    </w:p>
    <w:p xmlns:wp14="http://schemas.microsoft.com/office/word/2010/wordml" w:rsidP="6F53E6DE" w14:paraId="62570019" wp14:textId="77777777" wp14:noSpellErr="1">
      <w:pPr>
        <w:spacing w:after="120" w:line="360" w:lineRule="auto"/>
        <w:jc w:val="both"/>
        <w:rPr>
          <w:rFonts w:ascii="Arial" w:hAnsi="Arial" w:eastAsia="Arial" w:cs="Arial"/>
          <w:sz w:val="24"/>
          <w:szCs w:val="24"/>
        </w:rPr>
      </w:pPr>
      <w:r w:rsidRPr="6F53E6DE" w:rsidR="6F53E6DE">
        <w:rPr>
          <w:rFonts w:ascii="Arial" w:hAnsi="Arial" w:eastAsia="Arial" w:cs="Arial"/>
          <w:sz w:val="24"/>
          <w:szCs w:val="24"/>
        </w:rPr>
        <w:t>BrightWave’s</w:t>
      </w:r>
      <w:r w:rsidRPr="6F53E6DE" w:rsidR="6F53E6DE">
        <w:rPr>
          <w:rFonts w:ascii="Arial" w:hAnsi="Arial" w:eastAsia="Arial" w:cs="Arial"/>
          <w:sz w:val="24"/>
          <w:szCs w:val="24"/>
        </w:rPr>
        <w:t xml:space="preserve"> public-sector clients increasingly expect suppliers to show fair work practices and social value, such as wellbeing, </w:t>
      </w:r>
      <w:r w:rsidRPr="6F53E6DE" w:rsidR="6F53E6DE">
        <w:rPr>
          <w:rFonts w:ascii="Arial" w:hAnsi="Arial" w:eastAsia="Arial" w:cs="Arial"/>
          <w:sz w:val="24"/>
          <w:szCs w:val="24"/>
        </w:rPr>
        <w:t>equality</w:t>
      </w:r>
      <w:r w:rsidRPr="6F53E6DE" w:rsidR="6F53E6DE">
        <w:rPr>
          <w:rFonts w:ascii="Arial" w:hAnsi="Arial" w:eastAsia="Arial" w:cs="Arial"/>
          <w:sz w:val="24"/>
          <w:szCs w:val="24"/>
        </w:rPr>
        <w:t xml:space="preserve"> and sustainable employment. This matters because performance is not only ‘what gets delivered</w:t>
      </w:r>
      <w:r w:rsidRPr="6F53E6DE" w:rsidR="6F53E6DE">
        <w:rPr>
          <w:rFonts w:ascii="Arial" w:hAnsi="Arial" w:eastAsia="Arial" w:cs="Arial"/>
          <w:sz w:val="24"/>
          <w:szCs w:val="24"/>
        </w:rPr>
        <w:t>’,</w:t>
      </w:r>
      <w:r w:rsidRPr="6F53E6DE" w:rsidR="6F53E6DE">
        <w:rPr>
          <w:rFonts w:ascii="Arial" w:hAnsi="Arial" w:eastAsia="Arial" w:cs="Arial"/>
          <w:sz w:val="24"/>
          <w:szCs w:val="24"/>
        </w:rPr>
        <w:t xml:space="preserve"> but also ‘how it is delivered</w:t>
      </w:r>
      <w:r w:rsidRPr="6F53E6DE" w:rsidR="6F53E6DE">
        <w:rPr>
          <w:rFonts w:ascii="Arial" w:hAnsi="Arial" w:eastAsia="Arial" w:cs="Arial"/>
          <w:sz w:val="24"/>
          <w:szCs w:val="24"/>
        </w:rPr>
        <w:t>’.</w:t>
      </w:r>
      <w:r w:rsidRPr="6F53E6DE" w:rsidR="6F53E6DE">
        <w:rPr>
          <w:rFonts w:ascii="Arial" w:hAnsi="Arial" w:eastAsia="Arial" w:cs="Arial"/>
          <w:sz w:val="24"/>
          <w:szCs w:val="24"/>
        </w:rPr>
        <w:t xml:space="preserve"> A business that cannot show improving retention, fair treatment and capable supervision </w:t>
      </w:r>
      <w:r w:rsidRPr="6F53E6DE" w:rsidR="6F53E6DE">
        <w:rPr>
          <w:rFonts w:ascii="Arial" w:hAnsi="Arial" w:eastAsia="Arial" w:cs="Arial"/>
          <w:sz w:val="24"/>
          <w:szCs w:val="24"/>
        </w:rPr>
        <w:t>risks</w:t>
      </w:r>
      <w:r w:rsidRPr="6F53E6DE" w:rsidR="6F53E6DE">
        <w:rPr>
          <w:rFonts w:ascii="Arial" w:hAnsi="Arial" w:eastAsia="Arial" w:cs="Arial"/>
          <w:sz w:val="24"/>
          <w:szCs w:val="24"/>
        </w:rPr>
        <w:t xml:space="preserve"> reputational harm and contract loss. To respond, </w:t>
      </w:r>
      <w:r w:rsidRPr="6F53E6DE" w:rsidR="6F53E6DE">
        <w:rPr>
          <w:rFonts w:ascii="Arial" w:hAnsi="Arial" w:eastAsia="Arial" w:cs="Arial"/>
          <w:sz w:val="24"/>
          <w:szCs w:val="24"/>
        </w:rPr>
        <w:t>BrightWave</w:t>
      </w:r>
      <w:r w:rsidRPr="6F53E6DE" w:rsidR="6F53E6DE">
        <w:rPr>
          <w:rFonts w:ascii="Arial" w:hAnsi="Arial" w:eastAsia="Arial" w:cs="Arial"/>
          <w:sz w:val="24"/>
          <w:szCs w:val="24"/>
        </w:rPr>
        <w:t xml:space="preserve"> needs managers who can </w:t>
      </w:r>
      <w:r w:rsidRPr="6F53E6DE" w:rsidR="6F53E6DE">
        <w:rPr>
          <w:rFonts w:ascii="Arial" w:hAnsi="Arial" w:eastAsia="Arial" w:cs="Arial"/>
          <w:sz w:val="24"/>
          <w:szCs w:val="24"/>
        </w:rPr>
        <w:t>evidence</w:t>
      </w:r>
      <w:r w:rsidRPr="6F53E6DE" w:rsidR="6F53E6DE">
        <w:rPr>
          <w:rFonts w:ascii="Arial" w:hAnsi="Arial" w:eastAsia="Arial" w:cs="Arial"/>
          <w:sz w:val="24"/>
          <w:szCs w:val="24"/>
        </w:rPr>
        <w:t xml:space="preserve"> standards, support staff, and create a positive working environment through consistent daily practice (CIPD, 2022; Schein, 2017).</w:t>
      </w:r>
    </w:p>
    <w:p xmlns:wp14="http://schemas.microsoft.com/office/word/2010/wordml" w:rsidP="6F53E6DE" w14:paraId="60162818" wp14:textId="77777777" wp14:noSpellErr="1">
      <w:pPr>
        <w:pStyle w:val="Heading2"/>
        <w:spacing w:before="200" w:after="120" w:line="360" w:lineRule="auto"/>
        <w:jc w:val="both"/>
        <w:rPr>
          <w:rFonts w:ascii="Arial" w:hAnsi="Arial" w:eastAsia="Arial" w:cs="Arial"/>
          <w:sz w:val="24"/>
          <w:szCs w:val="24"/>
        </w:rPr>
      </w:pPr>
      <w:r w:rsidRPr="6F53E6DE" w:rsidR="6F53E6DE">
        <w:rPr>
          <w:rFonts w:ascii="Arial" w:hAnsi="Arial" w:eastAsia="Arial" w:cs="Arial"/>
          <w:sz w:val="24"/>
          <w:szCs w:val="24"/>
        </w:rPr>
        <w:t>2.2 Roles managers must perform to manage performance effectively</w:t>
      </w:r>
    </w:p>
    <w:p xmlns:wp14="http://schemas.microsoft.com/office/word/2010/wordml" w:rsidP="6F53E6DE" w14:paraId="164CDEA7" wp14:textId="77777777" wp14:noSpellErr="1">
      <w:pPr>
        <w:spacing w:after="120" w:line="360" w:lineRule="auto"/>
        <w:jc w:val="both"/>
        <w:rPr>
          <w:rFonts w:ascii="Arial" w:hAnsi="Arial" w:eastAsia="Arial" w:cs="Arial"/>
          <w:sz w:val="24"/>
          <w:szCs w:val="24"/>
        </w:rPr>
      </w:pPr>
      <w:r w:rsidRPr="6F53E6DE" w:rsidR="6F53E6DE">
        <w:rPr>
          <w:rFonts w:ascii="Arial" w:hAnsi="Arial" w:eastAsia="Arial" w:cs="Arial"/>
          <w:sz w:val="24"/>
          <w:szCs w:val="24"/>
        </w:rPr>
        <w:t xml:space="preserve">Mintzberg (1973) describes managerial work as interpersonal, </w:t>
      </w:r>
      <w:r w:rsidRPr="6F53E6DE" w:rsidR="6F53E6DE">
        <w:rPr>
          <w:rFonts w:ascii="Arial" w:hAnsi="Arial" w:eastAsia="Arial" w:cs="Arial"/>
          <w:sz w:val="24"/>
          <w:szCs w:val="24"/>
        </w:rPr>
        <w:t>informational</w:t>
      </w:r>
      <w:r w:rsidRPr="6F53E6DE" w:rsidR="6F53E6DE">
        <w:rPr>
          <w:rFonts w:ascii="Arial" w:hAnsi="Arial" w:eastAsia="Arial" w:cs="Arial"/>
          <w:sz w:val="24"/>
          <w:szCs w:val="24"/>
        </w:rPr>
        <w:t xml:space="preserve"> and decisional. </w:t>
      </w:r>
      <w:r w:rsidRPr="6F53E6DE" w:rsidR="6F53E6DE">
        <w:rPr>
          <w:rFonts w:ascii="Arial" w:hAnsi="Arial" w:eastAsia="Arial" w:cs="Arial"/>
          <w:sz w:val="24"/>
          <w:szCs w:val="24"/>
        </w:rPr>
        <w:t>BrightWave</w:t>
      </w:r>
      <w:r w:rsidRPr="6F53E6DE" w:rsidR="6F53E6DE">
        <w:rPr>
          <w:rFonts w:ascii="Arial" w:hAnsi="Arial" w:eastAsia="Arial" w:cs="Arial"/>
          <w:sz w:val="24"/>
          <w:szCs w:val="24"/>
        </w:rPr>
        <w:t xml:space="preserve"> managers are currently dominated by decisional tasks (</w:t>
      </w:r>
      <w:r w:rsidRPr="6F53E6DE" w:rsidR="6F53E6DE">
        <w:rPr>
          <w:rFonts w:ascii="Arial" w:hAnsi="Arial" w:eastAsia="Arial" w:cs="Arial"/>
          <w:sz w:val="24"/>
          <w:szCs w:val="24"/>
        </w:rPr>
        <w:t>rotas</w:t>
      </w:r>
      <w:r w:rsidRPr="6F53E6DE" w:rsidR="6F53E6DE">
        <w:rPr>
          <w:rFonts w:ascii="Arial" w:hAnsi="Arial" w:eastAsia="Arial" w:cs="Arial"/>
          <w:sz w:val="24"/>
          <w:szCs w:val="24"/>
        </w:rPr>
        <w:t xml:space="preserve">, costs, compliance). To improve performance sustainably, managers must balance this with clear communication, </w:t>
      </w:r>
      <w:r w:rsidRPr="6F53E6DE" w:rsidR="6F53E6DE">
        <w:rPr>
          <w:rFonts w:ascii="Arial" w:hAnsi="Arial" w:eastAsia="Arial" w:cs="Arial"/>
          <w:sz w:val="24"/>
          <w:szCs w:val="24"/>
        </w:rPr>
        <w:t>coaching</w:t>
      </w:r>
      <w:r w:rsidRPr="6F53E6DE" w:rsidR="6F53E6DE">
        <w:rPr>
          <w:rFonts w:ascii="Arial" w:hAnsi="Arial" w:eastAsia="Arial" w:cs="Arial"/>
          <w:sz w:val="24"/>
          <w:szCs w:val="24"/>
        </w:rPr>
        <w:t xml:space="preserve"> and fair performance handling.</w:t>
      </w:r>
    </w:p>
    <w:p xmlns:wp14="http://schemas.microsoft.com/office/word/2010/wordml" w:rsidP="6F53E6DE" w14:paraId="0865CEEB" wp14:textId="77777777" wp14:noSpellErr="1">
      <w:pPr>
        <w:pStyle w:val="Heading3"/>
        <w:spacing w:before="200" w:after="120" w:line="360" w:lineRule="auto"/>
        <w:jc w:val="both"/>
        <w:rPr>
          <w:rFonts w:ascii="Arial" w:hAnsi="Arial" w:eastAsia="Arial" w:cs="Arial"/>
          <w:sz w:val="24"/>
          <w:szCs w:val="24"/>
        </w:rPr>
      </w:pPr>
      <w:r w:rsidRPr="6F53E6DE" w:rsidR="6F53E6DE">
        <w:rPr>
          <w:rFonts w:ascii="Arial" w:hAnsi="Arial" w:eastAsia="Arial" w:cs="Arial"/>
          <w:sz w:val="24"/>
          <w:szCs w:val="24"/>
        </w:rPr>
        <w:t>2.2.1 Performance translator: turning contracts into clear standards</w:t>
      </w:r>
    </w:p>
    <w:p xmlns:wp14="http://schemas.microsoft.com/office/word/2010/wordml" w:rsidP="6F53E6DE" w14:paraId="39A63148" wp14:textId="77777777" wp14:noSpellErr="1">
      <w:pPr>
        <w:spacing w:after="120" w:line="360" w:lineRule="auto"/>
        <w:jc w:val="both"/>
        <w:rPr>
          <w:rFonts w:ascii="Arial" w:hAnsi="Arial" w:eastAsia="Arial" w:cs="Arial"/>
          <w:sz w:val="24"/>
          <w:szCs w:val="24"/>
        </w:rPr>
      </w:pPr>
      <w:r w:rsidRPr="6F53E6DE" w:rsidR="6F53E6DE">
        <w:rPr>
          <w:rFonts w:ascii="Arial" w:hAnsi="Arial" w:eastAsia="Arial" w:cs="Arial"/>
          <w:sz w:val="24"/>
          <w:szCs w:val="24"/>
        </w:rPr>
        <w:t xml:space="preserve">Managers must translate contract requirements into simple, shared standards for quality, </w:t>
      </w:r>
      <w:r w:rsidRPr="6F53E6DE" w:rsidR="6F53E6DE">
        <w:rPr>
          <w:rFonts w:ascii="Arial" w:hAnsi="Arial" w:eastAsia="Arial" w:cs="Arial"/>
          <w:sz w:val="24"/>
          <w:szCs w:val="24"/>
        </w:rPr>
        <w:t>safety</w:t>
      </w:r>
      <w:r w:rsidRPr="6F53E6DE" w:rsidR="6F53E6DE">
        <w:rPr>
          <w:rFonts w:ascii="Arial" w:hAnsi="Arial" w:eastAsia="Arial" w:cs="Arial"/>
          <w:sz w:val="24"/>
          <w:szCs w:val="24"/>
        </w:rPr>
        <w:t xml:space="preserve"> and client service. Clear standards reduce confusion and make feedback fairer. Goal-setting research shows people perform better when goals are specific and paired with feedback (Locke and Latham, 2002).</w:t>
      </w:r>
    </w:p>
    <w:p xmlns:wp14="http://schemas.microsoft.com/office/word/2010/wordml" w:rsidP="6F53E6DE" w14:paraId="72A277B9" wp14:textId="77777777" wp14:noSpellErr="1">
      <w:pPr>
        <w:pStyle w:val="Heading3"/>
        <w:spacing w:before="200" w:after="120" w:line="360" w:lineRule="auto"/>
        <w:jc w:val="both"/>
        <w:rPr>
          <w:rFonts w:ascii="Arial" w:hAnsi="Arial" w:eastAsia="Arial" w:cs="Arial"/>
          <w:sz w:val="24"/>
          <w:szCs w:val="24"/>
        </w:rPr>
      </w:pPr>
      <w:r w:rsidRPr="6F53E6DE" w:rsidR="6F53E6DE">
        <w:rPr>
          <w:rFonts w:ascii="Arial" w:hAnsi="Arial" w:eastAsia="Arial" w:cs="Arial"/>
          <w:sz w:val="24"/>
          <w:szCs w:val="24"/>
        </w:rPr>
        <w:t>2.2.2 Fair allocator of work</w:t>
      </w:r>
    </w:p>
    <w:p xmlns:wp14="http://schemas.microsoft.com/office/word/2010/wordml" w:rsidP="6F53E6DE" w14:paraId="6744CFDC" wp14:textId="77777777" wp14:noSpellErr="1">
      <w:pPr>
        <w:spacing w:after="120" w:line="360" w:lineRule="auto"/>
        <w:jc w:val="both"/>
        <w:rPr>
          <w:rFonts w:ascii="Arial" w:hAnsi="Arial" w:eastAsia="Arial" w:cs="Arial"/>
          <w:sz w:val="24"/>
          <w:szCs w:val="24"/>
        </w:rPr>
      </w:pPr>
      <w:r w:rsidRPr="6F53E6DE" w:rsidR="6F53E6DE">
        <w:rPr>
          <w:rFonts w:ascii="Arial" w:hAnsi="Arial" w:eastAsia="Arial" w:cs="Arial"/>
          <w:sz w:val="24"/>
          <w:szCs w:val="24"/>
        </w:rPr>
        <w:t xml:space="preserve">Workload allocation is a repeated concern in the case study. Managers need to </w:t>
      </w:r>
      <w:r w:rsidRPr="6F53E6DE" w:rsidR="6F53E6DE">
        <w:rPr>
          <w:rFonts w:ascii="Arial" w:hAnsi="Arial" w:eastAsia="Arial" w:cs="Arial"/>
          <w:sz w:val="24"/>
          <w:szCs w:val="24"/>
        </w:rPr>
        <w:t>allocate</w:t>
      </w:r>
      <w:r w:rsidRPr="6F53E6DE" w:rsidR="6F53E6DE">
        <w:rPr>
          <w:rFonts w:ascii="Arial" w:hAnsi="Arial" w:eastAsia="Arial" w:cs="Arial"/>
          <w:sz w:val="24"/>
          <w:szCs w:val="24"/>
        </w:rPr>
        <w:t xml:space="preserve"> tasks transparently and explain decisions, especially when resources are tight. Equity theory explains why this matters: perceived unfairness reduces effort and increases withdrawal and exit (Adams, 1965).</w:t>
      </w:r>
    </w:p>
    <w:p xmlns:wp14="http://schemas.microsoft.com/office/word/2010/wordml" w:rsidP="6F53E6DE" w14:paraId="032C721F" wp14:textId="77777777" wp14:noSpellErr="1">
      <w:pPr>
        <w:pStyle w:val="Heading3"/>
        <w:spacing w:before="200" w:after="120" w:line="360" w:lineRule="auto"/>
        <w:jc w:val="both"/>
        <w:rPr>
          <w:rFonts w:ascii="Arial" w:hAnsi="Arial" w:eastAsia="Arial" w:cs="Arial"/>
          <w:sz w:val="24"/>
          <w:szCs w:val="24"/>
        </w:rPr>
      </w:pPr>
      <w:r w:rsidRPr="6F53E6DE" w:rsidR="6F53E6DE">
        <w:rPr>
          <w:rFonts w:ascii="Arial" w:hAnsi="Arial" w:eastAsia="Arial" w:cs="Arial"/>
          <w:sz w:val="24"/>
          <w:szCs w:val="24"/>
        </w:rPr>
        <w:t>2.2.3 Coach and developer</w:t>
      </w:r>
    </w:p>
    <w:p xmlns:wp14="http://schemas.microsoft.com/office/word/2010/wordml" w:rsidP="6F53E6DE" w14:paraId="2F0AF1ED" wp14:textId="77777777" wp14:noSpellErr="1">
      <w:pPr>
        <w:spacing w:after="120" w:line="360" w:lineRule="auto"/>
        <w:jc w:val="both"/>
        <w:rPr>
          <w:rFonts w:ascii="Arial" w:hAnsi="Arial" w:eastAsia="Arial" w:cs="Arial"/>
          <w:sz w:val="24"/>
          <w:szCs w:val="24"/>
        </w:rPr>
      </w:pPr>
      <w:r w:rsidRPr="6F53E6DE" w:rsidR="6F53E6DE">
        <w:rPr>
          <w:rFonts w:ascii="Arial" w:hAnsi="Arial" w:eastAsia="Arial" w:cs="Arial"/>
          <w:sz w:val="24"/>
          <w:szCs w:val="24"/>
        </w:rPr>
        <w:t>Managers must build capability through short coaching moments and practical learning. Coaching supports performance and retention because it shows investment in people and improves problem-solving (Whitmore, 2017).</w:t>
      </w:r>
    </w:p>
    <w:p xmlns:wp14="http://schemas.microsoft.com/office/word/2010/wordml" w:rsidP="6F53E6DE" w14:paraId="182D4880" wp14:textId="77777777" wp14:noSpellErr="1">
      <w:pPr>
        <w:pStyle w:val="Heading3"/>
        <w:spacing w:before="200" w:after="120" w:line="360" w:lineRule="auto"/>
        <w:jc w:val="both"/>
        <w:rPr>
          <w:rFonts w:ascii="Arial" w:hAnsi="Arial" w:eastAsia="Arial" w:cs="Arial"/>
          <w:sz w:val="24"/>
          <w:szCs w:val="24"/>
        </w:rPr>
      </w:pPr>
      <w:r w:rsidRPr="6F53E6DE" w:rsidR="6F53E6DE">
        <w:rPr>
          <w:rFonts w:ascii="Arial" w:hAnsi="Arial" w:eastAsia="Arial" w:cs="Arial"/>
          <w:sz w:val="24"/>
          <w:szCs w:val="24"/>
        </w:rPr>
        <w:t>2.2.4 Feedback giver and performance resolver</w:t>
      </w:r>
    </w:p>
    <w:p xmlns:wp14="http://schemas.microsoft.com/office/word/2010/wordml" w:rsidP="6F53E6DE" w14:paraId="48560172" wp14:textId="77777777" wp14:noSpellErr="1">
      <w:pPr>
        <w:spacing w:after="120" w:line="360" w:lineRule="auto"/>
        <w:jc w:val="both"/>
        <w:rPr>
          <w:rFonts w:ascii="Arial" w:hAnsi="Arial" w:eastAsia="Arial" w:cs="Arial"/>
          <w:sz w:val="24"/>
          <w:szCs w:val="24"/>
        </w:rPr>
      </w:pPr>
      <w:r w:rsidRPr="6F53E6DE" w:rsidR="6F53E6DE">
        <w:rPr>
          <w:rFonts w:ascii="Arial" w:hAnsi="Arial" w:eastAsia="Arial" w:cs="Arial"/>
          <w:sz w:val="24"/>
          <w:szCs w:val="24"/>
        </w:rPr>
        <w:t xml:space="preserve">Managers need to make feedback </w:t>
      </w:r>
      <w:r w:rsidRPr="6F53E6DE" w:rsidR="6F53E6DE">
        <w:rPr>
          <w:rFonts w:ascii="Arial" w:hAnsi="Arial" w:eastAsia="Arial" w:cs="Arial"/>
          <w:sz w:val="24"/>
          <w:szCs w:val="24"/>
        </w:rPr>
        <w:t>routine</w:t>
      </w:r>
      <w:r w:rsidRPr="6F53E6DE" w:rsidR="6F53E6DE">
        <w:rPr>
          <w:rFonts w:ascii="Arial" w:hAnsi="Arial" w:eastAsia="Arial" w:cs="Arial"/>
          <w:sz w:val="24"/>
          <w:szCs w:val="24"/>
        </w:rPr>
        <w:t xml:space="preserve"> and deal with underperformance early. Evidence suggests </w:t>
      </w:r>
      <w:r w:rsidRPr="6F53E6DE" w:rsidR="6F53E6DE">
        <w:rPr>
          <w:rFonts w:ascii="Arial" w:hAnsi="Arial" w:eastAsia="Arial" w:cs="Arial"/>
          <w:sz w:val="24"/>
          <w:szCs w:val="24"/>
        </w:rPr>
        <w:t>ongoing,</w:t>
      </w:r>
      <w:r w:rsidRPr="6F53E6DE" w:rsidR="6F53E6DE">
        <w:rPr>
          <w:rFonts w:ascii="Arial" w:hAnsi="Arial" w:eastAsia="Arial" w:cs="Arial"/>
          <w:sz w:val="24"/>
          <w:szCs w:val="24"/>
        </w:rPr>
        <w:t xml:space="preserve"> learning-focused feedback is more effective than relying on infrequent appraisals (DeNisi and Murphy, 2017). When performance does not improve, managers also need confidence in fair process and documentation (ACAS, 2023).</w:t>
      </w:r>
    </w:p>
    <w:p xmlns:wp14="http://schemas.microsoft.com/office/word/2010/wordml" w:rsidP="6F53E6DE" w14:paraId="1A52D202" wp14:textId="77777777" wp14:noSpellErr="1">
      <w:pPr>
        <w:pStyle w:val="Heading3"/>
        <w:spacing w:before="200" w:after="120" w:line="360" w:lineRule="auto"/>
        <w:jc w:val="both"/>
        <w:rPr>
          <w:rFonts w:ascii="Arial" w:hAnsi="Arial" w:eastAsia="Arial" w:cs="Arial"/>
          <w:sz w:val="24"/>
          <w:szCs w:val="24"/>
        </w:rPr>
      </w:pPr>
      <w:r w:rsidRPr="6F53E6DE" w:rsidR="6F53E6DE">
        <w:rPr>
          <w:rFonts w:ascii="Arial" w:hAnsi="Arial" w:eastAsia="Arial" w:cs="Arial"/>
          <w:sz w:val="24"/>
          <w:szCs w:val="24"/>
        </w:rPr>
        <w:t>2.2.5 Engagement builder and culture shaper</w:t>
      </w:r>
    </w:p>
    <w:p xmlns:wp14="http://schemas.microsoft.com/office/word/2010/wordml" w:rsidP="6F53E6DE" w14:paraId="1B531101" wp14:textId="77777777" wp14:noSpellErr="1">
      <w:pPr>
        <w:spacing w:after="120" w:line="360" w:lineRule="auto"/>
        <w:jc w:val="both"/>
        <w:rPr>
          <w:rFonts w:ascii="Arial" w:hAnsi="Arial" w:eastAsia="Arial" w:cs="Arial"/>
          <w:sz w:val="24"/>
          <w:szCs w:val="24"/>
        </w:rPr>
      </w:pPr>
      <w:r w:rsidRPr="6F53E6DE" w:rsidR="6F53E6DE">
        <w:rPr>
          <w:rFonts w:ascii="Arial" w:hAnsi="Arial" w:eastAsia="Arial" w:cs="Arial"/>
          <w:sz w:val="24"/>
          <w:szCs w:val="24"/>
        </w:rPr>
        <w:t>BrightWave’s</w:t>
      </w:r>
      <w:r w:rsidRPr="6F53E6DE" w:rsidR="6F53E6DE">
        <w:rPr>
          <w:rFonts w:ascii="Arial" w:hAnsi="Arial" w:eastAsia="Arial" w:cs="Arial"/>
          <w:sz w:val="24"/>
          <w:szCs w:val="24"/>
        </w:rPr>
        <w:t xml:space="preserve"> culture is described as low on recognition and resistant to </w:t>
      </w:r>
      <w:r w:rsidRPr="6F53E6DE" w:rsidR="6F53E6DE">
        <w:rPr>
          <w:rFonts w:ascii="Arial" w:hAnsi="Arial" w:eastAsia="Arial" w:cs="Arial"/>
          <w:sz w:val="24"/>
          <w:szCs w:val="24"/>
        </w:rPr>
        <w:t>new ideas</w:t>
      </w:r>
      <w:r w:rsidRPr="6F53E6DE" w:rsidR="6F53E6DE">
        <w:rPr>
          <w:rFonts w:ascii="Arial" w:hAnsi="Arial" w:eastAsia="Arial" w:cs="Arial"/>
          <w:sz w:val="24"/>
          <w:szCs w:val="24"/>
        </w:rPr>
        <w:t xml:space="preserve">. Managers shape culture through daily </w:t>
      </w:r>
      <w:r w:rsidRPr="6F53E6DE" w:rsidR="6F53E6DE">
        <w:rPr>
          <w:rFonts w:ascii="Arial" w:hAnsi="Arial" w:eastAsia="Arial" w:cs="Arial"/>
          <w:sz w:val="24"/>
          <w:szCs w:val="24"/>
        </w:rPr>
        <w:t>behaviour</w:t>
      </w:r>
      <w:r w:rsidRPr="6F53E6DE" w:rsidR="6F53E6DE">
        <w:rPr>
          <w:rFonts w:ascii="Arial" w:hAnsi="Arial" w:eastAsia="Arial" w:cs="Arial"/>
          <w:sz w:val="24"/>
          <w:szCs w:val="24"/>
        </w:rPr>
        <w:t xml:space="preserve">: noticing </w:t>
      </w:r>
      <w:r w:rsidRPr="6F53E6DE" w:rsidR="6F53E6DE">
        <w:rPr>
          <w:rFonts w:ascii="Arial" w:hAnsi="Arial" w:eastAsia="Arial" w:cs="Arial"/>
          <w:sz w:val="24"/>
          <w:szCs w:val="24"/>
        </w:rPr>
        <w:t>good work</w:t>
      </w:r>
      <w:r w:rsidRPr="6F53E6DE" w:rsidR="6F53E6DE">
        <w:rPr>
          <w:rFonts w:ascii="Arial" w:hAnsi="Arial" w:eastAsia="Arial" w:cs="Arial"/>
          <w:sz w:val="24"/>
          <w:szCs w:val="24"/>
        </w:rPr>
        <w:t xml:space="preserve">, involving staff in small </w:t>
      </w:r>
      <w:r w:rsidRPr="6F53E6DE" w:rsidR="6F53E6DE">
        <w:rPr>
          <w:rFonts w:ascii="Arial" w:hAnsi="Arial" w:eastAsia="Arial" w:cs="Arial"/>
          <w:sz w:val="24"/>
          <w:szCs w:val="24"/>
        </w:rPr>
        <w:t>improvements</w:t>
      </w:r>
      <w:r w:rsidRPr="6F53E6DE" w:rsidR="6F53E6DE">
        <w:rPr>
          <w:rFonts w:ascii="Arial" w:hAnsi="Arial" w:eastAsia="Arial" w:cs="Arial"/>
          <w:sz w:val="24"/>
          <w:szCs w:val="24"/>
        </w:rPr>
        <w:t xml:space="preserve"> and encouraging teamwork between sites. These repeated signals are what change culture over time (Schein, 2017).</w:t>
      </w:r>
    </w:p>
    <w:p xmlns:wp14="http://schemas.microsoft.com/office/word/2010/wordml" w:rsidP="6F53E6DE" w14:paraId="0F1634F5" wp14:textId="77777777" wp14:noSpellErr="1">
      <w:pPr>
        <w:pStyle w:val="Heading2"/>
        <w:spacing w:before="200" w:after="120" w:line="360" w:lineRule="auto"/>
        <w:jc w:val="both"/>
        <w:rPr>
          <w:rFonts w:ascii="Arial" w:hAnsi="Arial" w:eastAsia="Arial" w:cs="Arial"/>
          <w:sz w:val="24"/>
          <w:szCs w:val="24"/>
        </w:rPr>
      </w:pPr>
      <w:r w:rsidRPr="6F53E6DE" w:rsidR="6F53E6DE">
        <w:rPr>
          <w:rFonts w:ascii="Arial" w:hAnsi="Arial" w:eastAsia="Arial" w:cs="Arial"/>
          <w:sz w:val="24"/>
          <w:szCs w:val="24"/>
        </w:rPr>
        <w:t xml:space="preserve">2.3 Skills </w:t>
      </w:r>
      <w:r w:rsidRPr="6F53E6DE" w:rsidR="6F53E6DE">
        <w:rPr>
          <w:rFonts w:ascii="Arial" w:hAnsi="Arial" w:eastAsia="Arial" w:cs="Arial"/>
          <w:sz w:val="24"/>
          <w:szCs w:val="24"/>
        </w:rPr>
        <w:t>BrightWave</w:t>
      </w:r>
      <w:r w:rsidRPr="6F53E6DE" w:rsidR="6F53E6DE">
        <w:rPr>
          <w:rFonts w:ascii="Arial" w:hAnsi="Arial" w:eastAsia="Arial" w:cs="Arial"/>
          <w:sz w:val="24"/>
          <w:szCs w:val="24"/>
        </w:rPr>
        <w:t xml:space="preserve"> managers need</w:t>
      </w:r>
    </w:p>
    <w:p xmlns:wp14="http://schemas.microsoft.com/office/word/2010/wordml" w:rsidP="6F53E6DE" w14:paraId="76404FE7" wp14:textId="77777777" wp14:noSpellErr="1">
      <w:pPr>
        <w:spacing w:after="120" w:line="360" w:lineRule="auto"/>
        <w:jc w:val="both"/>
        <w:rPr>
          <w:rFonts w:ascii="Arial" w:hAnsi="Arial" w:eastAsia="Arial" w:cs="Arial"/>
          <w:sz w:val="24"/>
          <w:szCs w:val="24"/>
        </w:rPr>
      </w:pPr>
      <w:r w:rsidRPr="6F53E6DE" w:rsidR="6F53E6DE">
        <w:rPr>
          <w:rFonts w:ascii="Arial" w:hAnsi="Arial" w:eastAsia="Arial" w:cs="Arial"/>
          <w:sz w:val="24"/>
          <w:szCs w:val="24"/>
        </w:rPr>
        <w:t xml:space="preserve">The roles above require </w:t>
      </w:r>
      <w:r w:rsidRPr="6F53E6DE" w:rsidR="6F53E6DE">
        <w:rPr>
          <w:rFonts w:ascii="Arial" w:hAnsi="Arial" w:eastAsia="Arial" w:cs="Arial"/>
          <w:sz w:val="24"/>
          <w:szCs w:val="24"/>
        </w:rPr>
        <w:t>practical people</w:t>
      </w:r>
      <w:r w:rsidRPr="6F53E6DE" w:rsidR="6F53E6DE">
        <w:rPr>
          <w:rFonts w:ascii="Arial" w:hAnsi="Arial" w:eastAsia="Arial" w:cs="Arial"/>
          <w:sz w:val="24"/>
          <w:szCs w:val="24"/>
        </w:rPr>
        <w:t xml:space="preserve"> skills. The case suggests these skills are inconsistent because many supervisors have not had formal people-management training.</w:t>
      </w:r>
    </w:p>
    <w:p xmlns:wp14="http://schemas.microsoft.com/office/word/2010/wordml" w:rsidP="6F53E6DE" w14:paraId="425E869D" wp14:textId="77777777" wp14:noSpellErr="1">
      <w:pPr>
        <w:pStyle w:val="Heading3"/>
        <w:spacing w:before="200" w:after="120" w:line="360" w:lineRule="auto"/>
        <w:jc w:val="both"/>
        <w:rPr>
          <w:rFonts w:ascii="Arial" w:hAnsi="Arial" w:eastAsia="Arial" w:cs="Arial"/>
          <w:sz w:val="24"/>
          <w:szCs w:val="24"/>
        </w:rPr>
      </w:pPr>
      <w:r w:rsidRPr="6F53E6DE" w:rsidR="6F53E6DE">
        <w:rPr>
          <w:rFonts w:ascii="Arial" w:hAnsi="Arial" w:eastAsia="Arial" w:cs="Arial"/>
          <w:sz w:val="24"/>
          <w:szCs w:val="24"/>
        </w:rPr>
        <w:t>2.3.1 Clear communication and listening</w:t>
      </w:r>
    </w:p>
    <w:p xmlns:wp14="http://schemas.microsoft.com/office/word/2010/wordml" w:rsidP="6F53E6DE" w14:paraId="4E882973" wp14:textId="77777777" wp14:noSpellErr="1">
      <w:pPr>
        <w:spacing w:after="120" w:line="360" w:lineRule="auto"/>
        <w:jc w:val="both"/>
        <w:rPr>
          <w:rFonts w:ascii="Arial" w:hAnsi="Arial" w:eastAsia="Arial" w:cs="Arial"/>
          <w:sz w:val="24"/>
          <w:szCs w:val="24"/>
        </w:rPr>
      </w:pPr>
      <w:r w:rsidRPr="6F53E6DE" w:rsidR="6F53E6DE">
        <w:rPr>
          <w:rFonts w:ascii="Arial" w:hAnsi="Arial" w:eastAsia="Arial" w:cs="Arial"/>
          <w:sz w:val="24"/>
          <w:szCs w:val="24"/>
        </w:rPr>
        <w:t xml:space="preserve">Managers must communicate expectations clearly, check </w:t>
      </w:r>
      <w:r w:rsidRPr="6F53E6DE" w:rsidR="6F53E6DE">
        <w:rPr>
          <w:rFonts w:ascii="Arial" w:hAnsi="Arial" w:eastAsia="Arial" w:cs="Arial"/>
          <w:sz w:val="24"/>
          <w:szCs w:val="24"/>
        </w:rPr>
        <w:t>understanding</w:t>
      </w:r>
      <w:r w:rsidRPr="6F53E6DE" w:rsidR="6F53E6DE">
        <w:rPr>
          <w:rFonts w:ascii="Arial" w:hAnsi="Arial" w:eastAsia="Arial" w:cs="Arial"/>
          <w:sz w:val="24"/>
          <w:szCs w:val="24"/>
        </w:rPr>
        <w:t xml:space="preserve"> and listen to staff concerns. Good listening improves trust and helps managers spot barriers to performance before they become client issues.</w:t>
      </w:r>
    </w:p>
    <w:p xmlns:wp14="http://schemas.microsoft.com/office/word/2010/wordml" w:rsidP="6F53E6DE" w14:paraId="6A3F922E" wp14:textId="77777777" wp14:noSpellErr="1">
      <w:pPr>
        <w:pStyle w:val="Heading3"/>
        <w:spacing w:before="200" w:after="120" w:line="360" w:lineRule="auto"/>
        <w:jc w:val="both"/>
        <w:rPr>
          <w:rFonts w:ascii="Arial" w:hAnsi="Arial" w:eastAsia="Arial" w:cs="Arial"/>
          <w:sz w:val="24"/>
          <w:szCs w:val="24"/>
        </w:rPr>
      </w:pPr>
      <w:r w:rsidRPr="6F53E6DE" w:rsidR="6F53E6DE">
        <w:rPr>
          <w:rFonts w:ascii="Arial" w:hAnsi="Arial" w:eastAsia="Arial" w:cs="Arial"/>
          <w:sz w:val="24"/>
          <w:szCs w:val="24"/>
        </w:rPr>
        <w:t>2.3.2 Constructive feedback and difficult conversations</w:t>
      </w:r>
    </w:p>
    <w:p xmlns:wp14="http://schemas.microsoft.com/office/word/2010/wordml" w:rsidP="6F53E6DE" w14:paraId="78C2171E" wp14:textId="77777777" wp14:noSpellErr="1">
      <w:pPr>
        <w:spacing w:after="120" w:line="360" w:lineRule="auto"/>
        <w:jc w:val="both"/>
        <w:rPr>
          <w:rFonts w:ascii="Arial" w:hAnsi="Arial" w:eastAsia="Arial" w:cs="Arial"/>
          <w:sz w:val="24"/>
          <w:szCs w:val="24"/>
        </w:rPr>
      </w:pPr>
      <w:r w:rsidRPr="6F53E6DE" w:rsidR="6F53E6DE">
        <w:rPr>
          <w:rFonts w:ascii="Arial" w:hAnsi="Arial" w:eastAsia="Arial" w:cs="Arial"/>
          <w:sz w:val="24"/>
          <w:szCs w:val="24"/>
        </w:rPr>
        <w:t xml:space="preserve">A simple structure helps managers feel confident: describe the </w:t>
      </w:r>
      <w:r w:rsidRPr="6F53E6DE" w:rsidR="6F53E6DE">
        <w:rPr>
          <w:rFonts w:ascii="Arial" w:hAnsi="Arial" w:eastAsia="Arial" w:cs="Arial"/>
          <w:sz w:val="24"/>
          <w:szCs w:val="24"/>
        </w:rPr>
        <w:t>behaviour</w:t>
      </w:r>
      <w:r w:rsidRPr="6F53E6DE" w:rsidR="6F53E6DE">
        <w:rPr>
          <w:rFonts w:ascii="Arial" w:hAnsi="Arial" w:eastAsia="Arial" w:cs="Arial"/>
          <w:sz w:val="24"/>
          <w:szCs w:val="24"/>
        </w:rPr>
        <w:t xml:space="preserve"> with examples, explain the impact, restate the standard, ask for the employee’s view, agree </w:t>
      </w:r>
      <w:r w:rsidRPr="6F53E6DE" w:rsidR="6F53E6DE">
        <w:rPr>
          <w:rFonts w:ascii="Arial" w:hAnsi="Arial" w:eastAsia="Arial" w:cs="Arial"/>
          <w:sz w:val="24"/>
          <w:szCs w:val="24"/>
        </w:rPr>
        <w:t>actions</w:t>
      </w:r>
      <w:r w:rsidRPr="6F53E6DE" w:rsidR="6F53E6DE">
        <w:rPr>
          <w:rFonts w:ascii="Arial" w:hAnsi="Arial" w:eastAsia="Arial" w:cs="Arial"/>
          <w:sz w:val="24"/>
          <w:szCs w:val="24"/>
        </w:rPr>
        <w:t xml:space="preserve"> and set a follow-up date. ACAS </w:t>
      </w:r>
      <w:r w:rsidRPr="6F53E6DE" w:rsidR="6F53E6DE">
        <w:rPr>
          <w:rFonts w:ascii="Arial" w:hAnsi="Arial" w:eastAsia="Arial" w:cs="Arial"/>
          <w:sz w:val="24"/>
          <w:szCs w:val="24"/>
        </w:rPr>
        <w:t>emphasises</w:t>
      </w:r>
      <w:r w:rsidRPr="6F53E6DE" w:rsidR="6F53E6DE">
        <w:rPr>
          <w:rFonts w:ascii="Arial" w:hAnsi="Arial" w:eastAsia="Arial" w:cs="Arial"/>
          <w:sz w:val="24"/>
          <w:szCs w:val="24"/>
        </w:rPr>
        <w:t xml:space="preserve"> being specific, </w:t>
      </w:r>
      <w:r w:rsidRPr="6F53E6DE" w:rsidR="6F53E6DE">
        <w:rPr>
          <w:rFonts w:ascii="Arial" w:hAnsi="Arial" w:eastAsia="Arial" w:cs="Arial"/>
          <w:sz w:val="24"/>
          <w:szCs w:val="24"/>
        </w:rPr>
        <w:t>respectful</w:t>
      </w:r>
      <w:r w:rsidRPr="6F53E6DE" w:rsidR="6F53E6DE">
        <w:rPr>
          <w:rFonts w:ascii="Arial" w:hAnsi="Arial" w:eastAsia="Arial" w:cs="Arial"/>
          <w:sz w:val="24"/>
          <w:szCs w:val="24"/>
        </w:rPr>
        <w:t xml:space="preserve"> and </w:t>
      </w:r>
      <w:r w:rsidRPr="6F53E6DE" w:rsidR="6F53E6DE">
        <w:rPr>
          <w:rFonts w:ascii="Arial" w:hAnsi="Arial" w:eastAsia="Arial" w:cs="Arial"/>
          <w:sz w:val="24"/>
          <w:szCs w:val="24"/>
        </w:rPr>
        <w:t>timely</w:t>
      </w:r>
      <w:r w:rsidRPr="6F53E6DE" w:rsidR="6F53E6DE">
        <w:rPr>
          <w:rFonts w:ascii="Arial" w:hAnsi="Arial" w:eastAsia="Arial" w:cs="Arial"/>
          <w:sz w:val="24"/>
          <w:szCs w:val="24"/>
        </w:rPr>
        <w:t xml:space="preserve"> (ACAS, 2023).</w:t>
      </w:r>
    </w:p>
    <w:p xmlns:wp14="http://schemas.microsoft.com/office/word/2010/wordml" w:rsidP="6F53E6DE" w14:paraId="6C9AA615" wp14:textId="77777777" wp14:noSpellErr="1">
      <w:pPr>
        <w:pStyle w:val="Heading3"/>
        <w:spacing w:before="200" w:after="120" w:line="360" w:lineRule="auto"/>
        <w:jc w:val="both"/>
        <w:rPr>
          <w:rFonts w:ascii="Arial" w:hAnsi="Arial" w:eastAsia="Arial" w:cs="Arial"/>
          <w:sz w:val="24"/>
          <w:szCs w:val="24"/>
        </w:rPr>
      </w:pPr>
      <w:r w:rsidRPr="6F53E6DE" w:rsidR="6F53E6DE">
        <w:rPr>
          <w:rFonts w:ascii="Arial" w:hAnsi="Arial" w:eastAsia="Arial" w:cs="Arial"/>
          <w:sz w:val="24"/>
          <w:szCs w:val="24"/>
        </w:rPr>
        <w:t>2.3.3 Coaching skill</w:t>
      </w:r>
    </w:p>
    <w:p xmlns:wp14="http://schemas.microsoft.com/office/word/2010/wordml" w:rsidP="6F53E6DE" w14:paraId="21CCEAF0" wp14:textId="77777777" wp14:noSpellErr="1">
      <w:pPr>
        <w:spacing w:after="120" w:line="360" w:lineRule="auto"/>
        <w:jc w:val="both"/>
        <w:rPr>
          <w:rFonts w:ascii="Arial" w:hAnsi="Arial" w:eastAsia="Arial" w:cs="Arial"/>
          <w:sz w:val="24"/>
          <w:szCs w:val="24"/>
        </w:rPr>
      </w:pPr>
      <w:r w:rsidRPr="6F53E6DE" w:rsidR="6F53E6DE">
        <w:rPr>
          <w:rFonts w:ascii="Arial" w:hAnsi="Arial" w:eastAsia="Arial" w:cs="Arial"/>
          <w:sz w:val="24"/>
          <w:szCs w:val="24"/>
        </w:rPr>
        <w:t>Coaching is not a long meeting; it is a short, structured way to help someone improve. The GROW approach (Goal, Reality, Options, Will) is widely used because it fits real work pressure and supports ownership (Whitmore, 2017).</w:t>
      </w:r>
    </w:p>
    <w:p xmlns:wp14="http://schemas.microsoft.com/office/word/2010/wordml" w:rsidP="6F53E6DE" w14:paraId="6A846180" wp14:textId="77777777" wp14:noSpellErr="1">
      <w:pPr>
        <w:pStyle w:val="Heading3"/>
        <w:spacing w:before="200" w:after="120" w:line="360" w:lineRule="auto"/>
        <w:jc w:val="both"/>
        <w:rPr>
          <w:rFonts w:ascii="Arial" w:hAnsi="Arial" w:eastAsia="Arial" w:cs="Arial"/>
          <w:sz w:val="24"/>
          <w:szCs w:val="24"/>
        </w:rPr>
      </w:pPr>
      <w:r w:rsidRPr="6F53E6DE" w:rsidR="6F53E6DE">
        <w:rPr>
          <w:rFonts w:ascii="Arial" w:hAnsi="Arial" w:eastAsia="Arial" w:cs="Arial"/>
          <w:sz w:val="24"/>
          <w:szCs w:val="24"/>
        </w:rPr>
        <w:t>2.3.4 Emotional intelligence and conflict handling</w:t>
      </w:r>
    </w:p>
    <w:p xmlns:wp14="http://schemas.microsoft.com/office/word/2010/wordml" w:rsidP="6F53E6DE" w14:paraId="4B3BAD87" wp14:textId="77777777" wp14:noSpellErr="1">
      <w:pPr>
        <w:spacing w:after="120" w:line="360" w:lineRule="auto"/>
        <w:jc w:val="both"/>
        <w:rPr>
          <w:rFonts w:ascii="Arial" w:hAnsi="Arial" w:eastAsia="Arial" w:cs="Arial"/>
          <w:sz w:val="24"/>
          <w:szCs w:val="24"/>
        </w:rPr>
      </w:pPr>
      <w:r w:rsidRPr="6F53E6DE" w:rsidR="6F53E6DE">
        <w:rPr>
          <w:rFonts w:ascii="Arial" w:hAnsi="Arial" w:eastAsia="Arial" w:cs="Arial"/>
          <w:sz w:val="24"/>
          <w:szCs w:val="24"/>
        </w:rPr>
        <w:t xml:space="preserve">Workload and performance issues can create tension, especially in teams with long-serving staff. Emotional intelligence helps managers stay calm, show </w:t>
      </w:r>
      <w:r w:rsidRPr="6F53E6DE" w:rsidR="6F53E6DE">
        <w:rPr>
          <w:rFonts w:ascii="Arial" w:hAnsi="Arial" w:eastAsia="Arial" w:cs="Arial"/>
          <w:sz w:val="24"/>
          <w:szCs w:val="24"/>
        </w:rPr>
        <w:t>respect</w:t>
      </w:r>
      <w:r w:rsidRPr="6F53E6DE" w:rsidR="6F53E6DE">
        <w:rPr>
          <w:rFonts w:ascii="Arial" w:hAnsi="Arial" w:eastAsia="Arial" w:cs="Arial"/>
          <w:sz w:val="24"/>
          <w:szCs w:val="24"/>
        </w:rPr>
        <w:t xml:space="preserve"> and manage conflict rather than avoiding it (Goleman, 1998).</w:t>
      </w:r>
    </w:p>
    <w:p xmlns:wp14="http://schemas.microsoft.com/office/word/2010/wordml" w:rsidP="6F53E6DE" w14:paraId="29EDF04C" wp14:textId="77777777" wp14:noSpellErr="1">
      <w:pPr>
        <w:pStyle w:val="Heading3"/>
        <w:spacing w:before="200" w:after="120" w:line="360" w:lineRule="auto"/>
        <w:jc w:val="both"/>
        <w:rPr>
          <w:rFonts w:ascii="Arial" w:hAnsi="Arial" w:eastAsia="Arial" w:cs="Arial"/>
          <w:sz w:val="24"/>
          <w:szCs w:val="24"/>
        </w:rPr>
      </w:pPr>
      <w:r w:rsidRPr="6F53E6DE" w:rsidR="6F53E6DE">
        <w:rPr>
          <w:rFonts w:ascii="Arial" w:hAnsi="Arial" w:eastAsia="Arial" w:cs="Arial"/>
          <w:sz w:val="24"/>
          <w:szCs w:val="24"/>
        </w:rPr>
        <w:t>2.3.5 Diagnosing performance problems</w:t>
      </w:r>
    </w:p>
    <w:p xmlns:wp14="http://schemas.microsoft.com/office/word/2010/wordml" w:rsidP="6F53E6DE" w14:paraId="0A7A752C" wp14:textId="77777777" wp14:noSpellErr="1">
      <w:pPr>
        <w:spacing w:after="120" w:line="360" w:lineRule="auto"/>
        <w:jc w:val="both"/>
        <w:rPr>
          <w:rFonts w:ascii="Arial" w:hAnsi="Arial" w:eastAsia="Arial" w:cs="Arial"/>
          <w:sz w:val="24"/>
          <w:szCs w:val="24"/>
        </w:rPr>
      </w:pPr>
      <w:r w:rsidRPr="6F53E6DE" w:rsidR="6F53E6DE">
        <w:rPr>
          <w:rFonts w:ascii="Arial" w:hAnsi="Arial" w:eastAsia="Arial" w:cs="Arial"/>
          <w:sz w:val="24"/>
          <w:szCs w:val="24"/>
        </w:rPr>
        <w:t>Managers should check whether the issue is ability (skills/knowledge), motivation, or opportunity (time, equipment, clarity, support). This avoids blaming individuals for system problems and leads to better solutions (Armstrong and Taylor, 2023).</w:t>
      </w:r>
    </w:p>
    <w:p xmlns:wp14="http://schemas.microsoft.com/office/word/2010/wordml" w:rsidP="6F53E6DE" w14:paraId="7440D4A7" wp14:textId="77777777" wp14:noSpellErr="1">
      <w:pPr>
        <w:pStyle w:val="Heading3"/>
        <w:spacing w:before="200" w:after="120" w:line="360" w:lineRule="auto"/>
        <w:jc w:val="both"/>
        <w:rPr>
          <w:rFonts w:ascii="Arial" w:hAnsi="Arial" w:eastAsia="Arial" w:cs="Arial"/>
          <w:sz w:val="24"/>
          <w:szCs w:val="24"/>
        </w:rPr>
      </w:pPr>
      <w:r w:rsidRPr="6F53E6DE" w:rsidR="6F53E6DE">
        <w:rPr>
          <w:rFonts w:ascii="Arial" w:hAnsi="Arial" w:eastAsia="Arial" w:cs="Arial"/>
          <w:sz w:val="24"/>
          <w:szCs w:val="24"/>
        </w:rPr>
        <w:t xml:space="preserve">2.3.6 Motivating and </w:t>
      </w:r>
      <w:r w:rsidRPr="6F53E6DE" w:rsidR="6F53E6DE">
        <w:rPr>
          <w:rFonts w:ascii="Arial" w:hAnsi="Arial" w:eastAsia="Arial" w:cs="Arial"/>
          <w:sz w:val="24"/>
          <w:szCs w:val="24"/>
        </w:rPr>
        <w:t>retaining</w:t>
      </w:r>
      <w:r w:rsidRPr="6F53E6DE" w:rsidR="6F53E6DE">
        <w:rPr>
          <w:rFonts w:ascii="Arial" w:hAnsi="Arial" w:eastAsia="Arial" w:cs="Arial"/>
          <w:sz w:val="24"/>
          <w:szCs w:val="24"/>
        </w:rPr>
        <w:t xml:space="preserve"> staff in frontline roles</w:t>
      </w:r>
    </w:p>
    <w:p xmlns:wp14="http://schemas.microsoft.com/office/word/2010/wordml" w:rsidP="6F53E6DE" w14:paraId="0732195E" wp14:textId="77777777" wp14:noSpellErr="1">
      <w:pPr>
        <w:spacing w:after="120" w:line="360" w:lineRule="auto"/>
        <w:jc w:val="both"/>
        <w:rPr>
          <w:rFonts w:ascii="Arial" w:hAnsi="Arial" w:eastAsia="Arial" w:cs="Arial"/>
          <w:sz w:val="24"/>
          <w:szCs w:val="24"/>
        </w:rPr>
      </w:pPr>
      <w:r w:rsidRPr="6F53E6DE" w:rsidR="6F53E6DE">
        <w:rPr>
          <w:rFonts w:ascii="Arial" w:hAnsi="Arial" w:eastAsia="Arial" w:cs="Arial"/>
          <w:sz w:val="24"/>
          <w:szCs w:val="24"/>
        </w:rPr>
        <w:t xml:space="preserve">Pay and hours matter, but motivation also depends on recognition, </w:t>
      </w:r>
      <w:r w:rsidRPr="6F53E6DE" w:rsidR="6F53E6DE">
        <w:rPr>
          <w:rFonts w:ascii="Arial" w:hAnsi="Arial" w:eastAsia="Arial" w:cs="Arial"/>
          <w:sz w:val="24"/>
          <w:szCs w:val="24"/>
        </w:rPr>
        <w:t>growth</w:t>
      </w:r>
      <w:r w:rsidRPr="6F53E6DE" w:rsidR="6F53E6DE">
        <w:rPr>
          <w:rFonts w:ascii="Arial" w:hAnsi="Arial" w:eastAsia="Arial" w:cs="Arial"/>
          <w:sz w:val="24"/>
          <w:szCs w:val="24"/>
        </w:rPr>
        <w:t xml:space="preserve"> and feeling part of a team. Herzberg’s theory highlights recognition and development as key drivers (Herzberg, </w:t>
      </w:r>
      <w:r w:rsidRPr="6F53E6DE" w:rsidR="6F53E6DE">
        <w:rPr>
          <w:rFonts w:ascii="Arial" w:hAnsi="Arial" w:eastAsia="Arial" w:cs="Arial"/>
          <w:sz w:val="24"/>
          <w:szCs w:val="24"/>
        </w:rPr>
        <w:t>Mausner</w:t>
      </w:r>
      <w:r w:rsidRPr="6F53E6DE" w:rsidR="6F53E6DE">
        <w:rPr>
          <w:rFonts w:ascii="Arial" w:hAnsi="Arial" w:eastAsia="Arial" w:cs="Arial"/>
          <w:sz w:val="24"/>
          <w:szCs w:val="24"/>
        </w:rPr>
        <w:t xml:space="preserve"> and Snyderman, 1959). Self-determination theory adds that people engage more when they feel competent, </w:t>
      </w:r>
      <w:r w:rsidRPr="6F53E6DE" w:rsidR="6F53E6DE">
        <w:rPr>
          <w:rFonts w:ascii="Arial" w:hAnsi="Arial" w:eastAsia="Arial" w:cs="Arial"/>
          <w:sz w:val="24"/>
          <w:szCs w:val="24"/>
        </w:rPr>
        <w:t>connected</w:t>
      </w:r>
      <w:r w:rsidRPr="6F53E6DE" w:rsidR="6F53E6DE">
        <w:rPr>
          <w:rFonts w:ascii="Arial" w:hAnsi="Arial" w:eastAsia="Arial" w:cs="Arial"/>
          <w:sz w:val="24"/>
          <w:szCs w:val="24"/>
        </w:rPr>
        <w:t xml:space="preserve"> and trusted with some choice (Deci and Ryan, 2000).</w:t>
      </w:r>
    </w:p>
    <w:p xmlns:wp14="http://schemas.microsoft.com/office/word/2010/wordml" w:rsidP="6F53E6DE" w14:paraId="365E28A5" wp14:textId="77777777" wp14:noSpellErr="1">
      <w:pPr>
        <w:pStyle w:val="Heading2"/>
        <w:spacing w:before="200" w:after="120" w:line="360" w:lineRule="auto"/>
        <w:jc w:val="both"/>
        <w:rPr>
          <w:rFonts w:ascii="Arial" w:hAnsi="Arial" w:eastAsia="Arial" w:cs="Arial"/>
          <w:sz w:val="24"/>
          <w:szCs w:val="24"/>
        </w:rPr>
      </w:pPr>
      <w:r w:rsidRPr="6F53E6DE" w:rsidR="6F53E6DE">
        <w:rPr>
          <w:rFonts w:ascii="Arial" w:hAnsi="Arial" w:eastAsia="Arial" w:cs="Arial"/>
          <w:sz w:val="24"/>
          <w:szCs w:val="24"/>
        </w:rPr>
        <w:t xml:space="preserve">2.4 Applying people-management theories and models to </w:t>
      </w:r>
      <w:r w:rsidRPr="6F53E6DE" w:rsidR="6F53E6DE">
        <w:rPr>
          <w:rFonts w:ascii="Arial" w:hAnsi="Arial" w:eastAsia="Arial" w:cs="Arial"/>
          <w:sz w:val="24"/>
          <w:szCs w:val="24"/>
        </w:rPr>
        <w:t>BrightWave</w:t>
      </w:r>
    </w:p>
    <w:p xmlns:wp14="http://schemas.microsoft.com/office/word/2010/wordml" w:rsidP="6F53E6DE" w14:paraId="3D153F0B" wp14:textId="77777777" wp14:noSpellErr="1">
      <w:pPr>
        <w:spacing w:after="120" w:line="360" w:lineRule="auto"/>
        <w:jc w:val="both"/>
        <w:rPr>
          <w:rFonts w:ascii="Arial" w:hAnsi="Arial" w:eastAsia="Arial" w:cs="Arial"/>
          <w:sz w:val="24"/>
          <w:szCs w:val="24"/>
        </w:rPr>
      </w:pPr>
      <w:r w:rsidRPr="6F53E6DE" w:rsidR="6F53E6DE">
        <w:rPr>
          <w:rFonts w:ascii="Arial" w:hAnsi="Arial" w:eastAsia="Arial" w:cs="Arial"/>
          <w:sz w:val="24"/>
          <w:szCs w:val="24"/>
        </w:rPr>
        <w:t xml:space="preserve">Theories help explain why </w:t>
      </w:r>
      <w:r w:rsidRPr="6F53E6DE" w:rsidR="6F53E6DE">
        <w:rPr>
          <w:rFonts w:ascii="Arial" w:hAnsi="Arial" w:eastAsia="Arial" w:cs="Arial"/>
          <w:sz w:val="24"/>
          <w:szCs w:val="24"/>
        </w:rPr>
        <w:t>BrightWave’s</w:t>
      </w:r>
      <w:r w:rsidRPr="6F53E6DE" w:rsidR="6F53E6DE">
        <w:rPr>
          <w:rFonts w:ascii="Arial" w:hAnsi="Arial" w:eastAsia="Arial" w:cs="Arial"/>
          <w:sz w:val="24"/>
          <w:szCs w:val="24"/>
        </w:rPr>
        <w:t xml:space="preserve"> current approach produces low engagement and inconsistent service, and they also point to where managers should </w:t>
      </w:r>
      <w:r w:rsidRPr="6F53E6DE" w:rsidR="6F53E6DE">
        <w:rPr>
          <w:rFonts w:ascii="Arial" w:hAnsi="Arial" w:eastAsia="Arial" w:cs="Arial"/>
          <w:sz w:val="24"/>
          <w:szCs w:val="24"/>
        </w:rPr>
        <w:t>focus</w:t>
      </w:r>
      <w:r w:rsidRPr="6F53E6DE" w:rsidR="6F53E6DE">
        <w:rPr>
          <w:rFonts w:ascii="Arial" w:hAnsi="Arial" w:eastAsia="Arial" w:cs="Arial"/>
          <w:sz w:val="24"/>
          <w:szCs w:val="24"/>
        </w:rPr>
        <w:t xml:space="preserve"> their effort.</w:t>
      </w:r>
    </w:p>
    <w:p xmlns:wp14="http://schemas.microsoft.com/office/word/2010/wordml" w:rsidP="6F53E6DE" w14:paraId="0E7210CB" wp14:textId="77777777" wp14:noSpellErr="1">
      <w:pPr>
        <w:pStyle w:val="Heading3"/>
        <w:spacing w:before="200" w:after="120" w:line="360" w:lineRule="auto"/>
        <w:jc w:val="both"/>
        <w:rPr>
          <w:rFonts w:ascii="Arial" w:hAnsi="Arial" w:eastAsia="Arial" w:cs="Arial"/>
          <w:sz w:val="24"/>
          <w:szCs w:val="24"/>
        </w:rPr>
      </w:pPr>
      <w:r w:rsidRPr="6F53E6DE" w:rsidR="6F53E6DE">
        <w:rPr>
          <w:rFonts w:ascii="Arial" w:hAnsi="Arial" w:eastAsia="Arial" w:cs="Arial"/>
          <w:sz w:val="24"/>
          <w:szCs w:val="24"/>
        </w:rPr>
        <w:t>2.4.1 Performance management as a continuous cycle</w:t>
      </w:r>
    </w:p>
    <w:p xmlns:wp14="http://schemas.microsoft.com/office/word/2010/wordml" w:rsidP="6F53E6DE" w14:paraId="468EC4AD" wp14:textId="77777777" wp14:noSpellErr="1">
      <w:pPr>
        <w:spacing w:after="120" w:line="360" w:lineRule="auto"/>
        <w:jc w:val="both"/>
        <w:rPr>
          <w:rFonts w:ascii="Arial" w:hAnsi="Arial" w:eastAsia="Arial" w:cs="Arial"/>
          <w:sz w:val="24"/>
          <w:szCs w:val="24"/>
        </w:rPr>
      </w:pPr>
      <w:r w:rsidRPr="6F53E6DE" w:rsidR="6F53E6DE">
        <w:rPr>
          <w:rFonts w:ascii="Arial" w:hAnsi="Arial" w:eastAsia="Arial" w:cs="Arial"/>
          <w:sz w:val="24"/>
          <w:szCs w:val="24"/>
        </w:rPr>
        <w:t xml:space="preserve">Armstrong (2020) describes performance management as a cycle: set expectations, support delivery, review </w:t>
      </w:r>
      <w:r w:rsidRPr="6F53E6DE" w:rsidR="6F53E6DE">
        <w:rPr>
          <w:rFonts w:ascii="Arial" w:hAnsi="Arial" w:eastAsia="Arial" w:cs="Arial"/>
          <w:sz w:val="24"/>
          <w:szCs w:val="24"/>
        </w:rPr>
        <w:t>progress</w:t>
      </w:r>
      <w:r w:rsidRPr="6F53E6DE" w:rsidR="6F53E6DE">
        <w:rPr>
          <w:rFonts w:ascii="Arial" w:hAnsi="Arial" w:eastAsia="Arial" w:cs="Arial"/>
          <w:sz w:val="24"/>
          <w:szCs w:val="24"/>
        </w:rPr>
        <w:t xml:space="preserve"> and improve. </w:t>
      </w:r>
      <w:r w:rsidRPr="6F53E6DE" w:rsidR="6F53E6DE">
        <w:rPr>
          <w:rFonts w:ascii="Arial" w:hAnsi="Arial" w:eastAsia="Arial" w:cs="Arial"/>
          <w:sz w:val="24"/>
          <w:szCs w:val="24"/>
        </w:rPr>
        <w:t>BrightWave’s</w:t>
      </w:r>
      <w:r w:rsidRPr="6F53E6DE" w:rsidR="6F53E6DE">
        <w:rPr>
          <w:rFonts w:ascii="Arial" w:hAnsi="Arial" w:eastAsia="Arial" w:cs="Arial"/>
          <w:sz w:val="24"/>
          <w:szCs w:val="24"/>
        </w:rPr>
        <w:t xml:space="preserve"> weak point is </w:t>
      </w:r>
      <w:r w:rsidRPr="6F53E6DE" w:rsidR="6F53E6DE">
        <w:rPr>
          <w:rFonts w:ascii="Arial" w:hAnsi="Arial" w:eastAsia="Arial" w:cs="Arial"/>
          <w:sz w:val="24"/>
          <w:szCs w:val="24"/>
        </w:rPr>
        <w:t>review, because</w:t>
      </w:r>
      <w:r w:rsidRPr="6F53E6DE" w:rsidR="6F53E6DE">
        <w:rPr>
          <w:rFonts w:ascii="Arial" w:hAnsi="Arial" w:eastAsia="Arial" w:cs="Arial"/>
          <w:sz w:val="24"/>
          <w:szCs w:val="24"/>
        </w:rPr>
        <w:t xml:space="preserve"> supervisors avoid conversations. Regular short check-ins make feedback less daunting and reduce surprises. CIPD also notes the shift towards continuous feedback rather than annual reviews (CIPD, 2022).</w:t>
      </w:r>
    </w:p>
    <w:p xmlns:wp14="http://schemas.microsoft.com/office/word/2010/wordml" w:rsidP="6F53E6DE" w14:paraId="0E289F0F" wp14:textId="77777777" wp14:noSpellErr="1">
      <w:pPr>
        <w:pStyle w:val="Heading3"/>
        <w:spacing w:before="200" w:after="120" w:line="360" w:lineRule="auto"/>
        <w:jc w:val="both"/>
        <w:rPr>
          <w:rFonts w:ascii="Arial" w:hAnsi="Arial" w:eastAsia="Arial" w:cs="Arial"/>
          <w:sz w:val="24"/>
          <w:szCs w:val="24"/>
        </w:rPr>
      </w:pPr>
      <w:r w:rsidRPr="6F53E6DE" w:rsidR="6F53E6DE">
        <w:rPr>
          <w:rFonts w:ascii="Arial" w:hAnsi="Arial" w:eastAsia="Arial" w:cs="Arial"/>
          <w:sz w:val="24"/>
          <w:szCs w:val="24"/>
        </w:rPr>
        <w:t>2.4.2 Goal-setting theory: clarity and commitment</w:t>
      </w:r>
    </w:p>
    <w:p xmlns:wp14="http://schemas.microsoft.com/office/word/2010/wordml" w:rsidP="6F53E6DE" w14:paraId="6F261C04" wp14:textId="77777777" wp14:noSpellErr="1">
      <w:pPr>
        <w:spacing w:after="120" w:line="360" w:lineRule="auto"/>
        <w:jc w:val="both"/>
        <w:rPr>
          <w:rFonts w:ascii="Arial" w:hAnsi="Arial" w:eastAsia="Arial" w:cs="Arial"/>
          <w:sz w:val="24"/>
          <w:szCs w:val="24"/>
        </w:rPr>
      </w:pPr>
      <w:r w:rsidRPr="6F53E6DE" w:rsidR="6F53E6DE">
        <w:rPr>
          <w:rFonts w:ascii="Arial" w:hAnsi="Arial" w:eastAsia="Arial" w:cs="Arial"/>
          <w:sz w:val="24"/>
          <w:szCs w:val="24"/>
        </w:rPr>
        <w:t xml:space="preserve">Goal-setting theory suggests performance improves with clear goals, </w:t>
      </w:r>
      <w:r w:rsidRPr="6F53E6DE" w:rsidR="6F53E6DE">
        <w:rPr>
          <w:rFonts w:ascii="Arial" w:hAnsi="Arial" w:eastAsia="Arial" w:cs="Arial"/>
          <w:sz w:val="24"/>
          <w:szCs w:val="24"/>
        </w:rPr>
        <w:t>feedback</w:t>
      </w:r>
      <w:r w:rsidRPr="6F53E6DE" w:rsidR="6F53E6DE">
        <w:rPr>
          <w:rFonts w:ascii="Arial" w:hAnsi="Arial" w:eastAsia="Arial" w:cs="Arial"/>
          <w:sz w:val="24"/>
          <w:szCs w:val="24"/>
        </w:rPr>
        <w:t xml:space="preserve"> and commitment (Locke and Latham, 2002). </w:t>
      </w:r>
      <w:r w:rsidRPr="6F53E6DE" w:rsidR="6F53E6DE">
        <w:rPr>
          <w:rFonts w:ascii="Arial" w:hAnsi="Arial" w:eastAsia="Arial" w:cs="Arial"/>
          <w:sz w:val="24"/>
          <w:szCs w:val="24"/>
        </w:rPr>
        <w:t>BrightWave</w:t>
      </w:r>
      <w:r w:rsidRPr="6F53E6DE" w:rsidR="6F53E6DE">
        <w:rPr>
          <w:rFonts w:ascii="Arial" w:hAnsi="Arial" w:eastAsia="Arial" w:cs="Arial"/>
          <w:sz w:val="24"/>
          <w:szCs w:val="24"/>
        </w:rPr>
        <w:t xml:space="preserve"> should balance efficiency goals with quality and </w:t>
      </w:r>
      <w:r w:rsidRPr="6F53E6DE" w:rsidR="6F53E6DE">
        <w:rPr>
          <w:rFonts w:ascii="Arial" w:hAnsi="Arial" w:eastAsia="Arial" w:cs="Arial"/>
          <w:sz w:val="24"/>
          <w:szCs w:val="24"/>
        </w:rPr>
        <w:t>behaviour</w:t>
      </w:r>
      <w:r w:rsidRPr="6F53E6DE" w:rsidR="6F53E6DE">
        <w:rPr>
          <w:rFonts w:ascii="Arial" w:hAnsi="Arial" w:eastAsia="Arial" w:cs="Arial"/>
          <w:sz w:val="24"/>
          <w:szCs w:val="24"/>
        </w:rPr>
        <w:t xml:space="preserve"> </w:t>
      </w:r>
      <w:r w:rsidRPr="6F53E6DE" w:rsidR="6F53E6DE">
        <w:rPr>
          <w:rFonts w:ascii="Arial" w:hAnsi="Arial" w:eastAsia="Arial" w:cs="Arial"/>
          <w:sz w:val="24"/>
          <w:szCs w:val="24"/>
        </w:rPr>
        <w:t>standards</w:t>
      </w:r>
      <w:r w:rsidRPr="6F53E6DE" w:rsidR="6F53E6DE">
        <w:rPr>
          <w:rFonts w:ascii="Arial" w:hAnsi="Arial" w:eastAsia="Arial" w:cs="Arial"/>
          <w:sz w:val="24"/>
          <w:szCs w:val="24"/>
        </w:rPr>
        <w:t xml:space="preserve"> so teams understand that ‘how’ work is done matters as well as output.</w:t>
      </w:r>
    </w:p>
    <w:p xmlns:wp14="http://schemas.microsoft.com/office/word/2010/wordml" w:rsidP="6F53E6DE" w14:paraId="43C9E311" wp14:textId="77777777" wp14:noSpellErr="1">
      <w:pPr>
        <w:pStyle w:val="Heading3"/>
        <w:spacing w:before="200" w:after="120" w:line="360" w:lineRule="auto"/>
        <w:jc w:val="both"/>
        <w:rPr>
          <w:rFonts w:ascii="Arial" w:hAnsi="Arial" w:eastAsia="Arial" w:cs="Arial"/>
          <w:sz w:val="24"/>
          <w:szCs w:val="24"/>
        </w:rPr>
      </w:pPr>
      <w:r w:rsidRPr="6F53E6DE" w:rsidR="6F53E6DE">
        <w:rPr>
          <w:rFonts w:ascii="Arial" w:hAnsi="Arial" w:eastAsia="Arial" w:cs="Arial"/>
          <w:sz w:val="24"/>
          <w:szCs w:val="24"/>
        </w:rPr>
        <w:t>2.4.3 Expectancy theory: making effort feel worth it</w:t>
      </w:r>
    </w:p>
    <w:p xmlns:wp14="http://schemas.microsoft.com/office/word/2010/wordml" w:rsidP="6F53E6DE" w14:paraId="7AFFB8EA" wp14:textId="77777777" wp14:noSpellErr="1">
      <w:pPr>
        <w:spacing w:after="120" w:line="360" w:lineRule="auto"/>
        <w:jc w:val="both"/>
        <w:rPr>
          <w:rFonts w:ascii="Arial" w:hAnsi="Arial" w:eastAsia="Arial" w:cs="Arial"/>
          <w:sz w:val="24"/>
          <w:szCs w:val="24"/>
        </w:rPr>
      </w:pPr>
      <w:r w:rsidRPr="6F53E6DE" w:rsidR="6F53E6DE">
        <w:rPr>
          <w:rFonts w:ascii="Arial" w:hAnsi="Arial" w:eastAsia="Arial" w:cs="Arial"/>
          <w:sz w:val="24"/>
          <w:szCs w:val="24"/>
        </w:rPr>
        <w:t xml:space="preserve">Expectancy theory </w:t>
      </w:r>
      <w:r w:rsidRPr="6F53E6DE" w:rsidR="6F53E6DE">
        <w:rPr>
          <w:rFonts w:ascii="Arial" w:hAnsi="Arial" w:eastAsia="Arial" w:cs="Arial"/>
          <w:sz w:val="24"/>
          <w:szCs w:val="24"/>
        </w:rPr>
        <w:t>argues</w:t>
      </w:r>
      <w:r w:rsidRPr="6F53E6DE" w:rsidR="6F53E6DE">
        <w:rPr>
          <w:rFonts w:ascii="Arial" w:hAnsi="Arial" w:eastAsia="Arial" w:cs="Arial"/>
          <w:sz w:val="24"/>
          <w:szCs w:val="24"/>
        </w:rPr>
        <w:t xml:space="preserve"> motivation depends on the link between effort, </w:t>
      </w:r>
      <w:r w:rsidRPr="6F53E6DE" w:rsidR="6F53E6DE">
        <w:rPr>
          <w:rFonts w:ascii="Arial" w:hAnsi="Arial" w:eastAsia="Arial" w:cs="Arial"/>
          <w:sz w:val="24"/>
          <w:szCs w:val="24"/>
        </w:rPr>
        <w:t>performance</w:t>
      </w:r>
      <w:r w:rsidRPr="6F53E6DE" w:rsidR="6F53E6DE">
        <w:rPr>
          <w:rFonts w:ascii="Arial" w:hAnsi="Arial" w:eastAsia="Arial" w:cs="Arial"/>
          <w:sz w:val="24"/>
          <w:szCs w:val="24"/>
        </w:rPr>
        <w:t xml:space="preserve"> and outcomes (Vroom, 1964). If staff feel </w:t>
      </w:r>
      <w:r w:rsidRPr="6F53E6DE" w:rsidR="6F53E6DE">
        <w:rPr>
          <w:rFonts w:ascii="Arial" w:hAnsi="Arial" w:eastAsia="Arial" w:cs="Arial"/>
          <w:sz w:val="24"/>
          <w:szCs w:val="24"/>
        </w:rPr>
        <w:t>good work</w:t>
      </w:r>
      <w:r w:rsidRPr="6F53E6DE" w:rsidR="6F53E6DE">
        <w:rPr>
          <w:rFonts w:ascii="Arial" w:hAnsi="Arial" w:eastAsia="Arial" w:cs="Arial"/>
          <w:sz w:val="24"/>
          <w:szCs w:val="24"/>
        </w:rPr>
        <w:t xml:space="preserve"> is ignored and development is limited, motivation falls. Managers can strengthen this link through visible recognition, fair access to overtime or preferred shifts, and clear routes into training and progression.</w:t>
      </w:r>
    </w:p>
    <w:p xmlns:wp14="http://schemas.microsoft.com/office/word/2010/wordml" w:rsidP="6F53E6DE" w14:paraId="0C46D8B3" wp14:textId="77777777" wp14:noSpellErr="1">
      <w:pPr>
        <w:pStyle w:val="Heading3"/>
        <w:spacing w:before="200" w:after="120" w:line="360" w:lineRule="auto"/>
        <w:jc w:val="both"/>
        <w:rPr>
          <w:rFonts w:ascii="Arial" w:hAnsi="Arial" w:eastAsia="Arial" w:cs="Arial"/>
          <w:sz w:val="24"/>
          <w:szCs w:val="24"/>
        </w:rPr>
      </w:pPr>
      <w:r w:rsidRPr="6F53E6DE" w:rsidR="6F53E6DE">
        <w:rPr>
          <w:rFonts w:ascii="Arial" w:hAnsi="Arial" w:eastAsia="Arial" w:cs="Arial"/>
          <w:sz w:val="24"/>
          <w:szCs w:val="24"/>
        </w:rPr>
        <w:t>2.4.4 Equity theory: fairness as a performance driver</w:t>
      </w:r>
    </w:p>
    <w:p xmlns:wp14="http://schemas.microsoft.com/office/word/2010/wordml" w:rsidP="6F53E6DE" w14:paraId="0B2E0D2F" wp14:textId="77777777" wp14:noSpellErr="1">
      <w:pPr>
        <w:spacing w:after="120" w:line="360" w:lineRule="auto"/>
        <w:jc w:val="both"/>
        <w:rPr>
          <w:rFonts w:ascii="Arial" w:hAnsi="Arial" w:eastAsia="Arial" w:cs="Arial"/>
          <w:sz w:val="24"/>
          <w:szCs w:val="24"/>
        </w:rPr>
      </w:pPr>
      <w:r w:rsidRPr="6F53E6DE" w:rsidR="6F53E6DE">
        <w:rPr>
          <w:rFonts w:ascii="Arial" w:hAnsi="Arial" w:eastAsia="Arial" w:cs="Arial"/>
          <w:sz w:val="24"/>
          <w:szCs w:val="24"/>
        </w:rPr>
        <w:t xml:space="preserve">Concerns about </w:t>
      </w:r>
      <w:r w:rsidRPr="6F53E6DE" w:rsidR="6F53E6DE">
        <w:rPr>
          <w:rFonts w:ascii="Arial" w:hAnsi="Arial" w:eastAsia="Arial" w:cs="Arial"/>
          <w:sz w:val="24"/>
          <w:szCs w:val="24"/>
        </w:rPr>
        <w:t>rota</w:t>
      </w:r>
      <w:r w:rsidRPr="6F53E6DE" w:rsidR="6F53E6DE">
        <w:rPr>
          <w:rFonts w:ascii="Arial" w:hAnsi="Arial" w:eastAsia="Arial" w:cs="Arial"/>
          <w:sz w:val="24"/>
          <w:szCs w:val="24"/>
        </w:rPr>
        <w:t xml:space="preserve"> fairness and tolerated underperformance fit equity theory: when people feel the system is unfair, they reduce effort, stop helping and may leave (Adams, 1965). Consistent standards and transparent workload decisions are therefore performance tools, not just ‘nice’ values.</w:t>
      </w:r>
    </w:p>
    <w:p xmlns:wp14="http://schemas.microsoft.com/office/word/2010/wordml" w:rsidP="6F53E6DE" w14:paraId="137D35BF" wp14:textId="77777777" wp14:noSpellErr="1">
      <w:pPr>
        <w:pStyle w:val="Heading3"/>
        <w:spacing w:before="200" w:after="120" w:line="360" w:lineRule="auto"/>
        <w:jc w:val="both"/>
        <w:rPr>
          <w:rFonts w:ascii="Arial" w:hAnsi="Arial" w:eastAsia="Arial" w:cs="Arial"/>
          <w:sz w:val="24"/>
          <w:szCs w:val="24"/>
        </w:rPr>
      </w:pPr>
      <w:r w:rsidRPr="6F53E6DE" w:rsidR="6F53E6DE">
        <w:rPr>
          <w:rFonts w:ascii="Arial" w:hAnsi="Arial" w:eastAsia="Arial" w:cs="Arial"/>
          <w:sz w:val="24"/>
          <w:szCs w:val="24"/>
        </w:rPr>
        <w:t>2.4.5 Motivation and engagement theories</w:t>
      </w:r>
    </w:p>
    <w:p xmlns:wp14="http://schemas.microsoft.com/office/word/2010/wordml" w:rsidP="6F53E6DE" w14:paraId="6A914136" wp14:textId="77777777" wp14:noSpellErr="1">
      <w:pPr>
        <w:spacing w:after="120" w:line="360" w:lineRule="auto"/>
        <w:jc w:val="both"/>
        <w:rPr>
          <w:rFonts w:ascii="Arial" w:hAnsi="Arial" w:eastAsia="Arial" w:cs="Arial"/>
          <w:sz w:val="24"/>
          <w:szCs w:val="24"/>
        </w:rPr>
      </w:pPr>
      <w:r w:rsidRPr="6F53E6DE" w:rsidR="6F53E6DE">
        <w:rPr>
          <w:rFonts w:ascii="Arial" w:hAnsi="Arial" w:eastAsia="Arial" w:cs="Arial"/>
          <w:sz w:val="24"/>
          <w:szCs w:val="24"/>
        </w:rPr>
        <w:t xml:space="preserve">Herzberg’s two-factor model explains why controlling basic conditions alone will not create commitment; motivators such as recognition and growth are needed (Herzberg, </w:t>
      </w:r>
      <w:r w:rsidRPr="6F53E6DE" w:rsidR="6F53E6DE">
        <w:rPr>
          <w:rFonts w:ascii="Arial" w:hAnsi="Arial" w:eastAsia="Arial" w:cs="Arial"/>
          <w:sz w:val="24"/>
          <w:szCs w:val="24"/>
        </w:rPr>
        <w:t>Mausner</w:t>
      </w:r>
      <w:r w:rsidRPr="6F53E6DE" w:rsidR="6F53E6DE">
        <w:rPr>
          <w:rFonts w:ascii="Arial" w:hAnsi="Arial" w:eastAsia="Arial" w:cs="Arial"/>
          <w:sz w:val="24"/>
          <w:szCs w:val="24"/>
        </w:rPr>
        <w:t xml:space="preserve"> and Snyderman, 1959). Deci and Ryan (2000) add that autonomy, </w:t>
      </w:r>
      <w:r w:rsidRPr="6F53E6DE" w:rsidR="6F53E6DE">
        <w:rPr>
          <w:rFonts w:ascii="Arial" w:hAnsi="Arial" w:eastAsia="Arial" w:cs="Arial"/>
          <w:sz w:val="24"/>
          <w:szCs w:val="24"/>
        </w:rPr>
        <w:t>competence</w:t>
      </w:r>
      <w:r w:rsidRPr="6F53E6DE" w:rsidR="6F53E6DE">
        <w:rPr>
          <w:rFonts w:ascii="Arial" w:hAnsi="Arial" w:eastAsia="Arial" w:cs="Arial"/>
          <w:sz w:val="24"/>
          <w:szCs w:val="24"/>
        </w:rPr>
        <w:t xml:space="preserve"> and belonging support better motivation. For </w:t>
      </w:r>
      <w:r w:rsidRPr="6F53E6DE" w:rsidR="6F53E6DE">
        <w:rPr>
          <w:rFonts w:ascii="Arial" w:hAnsi="Arial" w:eastAsia="Arial" w:cs="Arial"/>
          <w:sz w:val="24"/>
          <w:szCs w:val="24"/>
        </w:rPr>
        <w:t>BrightWave</w:t>
      </w:r>
      <w:r w:rsidRPr="6F53E6DE" w:rsidR="6F53E6DE">
        <w:rPr>
          <w:rFonts w:ascii="Arial" w:hAnsi="Arial" w:eastAsia="Arial" w:cs="Arial"/>
          <w:sz w:val="24"/>
          <w:szCs w:val="24"/>
        </w:rPr>
        <w:t xml:space="preserve">, this means involving teams in small improvements, building skills on the </w:t>
      </w:r>
      <w:r w:rsidRPr="6F53E6DE" w:rsidR="6F53E6DE">
        <w:rPr>
          <w:rFonts w:ascii="Arial" w:hAnsi="Arial" w:eastAsia="Arial" w:cs="Arial"/>
          <w:sz w:val="24"/>
          <w:szCs w:val="24"/>
        </w:rPr>
        <w:t>job</w:t>
      </w:r>
      <w:r w:rsidRPr="6F53E6DE" w:rsidR="6F53E6DE">
        <w:rPr>
          <w:rFonts w:ascii="Arial" w:hAnsi="Arial" w:eastAsia="Arial" w:cs="Arial"/>
          <w:sz w:val="24"/>
          <w:szCs w:val="24"/>
        </w:rPr>
        <w:t xml:space="preserve"> and </w:t>
      </w:r>
      <w:r w:rsidRPr="6F53E6DE" w:rsidR="6F53E6DE">
        <w:rPr>
          <w:rFonts w:ascii="Arial" w:hAnsi="Arial" w:eastAsia="Arial" w:cs="Arial"/>
          <w:sz w:val="24"/>
          <w:szCs w:val="24"/>
        </w:rPr>
        <w:t>recognising</w:t>
      </w:r>
      <w:r w:rsidRPr="6F53E6DE" w:rsidR="6F53E6DE">
        <w:rPr>
          <w:rFonts w:ascii="Arial" w:hAnsi="Arial" w:eastAsia="Arial" w:cs="Arial"/>
          <w:sz w:val="24"/>
          <w:szCs w:val="24"/>
        </w:rPr>
        <w:t xml:space="preserve"> reliable work.</w:t>
      </w:r>
    </w:p>
    <w:p xmlns:wp14="http://schemas.microsoft.com/office/word/2010/wordml" w:rsidP="6F53E6DE" w14:paraId="629AD9B8" wp14:textId="77777777" wp14:noSpellErr="1">
      <w:pPr>
        <w:pStyle w:val="Heading3"/>
        <w:spacing w:before="200" w:after="120" w:line="360" w:lineRule="auto"/>
        <w:jc w:val="both"/>
        <w:rPr>
          <w:rFonts w:ascii="Arial" w:hAnsi="Arial" w:eastAsia="Arial" w:cs="Arial"/>
          <w:sz w:val="24"/>
          <w:szCs w:val="24"/>
        </w:rPr>
      </w:pPr>
      <w:r w:rsidRPr="6F53E6DE" w:rsidR="6F53E6DE">
        <w:rPr>
          <w:rFonts w:ascii="Arial" w:hAnsi="Arial" w:eastAsia="Arial" w:cs="Arial"/>
          <w:sz w:val="24"/>
          <w:szCs w:val="24"/>
        </w:rPr>
        <w:t>2.4.6 Psychological contract and retention</w:t>
      </w:r>
    </w:p>
    <w:p xmlns:wp14="http://schemas.microsoft.com/office/word/2010/wordml" w:rsidP="6F53E6DE" w14:paraId="16E63DE5" wp14:textId="77777777" wp14:noSpellErr="1">
      <w:pPr>
        <w:spacing w:after="120" w:line="360" w:lineRule="auto"/>
        <w:jc w:val="both"/>
        <w:rPr>
          <w:rFonts w:ascii="Arial" w:hAnsi="Arial" w:eastAsia="Arial" w:cs="Arial"/>
          <w:sz w:val="24"/>
          <w:szCs w:val="24"/>
        </w:rPr>
      </w:pPr>
      <w:r w:rsidRPr="6F53E6DE" w:rsidR="6F53E6DE">
        <w:rPr>
          <w:rFonts w:ascii="Arial" w:hAnsi="Arial" w:eastAsia="Arial" w:cs="Arial"/>
          <w:sz w:val="24"/>
          <w:szCs w:val="24"/>
        </w:rPr>
        <w:t xml:space="preserve">The case study </w:t>
      </w:r>
      <w:r w:rsidRPr="6F53E6DE" w:rsidR="6F53E6DE">
        <w:rPr>
          <w:rFonts w:ascii="Arial" w:hAnsi="Arial" w:eastAsia="Arial" w:cs="Arial"/>
          <w:sz w:val="24"/>
          <w:szCs w:val="24"/>
        </w:rPr>
        <w:t>suggests</w:t>
      </w:r>
      <w:r w:rsidRPr="6F53E6DE" w:rsidR="6F53E6DE">
        <w:rPr>
          <w:rFonts w:ascii="Arial" w:hAnsi="Arial" w:eastAsia="Arial" w:cs="Arial"/>
          <w:sz w:val="24"/>
          <w:szCs w:val="24"/>
        </w:rPr>
        <w:t xml:space="preserve"> many staff do not feel valued and cannot see </w:t>
      </w:r>
      <w:r w:rsidRPr="6F53E6DE" w:rsidR="6F53E6DE">
        <w:rPr>
          <w:rFonts w:ascii="Arial" w:hAnsi="Arial" w:eastAsia="Arial" w:cs="Arial"/>
          <w:sz w:val="24"/>
          <w:szCs w:val="24"/>
        </w:rPr>
        <w:t>a future</w:t>
      </w:r>
      <w:r w:rsidRPr="6F53E6DE" w:rsidR="6F53E6DE">
        <w:rPr>
          <w:rFonts w:ascii="Arial" w:hAnsi="Arial" w:eastAsia="Arial" w:cs="Arial"/>
          <w:sz w:val="24"/>
          <w:szCs w:val="24"/>
        </w:rPr>
        <w:t xml:space="preserve">. This weakens the psychological contract and encourages exit (Rousseau, 1995). </w:t>
      </w:r>
      <w:r w:rsidRPr="6F53E6DE" w:rsidR="6F53E6DE">
        <w:rPr>
          <w:rFonts w:ascii="Arial" w:hAnsi="Arial" w:eastAsia="Arial" w:cs="Arial"/>
          <w:sz w:val="24"/>
          <w:szCs w:val="24"/>
        </w:rPr>
        <w:t>Rebuilding it</w:t>
      </w:r>
      <w:r w:rsidRPr="6F53E6DE" w:rsidR="6F53E6DE">
        <w:rPr>
          <w:rFonts w:ascii="Arial" w:hAnsi="Arial" w:eastAsia="Arial" w:cs="Arial"/>
          <w:sz w:val="24"/>
          <w:szCs w:val="24"/>
        </w:rPr>
        <w:t xml:space="preserve"> requires consistent communication, fair </w:t>
      </w:r>
      <w:r w:rsidRPr="6F53E6DE" w:rsidR="6F53E6DE">
        <w:rPr>
          <w:rFonts w:ascii="Arial" w:hAnsi="Arial" w:eastAsia="Arial" w:cs="Arial"/>
          <w:sz w:val="24"/>
          <w:szCs w:val="24"/>
        </w:rPr>
        <w:t>treatment</w:t>
      </w:r>
      <w:r w:rsidRPr="6F53E6DE" w:rsidR="6F53E6DE">
        <w:rPr>
          <w:rFonts w:ascii="Arial" w:hAnsi="Arial" w:eastAsia="Arial" w:cs="Arial"/>
          <w:sz w:val="24"/>
          <w:szCs w:val="24"/>
        </w:rPr>
        <w:t xml:space="preserve"> and believable development steps.</w:t>
      </w:r>
    </w:p>
    <w:p xmlns:wp14="http://schemas.microsoft.com/office/word/2010/wordml" w:rsidP="6F53E6DE" w14:paraId="6449BF95" wp14:textId="77777777" wp14:noSpellErr="1">
      <w:pPr>
        <w:pStyle w:val="Heading3"/>
        <w:spacing w:before="200" w:after="120" w:line="360" w:lineRule="auto"/>
        <w:jc w:val="both"/>
        <w:rPr>
          <w:rFonts w:ascii="Arial" w:hAnsi="Arial" w:eastAsia="Arial" w:cs="Arial"/>
          <w:sz w:val="24"/>
          <w:szCs w:val="24"/>
        </w:rPr>
      </w:pPr>
      <w:r w:rsidRPr="6F53E6DE" w:rsidR="6F53E6DE">
        <w:rPr>
          <w:rFonts w:ascii="Arial" w:hAnsi="Arial" w:eastAsia="Arial" w:cs="Arial"/>
          <w:sz w:val="24"/>
          <w:szCs w:val="24"/>
        </w:rPr>
        <w:t>2.4.7 Leadership approaches: balancing control with support</w:t>
      </w:r>
    </w:p>
    <w:p xmlns:wp14="http://schemas.microsoft.com/office/word/2010/wordml" w:rsidP="6F53E6DE" w14:paraId="07FD42D2" wp14:textId="77777777" wp14:noSpellErr="1">
      <w:pPr>
        <w:spacing w:after="120" w:line="360" w:lineRule="auto"/>
        <w:jc w:val="both"/>
        <w:rPr>
          <w:rFonts w:ascii="Arial" w:hAnsi="Arial" w:eastAsia="Arial" w:cs="Arial"/>
          <w:sz w:val="24"/>
          <w:szCs w:val="24"/>
        </w:rPr>
      </w:pPr>
      <w:r w:rsidRPr="6F53E6DE" w:rsidR="6F53E6DE">
        <w:rPr>
          <w:rFonts w:ascii="Arial" w:hAnsi="Arial" w:eastAsia="Arial" w:cs="Arial"/>
          <w:sz w:val="24"/>
          <w:szCs w:val="24"/>
        </w:rPr>
        <w:t>BrightWave’s</w:t>
      </w:r>
      <w:r w:rsidRPr="6F53E6DE" w:rsidR="6F53E6DE">
        <w:rPr>
          <w:rFonts w:ascii="Arial" w:hAnsi="Arial" w:eastAsia="Arial" w:cs="Arial"/>
          <w:sz w:val="24"/>
          <w:szCs w:val="24"/>
        </w:rPr>
        <w:t xml:space="preserve"> current style appears </w:t>
      </w:r>
      <w:r w:rsidRPr="6F53E6DE" w:rsidR="6F53E6DE">
        <w:rPr>
          <w:rFonts w:ascii="Arial" w:hAnsi="Arial" w:eastAsia="Arial" w:cs="Arial"/>
          <w:sz w:val="24"/>
          <w:szCs w:val="24"/>
        </w:rPr>
        <w:t>mainly transactional</w:t>
      </w:r>
      <w:r w:rsidRPr="6F53E6DE" w:rsidR="6F53E6DE">
        <w:rPr>
          <w:rFonts w:ascii="Arial" w:hAnsi="Arial" w:eastAsia="Arial" w:cs="Arial"/>
          <w:sz w:val="24"/>
          <w:szCs w:val="24"/>
        </w:rPr>
        <w:t xml:space="preserve">: meet the </w:t>
      </w:r>
      <w:r w:rsidRPr="6F53E6DE" w:rsidR="6F53E6DE">
        <w:rPr>
          <w:rFonts w:ascii="Arial" w:hAnsi="Arial" w:eastAsia="Arial" w:cs="Arial"/>
          <w:sz w:val="24"/>
          <w:szCs w:val="24"/>
        </w:rPr>
        <w:t>rota</w:t>
      </w:r>
      <w:r w:rsidRPr="6F53E6DE" w:rsidR="6F53E6DE">
        <w:rPr>
          <w:rFonts w:ascii="Arial" w:hAnsi="Arial" w:eastAsia="Arial" w:cs="Arial"/>
          <w:sz w:val="24"/>
          <w:szCs w:val="24"/>
        </w:rPr>
        <w:t xml:space="preserve"> and meet the numbers. Transactional leadership can support order, but on its own it can reduce engagement (Bass and Riggio, 2006). Managers should add more transformational </w:t>
      </w:r>
      <w:r w:rsidRPr="6F53E6DE" w:rsidR="6F53E6DE">
        <w:rPr>
          <w:rFonts w:ascii="Arial" w:hAnsi="Arial" w:eastAsia="Arial" w:cs="Arial"/>
          <w:sz w:val="24"/>
          <w:szCs w:val="24"/>
        </w:rPr>
        <w:t>behaviour</w:t>
      </w:r>
      <w:r w:rsidRPr="6F53E6DE" w:rsidR="6F53E6DE">
        <w:rPr>
          <w:rFonts w:ascii="Arial" w:hAnsi="Arial" w:eastAsia="Arial" w:cs="Arial"/>
          <w:sz w:val="24"/>
          <w:szCs w:val="24"/>
        </w:rPr>
        <w:t xml:space="preserve">: explaining purpose, </w:t>
      </w:r>
      <w:r w:rsidRPr="6F53E6DE" w:rsidR="6F53E6DE">
        <w:rPr>
          <w:rFonts w:ascii="Arial" w:hAnsi="Arial" w:eastAsia="Arial" w:cs="Arial"/>
          <w:sz w:val="24"/>
          <w:szCs w:val="24"/>
        </w:rPr>
        <w:t>recognising</w:t>
      </w:r>
      <w:r w:rsidRPr="6F53E6DE" w:rsidR="6F53E6DE">
        <w:rPr>
          <w:rFonts w:ascii="Arial" w:hAnsi="Arial" w:eastAsia="Arial" w:cs="Arial"/>
          <w:sz w:val="24"/>
          <w:szCs w:val="24"/>
        </w:rPr>
        <w:t xml:space="preserve"> </w:t>
      </w:r>
      <w:r w:rsidRPr="6F53E6DE" w:rsidR="6F53E6DE">
        <w:rPr>
          <w:rFonts w:ascii="Arial" w:hAnsi="Arial" w:eastAsia="Arial" w:cs="Arial"/>
          <w:sz w:val="24"/>
          <w:szCs w:val="24"/>
        </w:rPr>
        <w:t>effort</w:t>
      </w:r>
      <w:r w:rsidRPr="6F53E6DE" w:rsidR="6F53E6DE">
        <w:rPr>
          <w:rFonts w:ascii="Arial" w:hAnsi="Arial" w:eastAsia="Arial" w:cs="Arial"/>
          <w:sz w:val="24"/>
          <w:szCs w:val="24"/>
        </w:rPr>
        <w:t xml:space="preserve"> and supporting individuals. They should also adapt style to staff needs (Hersey and Blanchard, 1982), while keeping firm boundaries on safety and client standards.</w:t>
      </w:r>
    </w:p>
    <w:p xmlns:wp14="http://schemas.microsoft.com/office/word/2010/wordml" w:rsidP="6F53E6DE" w14:paraId="675CEE3D" wp14:textId="77777777" wp14:noSpellErr="1">
      <w:pPr>
        <w:pStyle w:val="Heading2"/>
        <w:spacing w:before="200" w:after="120" w:line="360" w:lineRule="auto"/>
        <w:jc w:val="both"/>
        <w:rPr>
          <w:rFonts w:ascii="Arial" w:hAnsi="Arial" w:eastAsia="Arial" w:cs="Arial"/>
          <w:sz w:val="24"/>
          <w:szCs w:val="24"/>
        </w:rPr>
      </w:pPr>
      <w:r w:rsidRPr="6F53E6DE" w:rsidR="6F53E6DE">
        <w:rPr>
          <w:rFonts w:ascii="Arial" w:hAnsi="Arial" w:eastAsia="Arial" w:cs="Arial"/>
          <w:sz w:val="24"/>
          <w:szCs w:val="24"/>
        </w:rPr>
        <w:t xml:space="preserve">2.5 Recommendations for </w:t>
      </w:r>
      <w:r w:rsidRPr="6F53E6DE" w:rsidR="6F53E6DE">
        <w:rPr>
          <w:rFonts w:ascii="Arial" w:hAnsi="Arial" w:eastAsia="Arial" w:cs="Arial"/>
          <w:sz w:val="24"/>
          <w:szCs w:val="24"/>
        </w:rPr>
        <w:t>BrightWave</w:t>
      </w:r>
    </w:p>
    <w:p xmlns:wp14="http://schemas.microsoft.com/office/word/2010/wordml" w:rsidP="6F53E6DE" w14:paraId="28E1BDED" wp14:textId="77777777" wp14:noSpellErr="1">
      <w:pPr>
        <w:spacing w:after="120" w:line="360" w:lineRule="auto"/>
        <w:jc w:val="both"/>
        <w:rPr>
          <w:rFonts w:ascii="Arial" w:hAnsi="Arial" w:eastAsia="Arial" w:cs="Arial"/>
          <w:sz w:val="24"/>
          <w:szCs w:val="24"/>
        </w:rPr>
      </w:pPr>
      <w:r w:rsidRPr="6F53E6DE" w:rsidR="6F53E6DE">
        <w:rPr>
          <w:rFonts w:ascii="Arial" w:hAnsi="Arial" w:eastAsia="Arial" w:cs="Arial"/>
          <w:sz w:val="24"/>
          <w:szCs w:val="24"/>
        </w:rPr>
        <w:t>These recommendations are designed to be realistic for a multi-site service business. They focus on changing daily management habits, supported by simple tools and clear accountability.</w:t>
      </w:r>
    </w:p>
    <w:p xmlns:wp14="http://schemas.microsoft.com/office/word/2010/wordml" w:rsidP="6F53E6DE" w14:paraId="39DD0F84" wp14:textId="77777777" wp14:noSpellErr="1">
      <w:pPr>
        <w:pStyle w:val="Heading3"/>
        <w:spacing w:before="200" w:after="120" w:line="360" w:lineRule="auto"/>
        <w:jc w:val="both"/>
        <w:rPr>
          <w:rFonts w:ascii="Arial" w:hAnsi="Arial" w:eastAsia="Arial" w:cs="Arial"/>
          <w:sz w:val="24"/>
          <w:szCs w:val="24"/>
        </w:rPr>
      </w:pPr>
      <w:r w:rsidRPr="6F53E6DE" w:rsidR="6F53E6DE">
        <w:rPr>
          <w:rFonts w:ascii="Arial" w:hAnsi="Arial" w:eastAsia="Arial" w:cs="Arial"/>
          <w:sz w:val="24"/>
          <w:szCs w:val="24"/>
        </w:rPr>
        <w:t>2.5.1 Introduce a simple ‘performance rhythm’</w:t>
      </w:r>
    </w:p>
    <w:p xmlns:wp14="http://schemas.microsoft.com/office/word/2010/wordml" w:rsidP="6F53E6DE" w14:paraId="3F4D65CB" wp14:textId="77777777" wp14:noSpellErr="1">
      <w:pPr>
        <w:spacing w:after="120" w:line="360" w:lineRule="auto"/>
        <w:jc w:val="both"/>
        <w:rPr>
          <w:rFonts w:ascii="Arial" w:hAnsi="Arial" w:eastAsia="Arial" w:cs="Arial"/>
          <w:sz w:val="24"/>
          <w:szCs w:val="24"/>
        </w:rPr>
      </w:pPr>
      <w:r w:rsidRPr="6F53E6DE" w:rsidR="6F53E6DE">
        <w:rPr>
          <w:rFonts w:ascii="Arial" w:hAnsi="Arial" w:eastAsia="Arial" w:cs="Arial"/>
          <w:sz w:val="24"/>
          <w:szCs w:val="24"/>
        </w:rPr>
        <w:t xml:space="preserve">Put in place monthly </w:t>
      </w:r>
      <w:r w:rsidRPr="6F53E6DE" w:rsidR="6F53E6DE">
        <w:rPr>
          <w:rFonts w:ascii="Arial" w:hAnsi="Arial" w:eastAsia="Arial" w:cs="Arial"/>
          <w:sz w:val="24"/>
          <w:szCs w:val="24"/>
        </w:rPr>
        <w:t>15-20 minute</w:t>
      </w:r>
      <w:r w:rsidRPr="6F53E6DE" w:rsidR="6F53E6DE">
        <w:rPr>
          <w:rFonts w:ascii="Arial" w:hAnsi="Arial" w:eastAsia="Arial" w:cs="Arial"/>
          <w:sz w:val="24"/>
          <w:szCs w:val="24"/>
        </w:rPr>
        <w:t xml:space="preserve"> one-to-ones for all staff (including part-time staff), plus quarterly development check-ins. Use a one-page prompt: standards, wins, improvements, barriers, and actions with dates. This supports continuous performance management (Armstrong, 2020; CIPD, </w:t>
      </w:r>
      <w:r w:rsidRPr="6F53E6DE" w:rsidR="6F53E6DE">
        <w:rPr>
          <w:rFonts w:ascii="Arial" w:hAnsi="Arial" w:eastAsia="Arial" w:cs="Arial"/>
          <w:sz w:val="24"/>
          <w:szCs w:val="24"/>
        </w:rPr>
        <w:t>2022</w:t>
      </w:r>
      <w:r w:rsidRPr="6F53E6DE" w:rsidR="6F53E6DE">
        <w:rPr>
          <w:rFonts w:ascii="Arial" w:hAnsi="Arial" w:eastAsia="Arial" w:cs="Arial"/>
          <w:sz w:val="24"/>
          <w:szCs w:val="24"/>
        </w:rPr>
        <w:t>).</w:t>
      </w:r>
    </w:p>
    <w:p xmlns:wp14="http://schemas.microsoft.com/office/word/2010/wordml" w:rsidP="6F53E6DE" w14:paraId="272887B0" wp14:textId="77777777" wp14:noSpellErr="1">
      <w:pPr>
        <w:pStyle w:val="Heading3"/>
        <w:spacing w:before="200" w:after="120" w:line="360" w:lineRule="auto"/>
        <w:jc w:val="both"/>
        <w:rPr>
          <w:rFonts w:ascii="Arial" w:hAnsi="Arial" w:eastAsia="Arial" w:cs="Arial"/>
          <w:sz w:val="24"/>
          <w:szCs w:val="24"/>
        </w:rPr>
      </w:pPr>
      <w:r w:rsidRPr="6F53E6DE" w:rsidR="6F53E6DE">
        <w:rPr>
          <w:rFonts w:ascii="Arial" w:hAnsi="Arial" w:eastAsia="Arial" w:cs="Arial"/>
          <w:sz w:val="24"/>
          <w:szCs w:val="24"/>
        </w:rPr>
        <w:t>2.5.2 Build line-manager confidence through practice-based development</w:t>
      </w:r>
    </w:p>
    <w:p xmlns:wp14="http://schemas.microsoft.com/office/word/2010/wordml" w:rsidP="6F53E6DE" w14:paraId="5FA883CA" wp14:textId="77777777" wp14:noSpellErr="1">
      <w:pPr>
        <w:spacing w:after="120" w:line="360" w:lineRule="auto"/>
        <w:jc w:val="both"/>
        <w:rPr>
          <w:rFonts w:ascii="Arial" w:hAnsi="Arial" w:eastAsia="Arial" w:cs="Arial"/>
          <w:sz w:val="24"/>
          <w:szCs w:val="24"/>
        </w:rPr>
      </w:pPr>
      <w:r w:rsidRPr="6F53E6DE" w:rsidR="6F53E6DE">
        <w:rPr>
          <w:rFonts w:ascii="Arial" w:hAnsi="Arial" w:eastAsia="Arial" w:cs="Arial"/>
          <w:sz w:val="24"/>
          <w:szCs w:val="24"/>
        </w:rPr>
        <w:t xml:space="preserve">Run a short </w:t>
      </w:r>
      <w:r w:rsidRPr="6F53E6DE" w:rsidR="6F53E6DE">
        <w:rPr>
          <w:rFonts w:ascii="Arial" w:hAnsi="Arial" w:eastAsia="Arial" w:cs="Arial"/>
          <w:sz w:val="24"/>
          <w:szCs w:val="24"/>
        </w:rPr>
        <w:t>programme</w:t>
      </w:r>
      <w:r w:rsidRPr="6F53E6DE" w:rsidR="6F53E6DE">
        <w:rPr>
          <w:rFonts w:ascii="Arial" w:hAnsi="Arial" w:eastAsia="Arial" w:cs="Arial"/>
          <w:sz w:val="24"/>
          <w:szCs w:val="24"/>
        </w:rPr>
        <w:t xml:space="preserve"> for supervisors focused on feedback, coaching, </w:t>
      </w:r>
      <w:r w:rsidRPr="6F53E6DE" w:rsidR="6F53E6DE">
        <w:rPr>
          <w:rFonts w:ascii="Arial" w:hAnsi="Arial" w:eastAsia="Arial" w:cs="Arial"/>
          <w:sz w:val="24"/>
          <w:szCs w:val="24"/>
        </w:rPr>
        <w:t>fairness</w:t>
      </w:r>
      <w:r w:rsidRPr="6F53E6DE" w:rsidR="6F53E6DE">
        <w:rPr>
          <w:rFonts w:ascii="Arial" w:hAnsi="Arial" w:eastAsia="Arial" w:cs="Arial"/>
          <w:sz w:val="24"/>
          <w:szCs w:val="24"/>
        </w:rPr>
        <w:t xml:space="preserve"> and handling underperformance. Use real </w:t>
      </w:r>
      <w:r w:rsidRPr="6F53E6DE" w:rsidR="6F53E6DE">
        <w:rPr>
          <w:rFonts w:ascii="Arial" w:hAnsi="Arial" w:eastAsia="Arial" w:cs="Arial"/>
          <w:sz w:val="24"/>
          <w:szCs w:val="24"/>
        </w:rPr>
        <w:t>BrightWave</w:t>
      </w:r>
      <w:r w:rsidRPr="6F53E6DE" w:rsidR="6F53E6DE">
        <w:rPr>
          <w:rFonts w:ascii="Arial" w:hAnsi="Arial" w:eastAsia="Arial" w:cs="Arial"/>
          <w:sz w:val="24"/>
          <w:szCs w:val="24"/>
        </w:rPr>
        <w:t xml:space="preserve"> scenarios and role play, supported by peer feedback. This reduces avoidance and builds consistent practice (ACAS, 2023; CIPD, 2023).</w:t>
      </w:r>
    </w:p>
    <w:p xmlns:wp14="http://schemas.microsoft.com/office/word/2010/wordml" w:rsidP="6F53E6DE" w14:paraId="08501B14" wp14:textId="77777777" wp14:noSpellErr="1">
      <w:pPr>
        <w:pStyle w:val="Heading3"/>
        <w:spacing w:before="200" w:after="120" w:line="360" w:lineRule="auto"/>
        <w:jc w:val="both"/>
        <w:rPr>
          <w:rFonts w:ascii="Arial" w:hAnsi="Arial" w:eastAsia="Arial" w:cs="Arial"/>
          <w:sz w:val="24"/>
          <w:szCs w:val="24"/>
        </w:rPr>
      </w:pPr>
      <w:r w:rsidRPr="6F53E6DE" w:rsidR="6F53E6DE">
        <w:rPr>
          <w:rFonts w:ascii="Arial" w:hAnsi="Arial" w:eastAsia="Arial" w:cs="Arial"/>
          <w:sz w:val="24"/>
          <w:szCs w:val="24"/>
        </w:rPr>
        <w:t>2.5.3 Set clear standards and reduce site-to-site variation</w:t>
      </w:r>
    </w:p>
    <w:p xmlns:wp14="http://schemas.microsoft.com/office/word/2010/wordml" w:rsidP="6F53E6DE" w14:paraId="4EC2B11B" wp14:textId="77777777" wp14:noSpellErr="1">
      <w:pPr>
        <w:spacing w:after="120" w:line="360" w:lineRule="auto"/>
        <w:jc w:val="both"/>
        <w:rPr>
          <w:rFonts w:ascii="Arial" w:hAnsi="Arial" w:eastAsia="Arial" w:cs="Arial"/>
          <w:sz w:val="24"/>
          <w:szCs w:val="24"/>
        </w:rPr>
      </w:pPr>
      <w:r w:rsidRPr="6F53E6DE" w:rsidR="6F53E6DE">
        <w:rPr>
          <w:rFonts w:ascii="Arial" w:hAnsi="Arial" w:eastAsia="Arial" w:cs="Arial"/>
          <w:sz w:val="24"/>
          <w:szCs w:val="24"/>
        </w:rPr>
        <w:t>Create ‘</w:t>
      </w:r>
      <w:r w:rsidRPr="6F53E6DE" w:rsidR="6F53E6DE">
        <w:rPr>
          <w:rFonts w:ascii="Arial" w:hAnsi="Arial" w:eastAsia="Arial" w:cs="Arial"/>
          <w:sz w:val="24"/>
          <w:szCs w:val="24"/>
        </w:rPr>
        <w:t>BrightWave</w:t>
      </w:r>
      <w:r w:rsidRPr="6F53E6DE" w:rsidR="6F53E6DE">
        <w:rPr>
          <w:rFonts w:ascii="Arial" w:hAnsi="Arial" w:eastAsia="Arial" w:cs="Arial"/>
          <w:sz w:val="24"/>
          <w:szCs w:val="24"/>
        </w:rPr>
        <w:t xml:space="preserve"> basics’ for each division: non-negotiable quality and </w:t>
      </w:r>
      <w:r w:rsidRPr="6F53E6DE" w:rsidR="6F53E6DE">
        <w:rPr>
          <w:rFonts w:ascii="Arial" w:hAnsi="Arial" w:eastAsia="Arial" w:cs="Arial"/>
          <w:sz w:val="24"/>
          <w:szCs w:val="24"/>
        </w:rPr>
        <w:t>behaviour</w:t>
      </w:r>
      <w:r w:rsidRPr="6F53E6DE" w:rsidR="6F53E6DE">
        <w:rPr>
          <w:rFonts w:ascii="Arial" w:hAnsi="Arial" w:eastAsia="Arial" w:cs="Arial"/>
          <w:sz w:val="24"/>
          <w:szCs w:val="24"/>
        </w:rPr>
        <w:t xml:space="preserve"> standards, plus simple </w:t>
      </w:r>
      <w:r w:rsidRPr="6F53E6DE" w:rsidR="6F53E6DE">
        <w:rPr>
          <w:rFonts w:ascii="Arial" w:hAnsi="Arial" w:eastAsia="Arial" w:cs="Arial"/>
          <w:sz w:val="24"/>
          <w:szCs w:val="24"/>
        </w:rPr>
        <w:t>checks</w:t>
      </w:r>
      <w:r w:rsidRPr="6F53E6DE" w:rsidR="6F53E6DE">
        <w:rPr>
          <w:rFonts w:ascii="Arial" w:hAnsi="Arial" w:eastAsia="Arial" w:cs="Arial"/>
          <w:sz w:val="24"/>
          <w:szCs w:val="24"/>
        </w:rPr>
        <w:t xml:space="preserve"> supervisors complete. Tie these to clear goals and regular feedback (Locke and Latham, 2002; DeNisi and Murphy, 2017).</w:t>
      </w:r>
    </w:p>
    <w:p xmlns:wp14="http://schemas.microsoft.com/office/word/2010/wordml" w:rsidP="6F53E6DE" w14:paraId="78123118" wp14:textId="77777777" wp14:noSpellErr="1">
      <w:pPr>
        <w:pStyle w:val="Heading3"/>
        <w:spacing w:before="200" w:after="120" w:line="360" w:lineRule="auto"/>
        <w:jc w:val="both"/>
        <w:rPr>
          <w:rFonts w:ascii="Arial" w:hAnsi="Arial" w:eastAsia="Arial" w:cs="Arial"/>
          <w:sz w:val="24"/>
          <w:szCs w:val="24"/>
        </w:rPr>
      </w:pPr>
      <w:r w:rsidRPr="6F53E6DE" w:rsidR="6F53E6DE">
        <w:rPr>
          <w:rFonts w:ascii="Arial" w:hAnsi="Arial" w:eastAsia="Arial" w:cs="Arial"/>
          <w:sz w:val="24"/>
          <w:szCs w:val="24"/>
        </w:rPr>
        <w:t xml:space="preserve">2.5.4 Make fairness visible in workloads and </w:t>
      </w:r>
      <w:r w:rsidRPr="6F53E6DE" w:rsidR="6F53E6DE">
        <w:rPr>
          <w:rFonts w:ascii="Arial" w:hAnsi="Arial" w:eastAsia="Arial" w:cs="Arial"/>
          <w:sz w:val="24"/>
          <w:szCs w:val="24"/>
        </w:rPr>
        <w:t>rotas</w:t>
      </w:r>
    </w:p>
    <w:p xmlns:wp14="http://schemas.microsoft.com/office/word/2010/wordml" w:rsidP="6F53E6DE" w14:paraId="0444F077" wp14:textId="77777777" wp14:noSpellErr="1">
      <w:pPr>
        <w:spacing w:after="120" w:line="360" w:lineRule="auto"/>
        <w:jc w:val="both"/>
        <w:rPr>
          <w:rFonts w:ascii="Arial" w:hAnsi="Arial" w:eastAsia="Arial" w:cs="Arial"/>
          <w:sz w:val="24"/>
          <w:szCs w:val="24"/>
        </w:rPr>
      </w:pPr>
      <w:r w:rsidRPr="6F53E6DE" w:rsidR="6F53E6DE">
        <w:rPr>
          <w:rFonts w:ascii="Arial" w:hAnsi="Arial" w:eastAsia="Arial" w:cs="Arial"/>
          <w:sz w:val="24"/>
          <w:szCs w:val="24"/>
        </w:rPr>
        <w:t xml:space="preserve">Publish simple principles for workload allocation and </w:t>
      </w:r>
      <w:r w:rsidRPr="6F53E6DE" w:rsidR="6F53E6DE">
        <w:rPr>
          <w:rFonts w:ascii="Arial" w:hAnsi="Arial" w:eastAsia="Arial" w:cs="Arial"/>
          <w:sz w:val="24"/>
          <w:szCs w:val="24"/>
        </w:rPr>
        <w:t>rota</w:t>
      </w:r>
      <w:r w:rsidRPr="6F53E6DE" w:rsidR="6F53E6DE">
        <w:rPr>
          <w:rFonts w:ascii="Arial" w:hAnsi="Arial" w:eastAsia="Arial" w:cs="Arial"/>
          <w:sz w:val="24"/>
          <w:szCs w:val="24"/>
        </w:rPr>
        <w:t xml:space="preserve"> decisions, and explain choices when constraints change. Address underperformance early so high performers do not feel they are carrying others (Adams, 1965; ACAS, 2023).</w:t>
      </w:r>
    </w:p>
    <w:p xmlns:wp14="http://schemas.microsoft.com/office/word/2010/wordml" w:rsidP="6F53E6DE" w14:paraId="668C3FF3" wp14:textId="77777777" wp14:noSpellErr="1">
      <w:pPr>
        <w:pStyle w:val="Heading3"/>
        <w:spacing w:before="200" w:after="120" w:line="360" w:lineRule="auto"/>
        <w:jc w:val="both"/>
        <w:rPr>
          <w:rFonts w:ascii="Arial" w:hAnsi="Arial" w:eastAsia="Arial" w:cs="Arial"/>
          <w:sz w:val="24"/>
          <w:szCs w:val="24"/>
        </w:rPr>
      </w:pPr>
      <w:r w:rsidRPr="6F53E6DE" w:rsidR="6F53E6DE">
        <w:rPr>
          <w:rFonts w:ascii="Arial" w:hAnsi="Arial" w:eastAsia="Arial" w:cs="Arial"/>
          <w:sz w:val="24"/>
          <w:szCs w:val="24"/>
        </w:rPr>
        <w:t>2.5.5 Build recognition and development into everyday management</w:t>
      </w:r>
    </w:p>
    <w:p xmlns:wp14="http://schemas.microsoft.com/office/word/2010/wordml" w:rsidP="6F53E6DE" w14:paraId="477F7E16" wp14:textId="77777777" wp14:noSpellErr="1">
      <w:pPr>
        <w:spacing w:after="120" w:line="360" w:lineRule="auto"/>
        <w:jc w:val="both"/>
        <w:rPr>
          <w:rFonts w:ascii="Arial" w:hAnsi="Arial" w:eastAsia="Arial" w:cs="Arial"/>
          <w:sz w:val="24"/>
          <w:szCs w:val="24"/>
        </w:rPr>
      </w:pPr>
      <w:r w:rsidRPr="6F53E6DE" w:rsidR="6F53E6DE">
        <w:rPr>
          <w:rFonts w:ascii="Arial" w:hAnsi="Arial" w:eastAsia="Arial" w:cs="Arial"/>
          <w:sz w:val="24"/>
          <w:szCs w:val="24"/>
        </w:rPr>
        <w:t>Introduce low-cost routines: specific thank-</w:t>
      </w:r>
      <w:r w:rsidRPr="6F53E6DE" w:rsidR="6F53E6DE">
        <w:rPr>
          <w:rFonts w:ascii="Arial" w:hAnsi="Arial" w:eastAsia="Arial" w:cs="Arial"/>
          <w:sz w:val="24"/>
          <w:szCs w:val="24"/>
        </w:rPr>
        <w:t>yous</w:t>
      </w:r>
      <w:r w:rsidRPr="6F53E6DE" w:rsidR="6F53E6DE">
        <w:rPr>
          <w:rFonts w:ascii="Arial" w:hAnsi="Arial" w:eastAsia="Arial" w:cs="Arial"/>
          <w:sz w:val="24"/>
          <w:szCs w:val="24"/>
        </w:rPr>
        <w:t xml:space="preserve">, sharing client praise, and short coaching moments on site. These actions support motivation and belonging (Herzberg, </w:t>
      </w:r>
      <w:r w:rsidRPr="6F53E6DE" w:rsidR="6F53E6DE">
        <w:rPr>
          <w:rFonts w:ascii="Arial" w:hAnsi="Arial" w:eastAsia="Arial" w:cs="Arial"/>
          <w:sz w:val="24"/>
          <w:szCs w:val="24"/>
        </w:rPr>
        <w:t>Mausner</w:t>
      </w:r>
      <w:r w:rsidRPr="6F53E6DE" w:rsidR="6F53E6DE">
        <w:rPr>
          <w:rFonts w:ascii="Arial" w:hAnsi="Arial" w:eastAsia="Arial" w:cs="Arial"/>
          <w:sz w:val="24"/>
          <w:szCs w:val="24"/>
        </w:rPr>
        <w:t xml:space="preserve"> and Snyderman, 1959; Deci and Ryan, 2000) and make the effort-to-outcome link more credible (Vroom, 1964).</w:t>
      </w:r>
    </w:p>
    <w:p xmlns:wp14="http://schemas.microsoft.com/office/word/2010/wordml" w:rsidP="6F53E6DE" w14:paraId="50F106AF" wp14:textId="77777777" wp14:noSpellErr="1">
      <w:pPr>
        <w:pStyle w:val="Heading3"/>
        <w:spacing w:before="200" w:after="120" w:line="360" w:lineRule="auto"/>
        <w:jc w:val="both"/>
        <w:rPr>
          <w:rFonts w:ascii="Arial" w:hAnsi="Arial" w:eastAsia="Arial" w:cs="Arial"/>
          <w:sz w:val="24"/>
          <w:szCs w:val="24"/>
        </w:rPr>
      </w:pPr>
      <w:r w:rsidRPr="6F53E6DE" w:rsidR="6F53E6DE">
        <w:rPr>
          <w:rFonts w:ascii="Arial" w:hAnsi="Arial" w:eastAsia="Arial" w:cs="Arial"/>
          <w:sz w:val="24"/>
          <w:szCs w:val="24"/>
        </w:rPr>
        <w:t>2.5.6 Clarify progression routes and internal opportunities</w:t>
      </w:r>
    </w:p>
    <w:p xmlns:wp14="http://schemas.microsoft.com/office/word/2010/wordml" w:rsidP="6F53E6DE" w14:paraId="051B3FEE" wp14:textId="77777777" wp14:noSpellErr="1">
      <w:pPr>
        <w:spacing w:after="120" w:line="360" w:lineRule="auto"/>
        <w:jc w:val="both"/>
        <w:rPr>
          <w:rFonts w:ascii="Arial" w:hAnsi="Arial" w:eastAsia="Arial" w:cs="Arial"/>
          <w:sz w:val="24"/>
          <w:szCs w:val="24"/>
        </w:rPr>
      </w:pPr>
      <w:r w:rsidRPr="6F53E6DE" w:rsidR="6F53E6DE">
        <w:rPr>
          <w:rFonts w:ascii="Arial" w:hAnsi="Arial" w:eastAsia="Arial" w:cs="Arial"/>
          <w:sz w:val="24"/>
          <w:szCs w:val="24"/>
        </w:rPr>
        <w:t xml:space="preserve">Map realistic pathways (e.g., cleaner to team leader to site supervisor) and show what skills are needed and how to gain them (shadowing, short training, </w:t>
      </w:r>
      <w:r w:rsidRPr="6F53E6DE" w:rsidR="6F53E6DE">
        <w:rPr>
          <w:rFonts w:ascii="Arial" w:hAnsi="Arial" w:eastAsia="Arial" w:cs="Arial"/>
          <w:sz w:val="24"/>
          <w:szCs w:val="24"/>
        </w:rPr>
        <w:t>acting-up</w:t>
      </w:r>
      <w:r w:rsidRPr="6F53E6DE" w:rsidR="6F53E6DE">
        <w:rPr>
          <w:rFonts w:ascii="Arial" w:hAnsi="Arial" w:eastAsia="Arial" w:cs="Arial"/>
          <w:sz w:val="24"/>
          <w:szCs w:val="24"/>
        </w:rPr>
        <w:t>). Clear progression supports retention and strengthens the psychological contract (Rousseau, 1995).</w:t>
      </w:r>
    </w:p>
    <w:p xmlns:wp14="http://schemas.microsoft.com/office/word/2010/wordml" w:rsidP="6F53E6DE" w14:paraId="24C6888F" wp14:textId="77777777" wp14:noSpellErr="1">
      <w:pPr>
        <w:pStyle w:val="Heading3"/>
        <w:spacing w:before="200" w:after="120" w:line="360" w:lineRule="auto"/>
        <w:jc w:val="both"/>
        <w:rPr>
          <w:rFonts w:ascii="Arial" w:hAnsi="Arial" w:eastAsia="Arial" w:cs="Arial"/>
          <w:sz w:val="24"/>
          <w:szCs w:val="24"/>
        </w:rPr>
      </w:pPr>
      <w:r w:rsidRPr="6F53E6DE" w:rsidR="6F53E6DE">
        <w:rPr>
          <w:rFonts w:ascii="Arial" w:hAnsi="Arial" w:eastAsia="Arial" w:cs="Arial"/>
          <w:sz w:val="24"/>
          <w:szCs w:val="24"/>
        </w:rPr>
        <w:t>2.5.7 Align measures and lead culture change deliberately</w:t>
      </w:r>
    </w:p>
    <w:p xmlns:wp14="http://schemas.microsoft.com/office/word/2010/wordml" w:rsidP="6F53E6DE" w14:paraId="117077B8" wp14:textId="77777777" wp14:noSpellErr="1">
      <w:pPr>
        <w:spacing w:after="120" w:line="360" w:lineRule="auto"/>
        <w:jc w:val="both"/>
        <w:rPr>
          <w:rFonts w:ascii="Arial" w:hAnsi="Arial" w:eastAsia="Arial" w:cs="Arial"/>
          <w:sz w:val="24"/>
          <w:szCs w:val="24"/>
        </w:rPr>
      </w:pPr>
      <w:r w:rsidRPr="6F53E6DE" w:rsidR="6F53E6DE">
        <w:rPr>
          <w:rFonts w:ascii="Arial" w:hAnsi="Arial" w:eastAsia="Arial" w:cs="Arial"/>
          <w:sz w:val="24"/>
          <w:szCs w:val="24"/>
        </w:rPr>
        <w:t xml:space="preserve">Add </w:t>
      </w:r>
      <w:r w:rsidRPr="6F53E6DE" w:rsidR="6F53E6DE">
        <w:rPr>
          <w:rFonts w:ascii="Arial" w:hAnsi="Arial" w:eastAsia="Arial" w:cs="Arial"/>
          <w:sz w:val="24"/>
          <w:szCs w:val="24"/>
        </w:rPr>
        <w:t>people</w:t>
      </w:r>
      <w:r w:rsidRPr="6F53E6DE" w:rsidR="6F53E6DE">
        <w:rPr>
          <w:rFonts w:ascii="Arial" w:hAnsi="Arial" w:eastAsia="Arial" w:cs="Arial"/>
          <w:sz w:val="24"/>
          <w:szCs w:val="24"/>
        </w:rPr>
        <w:t xml:space="preserve"> outcomes to manager targets (turnover, engagement pulse, completion of check-ins) alongside cost and compliance. Senior leaders should reinforce the shift through visible site engagement and consistent messaging. Kotter’s change model highlights the need for clear direction, removing </w:t>
      </w:r>
      <w:r w:rsidRPr="6F53E6DE" w:rsidR="6F53E6DE">
        <w:rPr>
          <w:rFonts w:ascii="Arial" w:hAnsi="Arial" w:eastAsia="Arial" w:cs="Arial"/>
          <w:sz w:val="24"/>
          <w:szCs w:val="24"/>
        </w:rPr>
        <w:t>barriers</w:t>
      </w:r>
      <w:r w:rsidRPr="6F53E6DE" w:rsidR="6F53E6DE">
        <w:rPr>
          <w:rFonts w:ascii="Arial" w:hAnsi="Arial" w:eastAsia="Arial" w:cs="Arial"/>
          <w:sz w:val="24"/>
          <w:szCs w:val="24"/>
        </w:rPr>
        <w:t xml:space="preserve"> and reinforcing new </w:t>
      </w:r>
      <w:r w:rsidRPr="6F53E6DE" w:rsidR="6F53E6DE">
        <w:rPr>
          <w:rFonts w:ascii="Arial" w:hAnsi="Arial" w:eastAsia="Arial" w:cs="Arial"/>
          <w:sz w:val="24"/>
          <w:szCs w:val="24"/>
        </w:rPr>
        <w:t>behaviour</w:t>
      </w:r>
      <w:r w:rsidRPr="6F53E6DE" w:rsidR="6F53E6DE">
        <w:rPr>
          <w:rFonts w:ascii="Arial" w:hAnsi="Arial" w:eastAsia="Arial" w:cs="Arial"/>
          <w:sz w:val="24"/>
          <w:szCs w:val="24"/>
        </w:rPr>
        <w:t xml:space="preserve"> (Kotter, 1996). Culture will shift when leaders consistently reward the </w:t>
      </w:r>
      <w:r w:rsidRPr="6F53E6DE" w:rsidR="6F53E6DE">
        <w:rPr>
          <w:rFonts w:ascii="Arial" w:hAnsi="Arial" w:eastAsia="Arial" w:cs="Arial"/>
          <w:sz w:val="24"/>
          <w:szCs w:val="24"/>
        </w:rPr>
        <w:t>behaviours</w:t>
      </w:r>
      <w:r w:rsidRPr="6F53E6DE" w:rsidR="6F53E6DE">
        <w:rPr>
          <w:rFonts w:ascii="Arial" w:hAnsi="Arial" w:eastAsia="Arial" w:cs="Arial"/>
          <w:sz w:val="24"/>
          <w:szCs w:val="24"/>
        </w:rPr>
        <w:t xml:space="preserve"> they want (Schein, 2017).</w:t>
      </w:r>
    </w:p>
    <w:p xmlns:wp14="http://schemas.microsoft.com/office/word/2010/wordml" w:rsidP="6F53E6DE" w14:paraId="75541C8F" wp14:textId="77777777" wp14:noSpellErr="1">
      <w:pPr>
        <w:pStyle w:val="Heading3"/>
        <w:spacing w:before="200" w:after="120" w:line="360" w:lineRule="auto"/>
        <w:jc w:val="both"/>
        <w:rPr>
          <w:rFonts w:ascii="Arial" w:hAnsi="Arial" w:eastAsia="Arial" w:cs="Arial"/>
          <w:sz w:val="24"/>
          <w:szCs w:val="24"/>
        </w:rPr>
      </w:pPr>
      <w:r w:rsidRPr="6F53E6DE" w:rsidR="6F53E6DE">
        <w:rPr>
          <w:rFonts w:ascii="Arial" w:hAnsi="Arial" w:eastAsia="Arial" w:cs="Arial"/>
          <w:sz w:val="24"/>
          <w:szCs w:val="24"/>
        </w:rPr>
        <w:t>2.5.8 Support managers with simple tools and governance</w:t>
      </w:r>
    </w:p>
    <w:p xmlns:wp14="http://schemas.microsoft.com/office/word/2010/wordml" w:rsidP="6F53E6DE" w14:paraId="05AD4305" wp14:textId="77777777" wp14:noSpellErr="1">
      <w:pPr>
        <w:spacing w:after="120" w:line="360" w:lineRule="auto"/>
        <w:jc w:val="both"/>
        <w:rPr>
          <w:rFonts w:ascii="Arial" w:hAnsi="Arial" w:eastAsia="Arial" w:cs="Arial"/>
          <w:sz w:val="24"/>
          <w:szCs w:val="24"/>
        </w:rPr>
      </w:pPr>
      <w:r w:rsidRPr="6F53E6DE" w:rsidR="6F53E6DE">
        <w:rPr>
          <w:rFonts w:ascii="Arial" w:hAnsi="Arial" w:eastAsia="Arial" w:cs="Arial"/>
          <w:sz w:val="24"/>
          <w:szCs w:val="24"/>
        </w:rPr>
        <w:t xml:space="preserve">To make the changes stick, </w:t>
      </w:r>
      <w:r w:rsidRPr="6F53E6DE" w:rsidR="6F53E6DE">
        <w:rPr>
          <w:rFonts w:ascii="Arial" w:hAnsi="Arial" w:eastAsia="Arial" w:cs="Arial"/>
          <w:sz w:val="24"/>
          <w:szCs w:val="24"/>
        </w:rPr>
        <w:t>BrightWave</w:t>
      </w:r>
      <w:r w:rsidRPr="6F53E6DE" w:rsidR="6F53E6DE">
        <w:rPr>
          <w:rFonts w:ascii="Arial" w:hAnsi="Arial" w:eastAsia="Arial" w:cs="Arial"/>
          <w:sz w:val="24"/>
          <w:szCs w:val="24"/>
        </w:rPr>
        <w:t xml:space="preserve"> should keep the system light but consistent. Provide simple templates for one-to-ones, feedback </w:t>
      </w:r>
      <w:r w:rsidRPr="6F53E6DE" w:rsidR="6F53E6DE">
        <w:rPr>
          <w:rFonts w:ascii="Arial" w:hAnsi="Arial" w:eastAsia="Arial" w:cs="Arial"/>
          <w:sz w:val="24"/>
          <w:szCs w:val="24"/>
        </w:rPr>
        <w:t>notes</w:t>
      </w:r>
      <w:r w:rsidRPr="6F53E6DE" w:rsidR="6F53E6DE">
        <w:rPr>
          <w:rFonts w:ascii="Arial" w:hAnsi="Arial" w:eastAsia="Arial" w:cs="Arial"/>
          <w:sz w:val="24"/>
          <w:szCs w:val="24"/>
        </w:rPr>
        <w:t xml:space="preserve"> and development plans, and make it clear where managers can get help when conversations are difficult. Review a small set of leading indicators monthly (for example, completion of check-ins, recurring client issues, hotspots of turnover). This helps senior leaders spot problems early and supports a consistent approach across sites (Purcell and Hutchinson, 2007).</w:t>
      </w:r>
    </w:p>
    <w:p xmlns:wp14="http://schemas.microsoft.com/office/word/2010/wordml" w:rsidP="6F53E6DE" w14:paraId="55EB7112" wp14:textId="77777777" wp14:noSpellErr="1">
      <w:pPr>
        <w:pStyle w:val="Heading1"/>
        <w:spacing w:before="240" w:after="120" w:line="360" w:lineRule="auto"/>
        <w:jc w:val="both"/>
        <w:rPr>
          <w:rFonts w:ascii="Arial" w:hAnsi="Arial" w:eastAsia="Arial" w:cs="Arial"/>
          <w:sz w:val="24"/>
          <w:szCs w:val="24"/>
        </w:rPr>
      </w:pPr>
      <w:r w:rsidRPr="6F53E6DE" w:rsidR="6F53E6DE">
        <w:rPr>
          <w:rFonts w:ascii="Arial" w:hAnsi="Arial" w:eastAsia="Arial" w:cs="Arial"/>
          <w:sz w:val="24"/>
          <w:szCs w:val="24"/>
        </w:rPr>
        <w:t>3. Conclusion</w:t>
      </w:r>
    </w:p>
    <w:p xmlns:wp14="http://schemas.microsoft.com/office/word/2010/wordml" w:rsidP="6F53E6DE" w14:paraId="0AAF244F" wp14:textId="77777777" wp14:noSpellErr="1">
      <w:pPr>
        <w:spacing w:after="120" w:line="360" w:lineRule="auto"/>
        <w:jc w:val="both"/>
        <w:rPr>
          <w:rFonts w:ascii="Arial" w:hAnsi="Arial" w:eastAsia="Arial" w:cs="Arial"/>
          <w:sz w:val="24"/>
          <w:szCs w:val="24"/>
        </w:rPr>
      </w:pPr>
      <w:r w:rsidRPr="6F53E6DE" w:rsidR="6F53E6DE">
        <w:rPr>
          <w:rFonts w:ascii="Arial" w:hAnsi="Arial" w:eastAsia="Arial" w:cs="Arial"/>
          <w:sz w:val="24"/>
          <w:szCs w:val="24"/>
        </w:rPr>
        <w:t>BrightWave’s</w:t>
      </w:r>
      <w:r w:rsidRPr="6F53E6DE" w:rsidR="6F53E6DE">
        <w:rPr>
          <w:rFonts w:ascii="Arial" w:hAnsi="Arial" w:eastAsia="Arial" w:cs="Arial"/>
          <w:sz w:val="24"/>
          <w:szCs w:val="24"/>
        </w:rPr>
        <w:t xml:space="preserve"> case shows that performance problems are strongly linked to line management capability and culture. Supervisors focus on operational control, but avoid feedback and difficult conversations, which allows underperformance to persist and drives </w:t>
      </w:r>
      <w:r w:rsidRPr="6F53E6DE" w:rsidR="6F53E6DE">
        <w:rPr>
          <w:rFonts w:ascii="Arial" w:hAnsi="Arial" w:eastAsia="Arial" w:cs="Arial"/>
          <w:sz w:val="24"/>
          <w:szCs w:val="24"/>
        </w:rPr>
        <w:t>unfairness</w:t>
      </w:r>
      <w:r w:rsidRPr="6F53E6DE" w:rsidR="6F53E6DE">
        <w:rPr>
          <w:rFonts w:ascii="Arial" w:hAnsi="Arial" w:eastAsia="Arial" w:cs="Arial"/>
          <w:sz w:val="24"/>
          <w:szCs w:val="24"/>
        </w:rPr>
        <w:t xml:space="preserve"> </w:t>
      </w:r>
      <w:r w:rsidRPr="6F53E6DE" w:rsidR="6F53E6DE">
        <w:rPr>
          <w:rFonts w:ascii="Arial" w:hAnsi="Arial" w:eastAsia="Arial" w:cs="Arial"/>
          <w:sz w:val="24"/>
          <w:szCs w:val="24"/>
        </w:rPr>
        <w:t>perceptions</w:t>
      </w:r>
      <w:r w:rsidRPr="6F53E6DE" w:rsidR="6F53E6DE">
        <w:rPr>
          <w:rFonts w:ascii="Arial" w:hAnsi="Arial" w:eastAsia="Arial" w:cs="Arial"/>
          <w:sz w:val="24"/>
          <w:szCs w:val="24"/>
        </w:rPr>
        <w:t>.</w:t>
      </w:r>
    </w:p>
    <w:p xmlns:wp14="http://schemas.microsoft.com/office/word/2010/wordml" w:rsidP="6F53E6DE" w14:paraId="5A4520A3" wp14:textId="77777777" wp14:noSpellErr="1">
      <w:pPr>
        <w:spacing w:after="120" w:line="360" w:lineRule="auto"/>
        <w:jc w:val="both"/>
        <w:rPr>
          <w:rFonts w:ascii="Arial" w:hAnsi="Arial" w:eastAsia="Arial" w:cs="Arial"/>
          <w:sz w:val="24"/>
          <w:szCs w:val="24"/>
        </w:rPr>
      </w:pPr>
      <w:r w:rsidRPr="6F53E6DE" w:rsidR="6F53E6DE">
        <w:rPr>
          <w:rFonts w:ascii="Arial" w:hAnsi="Arial" w:eastAsia="Arial" w:cs="Arial"/>
          <w:sz w:val="24"/>
          <w:szCs w:val="24"/>
        </w:rPr>
        <w:t xml:space="preserve">Using theory, the direction of travel is clear: set clear standards and goals, provide regular feedback and coaching, make fairness visible, and build motivation through recognition and development (Locke and Latham, 2002; Adams, 1965; Herzberg, </w:t>
      </w:r>
      <w:r w:rsidRPr="6F53E6DE" w:rsidR="6F53E6DE">
        <w:rPr>
          <w:rFonts w:ascii="Arial" w:hAnsi="Arial" w:eastAsia="Arial" w:cs="Arial"/>
          <w:sz w:val="24"/>
          <w:szCs w:val="24"/>
        </w:rPr>
        <w:t>Mausner</w:t>
      </w:r>
      <w:r w:rsidRPr="6F53E6DE" w:rsidR="6F53E6DE">
        <w:rPr>
          <w:rFonts w:ascii="Arial" w:hAnsi="Arial" w:eastAsia="Arial" w:cs="Arial"/>
          <w:sz w:val="24"/>
          <w:szCs w:val="24"/>
        </w:rPr>
        <w:t xml:space="preserve"> and Snyderman, 1959; Deci and Ryan, 2000). With practice-based manager development and measures that value </w:t>
      </w:r>
      <w:r w:rsidRPr="6F53E6DE" w:rsidR="6F53E6DE">
        <w:rPr>
          <w:rFonts w:ascii="Arial" w:hAnsi="Arial" w:eastAsia="Arial" w:cs="Arial"/>
          <w:sz w:val="24"/>
          <w:szCs w:val="24"/>
        </w:rPr>
        <w:t>people</w:t>
      </w:r>
      <w:r w:rsidRPr="6F53E6DE" w:rsidR="6F53E6DE">
        <w:rPr>
          <w:rFonts w:ascii="Arial" w:hAnsi="Arial" w:eastAsia="Arial" w:cs="Arial"/>
          <w:sz w:val="24"/>
          <w:szCs w:val="24"/>
        </w:rPr>
        <w:t xml:space="preserve"> outcomes as well as numbers, </w:t>
      </w:r>
      <w:r w:rsidRPr="6F53E6DE" w:rsidR="6F53E6DE">
        <w:rPr>
          <w:rFonts w:ascii="Arial" w:hAnsi="Arial" w:eastAsia="Arial" w:cs="Arial"/>
          <w:sz w:val="24"/>
          <w:szCs w:val="24"/>
        </w:rPr>
        <w:t>BrightWave</w:t>
      </w:r>
      <w:r w:rsidRPr="6F53E6DE" w:rsidR="6F53E6DE">
        <w:rPr>
          <w:rFonts w:ascii="Arial" w:hAnsi="Arial" w:eastAsia="Arial" w:cs="Arial"/>
          <w:sz w:val="24"/>
          <w:szCs w:val="24"/>
        </w:rPr>
        <w:t xml:space="preserve"> can improve service consistency, raise </w:t>
      </w:r>
      <w:r w:rsidRPr="6F53E6DE" w:rsidR="6F53E6DE">
        <w:rPr>
          <w:rFonts w:ascii="Arial" w:hAnsi="Arial" w:eastAsia="Arial" w:cs="Arial"/>
          <w:sz w:val="24"/>
          <w:szCs w:val="24"/>
        </w:rPr>
        <w:t>engagement</w:t>
      </w:r>
      <w:r w:rsidRPr="6F53E6DE" w:rsidR="6F53E6DE">
        <w:rPr>
          <w:rFonts w:ascii="Arial" w:hAnsi="Arial" w:eastAsia="Arial" w:cs="Arial"/>
          <w:sz w:val="24"/>
          <w:szCs w:val="24"/>
        </w:rPr>
        <w:t xml:space="preserve"> and reduce turnover.</w:t>
      </w:r>
    </w:p>
    <w:p xmlns:wp14="http://schemas.microsoft.com/office/word/2010/wordml" w14:paraId="4A99DE49" wp14:textId="68943C30">
      <w:pPr>
        <w:pStyle w:val="Heading1"/>
        <w:spacing w:before="240" w:after="120"/>
      </w:pPr>
    </w:p>
    <w:p xmlns:wp14="http://schemas.microsoft.com/office/word/2010/wordml" w14:paraId="587F5BE6" wp14:textId="0162D7EA">
      <w:pPr>
        <w:pStyle w:val="Heading1"/>
        <w:spacing w:before="240" w:after="120"/>
      </w:pPr>
    </w:p>
    <w:p xmlns:wp14="http://schemas.microsoft.com/office/word/2010/wordml" w14:paraId="1E4492BD" wp14:textId="3A7323B4">
      <w:pPr>
        <w:pStyle w:val="Heading1"/>
        <w:spacing w:before="240" w:after="120"/>
      </w:pPr>
    </w:p>
    <w:p xmlns:wp14="http://schemas.microsoft.com/office/word/2010/wordml" w14:paraId="5B59B18D" wp14:textId="1D338C62">
      <w:pPr>
        <w:pStyle w:val="Heading1"/>
        <w:spacing w:before="240" w:after="120"/>
      </w:pPr>
    </w:p>
    <w:p xmlns:wp14="http://schemas.microsoft.com/office/word/2010/wordml" w14:paraId="1A632134" wp14:textId="1002C68A">
      <w:pPr>
        <w:pStyle w:val="Heading1"/>
        <w:spacing w:before="240" w:after="120"/>
      </w:pPr>
    </w:p>
    <w:p xmlns:wp14="http://schemas.microsoft.com/office/word/2010/wordml" w14:paraId="11837A17" wp14:textId="6D5430D7">
      <w:pPr>
        <w:pStyle w:val="Heading1"/>
        <w:spacing w:before="240" w:after="120"/>
      </w:pPr>
    </w:p>
    <w:p xmlns:wp14="http://schemas.microsoft.com/office/word/2010/wordml" w14:paraId="69DBD4C8" wp14:textId="73E5706A">
      <w:pPr>
        <w:pStyle w:val="Heading1"/>
        <w:spacing w:before="240" w:after="120"/>
      </w:pPr>
    </w:p>
    <w:p xmlns:wp14="http://schemas.microsoft.com/office/word/2010/wordml" w14:paraId="7F13AB9C" wp14:textId="034406ED">
      <w:pPr>
        <w:pStyle w:val="Heading1"/>
        <w:spacing w:before="240" w:after="120"/>
      </w:pPr>
    </w:p>
    <w:p xmlns:wp14="http://schemas.microsoft.com/office/word/2010/wordml" w14:paraId="275881A3" wp14:textId="455AA673">
      <w:pPr>
        <w:pStyle w:val="Heading1"/>
        <w:spacing w:before="240" w:after="120"/>
      </w:pPr>
    </w:p>
    <w:p xmlns:wp14="http://schemas.microsoft.com/office/word/2010/wordml" w14:paraId="1416F707" wp14:textId="26492333">
      <w:pPr>
        <w:pStyle w:val="Heading1"/>
        <w:spacing w:before="240" w:after="120"/>
      </w:pPr>
    </w:p>
    <w:p xmlns:wp14="http://schemas.microsoft.com/office/word/2010/wordml" w14:paraId="3849B90C" wp14:textId="043BDDC5">
      <w:pPr>
        <w:pStyle w:val="Heading1"/>
        <w:spacing w:before="240" w:after="120"/>
      </w:pPr>
    </w:p>
    <w:p xmlns:wp14="http://schemas.microsoft.com/office/word/2010/wordml" w14:paraId="347231EB" wp14:textId="6B6ECE90">
      <w:pPr>
        <w:pStyle w:val="Heading1"/>
        <w:spacing w:before="240" w:after="120"/>
      </w:pPr>
    </w:p>
    <w:p xmlns:wp14="http://schemas.microsoft.com/office/word/2010/wordml" w:rsidP="6F53E6DE" w14:paraId="6F163471" wp14:textId="7E19698C">
      <w:pPr>
        <w:pStyle w:val="NoSpacing"/>
      </w:pPr>
    </w:p>
    <w:p xmlns:wp14="http://schemas.microsoft.com/office/word/2010/wordml" w:rsidP="6F53E6DE" w14:paraId="6F241594" wp14:textId="22D5EE19">
      <w:pPr>
        <w:pStyle w:val="NoSpacing"/>
      </w:pPr>
    </w:p>
    <w:p xmlns:wp14="http://schemas.microsoft.com/office/word/2010/wordml" w:rsidP="6F53E6DE" w14:paraId="262BCBD0" wp14:textId="33A91BD1">
      <w:pPr>
        <w:pStyle w:val="NoSpacing"/>
        <w:jc w:val="both"/>
        <w:rPr>
          <w:rFonts w:ascii="Arial" w:hAnsi="Arial" w:eastAsia="Arial" w:cs="Arial"/>
          <w:b w:val="1"/>
          <w:bCs w:val="1"/>
          <w:sz w:val="24"/>
          <w:szCs w:val="24"/>
        </w:rPr>
      </w:pPr>
      <w:r w:rsidRPr="6F53E6DE" w:rsidR="6F53E6DE">
        <w:rPr>
          <w:rFonts w:ascii="Arial" w:hAnsi="Arial" w:eastAsia="Arial" w:cs="Arial"/>
          <w:b w:val="1"/>
          <w:bCs w:val="1"/>
          <w:sz w:val="24"/>
          <w:szCs w:val="24"/>
        </w:rPr>
        <w:t>4. Reference List</w:t>
      </w:r>
    </w:p>
    <w:p xmlns:wp14="http://schemas.microsoft.com/office/word/2010/wordml" w:rsidP="6F53E6DE" w14:paraId="3F3203B0" wp14:textId="77777777" wp14:noSpellErr="1">
      <w:pPr>
        <w:spacing w:after="60" w:line="276" w:lineRule="auto"/>
        <w:ind w:left="360" w:hanging="360"/>
        <w:jc w:val="both"/>
        <w:rPr>
          <w:rFonts w:ascii="Arial" w:hAnsi="Arial" w:eastAsia="Arial" w:cs="Arial"/>
          <w:sz w:val="24"/>
          <w:szCs w:val="24"/>
        </w:rPr>
      </w:pPr>
      <w:r w:rsidRPr="6F53E6DE" w:rsidR="6F53E6DE">
        <w:rPr>
          <w:rFonts w:ascii="Arial" w:hAnsi="Arial" w:eastAsia="Arial" w:cs="Arial"/>
          <w:sz w:val="24"/>
          <w:szCs w:val="24"/>
        </w:rPr>
        <w:t>ACAS (2023) Managing performance and capability. London: ACAS.</w:t>
      </w:r>
    </w:p>
    <w:p xmlns:wp14="http://schemas.microsoft.com/office/word/2010/wordml" w:rsidP="6F53E6DE" w14:paraId="79194540" wp14:textId="77777777" wp14:noSpellErr="1">
      <w:pPr>
        <w:spacing w:after="60" w:line="276" w:lineRule="auto"/>
        <w:ind w:left="360" w:hanging="360"/>
        <w:jc w:val="both"/>
        <w:rPr>
          <w:rFonts w:ascii="Arial" w:hAnsi="Arial" w:eastAsia="Arial" w:cs="Arial"/>
          <w:sz w:val="24"/>
          <w:szCs w:val="24"/>
        </w:rPr>
      </w:pPr>
      <w:r w:rsidRPr="6F53E6DE" w:rsidR="6F53E6DE">
        <w:rPr>
          <w:rFonts w:ascii="Arial" w:hAnsi="Arial" w:eastAsia="Arial" w:cs="Arial"/>
          <w:sz w:val="24"/>
          <w:szCs w:val="24"/>
        </w:rPr>
        <w:t>Adams, J.S. (1965) ‘Inequity in social exchange’, in Berkowitz, L. (ed.) Advances in Experimental Social Psychology. New York: Academic Press, pp. 267-299.</w:t>
      </w:r>
    </w:p>
    <w:p xmlns:wp14="http://schemas.microsoft.com/office/word/2010/wordml" w:rsidP="6F53E6DE" w14:paraId="2709A29B" wp14:textId="77777777" wp14:noSpellErr="1">
      <w:pPr>
        <w:spacing w:after="60" w:line="276" w:lineRule="auto"/>
        <w:ind w:left="360" w:hanging="360"/>
        <w:jc w:val="both"/>
        <w:rPr>
          <w:rFonts w:ascii="Arial" w:hAnsi="Arial" w:eastAsia="Arial" w:cs="Arial"/>
          <w:sz w:val="24"/>
          <w:szCs w:val="24"/>
        </w:rPr>
      </w:pPr>
      <w:r w:rsidRPr="6F53E6DE" w:rsidR="6F53E6DE">
        <w:rPr>
          <w:rFonts w:ascii="Arial" w:hAnsi="Arial" w:eastAsia="Arial" w:cs="Arial"/>
          <w:sz w:val="24"/>
          <w:szCs w:val="24"/>
        </w:rPr>
        <w:t>Armstrong, M. (2020)</w:t>
      </w:r>
      <w:r w:rsidRPr="6F53E6DE" w:rsidR="6F53E6DE">
        <w:rPr>
          <w:rFonts w:ascii="Arial" w:hAnsi="Arial" w:eastAsia="Arial" w:cs="Arial"/>
          <w:sz w:val="24"/>
          <w:szCs w:val="24"/>
        </w:rPr>
        <w:t xml:space="preserve"> Armstrong’s</w:t>
      </w:r>
      <w:r w:rsidRPr="6F53E6DE" w:rsidR="6F53E6DE">
        <w:rPr>
          <w:rFonts w:ascii="Arial" w:hAnsi="Arial" w:eastAsia="Arial" w:cs="Arial"/>
          <w:sz w:val="24"/>
          <w:szCs w:val="24"/>
        </w:rPr>
        <w:t xml:space="preserve"> Handbook of Performance Management. London: Kogan Page.</w:t>
      </w:r>
    </w:p>
    <w:p xmlns:wp14="http://schemas.microsoft.com/office/word/2010/wordml" w:rsidP="6F53E6DE" w14:paraId="37FFA02F" wp14:textId="77777777" wp14:noSpellErr="1">
      <w:pPr>
        <w:spacing w:after="60" w:line="276" w:lineRule="auto"/>
        <w:ind w:left="360" w:hanging="360"/>
        <w:jc w:val="both"/>
        <w:rPr>
          <w:rFonts w:ascii="Arial" w:hAnsi="Arial" w:eastAsia="Arial" w:cs="Arial"/>
          <w:sz w:val="24"/>
          <w:szCs w:val="24"/>
        </w:rPr>
      </w:pPr>
      <w:r w:rsidRPr="6F53E6DE" w:rsidR="6F53E6DE">
        <w:rPr>
          <w:rFonts w:ascii="Arial" w:hAnsi="Arial" w:eastAsia="Arial" w:cs="Arial"/>
          <w:sz w:val="24"/>
          <w:szCs w:val="24"/>
        </w:rPr>
        <w:t xml:space="preserve">Armstrong, </w:t>
      </w:r>
      <w:r w:rsidRPr="6F53E6DE" w:rsidR="6F53E6DE">
        <w:rPr>
          <w:rFonts w:ascii="Arial" w:hAnsi="Arial" w:eastAsia="Arial" w:cs="Arial"/>
          <w:sz w:val="24"/>
          <w:szCs w:val="24"/>
        </w:rPr>
        <w:t>M.</w:t>
      </w:r>
      <w:r w:rsidRPr="6F53E6DE" w:rsidR="6F53E6DE">
        <w:rPr>
          <w:rFonts w:ascii="Arial" w:hAnsi="Arial" w:eastAsia="Arial" w:cs="Arial"/>
          <w:sz w:val="24"/>
          <w:szCs w:val="24"/>
        </w:rPr>
        <w:t xml:space="preserve"> and Taylor, S. (2023)</w:t>
      </w:r>
      <w:r w:rsidRPr="6F53E6DE" w:rsidR="6F53E6DE">
        <w:rPr>
          <w:rFonts w:ascii="Arial" w:hAnsi="Arial" w:eastAsia="Arial" w:cs="Arial"/>
          <w:sz w:val="24"/>
          <w:szCs w:val="24"/>
        </w:rPr>
        <w:t xml:space="preserve"> Armstrong’s</w:t>
      </w:r>
      <w:r w:rsidRPr="6F53E6DE" w:rsidR="6F53E6DE">
        <w:rPr>
          <w:rFonts w:ascii="Arial" w:hAnsi="Arial" w:eastAsia="Arial" w:cs="Arial"/>
          <w:sz w:val="24"/>
          <w:szCs w:val="24"/>
        </w:rPr>
        <w:t xml:space="preserve"> Handbook of Human Resource Management Practice. 16th </w:t>
      </w:r>
      <w:r w:rsidRPr="6F53E6DE" w:rsidR="6F53E6DE">
        <w:rPr>
          <w:rFonts w:ascii="Arial" w:hAnsi="Arial" w:eastAsia="Arial" w:cs="Arial"/>
          <w:sz w:val="24"/>
          <w:szCs w:val="24"/>
        </w:rPr>
        <w:t>edn</w:t>
      </w:r>
      <w:r w:rsidRPr="6F53E6DE" w:rsidR="6F53E6DE">
        <w:rPr>
          <w:rFonts w:ascii="Arial" w:hAnsi="Arial" w:eastAsia="Arial" w:cs="Arial"/>
          <w:sz w:val="24"/>
          <w:szCs w:val="24"/>
        </w:rPr>
        <w:t>. London: Kogan Page.</w:t>
      </w:r>
    </w:p>
    <w:p xmlns:wp14="http://schemas.microsoft.com/office/word/2010/wordml" w:rsidP="6F53E6DE" w14:paraId="0A813597" wp14:textId="77777777" wp14:noSpellErr="1">
      <w:pPr>
        <w:spacing w:after="60" w:line="276" w:lineRule="auto"/>
        <w:ind w:left="360" w:hanging="360"/>
        <w:jc w:val="both"/>
        <w:rPr>
          <w:rFonts w:ascii="Arial" w:hAnsi="Arial" w:eastAsia="Arial" w:cs="Arial"/>
          <w:sz w:val="24"/>
          <w:szCs w:val="24"/>
        </w:rPr>
      </w:pPr>
      <w:r w:rsidRPr="6F53E6DE" w:rsidR="6F53E6DE">
        <w:rPr>
          <w:rFonts w:ascii="Arial" w:hAnsi="Arial" w:eastAsia="Arial" w:cs="Arial"/>
          <w:sz w:val="24"/>
          <w:szCs w:val="24"/>
        </w:rPr>
        <w:t>Bass, B.M. and Riggio, R.E. (2006)</w:t>
      </w:r>
      <w:r w:rsidRPr="6F53E6DE" w:rsidR="6F53E6DE">
        <w:rPr>
          <w:rFonts w:ascii="Arial" w:hAnsi="Arial" w:eastAsia="Arial" w:cs="Arial"/>
          <w:sz w:val="24"/>
          <w:szCs w:val="24"/>
        </w:rPr>
        <w:t xml:space="preserve"> Transformational</w:t>
      </w:r>
      <w:r w:rsidRPr="6F53E6DE" w:rsidR="6F53E6DE">
        <w:rPr>
          <w:rFonts w:ascii="Arial" w:hAnsi="Arial" w:eastAsia="Arial" w:cs="Arial"/>
          <w:sz w:val="24"/>
          <w:szCs w:val="24"/>
        </w:rPr>
        <w:t xml:space="preserve"> Leadership. 2nd </w:t>
      </w:r>
      <w:r w:rsidRPr="6F53E6DE" w:rsidR="6F53E6DE">
        <w:rPr>
          <w:rFonts w:ascii="Arial" w:hAnsi="Arial" w:eastAsia="Arial" w:cs="Arial"/>
          <w:sz w:val="24"/>
          <w:szCs w:val="24"/>
        </w:rPr>
        <w:t>edn</w:t>
      </w:r>
      <w:r w:rsidRPr="6F53E6DE" w:rsidR="6F53E6DE">
        <w:rPr>
          <w:rFonts w:ascii="Arial" w:hAnsi="Arial" w:eastAsia="Arial" w:cs="Arial"/>
          <w:sz w:val="24"/>
          <w:szCs w:val="24"/>
        </w:rPr>
        <w:t>. Mahwah, NJ: Lawrence Erlbaum.</w:t>
      </w:r>
    </w:p>
    <w:p xmlns:wp14="http://schemas.microsoft.com/office/word/2010/wordml" w:rsidP="6F53E6DE" w14:paraId="272E2536" wp14:textId="77777777" wp14:noSpellErr="1">
      <w:pPr>
        <w:spacing w:after="60" w:line="276" w:lineRule="auto"/>
        <w:ind w:left="360" w:hanging="360"/>
        <w:jc w:val="both"/>
        <w:rPr>
          <w:rFonts w:ascii="Arial" w:hAnsi="Arial" w:eastAsia="Arial" w:cs="Arial"/>
          <w:sz w:val="24"/>
          <w:szCs w:val="24"/>
        </w:rPr>
      </w:pPr>
      <w:r w:rsidRPr="6F53E6DE" w:rsidR="6F53E6DE">
        <w:rPr>
          <w:rFonts w:ascii="Arial" w:hAnsi="Arial" w:eastAsia="Arial" w:cs="Arial"/>
          <w:sz w:val="24"/>
          <w:szCs w:val="24"/>
        </w:rPr>
        <w:t>CIPD (2022) Performance management: factsheet. London: Chartered Institute of Personnel and Development.</w:t>
      </w:r>
    </w:p>
    <w:p xmlns:wp14="http://schemas.microsoft.com/office/word/2010/wordml" w:rsidP="6F53E6DE" w14:paraId="1E945693" wp14:textId="77777777" wp14:noSpellErr="1">
      <w:pPr>
        <w:spacing w:after="60" w:line="276" w:lineRule="auto"/>
        <w:ind w:left="360" w:hanging="360"/>
        <w:jc w:val="both"/>
        <w:rPr>
          <w:rFonts w:ascii="Arial" w:hAnsi="Arial" w:eastAsia="Arial" w:cs="Arial"/>
          <w:sz w:val="24"/>
          <w:szCs w:val="24"/>
        </w:rPr>
      </w:pPr>
      <w:r w:rsidRPr="6F53E6DE" w:rsidR="6F53E6DE">
        <w:rPr>
          <w:rFonts w:ascii="Arial" w:hAnsi="Arial" w:eastAsia="Arial" w:cs="Arial"/>
          <w:sz w:val="24"/>
          <w:szCs w:val="24"/>
        </w:rPr>
        <w:t>CIPD (2023) Developing effective line managers: factsheet. London: Chartered Institute of Personnel and Development.</w:t>
      </w:r>
    </w:p>
    <w:p xmlns:wp14="http://schemas.microsoft.com/office/word/2010/wordml" w:rsidP="6F53E6DE" w14:paraId="200180A8" wp14:textId="77777777" wp14:noSpellErr="1">
      <w:pPr>
        <w:spacing w:after="60" w:line="276" w:lineRule="auto"/>
        <w:ind w:left="360" w:hanging="360"/>
        <w:jc w:val="both"/>
        <w:rPr>
          <w:rFonts w:ascii="Arial" w:hAnsi="Arial" w:eastAsia="Arial" w:cs="Arial"/>
          <w:sz w:val="24"/>
          <w:szCs w:val="24"/>
        </w:rPr>
      </w:pPr>
      <w:r w:rsidRPr="6F53E6DE" w:rsidR="6F53E6DE">
        <w:rPr>
          <w:rFonts w:ascii="Arial" w:hAnsi="Arial" w:eastAsia="Arial" w:cs="Arial"/>
          <w:sz w:val="24"/>
          <w:szCs w:val="24"/>
        </w:rPr>
        <w:t>Deci, E.L. and Ryan, R.M. (2000) ‘The “what” and “why” of goal pursuits: human needs and the self-determination of behavior’, Psychological Inquiry, 11(4), pp. 227-268.</w:t>
      </w:r>
    </w:p>
    <w:p xmlns:wp14="http://schemas.microsoft.com/office/word/2010/wordml" w:rsidP="6F53E6DE" w14:paraId="5CBCCB61" wp14:textId="77777777" wp14:noSpellErr="1">
      <w:pPr>
        <w:spacing w:after="60" w:line="276" w:lineRule="auto"/>
        <w:ind w:left="360" w:hanging="360"/>
        <w:jc w:val="both"/>
        <w:rPr>
          <w:rFonts w:ascii="Arial" w:hAnsi="Arial" w:eastAsia="Arial" w:cs="Arial"/>
          <w:sz w:val="24"/>
          <w:szCs w:val="24"/>
        </w:rPr>
      </w:pPr>
      <w:r w:rsidRPr="6F53E6DE" w:rsidR="6F53E6DE">
        <w:rPr>
          <w:rFonts w:ascii="Arial" w:hAnsi="Arial" w:eastAsia="Arial" w:cs="Arial"/>
          <w:sz w:val="24"/>
          <w:szCs w:val="24"/>
        </w:rPr>
        <w:t>DeNisi, A.S. and Murphy, K.R. (2017) ‘Performance appraisal and performance management: 100 years of progress?’, Journal of Applied Psychology, 102(3), pp. 421-433.</w:t>
      </w:r>
    </w:p>
    <w:p xmlns:wp14="http://schemas.microsoft.com/office/word/2010/wordml" w:rsidP="6F53E6DE" w14:paraId="3127BC4A" wp14:textId="77777777" wp14:noSpellErr="1">
      <w:pPr>
        <w:spacing w:after="60" w:line="276" w:lineRule="auto"/>
        <w:ind w:left="360" w:hanging="360"/>
        <w:jc w:val="both"/>
        <w:rPr>
          <w:rFonts w:ascii="Arial" w:hAnsi="Arial" w:eastAsia="Arial" w:cs="Arial"/>
          <w:sz w:val="24"/>
          <w:szCs w:val="24"/>
        </w:rPr>
      </w:pPr>
      <w:r w:rsidRPr="6F53E6DE" w:rsidR="6F53E6DE">
        <w:rPr>
          <w:rFonts w:ascii="Arial" w:hAnsi="Arial" w:eastAsia="Arial" w:cs="Arial"/>
          <w:sz w:val="24"/>
          <w:szCs w:val="24"/>
        </w:rPr>
        <w:t>Goleman, D. (1998) Working with Emotional Intelligence. London: Bloomsbury.</w:t>
      </w:r>
    </w:p>
    <w:p xmlns:wp14="http://schemas.microsoft.com/office/word/2010/wordml" w:rsidP="6F53E6DE" w14:paraId="51C81D8F" wp14:textId="77777777" wp14:noSpellErr="1">
      <w:pPr>
        <w:spacing w:after="60" w:line="276" w:lineRule="auto"/>
        <w:ind w:left="360" w:hanging="360"/>
        <w:jc w:val="both"/>
        <w:rPr>
          <w:rFonts w:ascii="Arial" w:hAnsi="Arial" w:eastAsia="Arial" w:cs="Arial"/>
          <w:sz w:val="24"/>
          <w:szCs w:val="24"/>
        </w:rPr>
      </w:pPr>
      <w:r w:rsidRPr="6F53E6DE" w:rsidR="6F53E6DE">
        <w:rPr>
          <w:rFonts w:ascii="Arial" w:hAnsi="Arial" w:eastAsia="Arial" w:cs="Arial"/>
          <w:sz w:val="24"/>
          <w:szCs w:val="24"/>
        </w:rPr>
        <w:t xml:space="preserve">Hersey, P. and Blanchard, K.H. (1982) Management of Organizational Behavior: </w:t>
      </w:r>
      <w:r w:rsidRPr="6F53E6DE" w:rsidR="6F53E6DE">
        <w:rPr>
          <w:rFonts w:ascii="Arial" w:hAnsi="Arial" w:eastAsia="Arial" w:cs="Arial"/>
          <w:sz w:val="24"/>
          <w:szCs w:val="24"/>
        </w:rPr>
        <w:t>Utilizing</w:t>
      </w:r>
      <w:r w:rsidRPr="6F53E6DE" w:rsidR="6F53E6DE">
        <w:rPr>
          <w:rFonts w:ascii="Arial" w:hAnsi="Arial" w:eastAsia="Arial" w:cs="Arial"/>
          <w:sz w:val="24"/>
          <w:szCs w:val="24"/>
        </w:rPr>
        <w:t xml:space="preserve"> Human Resources. 4th </w:t>
      </w:r>
      <w:r w:rsidRPr="6F53E6DE" w:rsidR="6F53E6DE">
        <w:rPr>
          <w:rFonts w:ascii="Arial" w:hAnsi="Arial" w:eastAsia="Arial" w:cs="Arial"/>
          <w:sz w:val="24"/>
          <w:szCs w:val="24"/>
        </w:rPr>
        <w:t>edn</w:t>
      </w:r>
      <w:r w:rsidRPr="6F53E6DE" w:rsidR="6F53E6DE">
        <w:rPr>
          <w:rFonts w:ascii="Arial" w:hAnsi="Arial" w:eastAsia="Arial" w:cs="Arial"/>
          <w:sz w:val="24"/>
          <w:szCs w:val="24"/>
        </w:rPr>
        <w:t>. Englewood Cliffs, NJ: Prentice Hall.</w:t>
      </w:r>
    </w:p>
    <w:p xmlns:wp14="http://schemas.microsoft.com/office/word/2010/wordml" w:rsidP="6F53E6DE" w14:paraId="20607FEF" wp14:textId="77777777" wp14:noSpellErr="1">
      <w:pPr>
        <w:spacing w:after="60" w:line="276" w:lineRule="auto"/>
        <w:ind w:left="360" w:hanging="360"/>
        <w:jc w:val="both"/>
        <w:rPr>
          <w:rFonts w:ascii="Arial" w:hAnsi="Arial" w:eastAsia="Arial" w:cs="Arial"/>
          <w:sz w:val="24"/>
          <w:szCs w:val="24"/>
        </w:rPr>
      </w:pPr>
      <w:r w:rsidRPr="6F53E6DE" w:rsidR="6F53E6DE">
        <w:rPr>
          <w:rFonts w:ascii="Arial" w:hAnsi="Arial" w:eastAsia="Arial" w:cs="Arial"/>
          <w:sz w:val="24"/>
          <w:szCs w:val="24"/>
        </w:rPr>
        <w:t xml:space="preserve">Herzberg, F., Mausner, </w:t>
      </w:r>
      <w:r w:rsidRPr="6F53E6DE" w:rsidR="6F53E6DE">
        <w:rPr>
          <w:rFonts w:ascii="Arial" w:hAnsi="Arial" w:eastAsia="Arial" w:cs="Arial"/>
          <w:sz w:val="24"/>
          <w:szCs w:val="24"/>
        </w:rPr>
        <w:t>B.</w:t>
      </w:r>
      <w:r w:rsidRPr="6F53E6DE" w:rsidR="6F53E6DE">
        <w:rPr>
          <w:rFonts w:ascii="Arial" w:hAnsi="Arial" w:eastAsia="Arial" w:cs="Arial"/>
          <w:sz w:val="24"/>
          <w:szCs w:val="24"/>
        </w:rPr>
        <w:t xml:space="preserve"> and Snyderman, B.B. (1959) The Motivation to Work. New York: Wiley.</w:t>
      </w:r>
    </w:p>
    <w:p xmlns:wp14="http://schemas.microsoft.com/office/word/2010/wordml" w:rsidP="6F53E6DE" w14:paraId="48FE20AD" wp14:textId="77777777" wp14:noSpellErr="1">
      <w:pPr>
        <w:spacing w:after="60" w:line="276" w:lineRule="auto"/>
        <w:ind w:left="360" w:hanging="360"/>
        <w:jc w:val="both"/>
        <w:rPr>
          <w:rFonts w:ascii="Arial" w:hAnsi="Arial" w:eastAsia="Arial" w:cs="Arial"/>
          <w:sz w:val="24"/>
          <w:szCs w:val="24"/>
        </w:rPr>
      </w:pPr>
      <w:r w:rsidRPr="6F53E6DE" w:rsidR="6F53E6DE">
        <w:rPr>
          <w:rFonts w:ascii="Arial" w:hAnsi="Arial" w:eastAsia="Arial" w:cs="Arial"/>
          <w:sz w:val="24"/>
          <w:szCs w:val="24"/>
        </w:rPr>
        <w:t>Kotter, J.P. (1996)</w:t>
      </w:r>
      <w:r w:rsidRPr="6F53E6DE" w:rsidR="6F53E6DE">
        <w:rPr>
          <w:rFonts w:ascii="Arial" w:hAnsi="Arial" w:eastAsia="Arial" w:cs="Arial"/>
          <w:sz w:val="24"/>
          <w:szCs w:val="24"/>
        </w:rPr>
        <w:t xml:space="preserve"> Leading</w:t>
      </w:r>
      <w:r w:rsidRPr="6F53E6DE" w:rsidR="6F53E6DE">
        <w:rPr>
          <w:rFonts w:ascii="Arial" w:hAnsi="Arial" w:eastAsia="Arial" w:cs="Arial"/>
          <w:sz w:val="24"/>
          <w:szCs w:val="24"/>
        </w:rPr>
        <w:t xml:space="preserve"> Change. Boston, MA: Harvard Business School Press.</w:t>
      </w:r>
    </w:p>
    <w:p xmlns:wp14="http://schemas.microsoft.com/office/word/2010/wordml" w:rsidP="6F53E6DE" w14:paraId="176D5FBA" wp14:textId="77777777" wp14:noSpellErr="1">
      <w:pPr>
        <w:spacing w:after="60" w:line="276" w:lineRule="auto"/>
        <w:ind w:left="360" w:hanging="360"/>
        <w:jc w:val="both"/>
        <w:rPr>
          <w:rFonts w:ascii="Arial" w:hAnsi="Arial" w:eastAsia="Arial" w:cs="Arial"/>
          <w:sz w:val="24"/>
          <w:szCs w:val="24"/>
        </w:rPr>
      </w:pPr>
      <w:r w:rsidRPr="6F53E6DE" w:rsidR="6F53E6DE">
        <w:rPr>
          <w:rFonts w:ascii="Arial" w:hAnsi="Arial" w:eastAsia="Arial" w:cs="Arial"/>
          <w:sz w:val="24"/>
          <w:szCs w:val="24"/>
        </w:rPr>
        <w:t>Locke, E.A. and Latham, G.P. (2002) ‘Building a practically useful theory of goal setting and task motivation’, American Psychologist, 57(9), pp. 705-717.</w:t>
      </w:r>
    </w:p>
    <w:p xmlns:wp14="http://schemas.microsoft.com/office/word/2010/wordml" w:rsidP="6F53E6DE" w14:paraId="53DFF56A" wp14:textId="77777777" wp14:noSpellErr="1">
      <w:pPr>
        <w:spacing w:after="60" w:line="276" w:lineRule="auto"/>
        <w:ind w:left="360" w:hanging="360"/>
        <w:jc w:val="both"/>
        <w:rPr>
          <w:rFonts w:ascii="Arial" w:hAnsi="Arial" w:eastAsia="Arial" w:cs="Arial"/>
          <w:sz w:val="24"/>
          <w:szCs w:val="24"/>
        </w:rPr>
      </w:pPr>
      <w:r w:rsidRPr="6F53E6DE" w:rsidR="6F53E6DE">
        <w:rPr>
          <w:rFonts w:ascii="Arial" w:hAnsi="Arial" w:eastAsia="Arial" w:cs="Arial"/>
          <w:sz w:val="24"/>
          <w:szCs w:val="24"/>
        </w:rPr>
        <w:t>Mintzberg, H. (1973)</w:t>
      </w:r>
      <w:r w:rsidRPr="6F53E6DE" w:rsidR="6F53E6DE">
        <w:rPr>
          <w:rFonts w:ascii="Arial" w:hAnsi="Arial" w:eastAsia="Arial" w:cs="Arial"/>
          <w:sz w:val="24"/>
          <w:szCs w:val="24"/>
        </w:rPr>
        <w:t xml:space="preserve"> The</w:t>
      </w:r>
      <w:r w:rsidRPr="6F53E6DE" w:rsidR="6F53E6DE">
        <w:rPr>
          <w:rFonts w:ascii="Arial" w:hAnsi="Arial" w:eastAsia="Arial" w:cs="Arial"/>
          <w:sz w:val="24"/>
          <w:szCs w:val="24"/>
        </w:rPr>
        <w:t xml:space="preserve"> Nature of Managerial Work. New York: Harper &amp; Row.</w:t>
      </w:r>
    </w:p>
    <w:p xmlns:wp14="http://schemas.microsoft.com/office/word/2010/wordml" w:rsidP="6F53E6DE" w14:paraId="53E8E08D" wp14:textId="77777777" wp14:noSpellErr="1">
      <w:pPr>
        <w:spacing w:after="60" w:line="276" w:lineRule="auto"/>
        <w:ind w:left="360" w:hanging="360"/>
        <w:jc w:val="both"/>
        <w:rPr>
          <w:rFonts w:ascii="Arial" w:hAnsi="Arial" w:eastAsia="Arial" w:cs="Arial"/>
          <w:sz w:val="24"/>
          <w:szCs w:val="24"/>
        </w:rPr>
      </w:pPr>
      <w:r w:rsidRPr="6F53E6DE" w:rsidR="6F53E6DE">
        <w:rPr>
          <w:rFonts w:ascii="Arial" w:hAnsi="Arial" w:eastAsia="Arial" w:cs="Arial"/>
          <w:sz w:val="24"/>
          <w:szCs w:val="24"/>
        </w:rPr>
        <w:t xml:space="preserve">Purcell, </w:t>
      </w:r>
      <w:r w:rsidRPr="6F53E6DE" w:rsidR="6F53E6DE">
        <w:rPr>
          <w:rFonts w:ascii="Arial" w:hAnsi="Arial" w:eastAsia="Arial" w:cs="Arial"/>
          <w:sz w:val="24"/>
          <w:szCs w:val="24"/>
        </w:rPr>
        <w:t>J.</w:t>
      </w:r>
      <w:r w:rsidRPr="6F53E6DE" w:rsidR="6F53E6DE">
        <w:rPr>
          <w:rFonts w:ascii="Arial" w:hAnsi="Arial" w:eastAsia="Arial" w:cs="Arial"/>
          <w:sz w:val="24"/>
          <w:szCs w:val="24"/>
        </w:rPr>
        <w:t xml:space="preserve"> and Hutchinson, S. (2007) ‘Front-line managers as agents in the HRM-performance causal chain’, Human Resource Management Journal, 17(1), pp. 3-20.</w:t>
      </w:r>
    </w:p>
    <w:p xmlns:wp14="http://schemas.microsoft.com/office/word/2010/wordml" w:rsidP="6F53E6DE" w14:paraId="76274860" wp14:textId="77777777" wp14:noSpellErr="1">
      <w:pPr>
        <w:spacing w:after="60" w:line="276" w:lineRule="auto"/>
        <w:ind w:left="360" w:hanging="360"/>
        <w:jc w:val="both"/>
        <w:rPr>
          <w:rFonts w:ascii="Arial" w:hAnsi="Arial" w:eastAsia="Arial" w:cs="Arial"/>
          <w:sz w:val="24"/>
          <w:szCs w:val="24"/>
        </w:rPr>
      </w:pPr>
      <w:r w:rsidRPr="6F53E6DE" w:rsidR="6F53E6DE">
        <w:rPr>
          <w:rFonts w:ascii="Arial" w:hAnsi="Arial" w:eastAsia="Arial" w:cs="Arial"/>
          <w:sz w:val="24"/>
          <w:szCs w:val="24"/>
        </w:rPr>
        <w:t>Rousseau, D.M. (1995) Psychological Contracts in Organizations: Understanding Written and Unwritten Agreements. Thousand Oaks, CA: Sage.</w:t>
      </w:r>
    </w:p>
    <w:p xmlns:wp14="http://schemas.microsoft.com/office/word/2010/wordml" w:rsidP="6F53E6DE" w14:paraId="3C95FF9C" wp14:textId="77777777" wp14:noSpellErr="1">
      <w:pPr>
        <w:spacing w:after="60" w:line="276" w:lineRule="auto"/>
        <w:ind w:left="360" w:hanging="360"/>
        <w:jc w:val="both"/>
        <w:rPr>
          <w:rFonts w:ascii="Arial" w:hAnsi="Arial" w:eastAsia="Arial" w:cs="Arial"/>
          <w:sz w:val="24"/>
          <w:szCs w:val="24"/>
        </w:rPr>
      </w:pPr>
      <w:r w:rsidRPr="6F53E6DE" w:rsidR="6F53E6DE">
        <w:rPr>
          <w:rFonts w:ascii="Arial" w:hAnsi="Arial" w:eastAsia="Arial" w:cs="Arial"/>
          <w:sz w:val="24"/>
          <w:szCs w:val="24"/>
        </w:rPr>
        <w:t>Schein, E.H. (2017)</w:t>
      </w:r>
      <w:r w:rsidRPr="6F53E6DE" w:rsidR="6F53E6DE">
        <w:rPr>
          <w:rFonts w:ascii="Arial" w:hAnsi="Arial" w:eastAsia="Arial" w:cs="Arial"/>
          <w:sz w:val="24"/>
          <w:szCs w:val="24"/>
        </w:rPr>
        <w:t xml:space="preserve"> Organizational</w:t>
      </w:r>
      <w:r w:rsidRPr="6F53E6DE" w:rsidR="6F53E6DE">
        <w:rPr>
          <w:rFonts w:ascii="Arial" w:hAnsi="Arial" w:eastAsia="Arial" w:cs="Arial"/>
          <w:sz w:val="24"/>
          <w:szCs w:val="24"/>
        </w:rPr>
        <w:t xml:space="preserve"> Culture and Leadership. 5th </w:t>
      </w:r>
      <w:r w:rsidRPr="6F53E6DE" w:rsidR="6F53E6DE">
        <w:rPr>
          <w:rFonts w:ascii="Arial" w:hAnsi="Arial" w:eastAsia="Arial" w:cs="Arial"/>
          <w:sz w:val="24"/>
          <w:szCs w:val="24"/>
        </w:rPr>
        <w:t>edn</w:t>
      </w:r>
      <w:r w:rsidRPr="6F53E6DE" w:rsidR="6F53E6DE">
        <w:rPr>
          <w:rFonts w:ascii="Arial" w:hAnsi="Arial" w:eastAsia="Arial" w:cs="Arial"/>
          <w:sz w:val="24"/>
          <w:szCs w:val="24"/>
        </w:rPr>
        <w:t>. Hoboken, NJ: Wiley.</w:t>
      </w:r>
    </w:p>
    <w:p xmlns:wp14="http://schemas.microsoft.com/office/word/2010/wordml" w:rsidP="6F53E6DE" w14:paraId="6BC2F372" wp14:textId="77777777" wp14:noSpellErr="1">
      <w:pPr>
        <w:spacing w:after="60" w:line="276" w:lineRule="auto"/>
        <w:ind w:left="360" w:hanging="360"/>
        <w:jc w:val="both"/>
        <w:rPr>
          <w:rFonts w:ascii="Arial" w:hAnsi="Arial" w:eastAsia="Arial" w:cs="Arial"/>
          <w:sz w:val="24"/>
          <w:szCs w:val="24"/>
        </w:rPr>
      </w:pPr>
      <w:r w:rsidRPr="6F53E6DE" w:rsidR="6F53E6DE">
        <w:rPr>
          <w:rFonts w:ascii="Arial" w:hAnsi="Arial" w:eastAsia="Arial" w:cs="Arial"/>
          <w:sz w:val="24"/>
          <w:szCs w:val="24"/>
        </w:rPr>
        <w:t>Vroom, V.H. (1964)</w:t>
      </w:r>
      <w:r w:rsidRPr="6F53E6DE" w:rsidR="6F53E6DE">
        <w:rPr>
          <w:rFonts w:ascii="Arial" w:hAnsi="Arial" w:eastAsia="Arial" w:cs="Arial"/>
          <w:sz w:val="24"/>
          <w:szCs w:val="24"/>
        </w:rPr>
        <w:t xml:space="preserve"> Work</w:t>
      </w:r>
      <w:r w:rsidRPr="6F53E6DE" w:rsidR="6F53E6DE">
        <w:rPr>
          <w:rFonts w:ascii="Arial" w:hAnsi="Arial" w:eastAsia="Arial" w:cs="Arial"/>
          <w:sz w:val="24"/>
          <w:szCs w:val="24"/>
        </w:rPr>
        <w:t xml:space="preserve"> and Motivation. New York: Wiley.</w:t>
      </w:r>
    </w:p>
    <w:p xmlns:wp14="http://schemas.microsoft.com/office/word/2010/wordml" w:rsidP="6F53E6DE" w14:paraId="6AEC9A22" wp14:textId="77777777" wp14:noSpellErr="1">
      <w:pPr>
        <w:spacing w:after="60" w:line="276" w:lineRule="auto"/>
        <w:ind w:left="360" w:hanging="360"/>
        <w:jc w:val="both"/>
        <w:rPr>
          <w:rFonts w:ascii="Arial" w:hAnsi="Arial" w:eastAsia="Arial" w:cs="Arial"/>
          <w:sz w:val="24"/>
          <w:szCs w:val="24"/>
        </w:rPr>
      </w:pPr>
      <w:r w:rsidRPr="6F53E6DE" w:rsidR="6F53E6DE">
        <w:rPr>
          <w:rFonts w:ascii="Arial" w:hAnsi="Arial" w:eastAsia="Arial" w:cs="Arial"/>
          <w:sz w:val="24"/>
          <w:szCs w:val="24"/>
        </w:rPr>
        <w:t>Whitmore, J. (2017)</w:t>
      </w:r>
      <w:r w:rsidRPr="6F53E6DE" w:rsidR="6F53E6DE">
        <w:rPr>
          <w:rFonts w:ascii="Arial" w:hAnsi="Arial" w:eastAsia="Arial" w:cs="Arial"/>
          <w:sz w:val="24"/>
          <w:szCs w:val="24"/>
        </w:rPr>
        <w:t xml:space="preserve"> Coaching for</w:t>
      </w:r>
      <w:r w:rsidRPr="6F53E6DE" w:rsidR="6F53E6DE">
        <w:rPr>
          <w:rFonts w:ascii="Arial" w:hAnsi="Arial" w:eastAsia="Arial" w:cs="Arial"/>
          <w:sz w:val="24"/>
          <w:szCs w:val="24"/>
        </w:rPr>
        <w:t xml:space="preserve"> Performance. 5th </w:t>
      </w:r>
      <w:r w:rsidRPr="6F53E6DE" w:rsidR="6F53E6DE">
        <w:rPr>
          <w:rFonts w:ascii="Arial" w:hAnsi="Arial" w:eastAsia="Arial" w:cs="Arial"/>
          <w:sz w:val="24"/>
          <w:szCs w:val="24"/>
        </w:rPr>
        <w:t>edn</w:t>
      </w:r>
      <w:r w:rsidRPr="6F53E6DE" w:rsidR="6F53E6DE">
        <w:rPr>
          <w:rFonts w:ascii="Arial" w:hAnsi="Arial" w:eastAsia="Arial" w:cs="Arial"/>
          <w:sz w:val="24"/>
          <w:szCs w:val="24"/>
        </w:rPr>
        <w:t>. London: Nicholas Brealey.</w:t>
      </w:r>
    </w:p>
    <w:sectPr w:rsidRPr="0006063C" w:rsidR="00FC693F" w:rsidSect="00034616">
      <w:footerReference w:type="default" r:id="rId9"/>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ambria">
    <w:panose1 w:val="02040503050406030204"/>
    <w:charset w:val="00"/>
    <w:family w:val="auto"/>
    <w:pitch w:val="variable"/>
    <w:sig w:usb0="E00002FF" w:usb1="400004FF" w:usb2="00000000" w:usb3="00000000" w:csb0="0000019F" w:csb1="00000000"/>
  </w:font>
  <w:font w:name="ＭＳ 明朝">
    <w:panose1 w:val="00000000000000000000"/>
    <w:charset w:val="80"/>
    <w:family w:val="roman"/>
    <w:notTrueType/>
    <w:pitch w:val="fixed"/>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 w:name="ＭＳ ゴシック">
    <w:panose1 w:val="00000000000000000000"/>
    <w:charset w:val="80"/>
    <w:family w:val="modern"/>
    <w:notTrueType/>
    <w:pitch w:val="fixed"/>
    <w:sig w:usb0="00000001" w:usb1="08070000" w:usb2="00000010" w:usb3="00000000" w:csb0="00020000" w:csb1="00000000"/>
  </w:font>
  <w:font w:name="Courier">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s>
</file>

<file path=word/footer1.xml><?xml version="1.0" encoding="utf-8"?>
<w:ftr xmlns:m="http://schemas.openxmlformats.org/officeDocument/2006/math" xmlns:mc="http://schemas.openxmlformats.org/markup-compatibility/2006" xmlns:mo="http://schemas.microsoft.com/office/mac/office/2008/main" xmlns:mv="urn:schemas-microsoft-com:mac:vml" xmlns:o="urn:schemas-microsoft-com:office:office" xmlns:r="http://schemas.openxmlformats.org/officeDocument/2006/relationships" xmlns:v="urn:schemas-microsoft-com:vml" xmlns:w10="urn:schemas-microsoft-com:office:word" xmlns:w14="http://schemas.microsoft.com/office/word/2010/wordml" xmlns:w="http://schemas.openxmlformats.org/wordprocessingml/2006/main" xmlns:wne="http://schemas.microsoft.com/office/word/2006/wordml" xmlns:wp14="http://schemas.microsoft.com/office/word/2010/wordprocessingDrawing" xmlns:wp="http://schemas.openxmlformats.org/drawingml/2006/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p xmlns:wp14="http://schemas.microsoft.com/office/word/2010/wordml" w14:paraId="790C308B" wp14:textId="77777777">
    <w:pPr>
      <w:pStyle w:val="Footer"/>
      <w:spacing w:before="0" w:after="0"/>
      <w:jc w:val="center"/>
    </w:pPr>
    <w:r/>
    <w:r>
      <w:t xml:space="preserve">Page </w:t>
    </w:r>
    <w:r/>
    <w:r>
      <w:fldChar w:fldCharType="begin"/>
    </w:r>
    <w:r>
      <w:instrText>PAGE</w:instrText>
    </w:r>
    <w:r>
      <w:fldChar w:fldCharType="separate"/>
    </w:r>
    <w:r>
      <w:t>1</w:t>
    </w:r>
    <w:r>
      <w:fldChar w:fldCharType="end"/>
    </w:r>
    <w:r>
      <w:t xml:space="preserve"> of </w:t>
    </w:r>
    <w:r/>
    <w:r>
      <w:fldChar w:fldCharType="begin"/>
    </w:r>
    <w:r>
      <w:instrText>NUMPAGES</w:instrText>
    </w:r>
    <w:r>
      <w:fldChar w:fldCharType="separate"/>
    </w:r>
    <w:r>
      <w:t>1</w:t>
    </w:r>
    <w:r>
      <w:fldChar w:fldCharType="end"/>
    </w:r>
  </w:p>
</w:ft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7C"/>
    <w:multiLevelType w:val="singleLevel"/>
    <w:tmpl w:val="C310EC42"/>
    <w:lvl w:ilvl="0">
      <w:start w:val="1"/>
      <w:numFmt w:val="decimal"/>
      <w:lvlText w:val="%1."/>
      <w:lvlJc w:val="left"/>
      <w:pPr>
        <w:tabs>
          <w:tab w:val="num" w:pos="1800"/>
        </w:tabs>
        <w:ind w:left="1800" w:hanging="360"/>
      </w:pPr>
    </w:lvl>
  </w:abstractNum>
  <w:abstractNum w:abstractNumId="1">
    <w:nsid w:val="FFFFFF7D"/>
    <w:multiLevelType w:val="singleLevel"/>
    <w:tmpl w:val="E4089024"/>
    <w:lvl w:ilvl="0">
      <w:start w:val="1"/>
      <w:numFmt w:val="decimal"/>
      <w:lvlText w:val="%1."/>
      <w:lvlJc w:val="left"/>
      <w:pPr>
        <w:tabs>
          <w:tab w:val="num" w:pos="1440"/>
        </w:tabs>
        <w:ind w:left="1440" w:hanging="360"/>
      </w:pPr>
    </w:lvl>
  </w:abstractNum>
  <w:abstractNum w:abstractNumId="2">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nsid w:val="FFFFFF81"/>
    <w:multiLevelType w:val="singleLevel"/>
    <w:tmpl w:val="171AC3A4"/>
    <w:lvl w:ilvl="0">
      <w:start w:val="1"/>
      <w:numFmt w:val="bullet"/>
      <w:lvlText w:val=""/>
      <w:lvlJc w:val="left"/>
      <w:pPr>
        <w:tabs>
          <w:tab w:val="num" w:pos="1440"/>
        </w:tabs>
        <w:ind w:left="1440" w:hanging="360"/>
      </w:pPr>
      <w:rPr>
        <w:rFonts w:hint="default" w:ascii="Symbol" w:hAnsi="Symbol"/>
      </w:rPr>
    </w:lvl>
  </w:abstractNum>
  <w:abstractNum w:abstractNumId="5">
    <w:nsid w:val="FFFFFF82"/>
    <w:multiLevelType w:val="singleLevel"/>
    <w:tmpl w:val="F3EAFDEC"/>
    <w:lvl w:ilvl="0">
      <w:start w:val="1"/>
      <w:numFmt w:val="bullet"/>
      <w:pStyle w:val="ListBullet3"/>
      <w:lvlText w:val=""/>
      <w:lvlJc w:val="left"/>
      <w:pPr>
        <w:tabs>
          <w:tab w:val="num" w:pos="1080"/>
        </w:tabs>
        <w:ind w:left="1080" w:hanging="360"/>
      </w:pPr>
      <w:rPr>
        <w:rFonts w:hint="default" w:ascii="Symbol" w:hAnsi="Symbol"/>
      </w:rPr>
    </w:lvl>
  </w:abstractNum>
  <w:abstractNum w:abstractNumId="6">
    <w:nsid w:val="FFFFFF83"/>
    <w:multiLevelType w:val="singleLevel"/>
    <w:tmpl w:val="3D1EFFD4"/>
    <w:lvl w:ilvl="0">
      <w:start w:val="1"/>
      <w:numFmt w:val="bullet"/>
      <w:pStyle w:val="ListBullet2"/>
      <w:lvlText w:val=""/>
      <w:lvlJc w:val="left"/>
      <w:pPr>
        <w:tabs>
          <w:tab w:val="num" w:pos="720"/>
        </w:tabs>
        <w:ind w:left="720" w:hanging="360"/>
      </w:pPr>
      <w:rPr>
        <w:rFonts w:hint="default" w:ascii="Symbol" w:hAnsi="Symbol"/>
      </w:rPr>
    </w:lvl>
  </w:abstractNum>
  <w:abstractNum w:abstractNumId="7">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nsid w:val="FFFFFF89"/>
    <w:multiLevelType w:val="singleLevel"/>
    <w:tmpl w:val="29761A62"/>
    <w:lvl w:ilvl="0">
      <w:start w:val="1"/>
      <w:numFmt w:val="bullet"/>
      <w:pStyle w:val="ListBullet"/>
      <w:lvlText w:val=""/>
      <w:lvlJc w:val="left"/>
      <w:pPr>
        <w:tabs>
          <w:tab w:val="num" w:pos="360"/>
        </w:tabs>
        <w:ind w:left="360" w:hanging="360"/>
      </w:pPr>
      <w:rPr>
        <w:rFonts w:hint="default" w:ascii="Symbol" w:hAnsi="Symbol"/>
      </w:rPr>
    </w:lvl>
  </w:abstractNum>
  <w:num w:numId="1">
    <w:abstractNumId w:val="8"/>
  </w:num>
  <w:num w:numId="2">
    <w:abstractNumId w:val="6"/>
  </w:num>
  <w:num w:numId="3">
    <w:abstractNumId w:val="5"/>
  </w:num>
  <w:num w:numId="4">
    <w:abstractNumId w:val="4"/>
  </w:num>
  <w:num w:numId="5">
    <w:abstractNumId w:val="7"/>
  </w:num>
  <w:num w:numId="6">
    <w:abstractNumId w:val="3"/>
  </w:num>
  <w:num w:numId="7">
    <w:abstractNumId w:val="2"/>
  </w:num>
  <w:num w:numId="8">
    <w:abstractNumId w:val="1"/>
  </w:num>
  <w:num w:numId="9">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15="http://schemas.microsoft.com/office/word/2012/wordml" mc:Ignorable="w14 wp14 w15">
  <w:zoom w:val="bestFit"/>
  <w:trackRevisions w:val="false"/>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47730"/>
    <w:rsid w:val="00034616"/>
    <w:rsid w:val="0006063C"/>
    <w:rsid w:val="0015074B"/>
    <w:rsid w:val="0029639D"/>
    <w:rsid w:val="00326F90"/>
    <w:rsid w:val="00AA1D8D"/>
    <w:rsid w:val="00B47730"/>
    <w:rsid w:val="00CB0664"/>
    <w:rsid w:val="00FC693F"/>
    <w:rsid w:val="06C340B9"/>
    <w:rsid w:val="082179B7"/>
    <w:rsid w:val="1945C55C"/>
    <w:rsid w:val="1945C55C"/>
    <w:rsid w:val="1D4B563C"/>
    <w:rsid w:val="1F80E384"/>
    <w:rsid w:val="24012188"/>
    <w:rsid w:val="30A25013"/>
    <w:rsid w:val="30A25013"/>
    <w:rsid w:val="32869B58"/>
    <w:rsid w:val="3A6868EB"/>
    <w:rsid w:val="49101BCC"/>
    <w:rsid w:val="5B0E74B8"/>
    <w:rsid w:val="6F53E6DE"/>
    <w:rsid w:val="70890F56"/>
    <w:rsid w:val="70890F56"/>
    <w:rsid w:val="7757E9E6"/>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24062061"/>
  <w14:defaultImageDpi w14:val="300"/>
  <w15:docId w15:val="{C16EDF95-0D50-4E52-831F-10BE3FC9A54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mc:Ignorable="w14 wp14">
  <w:docDefaults>
    <w:rPrDefault>
      <w:rPr>
        <w:rFonts w:asciiTheme="minorHAnsi" w:hAnsiTheme="minorHAnsi" w:eastAsiaTheme="minorEastAsia"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uiPriority="0" w:semiHidden="0" w:unhideWhenUsed="0" w:qFormat="1"/>
    <w:lsdException w:name="heading 1" w:uiPriority="9" w:semiHidden="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uiPriority="10" w:semiHidden="0" w:unhideWhenUsed="0" w:qFormat="1"/>
    <w:lsdException w:name="Default Paragraph Font" w:uiPriority="1"/>
    <w:lsdException w:name="Subtitle" w:uiPriority="11" w:semiHidden="0" w:unhideWhenUsed="0" w:qFormat="1"/>
    <w:lsdException w:name="Strong" w:uiPriority="22" w:semiHidden="0" w:unhideWhenUsed="0" w:qFormat="1"/>
    <w:lsdException w:name="Emphasis" w:uiPriority="20" w:semiHidden="0" w:unhideWhenUsed="0" w:qFormat="1"/>
    <w:lsdException w:name="Table Grid" w:uiPriority="59" w:semiHidden="0" w:unhideWhenUsed="0"/>
    <w:lsdException w:name="Placeholder Text" w:unhideWhenUsed="0"/>
    <w:lsdException w:name="No Spacing" w:uiPriority="1" w:semiHidden="0" w:unhideWhenUsed="0" w:qFormat="1"/>
    <w:lsdException w:name="Light Shading" w:uiPriority="60" w:semiHidden="0" w:unhideWhenUsed="0"/>
    <w:lsdException w:name="Light List" w:uiPriority="61" w:semiHidden="0" w:unhideWhenUsed="0"/>
    <w:lsdException w:name="Light Grid" w:uiPriority="62" w:semiHidden="0" w:unhideWhenUsed="0"/>
    <w:lsdException w:name="Medium Shading 1" w:uiPriority="63" w:semiHidden="0" w:unhideWhenUsed="0"/>
    <w:lsdException w:name="Medium Shading 2" w:uiPriority="64" w:semiHidden="0" w:unhideWhenUsed="0"/>
    <w:lsdException w:name="Medium List 1" w:uiPriority="65" w:semiHidden="0" w:unhideWhenUsed="0"/>
    <w:lsdException w:name="Medium List 2" w:uiPriority="66" w:semiHidden="0" w:unhideWhenUsed="0"/>
    <w:lsdException w:name="Medium Grid 1" w:uiPriority="67" w:semiHidden="0" w:unhideWhenUsed="0"/>
    <w:lsdException w:name="Medium Grid 2" w:uiPriority="68" w:semiHidden="0" w:unhideWhenUsed="0"/>
    <w:lsdException w:name="Medium Grid 3" w:uiPriority="69" w:semiHidden="0" w:unhideWhenUsed="0"/>
    <w:lsdException w:name="Dark List" w:uiPriority="70" w:semiHidden="0" w:unhideWhenUsed="0"/>
    <w:lsdException w:name="Colorful Shading" w:uiPriority="71" w:semiHidden="0" w:unhideWhenUsed="0"/>
    <w:lsdException w:name="Colorful List" w:uiPriority="72" w:semiHidden="0" w:unhideWhenUsed="0"/>
    <w:lsdException w:name="Colorful Grid" w:uiPriority="73" w:semiHidden="0" w:unhideWhenUsed="0"/>
    <w:lsdException w:name="Light Shading Accent 1" w:uiPriority="60" w:semiHidden="0" w:unhideWhenUsed="0"/>
    <w:lsdException w:name="Light List Accent 1" w:uiPriority="61" w:semiHidden="0" w:unhideWhenUsed="0"/>
    <w:lsdException w:name="Light Grid Accent 1" w:uiPriority="62" w:semiHidden="0" w:unhideWhenUsed="0"/>
    <w:lsdException w:name="Medium Shading 1 Accent 1" w:uiPriority="63" w:semiHidden="0" w:unhideWhenUsed="0"/>
    <w:lsdException w:name="Medium Shading 2 Accent 1" w:uiPriority="64" w:semiHidden="0" w:unhideWhenUsed="0"/>
    <w:lsdException w:name="Medium List 1 Accent 1" w:uiPriority="65" w:semiHidden="0" w:unhideWhenUsed="0"/>
    <w:lsdException w:name="Revision" w:unhideWhenUsed="0"/>
    <w:lsdException w:name="List Paragraph" w:uiPriority="34" w:semiHidden="0" w:unhideWhenUsed="0" w:qFormat="1"/>
    <w:lsdException w:name="Quote" w:uiPriority="29" w:semiHidden="0" w:unhideWhenUsed="0" w:qFormat="1"/>
    <w:lsdException w:name="Intense Quote" w:uiPriority="30" w:semiHidden="0" w:unhideWhenUsed="0" w:qFormat="1"/>
    <w:lsdException w:name="Medium List 2 Accent 1" w:uiPriority="66" w:semiHidden="0" w:unhideWhenUsed="0"/>
    <w:lsdException w:name="Medium Grid 1 Accent 1" w:uiPriority="67" w:semiHidden="0" w:unhideWhenUsed="0"/>
    <w:lsdException w:name="Medium Grid 2 Accent 1" w:uiPriority="68" w:semiHidden="0" w:unhideWhenUsed="0"/>
    <w:lsdException w:name="Medium Grid 3 Accent 1" w:uiPriority="69" w:semiHidden="0" w:unhideWhenUsed="0"/>
    <w:lsdException w:name="Dark List Accent 1" w:uiPriority="70" w:semiHidden="0" w:unhideWhenUsed="0"/>
    <w:lsdException w:name="Colorful Shading Accent 1" w:uiPriority="71" w:semiHidden="0" w:unhideWhenUsed="0"/>
    <w:lsdException w:name="Colorful List Accent 1" w:uiPriority="72" w:semiHidden="0" w:unhideWhenUsed="0"/>
    <w:lsdException w:name="Colorful Grid Accent 1" w:uiPriority="73" w:semiHidden="0" w:unhideWhenUsed="0"/>
    <w:lsdException w:name="Light Shading Accent 2" w:uiPriority="60" w:semiHidden="0" w:unhideWhenUsed="0"/>
    <w:lsdException w:name="Light List Accent 2" w:uiPriority="61" w:semiHidden="0" w:unhideWhenUsed="0"/>
    <w:lsdException w:name="Light Grid Accent 2" w:uiPriority="62" w:semiHidden="0" w:unhideWhenUsed="0"/>
    <w:lsdException w:name="Medium Shading 1 Accent 2" w:uiPriority="63" w:semiHidden="0" w:unhideWhenUsed="0"/>
    <w:lsdException w:name="Medium Shading 2 Accent 2" w:uiPriority="64" w:semiHidden="0" w:unhideWhenUsed="0"/>
    <w:lsdException w:name="Medium List 1 Accent 2" w:uiPriority="65" w:semiHidden="0" w:unhideWhenUsed="0"/>
    <w:lsdException w:name="Medium List 2 Accent 2" w:uiPriority="66" w:semiHidden="0" w:unhideWhenUsed="0"/>
    <w:lsdException w:name="Medium Grid 1 Accent 2" w:uiPriority="67" w:semiHidden="0" w:unhideWhenUsed="0"/>
    <w:lsdException w:name="Medium Grid 2 Accent 2" w:uiPriority="68" w:semiHidden="0" w:unhideWhenUsed="0"/>
    <w:lsdException w:name="Medium Grid 3 Accent 2" w:uiPriority="69" w:semiHidden="0" w:unhideWhenUsed="0"/>
    <w:lsdException w:name="Dark List Accent 2" w:uiPriority="70" w:semiHidden="0" w:unhideWhenUsed="0"/>
    <w:lsdException w:name="Colorful Shading Accent 2" w:uiPriority="71" w:semiHidden="0" w:unhideWhenUsed="0"/>
    <w:lsdException w:name="Colorful List Accent 2" w:uiPriority="72" w:semiHidden="0" w:unhideWhenUsed="0"/>
    <w:lsdException w:name="Colorful Grid Accent 2" w:uiPriority="73" w:semiHidden="0" w:unhideWhenUsed="0"/>
    <w:lsdException w:name="Light Shading Accent 3" w:uiPriority="60" w:semiHidden="0" w:unhideWhenUsed="0"/>
    <w:lsdException w:name="Light List Accent 3" w:uiPriority="61" w:semiHidden="0" w:unhideWhenUsed="0"/>
    <w:lsdException w:name="Light Grid Accent 3" w:uiPriority="62" w:semiHidden="0" w:unhideWhenUsed="0"/>
    <w:lsdException w:name="Medium Shading 1 Accent 3" w:uiPriority="63" w:semiHidden="0" w:unhideWhenUsed="0"/>
    <w:lsdException w:name="Medium Shading 2 Accent 3" w:uiPriority="64" w:semiHidden="0" w:unhideWhenUsed="0"/>
    <w:lsdException w:name="Medium List 1 Accent 3" w:uiPriority="65" w:semiHidden="0" w:unhideWhenUsed="0"/>
    <w:lsdException w:name="Medium List 2 Accent 3" w:uiPriority="66" w:semiHidden="0" w:unhideWhenUsed="0"/>
    <w:lsdException w:name="Medium Grid 1 Accent 3" w:uiPriority="67" w:semiHidden="0" w:unhideWhenUsed="0"/>
    <w:lsdException w:name="Medium Grid 2 Accent 3" w:uiPriority="68" w:semiHidden="0" w:unhideWhenUsed="0"/>
    <w:lsdException w:name="Medium Grid 3 Accent 3" w:uiPriority="69" w:semiHidden="0" w:unhideWhenUsed="0"/>
    <w:lsdException w:name="Dark List Accent 3" w:uiPriority="70" w:semiHidden="0" w:unhideWhenUsed="0"/>
    <w:lsdException w:name="Colorful Shading Accent 3" w:uiPriority="71" w:semiHidden="0" w:unhideWhenUsed="0"/>
    <w:lsdException w:name="Colorful List Accent 3" w:uiPriority="72" w:semiHidden="0" w:unhideWhenUsed="0"/>
    <w:lsdException w:name="Colorful Grid Accent 3" w:uiPriority="73" w:semiHidden="0" w:unhideWhenUsed="0"/>
    <w:lsdException w:name="Light Shading Accent 4" w:uiPriority="60" w:semiHidden="0" w:unhideWhenUsed="0"/>
    <w:lsdException w:name="Light List Accent 4" w:uiPriority="61" w:semiHidden="0" w:unhideWhenUsed="0"/>
    <w:lsdException w:name="Light Grid Accent 4" w:uiPriority="62" w:semiHidden="0" w:unhideWhenUsed="0"/>
    <w:lsdException w:name="Medium Shading 1 Accent 4" w:uiPriority="63" w:semiHidden="0" w:unhideWhenUsed="0"/>
    <w:lsdException w:name="Medium Shading 2 Accent 4" w:uiPriority="64" w:semiHidden="0" w:unhideWhenUsed="0"/>
    <w:lsdException w:name="Medium List 1 Accent 4" w:uiPriority="65" w:semiHidden="0" w:unhideWhenUsed="0"/>
    <w:lsdException w:name="Medium List 2 Accent 4" w:uiPriority="66" w:semiHidden="0" w:unhideWhenUsed="0"/>
    <w:lsdException w:name="Medium Grid 1 Accent 4" w:uiPriority="67" w:semiHidden="0" w:unhideWhenUsed="0"/>
    <w:lsdException w:name="Medium Grid 2 Accent 4" w:uiPriority="68" w:semiHidden="0" w:unhideWhenUsed="0"/>
    <w:lsdException w:name="Medium Grid 3 Accent 4" w:uiPriority="69" w:semiHidden="0" w:unhideWhenUsed="0"/>
    <w:lsdException w:name="Dark List Accent 4" w:uiPriority="70" w:semiHidden="0" w:unhideWhenUsed="0"/>
    <w:lsdException w:name="Colorful Shading Accent 4" w:uiPriority="71" w:semiHidden="0" w:unhideWhenUsed="0"/>
    <w:lsdException w:name="Colorful List Accent 4" w:uiPriority="72" w:semiHidden="0" w:unhideWhenUsed="0"/>
    <w:lsdException w:name="Colorful Grid Accent 4" w:uiPriority="73" w:semiHidden="0" w:unhideWhenUsed="0"/>
    <w:lsdException w:name="Light Shading Accent 5" w:uiPriority="60" w:semiHidden="0" w:unhideWhenUsed="0"/>
    <w:lsdException w:name="Light List Accent 5" w:uiPriority="61" w:semiHidden="0" w:unhideWhenUsed="0"/>
    <w:lsdException w:name="Light Grid Accent 5" w:uiPriority="62" w:semiHidden="0" w:unhideWhenUsed="0"/>
    <w:lsdException w:name="Medium Shading 1 Accent 5" w:uiPriority="63" w:semiHidden="0" w:unhideWhenUsed="0"/>
    <w:lsdException w:name="Medium Shading 2 Accent 5" w:uiPriority="64" w:semiHidden="0" w:unhideWhenUsed="0"/>
    <w:lsdException w:name="Medium List 1 Accent 5" w:uiPriority="65" w:semiHidden="0" w:unhideWhenUsed="0"/>
    <w:lsdException w:name="Medium List 2 Accent 5" w:uiPriority="66" w:semiHidden="0" w:unhideWhenUsed="0"/>
    <w:lsdException w:name="Medium Grid 1 Accent 5" w:uiPriority="67" w:semiHidden="0" w:unhideWhenUsed="0"/>
    <w:lsdException w:name="Medium Grid 2 Accent 5" w:uiPriority="68" w:semiHidden="0" w:unhideWhenUsed="0"/>
    <w:lsdException w:name="Medium Grid 3 Accent 5" w:uiPriority="69" w:semiHidden="0" w:unhideWhenUsed="0"/>
    <w:lsdException w:name="Dark List Accent 5" w:uiPriority="70" w:semiHidden="0" w:unhideWhenUsed="0"/>
    <w:lsdException w:name="Colorful Shading Accent 5" w:uiPriority="71" w:semiHidden="0" w:unhideWhenUsed="0"/>
    <w:lsdException w:name="Colorful List Accent 5" w:uiPriority="72" w:semiHidden="0" w:unhideWhenUsed="0"/>
    <w:lsdException w:name="Colorful Grid Accent 5" w:uiPriority="73" w:semiHidden="0" w:unhideWhenUsed="0"/>
    <w:lsdException w:name="Light Shading Accent 6" w:uiPriority="60" w:semiHidden="0" w:unhideWhenUsed="0"/>
    <w:lsdException w:name="Light List Accent 6" w:uiPriority="61" w:semiHidden="0" w:unhideWhenUsed="0"/>
    <w:lsdException w:name="Light Grid Accent 6" w:uiPriority="62" w:semiHidden="0" w:unhideWhenUsed="0"/>
    <w:lsdException w:name="Medium Shading 1 Accent 6" w:uiPriority="63" w:semiHidden="0" w:unhideWhenUsed="0"/>
    <w:lsdException w:name="Medium Shading 2 Accent 6" w:uiPriority="64" w:semiHidden="0" w:unhideWhenUsed="0"/>
    <w:lsdException w:name="Medium List 1 Accent 6" w:uiPriority="65" w:semiHidden="0" w:unhideWhenUsed="0"/>
    <w:lsdException w:name="Medium List 2 Accent 6" w:uiPriority="66" w:semiHidden="0" w:unhideWhenUsed="0"/>
    <w:lsdException w:name="Medium Grid 1 Accent 6" w:uiPriority="67" w:semiHidden="0" w:unhideWhenUsed="0"/>
    <w:lsdException w:name="Medium Grid 2 Accent 6" w:uiPriority="68" w:semiHidden="0" w:unhideWhenUsed="0"/>
    <w:lsdException w:name="Medium Grid 3 Accent 6" w:uiPriority="69" w:semiHidden="0" w:unhideWhenUsed="0"/>
    <w:lsdException w:name="Dark List Accent 6" w:uiPriority="70" w:semiHidden="0" w:unhideWhenUsed="0"/>
    <w:lsdException w:name="Colorful Shading Accent 6" w:uiPriority="71" w:semiHidden="0" w:unhideWhenUsed="0"/>
    <w:lsdException w:name="Colorful List Accent 6" w:uiPriority="72" w:semiHidden="0" w:unhideWhenUsed="0"/>
    <w:lsdException w:name="Colorful Grid Accent 6" w:uiPriority="73" w:semiHidden="0" w:unhideWhenUsed="0"/>
    <w:lsdException w:name="Subtle Emphasis" w:uiPriority="19" w:semiHidden="0" w:unhideWhenUsed="0" w:qFormat="1"/>
    <w:lsdException w:name="Intense Emphasis" w:uiPriority="21" w:semiHidden="0" w:unhideWhenUsed="0" w:qFormat="1"/>
    <w:lsdException w:name="Subtle Reference" w:uiPriority="31" w:semiHidden="0" w:unhideWhenUsed="0" w:qFormat="1"/>
    <w:lsdException w:name="Intense Reference" w:uiPriority="32" w:semiHidden="0" w:unhideWhenUsed="0" w:qFormat="1"/>
    <w:lsdException w:name="Book Title" w:uiPriority="33" w:semiHidden="0" w:unhideWhenUsed="0" w:qFormat="1"/>
    <w:lsdException w:name="Bibliography" w:uiPriority="37"/>
    <w:lsdException w:name="TOC Heading" w:uiPriority="39" w:qFormat="1"/>
  </w:latentStyles>
  <w:style w:type="paragraph" w:styleId="Normal" w:default="1">
    <w:name w:val="Normal"/>
    <w:qFormat/>
    <w:rsid w:val="00FC693F"/>
    <w:rPr>
      <w:rFonts w:ascii="Calibri" w:hAnsi="Calibri"/>
      <w:sz w:val="22"/>
    </w:rPr>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styleId="HeaderChar" w:customStyle="1">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styleId="FooterChar" w:customStyle="1">
    <w:name w:val="Footer Char"/>
    <w:basedOn w:val="DefaultParagraphFont"/>
    <w:link w:val="Footer"/>
    <w:uiPriority w:val="99"/>
    <w:rsid w:val="00E618B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hAnsiTheme="majorHAnsi" w:eastAsiaTheme="majorEastAsia"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hAnsiTheme="majorHAnsi" w:eastAsiaTheme="majorEastAsia"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hAnsiTheme="majorHAnsi" w:eastAsiaTheme="majorEastAsia"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hAnsiTheme="majorHAnsi" w:eastAsiaTheme="majorEastAsia"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hAnsiTheme="majorHAnsi" w:eastAsiaTheme="majorEastAsia"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hAnsiTheme="majorHAnsi" w:eastAsiaTheme="majorEastAsia"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hAnsiTheme="majorHAnsi" w:eastAsiaTheme="majorEastAsia"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hAnsiTheme="majorHAnsi" w:eastAsiaTheme="majorEastAsia"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hAnsiTheme="majorHAnsi" w:eastAsiaTheme="majorEastAsia" w:cstheme="majorBidi"/>
      <w:i/>
      <w:iCs/>
      <w:color w:val="404040" w:themeColor="text1" w:themeTint="BF"/>
      <w:sz w:val="20"/>
      <w:szCs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Spacing">
    <w:name w:val="No Spacing"/>
    <w:uiPriority w:val="1"/>
    <w:qFormat/>
    <w:rsid w:val="00FC693F"/>
    <w:pPr>
      <w:spacing w:after="0" w:line="240" w:lineRule="auto"/>
    </w:pPr>
  </w:style>
  <w:style w:type="character" w:styleId="Heading1Char" w:customStyle="1">
    <w:name w:val="Heading 1 Char"/>
    <w:basedOn w:val="DefaultParagraphFont"/>
    <w:link w:val="Heading1"/>
    <w:uiPriority w:val="9"/>
    <w:rsid w:val="00FC693F"/>
    <w:rPr>
      <w:rFonts w:asciiTheme="majorHAnsi" w:hAnsiTheme="majorHAnsi" w:eastAsiaTheme="majorEastAsia" w:cstheme="majorBidi"/>
      <w:b/>
      <w:bCs/>
      <w:color w:val="365F91" w:themeColor="accent1" w:themeShade="BF"/>
      <w:sz w:val="28"/>
      <w:szCs w:val="28"/>
    </w:rPr>
  </w:style>
  <w:style w:type="character" w:styleId="Heading2Char" w:customStyle="1">
    <w:name w:val="Heading 2 Char"/>
    <w:basedOn w:val="DefaultParagraphFont"/>
    <w:link w:val="Heading2"/>
    <w:uiPriority w:val="9"/>
    <w:rsid w:val="00FC693F"/>
    <w:rPr>
      <w:rFonts w:asciiTheme="majorHAnsi" w:hAnsiTheme="majorHAnsi" w:eastAsiaTheme="majorEastAsia" w:cstheme="majorBidi"/>
      <w:b/>
      <w:bCs/>
      <w:color w:val="4F81BD" w:themeColor="accent1"/>
      <w:sz w:val="26"/>
      <w:szCs w:val="26"/>
    </w:rPr>
  </w:style>
  <w:style w:type="character" w:styleId="Heading3Char" w:customStyle="1">
    <w:name w:val="Heading 3 Char"/>
    <w:basedOn w:val="DefaultParagraphFont"/>
    <w:link w:val="Heading3"/>
    <w:uiPriority w:val="9"/>
    <w:rsid w:val="00FC693F"/>
    <w:rPr>
      <w:rFonts w:asciiTheme="majorHAnsi" w:hAnsiTheme="majorHAnsi" w:eastAsiaTheme="majorEastAsia" w:cstheme="majorBidi"/>
      <w:b/>
      <w:bCs/>
      <w:color w:val="4F81BD" w:themeColor="accent1"/>
    </w:rPr>
  </w:style>
  <w:style w:type="paragraph" w:styleId="Title">
    <w:name w:val="Title"/>
    <w:basedOn w:val="Normal"/>
    <w:next w:val="Normal"/>
    <w:link w:val="TitleChar"/>
    <w:uiPriority w:val="10"/>
    <w:qFormat/>
    <w:rsid w:val="00FC693F"/>
    <w:pPr>
      <w:pBdr>
        <w:bottom w:val="single" w:color="4F81BD" w:themeColor="accent1" w:sz="8" w:space="4"/>
      </w:pBdr>
      <w:spacing w:after="300" w:line="240" w:lineRule="auto"/>
      <w:contextualSpacing/>
    </w:pPr>
    <w:rPr>
      <w:rFonts w:asciiTheme="majorHAnsi" w:hAnsiTheme="majorHAnsi" w:eastAsiaTheme="majorEastAsia" w:cstheme="majorBidi"/>
      <w:color w:val="17365D" w:themeColor="text2" w:themeShade="BF"/>
      <w:spacing w:val="5"/>
      <w:kern w:val="28"/>
      <w:sz w:val="52"/>
      <w:szCs w:val="52"/>
    </w:rPr>
  </w:style>
  <w:style w:type="character" w:styleId="TitleChar" w:customStyle="1">
    <w:name w:val="Title Char"/>
    <w:basedOn w:val="DefaultParagraphFont"/>
    <w:link w:val="Title"/>
    <w:uiPriority w:val="10"/>
    <w:rsid w:val="00FC693F"/>
    <w:rPr>
      <w:rFonts w:asciiTheme="majorHAnsi" w:hAnsiTheme="majorHAnsi" w:eastAsiaTheme="majorEastAsia"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hAnsiTheme="majorHAnsi" w:eastAsiaTheme="majorEastAsia" w:cstheme="majorBidi"/>
      <w:i/>
      <w:iCs/>
      <w:color w:val="4F81BD" w:themeColor="accent1"/>
      <w:spacing w:val="15"/>
      <w:sz w:val="24"/>
      <w:szCs w:val="24"/>
    </w:rPr>
  </w:style>
  <w:style w:type="character" w:styleId="SubtitleChar" w:customStyle="1">
    <w:name w:val="Subtitle Char"/>
    <w:basedOn w:val="DefaultParagraphFont"/>
    <w:link w:val="Subtitle"/>
    <w:uiPriority w:val="11"/>
    <w:rsid w:val="00FC693F"/>
    <w:rPr>
      <w:rFonts w:asciiTheme="majorHAnsi" w:hAnsiTheme="majorHAnsi" w:eastAsiaTheme="majorEastAsia"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styleId="BodyTextChar" w:customStyle="1">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styleId="BodyText2Char" w:customStyle="1">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styleId="BodyText3Char" w:customStyle="1">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styleId="MacroTextChar" w:customStyle="1">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styleId="QuoteChar" w:customStyle="1">
    <w:name w:val="Quote Char"/>
    <w:basedOn w:val="DefaultParagraphFont"/>
    <w:link w:val="Quote"/>
    <w:uiPriority w:val="29"/>
    <w:rsid w:val="00FC693F"/>
    <w:rPr>
      <w:i/>
      <w:iCs/>
      <w:color w:val="000000" w:themeColor="text1"/>
    </w:rPr>
  </w:style>
  <w:style w:type="character" w:styleId="Heading4Char" w:customStyle="1">
    <w:name w:val="Heading 4 Char"/>
    <w:basedOn w:val="DefaultParagraphFont"/>
    <w:link w:val="Heading4"/>
    <w:uiPriority w:val="9"/>
    <w:semiHidden/>
    <w:rsid w:val="00FC693F"/>
    <w:rPr>
      <w:rFonts w:asciiTheme="majorHAnsi" w:hAnsiTheme="majorHAnsi" w:eastAsiaTheme="majorEastAsia" w:cstheme="majorBidi"/>
      <w:b/>
      <w:bCs/>
      <w:i/>
      <w:iCs/>
      <w:color w:val="4F81BD" w:themeColor="accent1"/>
    </w:rPr>
  </w:style>
  <w:style w:type="character" w:styleId="Heading5Char" w:customStyle="1">
    <w:name w:val="Heading 5 Char"/>
    <w:basedOn w:val="DefaultParagraphFont"/>
    <w:link w:val="Heading5"/>
    <w:uiPriority w:val="9"/>
    <w:semiHidden/>
    <w:rsid w:val="00FC693F"/>
    <w:rPr>
      <w:rFonts w:asciiTheme="majorHAnsi" w:hAnsiTheme="majorHAnsi" w:eastAsiaTheme="majorEastAsia" w:cstheme="majorBidi"/>
      <w:color w:val="243F60" w:themeColor="accent1" w:themeShade="7F"/>
    </w:rPr>
  </w:style>
  <w:style w:type="character" w:styleId="Heading6Char" w:customStyle="1">
    <w:name w:val="Heading 6 Char"/>
    <w:basedOn w:val="DefaultParagraphFont"/>
    <w:link w:val="Heading6"/>
    <w:uiPriority w:val="9"/>
    <w:semiHidden/>
    <w:rsid w:val="00FC693F"/>
    <w:rPr>
      <w:rFonts w:asciiTheme="majorHAnsi" w:hAnsiTheme="majorHAnsi" w:eastAsiaTheme="majorEastAsia" w:cstheme="majorBidi"/>
      <w:i/>
      <w:iCs/>
      <w:color w:val="243F60" w:themeColor="accent1" w:themeShade="7F"/>
    </w:rPr>
  </w:style>
  <w:style w:type="character" w:styleId="Heading7Char" w:customStyle="1">
    <w:name w:val="Heading 7 Char"/>
    <w:basedOn w:val="DefaultParagraphFont"/>
    <w:link w:val="Heading7"/>
    <w:uiPriority w:val="9"/>
    <w:semiHidden/>
    <w:rsid w:val="00FC693F"/>
    <w:rPr>
      <w:rFonts w:asciiTheme="majorHAnsi" w:hAnsiTheme="majorHAnsi" w:eastAsiaTheme="majorEastAsia" w:cstheme="majorBidi"/>
      <w:i/>
      <w:iCs/>
      <w:color w:val="404040" w:themeColor="text1" w:themeTint="BF"/>
    </w:rPr>
  </w:style>
  <w:style w:type="character" w:styleId="Heading8Char" w:customStyle="1">
    <w:name w:val="Heading 8 Char"/>
    <w:basedOn w:val="DefaultParagraphFont"/>
    <w:link w:val="Heading8"/>
    <w:uiPriority w:val="9"/>
    <w:semiHidden/>
    <w:rsid w:val="00FC693F"/>
    <w:rPr>
      <w:rFonts w:asciiTheme="majorHAnsi" w:hAnsiTheme="majorHAnsi" w:eastAsiaTheme="majorEastAsia" w:cstheme="majorBidi"/>
      <w:color w:val="4F81BD" w:themeColor="accent1"/>
      <w:sz w:val="20"/>
      <w:szCs w:val="20"/>
    </w:rPr>
  </w:style>
  <w:style w:type="character" w:styleId="Heading9Char" w:customStyle="1">
    <w:name w:val="Heading 9 Char"/>
    <w:basedOn w:val="DefaultParagraphFont"/>
    <w:link w:val="Heading9"/>
    <w:uiPriority w:val="9"/>
    <w:semiHidden/>
    <w:rsid w:val="00FC693F"/>
    <w:rPr>
      <w:rFonts w:asciiTheme="majorHAnsi" w:hAnsiTheme="majorHAnsi" w:eastAsiaTheme="majorEastAsia"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color="4F81BD" w:themeColor="accent1" w:sz="4" w:space="4"/>
      </w:pBdr>
      <w:spacing w:before="200" w:after="280"/>
      <w:ind w:left="936" w:right="936"/>
    </w:pPr>
    <w:rPr>
      <w:b/>
      <w:bCs/>
      <w:i/>
      <w:iCs/>
      <w:color w:val="4F81BD" w:themeColor="accent1"/>
    </w:rPr>
  </w:style>
  <w:style w:type="character" w:styleId="IntenseQuoteChar" w:customStyle="1">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Ind w:w="0" w:type="dxa"/>
      <w:tblBorders>
        <w:top w:val="single" w:color="000000" w:themeColor="text1" w:sz="8" w:space="0"/>
        <w:bottom w:val="single" w:color="000000" w:themeColor="text1"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la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Ind w:w="0" w:type="dxa"/>
      <w:tblBorders>
        <w:top w:val="single" w:color="4F81BD" w:themeColor="accent1" w:sz="8" w:space="0"/>
        <w:bottom w:val="single" w:color="4F81BD" w:themeColor="accent1"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4F81BD" w:themeColor="accent1" w:sz="8" w:space="0"/>
          <w:left w:val="nil"/>
          <w:bottom w:val="single" w:color="4F81BD" w:themeColor="accent1" w:sz="8" w:space="0"/>
          <w:right w:val="nil"/>
          <w:insideH w:val="nil"/>
          <w:insideV w:val="nil"/>
        </w:tcBorders>
      </w:tcPr>
    </w:tblStylePr>
    <w:tblStylePr w:type="lastRow">
      <w:pPr>
        <w:spacing w:before="0" w:after="0" w:line="240" w:lineRule="auto"/>
      </w:pPr>
      <w:rPr>
        <w:b/>
        <w:bCs/>
      </w:rPr>
      <w:tblPr/>
      <w:tcPr>
        <w:tcBorders>
          <w:top w:val="single" w:color="4F81BD" w:themeColor="accent1" w:sz="8" w:space="0"/>
          <w:left w:val="nil"/>
          <w:bottom w:val="single" w:color="4F81BD" w:themeColor="accen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Ind w:w="0" w:type="dxa"/>
      <w:tblBorders>
        <w:top w:val="single" w:color="C0504D" w:themeColor="accent2" w:sz="8" w:space="0"/>
        <w:bottom w:val="single" w:color="C0504D" w:themeColor="accent2"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C0504D" w:themeColor="accent2" w:sz="8" w:space="0"/>
          <w:left w:val="nil"/>
          <w:bottom w:val="single" w:color="C0504D" w:themeColor="accent2" w:sz="8" w:space="0"/>
          <w:right w:val="nil"/>
          <w:insideH w:val="nil"/>
          <w:insideV w:val="nil"/>
        </w:tcBorders>
      </w:tcPr>
    </w:tblStylePr>
    <w:tblStylePr w:type="lastRow">
      <w:pPr>
        <w:spacing w:before="0" w:after="0" w:line="240" w:lineRule="auto"/>
      </w:pPr>
      <w:rPr>
        <w:b/>
        <w:bCs/>
      </w:rPr>
      <w:tblPr/>
      <w:tcPr>
        <w:tcBorders>
          <w:top w:val="single" w:color="C0504D" w:themeColor="accent2" w:sz="8" w:space="0"/>
          <w:left w:val="nil"/>
          <w:bottom w:val="single" w:color="C0504D" w:themeColor="accent2"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Ind w:w="0" w:type="dxa"/>
      <w:tblBorders>
        <w:top w:val="single" w:color="9BBB59" w:themeColor="accent3" w:sz="8" w:space="0"/>
        <w:bottom w:val="single" w:color="9BBB59" w:themeColor="accent3"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9BBB59" w:themeColor="accent3" w:sz="8" w:space="0"/>
          <w:left w:val="nil"/>
          <w:bottom w:val="single" w:color="9BBB59" w:themeColor="accent3" w:sz="8" w:space="0"/>
          <w:right w:val="nil"/>
          <w:insideH w:val="nil"/>
          <w:insideV w:val="nil"/>
        </w:tcBorders>
      </w:tcPr>
    </w:tblStylePr>
    <w:tblStylePr w:type="lastRow">
      <w:pPr>
        <w:spacing w:before="0" w:after="0" w:line="240" w:lineRule="auto"/>
      </w:pPr>
      <w:rPr>
        <w:b/>
        <w:bCs/>
      </w:rPr>
      <w:tblPr/>
      <w:tcPr>
        <w:tcBorders>
          <w:top w:val="single" w:color="9BBB59" w:themeColor="accent3" w:sz="8" w:space="0"/>
          <w:left w:val="nil"/>
          <w:bottom w:val="single" w:color="9BBB59" w:themeColor="accent3"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Ind w:w="0" w:type="dxa"/>
      <w:tblBorders>
        <w:top w:val="single" w:color="8064A2" w:themeColor="accent4" w:sz="8" w:space="0"/>
        <w:bottom w:val="single" w:color="8064A2" w:themeColor="accent4"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8064A2" w:themeColor="accent4" w:sz="8" w:space="0"/>
          <w:left w:val="nil"/>
          <w:bottom w:val="single" w:color="8064A2" w:themeColor="accent4" w:sz="8" w:space="0"/>
          <w:right w:val="nil"/>
          <w:insideH w:val="nil"/>
          <w:insideV w:val="nil"/>
        </w:tcBorders>
      </w:tcPr>
    </w:tblStylePr>
    <w:tblStylePr w:type="lastRow">
      <w:pPr>
        <w:spacing w:before="0" w:after="0" w:line="240" w:lineRule="auto"/>
      </w:pPr>
      <w:rPr>
        <w:b/>
        <w:bCs/>
      </w:rPr>
      <w:tblPr/>
      <w:tcPr>
        <w:tcBorders>
          <w:top w:val="single" w:color="8064A2" w:themeColor="accent4" w:sz="8" w:space="0"/>
          <w:left w:val="nil"/>
          <w:bottom w:val="single" w:color="8064A2" w:themeColor="accent4"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Ind w:w="0" w:type="dxa"/>
      <w:tblBorders>
        <w:top w:val="single" w:color="4BACC6" w:themeColor="accent5" w:sz="8" w:space="0"/>
        <w:bottom w:val="single" w:color="4BACC6" w:themeColor="accent5"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4BACC6" w:themeColor="accent5" w:sz="8" w:space="0"/>
          <w:left w:val="nil"/>
          <w:bottom w:val="single" w:color="4BACC6" w:themeColor="accent5" w:sz="8" w:space="0"/>
          <w:right w:val="nil"/>
          <w:insideH w:val="nil"/>
          <w:insideV w:val="nil"/>
        </w:tcBorders>
      </w:tcPr>
    </w:tblStylePr>
    <w:tblStylePr w:type="lastRow">
      <w:pPr>
        <w:spacing w:before="0" w:after="0" w:line="240" w:lineRule="auto"/>
      </w:pPr>
      <w:rPr>
        <w:b/>
        <w:bCs/>
      </w:rPr>
      <w:tblPr/>
      <w:tcPr>
        <w:tcBorders>
          <w:top w:val="single" w:color="4BACC6" w:themeColor="accent5" w:sz="8" w:space="0"/>
          <w:left w:val="nil"/>
          <w:bottom w:val="single" w:color="4BACC6" w:themeColor="accent5"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Ind w:w="0" w:type="dxa"/>
      <w:tblBorders>
        <w:top w:val="single" w:color="F79646" w:themeColor="accent6" w:sz="8" w:space="0"/>
        <w:bottom w:val="single" w:color="F79646" w:themeColor="accent6"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F79646" w:themeColor="accent6" w:sz="8" w:space="0"/>
          <w:left w:val="nil"/>
          <w:bottom w:val="single" w:color="F79646" w:themeColor="accent6" w:sz="8" w:space="0"/>
          <w:right w:val="nil"/>
          <w:insideH w:val="nil"/>
          <w:insideV w:val="nil"/>
        </w:tcBorders>
      </w:tcPr>
    </w:tblStylePr>
    <w:tblStylePr w:type="lastRow">
      <w:pPr>
        <w:spacing w:before="0" w:after="0" w:line="240" w:lineRule="auto"/>
      </w:pPr>
      <w:rPr>
        <w:b/>
        <w:bCs/>
      </w:rPr>
      <w:tblPr/>
      <w:tcPr>
        <w:tcBorders>
          <w:top w:val="single" w:color="F79646" w:themeColor="accent6" w:sz="8" w:space="0"/>
          <w:left w:val="nil"/>
          <w:bottom w:val="single" w:color="F79646" w:themeColor="accent6"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Ind w:w="0" w:type="dxa"/>
      <w:tblBorders>
        <w:top w:val="single" w:color="000000" w:themeColor="text1" w:sz="8" w:space="0"/>
        <w:left w:val="single" w:color="000000" w:themeColor="text1" w:sz="8" w:space="0"/>
        <w:bottom w:val="single" w:color="000000" w:themeColor="text1" w:sz="8" w:space="0"/>
        <w:right w:val="single" w:color="000000" w:themeColor="text1"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tcBorders>
      </w:tcPr>
    </w:tblStylePr>
    <w:tblStylePr w:type="firstCol">
      <w:rPr>
        <w:b/>
        <w:bCs/>
      </w:rPr>
    </w:tblStylePr>
    <w:tblStylePr w:type="lastCol">
      <w:rPr>
        <w:b/>
        <w:bCs/>
      </w:r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Ind w:w="0" w:type="dxa"/>
      <w:tblBorders>
        <w:top w:val="single" w:color="4F81BD" w:themeColor="accent1" w:sz="8" w:space="0"/>
        <w:left w:val="single" w:color="4F81BD" w:themeColor="accent1" w:sz="8" w:space="0"/>
        <w:bottom w:val="single" w:color="4F81BD" w:themeColor="accent1" w:sz="8" w:space="0"/>
        <w:right w:val="single" w:color="4F81BD" w:themeColor="accent1"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color="4F81BD" w:themeColor="accent1" w:sz="6" w:space="0"/>
          <w:left w:val="single" w:color="4F81BD" w:themeColor="accent1" w:sz="8" w:space="0"/>
          <w:bottom w:val="single" w:color="4F81BD" w:themeColor="accent1" w:sz="8" w:space="0"/>
          <w:right w:val="single" w:color="4F81BD" w:themeColor="accent1" w:sz="8" w:space="0"/>
        </w:tcBorders>
      </w:tcPr>
    </w:tblStylePr>
    <w:tblStylePr w:type="firstCol">
      <w:rPr>
        <w:b/>
        <w:bCs/>
      </w:rPr>
    </w:tblStylePr>
    <w:tblStylePr w:type="lastCol">
      <w:rPr>
        <w:b/>
        <w:bCs/>
      </w:rPr>
    </w:tblStylePr>
    <w:tblStylePr w:type="band1Vert">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tblStylePr w:type="band1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Ind w:w="0" w:type="dxa"/>
      <w:tblBorders>
        <w:top w:val="single" w:color="C0504D" w:themeColor="accent2" w:sz="8" w:space="0"/>
        <w:left w:val="single" w:color="C0504D" w:themeColor="accent2" w:sz="8" w:space="0"/>
        <w:bottom w:val="single" w:color="C0504D" w:themeColor="accent2" w:sz="8" w:space="0"/>
        <w:right w:val="single" w:color="C0504D" w:themeColor="accent2"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color="C0504D" w:themeColor="accent2" w:sz="6" w:space="0"/>
          <w:left w:val="single" w:color="C0504D" w:themeColor="accent2" w:sz="8" w:space="0"/>
          <w:bottom w:val="single" w:color="C0504D" w:themeColor="accent2" w:sz="8" w:space="0"/>
          <w:right w:val="single" w:color="C0504D" w:themeColor="accent2" w:sz="8" w:space="0"/>
        </w:tcBorders>
      </w:tcPr>
    </w:tblStylePr>
    <w:tblStylePr w:type="firstCol">
      <w:rPr>
        <w:b/>
        <w:bCs/>
      </w:rPr>
    </w:tblStylePr>
    <w:tblStylePr w:type="lastCol">
      <w:rPr>
        <w:b/>
        <w:bCs/>
      </w:rPr>
    </w:tblStylePr>
    <w:tblStylePr w:type="band1Vert">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tblStylePr w:type="band1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Ind w:w="0" w:type="dxa"/>
      <w:tblBorders>
        <w:top w:val="single" w:color="9BBB59" w:themeColor="accent3" w:sz="8" w:space="0"/>
        <w:left w:val="single" w:color="9BBB59" w:themeColor="accent3" w:sz="8" w:space="0"/>
        <w:bottom w:val="single" w:color="9BBB59" w:themeColor="accent3" w:sz="8" w:space="0"/>
        <w:right w:val="single" w:color="9BBB59" w:themeColor="accent3"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color="9BBB59" w:themeColor="accent3" w:sz="6" w:space="0"/>
          <w:left w:val="single" w:color="9BBB59" w:themeColor="accent3" w:sz="8" w:space="0"/>
          <w:bottom w:val="single" w:color="9BBB59" w:themeColor="accent3" w:sz="8" w:space="0"/>
          <w:right w:val="single" w:color="9BBB59" w:themeColor="accent3" w:sz="8" w:space="0"/>
        </w:tcBorders>
      </w:tcPr>
    </w:tblStylePr>
    <w:tblStylePr w:type="firstCol">
      <w:rPr>
        <w:b/>
        <w:bCs/>
      </w:rPr>
    </w:tblStylePr>
    <w:tblStylePr w:type="lastCol">
      <w:rPr>
        <w:b/>
        <w:bCs/>
      </w:rPr>
    </w:tblStylePr>
    <w:tblStylePr w:type="band1Vert">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tblStylePr w:type="band1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Ind w:w="0" w:type="dxa"/>
      <w:tblBorders>
        <w:top w:val="single" w:color="8064A2" w:themeColor="accent4" w:sz="8" w:space="0"/>
        <w:left w:val="single" w:color="8064A2" w:themeColor="accent4" w:sz="8" w:space="0"/>
        <w:bottom w:val="single" w:color="8064A2" w:themeColor="accent4" w:sz="8" w:space="0"/>
        <w:right w:val="single" w:color="8064A2" w:themeColor="accent4"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color="8064A2" w:themeColor="accent4" w:sz="6" w:space="0"/>
          <w:left w:val="single" w:color="8064A2" w:themeColor="accent4" w:sz="8" w:space="0"/>
          <w:bottom w:val="single" w:color="8064A2" w:themeColor="accent4" w:sz="8" w:space="0"/>
          <w:right w:val="single" w:color="8064A2" w:themeColor="accent4" w:sz="8" w:space="0"/>
        </w:tcBorders>
      </w:tcPr>
    </w:tblStylePr>
    <w:tblStylePr w:type="firstCol">
      <w:rPr>
        <w:b/>
        <w:bCs/>
      </w:rPr>
    </w:tblStylePr>
    <w:tblStylePr w:type="lastCol">
      <w:rPr>
        <w:b/>
        <w:bCs/>
      </w:rPr>
    </w:tblStylePr>
    <w:tblStylePr w:type="band1Vert">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tblStylePr w:type="band1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Ind w:w="0" w:type="dxa"/>
      <w:tblBorders>
        <w:top w:val="single" w:color="4BACC6" w:themeColor="accent5" w:sz="8" w:space="0"/>
        <w:left w:val="single" w:color="4BACC6" w:themeColor="accent5" w:sz="8" w:space="0"/>
        <w:bottom w:val="single" w:color="4BACC6" w:themeColor="accent5" w:sz="8" w:space="0"/>
        <w:right w:val="single" w:color="4BACC6" w:themeColor="accent5"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color="4BACC6" w:themeColor="accent5" w:sz="6" w:space="0"/>
          <w:left w:val="single" w:color="4BACC6" w:themeColor="accent5" w:sz="8" w:space="0"/>
          <w:bottom w:val="single" w:color="4BACC6" w:themeColor="accent5" w:sz="8" w:space="0"/>
          <w:right w:val="single" w:color="4BACC6" w:themeColor="accent5" w:sz="8" w:space="0"/>
        </w:tcBorders>
      </w:tcPr>
    </w:tblStylePr>
    <w:tblStylePr w:type="firstCol">
      <w:rPr>
        <w:b/>
        <w:bCs/>
      </w:rPr>
    </w:tblStylePr>
    <w:tblStylePr w:type="lastCol">
      <w:rPr>
        <w:b/>
        <w:bCs/>
      </w:rPr>
    </w:tblStylePr>
    <w:tblStylePr w:type="band1Vert">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tblStylePr w:type="band1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Ind w:w="0" w:type="dxa"/>
      <w:tblBorders>
        <w:top w:val="single" w:color="F79646" w:themeColor="accent6" w:sz="8" w:space="0"/>
        <w:left w:val="single" w:color="F79646" w:themeColor="accent6" w:sz="8" w:space="0"/>
        <w:bottom w:val="single" w:color="F79646" w:themeColor="accent6" w:sz="8" w:space="0"/>
        <w:right w:val="single" w:color="F79646" w:themeColor="accent6"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color="F79646" w:themeColor="accent6" w:sz="6" w:space="0"/>
          <w:left w:val="single" w:color="F79646" w:themeColor="accent6" w:sz="8" w:space="0"/>
          <w:bottom w:val="single" w:color="F79646" w:themeColor="accent6" w:sz="8" w:space="0"/>
          <w:right w:val="single" w:color="F79646" w:themeColor="accent6" w:sz="8" w:space="0"/>
        </w:tcBorders>
      </w:tcPr>
    </w:tblStylePr>
    <w:tblStylePr w:type="firstCol">
      <w:rPr>
        <w:b/>
        <w:bCs/>
      </w:rPr>
    </w:tblStylePr>
    <w:tblStylePr w:type="lastCol">
      <w:rPr>
        <w:b/>
        <w:bCs/>
      </w:rPr>
    </w:tblStylePr>
    <w:tblStylePr w:type="band1Vert">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tblStylePr w:type="band1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style>
  <w:style w:type="table" w:styleId="LightGrid">
    <w:name w:val="Light Grid"/>
    <w:basedOn w:val="TableNormal"/>
    <w:uiPriority w:val="62"/>
    <w:rsid w:val="00CB0664"/>
    <w:pPr>
      <w:spacing w:after="0" w:line="240" w:lineRule="auto"/>
    </w:pPr>
    <w:tblPr>
      <w:tblStyleRowBandSize w:val="1"/>
      <w:tblStyleColBandSize w:val="1"/>
      <w:tblInd w:w="0" w:type="dxa"/>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18" w:space="0"/>
          <w:right w:val="single" w:color="000000" w:themeColor="text1" w:sz="8" w:space="0"/>
          <w:insideH w:val="nil"/>
          <w:insideV w:val="single" w:color="000000" w:themeColor="text1"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insideH w:val="nil"/>
          <w:insideV w:val="single" w:color="000000" w:themeColor="text1"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shd w:val="clear" w:color="auto" w:fill="C0C0C0" w:themeFill="text1" w:themeFillTint="3F"/>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color="000000" w:themeColor="text1" w:sz="8" w:space="0"/>
        </w:tcBorders>
        <w:shd w:val="clear" w:color="auto" w:fill="C0C0C0" w:themeFill="text1" w:themeFillTint="3F"/>
      </w:tcPr>
    </w:tblStylePr>
    <w:tblStylePr w:type="band2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color="000000" w:themeColor="text1" w:sz="8" w:space="0"/>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Ind w:w="0" w:type="dxa"/>
      <w:tblBorders>
        <w:top w:val="single" w:color="4F81BD" w:themeColor="accent1" w:sz="8" w:space="0"/>
        <w:left w:val="single" w:color="4F81BD" w:themeColor="accent1" w:sz="8" w:space="0"/>
        <w:bottom w:val="single" w:color="4F81BD" w:themeColor="accent1" w:sz="8" w:space="0"/>
        <w:right w:val="single" w:color="4F81BD" w:themeColor="accent1" w:sz="8" w:space="0"/>
        <w:insideH w:val="single" w:color="4F81BD" w:themeColor="accent1" w:sz="8" w:space="0"/>
        <w:insideV w:val="single" w:color="4F81BD" w:themeColor="accent1"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4F81BD" w:themeColor="accent1" w:sz="8" w:space="0"/>
          <w:left w:val="single" w:color="4F81BD" w:themeColor="accent1" w:sz="8" w:space="0"/>
          <w:bottom w:val="single" w:color="4F81BD" w:themeColor="accent1" w:sz="18" w:space="0"/>
          <w:right w:val="single" w:color="4F81BD" w:themeColor="accent1" w:sz="8" w:space="0"/>
          <w:insideH w:val="nil"/>
          <w:insideV w:val="single" w:color="4F81BD" w:themeColor="accent1"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4F81BD" w:themeColor="accent1" w:sz="6" w:space="0"/>
          <w:left w:val="single" w:color="4F81BD" w:themeColor="accent1" w:sz="8" w:space="0"/>
          <w:bottom w:val="single" w:color="4F81BD" w:themeColor="accent1" w:sz="8" w:space="0"/>
          <w:right w:val="single" w:color="4F81BD" w:themeColor="accent1" w:sz="8" w:space="0"/>
          <w:insideH w:val="nil"/>
          <w:insideV w:val="single" w:color="4F81BD" w:themeColor="accent1"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tblStylePr w:type="band1Vert">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shd w:val="clear" w:color="auto" w:fill="D3DFEE" w:themeFill="accent1" w:themeFillTint="3F"/>
      </w:tcPr>
    </w:tblStylePr>
    <w:tblStylePr w:type="band1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insideV w:val="single" w:color="4F81BD" w:themeColor="accent1" w:sz="8" w:space="0"/>
        </w:tcBorders>
        <w:shd w:val="clear" w:color="auto" w:fill="D3DFEE" w:themeFill="accent1" w:themeFillTint="3F"/>
      </w:tcPr>
    </w:tblStylePr>
    <w:tblStylePr w:type="band2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insideV w:val="single" w:color="4F81BD" w:themeColor="accent1" w:sz="8" w:space="0"/>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Ind w:w="0" w:type="dxa"/>
      <w:tblBorders>
        <w:top w:val="single" w:color="C0504D" w:themeColor="accent2" w:sz="8" w:space="0"/>
        <w:left w:val="single" w:color="C0504D" w:themeColor="accent2" w:sz="8" w:space="0"/>
        <w:bottom w:val="single" w:color="C0504D" w:themeColor="accent2" w:sz="8" w:space="0"/>
        <w:right w:val="single" w:color="C0504D" w:themeColor="accent2" w:sz="8" w:space="0"/>
        <w:insideH w:val="single" w:color="C0504D" w:themeColor="accent2" w:sz="8" w:space="0"/>
        <w:insideV w:val="single" w:color="C0504D" w:themeColor="accent2"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C0504D" w:themeColor="accent2" w:sz="8" w:space="0"/>
          <w:left w:val="single" w:color="C0504D" w:themeColor="accent2" w:sz="8" w:space="0"/>
          <w:bottom w:val="single" w:color="C0504D" w:themeColor="accent2" w:sz="18" w:space="0"/>
          <w:right w:val="single" w:color="C0504D" w:themeColor="accent2" w:sz="8" w:space="0"/>
          <w:insideH w:val="nil"/>
          <w:insideV w:val="single" w:color="C0504D" w:themeColor="accent2"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C0504D" w:themeColor="accent2" w:sz="6" w:space="0"/>
          <w:left w:val="single" w:color="C0504D" w:themeColor="accent2" w:sz="8" w:space="0"/>
          <w:bottom w:val="single" w:color="C0504D" w:themeColor="accent2" w:sz="8" w:space="0"/>
          <w:right w:val="single" w:color="C0504D" w:themeColor="accent2" w:sz="8" w:space="0"/>
          <w:insideH w:val="nil"/>
          <w:insideV w:val="single" w:color="C0504D" w:themeColor="accent2"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tblStylePr w:type="band1Vert">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shd w:val="clear" w:color="auto" w:fill="EFD3D2" w:themeFill="accent2" w:themeFillTint="3F"/>
      </w:tcPr>
    </w:tblStylePr>
    <w:tblStylePr w:type="band1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insideV w:val="single" w:color="C0504D" w:themeColor="accent2" w:sz="8" w:space="0"/>
        </w:tcBorders>
        <w:shd w:val="clear" w:color="auto" w:fill="EFD3D2" w:themeFill="accent2" w:themeFillTint="3F"/>
      </w:tcPr>
    </w:tblStylePr>
    <w:tblStylePr w:type="band2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insideV w:val="single" w:color="C0504D" w:themeColor="accent2" w:sz="8" w:space="0"/>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Ind w:w="0" w:type="dxa"/>
      <w:tblBorders>
        <w:top w:val="single" w:color="9BBB59" w:themeColor="accent3" w:sz="8" w:space="0"/>
        <w:left w:val="single" w:color="9BBB59" w:themeColor="accent3" w:sz="8" w:space="0"/>
        <w:bottom w:val="single" w:color="9BBB59" w:themeColor="accent3" w:sz="8" w:space="0"/>
        <w:right w:val="single" w:color="9BBB59" w:themeColor="accent3" w:sz="8" w:space="0"/>
        <w:insideH w:val="single" w:color="9BBB59" w:themeColor="accent3" w:sz="8" w:space="0"/>
        <w:insideV w:val="single" w:color="9BBB59" w:themeColor="accent3"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9BBB59" w:themeColor="accent3" w:sz="8" w:space="0"/>
          <w:left w:val="single" w:color="9BBB59" w:themeColor="accent3" w:sz="8" w:space="0"/>
          <w:bottom w:val="single" w:color="9BBB59" w:themeColor="accent3" w:sz="18" w:space="0"/>
          <w:right w:val="single" w:color="9BBB59" w:themeColor="accent3" w:sz="8" w:space="0"/>
          <w:insideH w:val="nil"/>
          <w:insideV w:val="single" w:color="9BBB59" w:themeColor="accent3"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9BBB59" w:themeColor="accent3" w:sz="6" w:space="0"/>
          <w:left w:val="single" w:color="9BBB59" w:themeColor="accent3" w:sz="8" w:space="0"/>
          <w:bottom w:val="single" w:color="9BBB59" w:themeColor="accent3" w:sz="8" w:space="0"/>
          <w:right w:val="single" w:color="9BBB59" w:themeColor="accent3" w:sz="8" w:space="0"/>
          <w:insideH w:val="nil"/>
          <w:insideV w:val="single" w:color="9BBB59" w:themeColor="accent3"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tblStylePr w:type="band1Vert">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shd w:val="clear" w:color="auto" w:fill="E6EED5" w:themeFill="accent3" w:themeFillTint="3F"/>
      </w:tcPr>
    </w:tblStylePr>
    <w:tblStylePr w:type="band1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insideV w:val="single" w:color="9BBB59" w:themeColor="accent3" w:sz="8" w:space="0"/>
        </w:tcBorders>
        <w:shd w:val="clear" w:color="auto" w:fill="E6EED5" w:themeFill="accent3" w:themeFillTint="3F"/>
      </w:tcPr>
    </w:tblStylePr>
    <w:tblStylePr w:type="band2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insideV w:val="single" w:color="9BBB59" w:themeColor="accent3" w:sz="8" w:space="0"/>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Ind w:w="0" w:type="dxa"/>
      <w:tblBorders>
        <w:top w:val="single" w:color="8064A2" w:themeColor="accent4" w:sz="8" w:space="0"/>
        <w:left w:val="single" w:color="8064A2" w:themeColor="accent4" w:sz="8" w:space="0"/>
        <w:bottom w:val="single" w:color="8064A2" w:themeColor="accent4" w:sz="8" w:space="0"/>
        <w:right w:val="single" w:color="8064A2" w:themeColor="accent4" w:sz="8" w:space="0"/>
        <w:insideH w:val="single" w:color="8064A2" w:themeColor="accent4" w:sz="8" w:space="0"/>
        <w:insideV w:val="single" w:color="8064A2" w:themeColor="accent4"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8064A2" w:themeColor="accent4" w:sz="8" w:space="0"/>
          <w:left w:val="single" w:color="8064A2" w:themeColor="accent4" w:sz="8" w:space="0"/>
          <w:bottom w:val="single" w:color="8064A2" w:themeColor="accent4" w:sz="18" w:space="0"/>
          <w:right w:val="single" w:color="8064A2" w:themeColor="accent4" w:sz="8" w:space="0"/>
          <w:insideH w:val="nil"/>
          <w:insideV w:val="single" w:color="8064A2" w:themeColor="accent4"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8064A2" w:themeColor="accent4" w:sz="6" w:space="0"/>
          <w:left w:val="single" w:color="8064A2" w:themeColor="accent4" w:sz="8" w:space="0"/>
          <w:bottom w:val="single" w:color="8064A2" w:themeColor="accent4" w:sz="8" w:space="0"/>
          <w:right w:val="single" w:color="8064A2" w:themeColor="accent4" w:sz="8" w:space="0"/>
          <w:insideH w:val="nil"/>
          <w:insideV w:val="single" w:color="8064A2" w:themeColor="accent4"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tblStylePr w:type="band1Vert">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shd w:val="clear" w:color="auto" w:fill="DFD8E8" w:themeFill="accent4" w:themeFillTint="3F"/>
      </w:tcPr>
    </w:tblStylePr>
    <w:tblStylePr w:type="band1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insideV w:val="single" w:color="8064A2" w:themeColor="accent4" w:sz="8" w:space="0"/>
        </w:tcBorders>
        <w:shd w:val="clear" w:color="auto" w:fill="DFD8E8" w:themeFill="accent4" w:themeFillTint="3F"/>
      </w:tcPr>
    </w:tblStylePr>
    <w:tblStylePr w:type="band2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insideV w:val="single" w:color="8064A2" w:themeColor="accent4" w:sz="8" w:space="0"/>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Ind w:w="0" w:type="dxa"/>
      <w:tblBorders>
        <w:top w:val="single" w:color="4BACC6" w:themeColor="accent5" w:sz="8" w:space="0"/>
        <w:left w:val="single" w:color="4BACC6" w:themeColor="accent5" w:sz="8" w:space="0"/>
        <w:bottom w:val="single" w:color="4BACC6" w:themeColor="accent5" w:sz="8" w:space="0"/>
        <w:right w:val="single" w:color="4BACC6" w:themeColor="accent5" w:sz="8" w:space="0"/>
        <w:insideH w:val="single" w:color="4BACC6" w:themeColor="accent5" w:sz="8" w:space="0"/>
        <w:insideV w:val="single" w:color="4BACC6" w:themeColor="accent5"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4BACC6" w:themeColor="accent5" w:sz="8" w:space="0"/>
          <w:left w:val="single" w:color="4BACC6" w:themeColor="accent5" w:sz="8" w:space="0"/>
          <w:bottom w:val="single" w:color="4BACC6" w:themeColor="accent5" w:sz="18" w:space="0"/>
          <w:right w:val="single" w:color="4BACC6" w:themeColor="accent5" w:sz="8" w:space="0"/>
          <w:insideH w:val="nil"/>
          <w:insideV w:val="single" w:color="4BACC6" w:themeColor="accent5"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4BACC6" w:themeColor="accent5" w:sz="6" w:space="0"/>
          <w:left w:val="single" w:color="4BACC6" w:themeColor="accent5" w:sz="8" w:space="0"/>
          <w:bottom w:val="single" w:color="4BACC6" w:themeColor="accent5" w:sz="8" w:space="0"/>
          <w:right w:val="single" w:color="4BACC6" w:themeColor="accent5" w:sz="8" w:space="0"/>
          <w:insideH w:val="nil"/>
          <w:insideV w:val="single" w:color="4BACC6" w:themeColor="accent5"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tblStylePr w:type="band1Vert">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shd w:val="clear" w:color="auto" w:fill="D2EAF1" w:themeFill="accent5" w:themeFillTint="3F"/>
      </w:tcPr>
    </w:tblStylePr>
    <w:tblStylePr w:type="band1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insideV w:val="single" w:color="4BACC6" w:themeColor="accent5" w:sz="8" w:space="0"/>
        </w:tcBorders>
        <w:shd w:val="clear" w:color="auto" w:fill="D2EAF1" w:themeFill="accent5" w:themeFillTint="3F"/>
      </w:tcPr>
    </w:tblStylePr>
    <w:tblStylePr w:type="band2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insideV w:val="single" w:color="4BACC6" w:themeColor="accent5" w:sz="8" w:space="0"/>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Ind w:w="0" w:type="dxa"/>
      <w:tblBorders>
        <w:top w:val="single" w:color="F79646" w:themeColor="accent6" w:sz="8" w:space="0"/>
        <w:left w:val="single" w:color="F79646" w:themeColor="accent6" w:sz="8" w:space="0"/>
        <w:bottom w:val="single" w:color="F79646" w:themeColor="accent6" w:sz="8" w:space="0"/>
        <w:right w:val="single" w:color="F79646" w:themeColor="accent6" w:sz="8" w:space="0"/>
        <w:insideH w:val="single" w:color="F79646" w:themeColor="accent6" w:sz="8" w:space="0"/>
        <w:insideV w:val="single" w:color="F79646" w:themeColor="accent6"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F79646" w:themeColor="accent6" w:sz="8" w:space="0"/>
          <w:left w:val="single" w:color="F79646" w:themeColor="accent6" w:sz="8" w:space="0"/>
          <w:bottom w:val="single" w:color="F79646" w:themeColor="accent6" w:sz="18" w:space="0"/>
          <w:right w:val="single" w:color="F79646" w:themeColor="accent6" w:sz="8" w:space="0"/>
          <w:insideH w:val="nil"/>
          <w:insideV w:val="single" w:color="F79646" w:themeColor="accent6"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F79646" w:themeColor="accent6" w:sz="6" w:space="0"/>
          <w:left w:val="single" w:color="F79646" w:themeColor="accent6" w:sz="8" w:space="0"/>
          <w:bottom w:val="single" w:color="F79646" w:themeColor="accent6" w:sz="8" w:space="0"/>
          <w:right w:val="single" w:color="F79646" w:themeColor="accent6" w:sz="8" w:space="0"/>
          <w:insideH w:val="nil"/>
          <w:insideV w:val="single" w:color="F79646" w:themeColor="accent6"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tblStylePr w:type="band1Vert">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shd w:val="clear" w:color="auto" w:fill="FDE4D0" w:themeFill="accent6" w:themeFillTint="3F"/>
      </w:tcPr>
    </w:tblStylePr>
    <w:tblStylePr w:type="band1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insideV w:val="single" w:color="F79646" w:themeColor="accent6" w:sz="8" w:space="0"/>
        </w:tcBorders>
        <w:shd w:val="clear" w:color="auto" w:fill="FDE4D0" w:themeFill="accent6" w:themeFillTint="3F"/>
      </w:tcPr>
    </w:tblStylePr>
    <w:tblStylePr w:type="band2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insideV w:val="single" w:color="F79646" w:themeColor="accent6" w:sz="8" w:space="0"/>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Ind w:w="0" w:type="dxa"/>
      <w:tbl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single" w:color="404040" w:themeColor="text1"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nil"/>
          <w:insideV w:val="nil"/>
        </w:tcBorders>
        <w:shd w:val="clear" w:color="auto" w:fill="000000" w:themeFill="text1"/>
      </w:tcPr>
    </w:tblStylePr>
    <w:tblStylePr w:type="lastRow">
      <w:pPr>
        <w:spacing w:before="0" w:after="0" w:line="240" w:lineRule="auto"/>
      </w:pPr>
      <w:rPr>
        <w:b/>
        <w:bCs/>
      </w:rPr>
      <w:tblPr/>
      <w:tcPr>
        <w:tcBorders>
          <w:top w:val="double" w:color="404040" w:themeColor="text1" w:themeTint="BF" w:sz="6" w:space="0"/>
          <w:left w:val="single" w:color="404040" w:themeColor="text1" w:themeTint="BF" w:sz="8" w:space="0"/>
          <w:bottom w:val="single" w:color="404040" w:themeColor="text1" w:themeTint="BF" w:sz="8" w:space="0"/>
          <w:right w:val="single" w:color="404040" w:themeColor="text1" w:themeTint="BF" w:sz="8" w:space="0"/>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Ind w:w="0" w:type="dxa"/>
      <w:tbl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single" w:color="7BA0CD" w:themeColor="accent1"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nil"/>
          <w:insideV w:val="nil"/>
        </w:tcBorders>
        <w:shd w:val="clear" w:color="auto" w:fill="4F81BD" w:themeFill="accent1"/>
      </w:tcPr>
    </w:tblStylePr>
    <w:tblStylePr w:type="lastRow">
      <w:pPr>
        <w:spacing w:before="0" w:after="0" w:line="240" w:lineRule="auto"/>
      </w:pPr>
      <w:rPr>
        <w:b/>
        <w:bCs/>
      </w:rPr>
      <w:tblPr/>
      <w:tcPr>
        <w:tcBorders>
          <w:top w:val="double" w:color="7BA0CD" w:themeColor="accent1" w:themeTint="BF" w:sz="6" w:space="0"/>
          <w:left w:val="single" w:color="7BA0CD" w:themeColor="accent1" w:themeTint="BF" w:sz="8" w:space="0"/>
          <w:bottom w:val="single" w:color="7BA0CD" w:themeColor="accent1" w:themeTint="BF" w:sz="8" w:space="0"/>
          <w:right w:val="single" w:color="7BA0CD" w:themeColor="accent1" w:themeTint="BF" w:sz="8" w:space="0"/>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Ind w:w="0" w:type="dxa"/>
      <w:tbl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single" w:color="CF7B79" w:themeColor="accent2"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nil"/>
          <w:insideV w:val="nil"/>
        </w:tcBorders>
        <w:shd w:val="clear" w:color="auto" w:fill="C0504D" w:themeFill="accent2"/>
      </w:tcPr>
    </w:tblStylePr>
    <w:tblStylePr w:type="lastRow">
      <w:pPr>
        <w:spacing w:before="0" w:after="0" w:line="240" w:lineRule="auto"/>
      </w:pPr>
      <w:rPr>
        <w:b/>
        <w:bCs/>
      </w:rPr>
      <w:tblPr/>
      <w:tcPr>
        <w:tcBorders>
          <w:top w:val="double" w:color="CF7B79" w:themeColor="accent2" w:themeTint="BF" w:sz="6" w:space="0"/>
          <w:left w:val="single" w:color="CF7B79" w:themeColor="accent2" w:themeTint="BF" w:sz="8" w:space="0"/>
          <w:bottom w:val="single" w:color="CF7B79" w:themeColor="accent2" w:themeTint="BF" w:sz="8" w:space="0"/>
          <w:right w:val="single" w:color="CF7B79" w:themeColor="accent2" w:themeTint="BF" w:sz="8" w:space="0"/>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Ind w:w="0" w:type="dxa"/>
      <w:tblBorders>
        <w:top w:val="single" w:color="B3CC82" w:themeColor="accent3" w:themeTint="BF" w:sz="8" w:space="0"/>
        <w:left w:val="single" w:color="B3CC82" w:themeColor="accent3" w:themeTint="BF" w:sz="8" w:space="0"/>
        <w:bottom w:val="single" w:color="B3CC82" w:themeColor="accent3" w:themeTint="BF" w:sz="8" w:space="0"/>
        <w:right w:val="single" w:color="B3CC82" w:themeColor="accent3" w:themeTint="BF" w:sz="8" w:space="0"/>
        <w:insideH w:val="single" w:color="B3CC82" w:themeColor="accent3"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B3CC82" w:themeColor="accent3" w:themeTint="BF" w:sz="8" w:space="0"/>
          <w:left w:val="single" w:color="B3CC82" w:themeColor="accent3" w:themeTint="BF" w:sz="8" w:space="0"/>
          <w:bottom w:val="single" w:color="B3CC82" w:themeColor="accent3" w:themeTint="BF" w:sz="8" w:space="0"/>
          <w:right w:val="single" w:color="B3CC82" w:themeColor="accent3" w:themeTint="BF" w:sz="8" w:space="0"/>
          <w:insideH w:val="nil"/>
          <w:insideV w:val="nil"/>
        </w:tcBorders>
        <w:shd w:val="clear" w:color="auto" w:fill="9BBB59" w:themeFill="accent3"/>
      </w:tcPr>
    </w:tblStylePr>
    <w:tblStylePr w:type="lastRow">
      <w:pPr>
        <w:spacing w:before="0" w:after="0" w:line="240" w:lineRule="auto"/>
      </w:pPr>
      <w:rPr>
        <w:b/>
        <w:bCs/>
      </w:rPr>
      <w:tblPr/>
      <w:tcPr>
        <w:tcBorders>
          <w:top w:val="double" w:color="B3CC82" w:themeColor="accent3" w:themeTint="BF" w:sz="6" w:space="0"/>
          <w:left w:val="single" w:color="B3CC82" w:themeColor="accent3" w:themeTint="BF" w:sz="8" w:space="0"/>
          <w:bottom w:val="single" w:color="B3CC82" w:themeColor="accent3" w:themeTint="BF" w:sz="8" w:space="0"/>
          <w:right w:val="single" w:color="B3CC82" w:themeColor="accent3" w:themeTint="BF" w:sz="8" w:space="0"/>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Ind w:w="0" w:type="dxa"/>
      <w:tbl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single" w:color="9F8AB9" w:themeColor="accent4"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nil"/>
          <w:insideV w:val="nil"/>
        </w:tcBorders>
        <w:shd w:val="clear" w:color="auto" w:fill="8064A2" w:themeFill="accent4"/>
      </w:tcPr>
    </w:tblStylePr>
    <w:tblStylePr w:type="lastRow">
      <w:pPr>
        <w:spacing w:before="0" w:after="0" w:line="240" w:lineRule="auto"/>
      </w:pPr>
      <w:rPr>
        <w:b/>
        <w:bCs/>
      </w:rPr>
      <w:tblPr/>
      <w:tcPr>
        <w:tcBorders>
          <w:top w:val="double" w:color="9F8AB9" w:themeColor="accent4" w:themeTint="BF" w:sz="6" w:space="0"/>
          <w:left w:val="single" w:color="9F8AB9" w:themeColor="accent4" w:themeTint="BF" w:sz="8" w:space="0"/>
          <w:bottom w:val="single" w:color="9F8AB9" w:themeColor="accent4" w:themeTint="BF" w:sz="8" w:space="0"/>
          <w:right w:val="single" w:color="9F8AB9" w:themeColor="accent4" w:themeTint="BF" w:sz="8" w:space="0"/>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Ind w:w="0" w:type="dxa"/>
      <w:tbl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single" w:color="78C0D4" w:themeColor="accent5"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nil"/>
          <w:insideV w:val="nil"/>
        </w:tcBorders>
        <w:shd w:val="clear" w:color="auto" w:fill="4BACC6" w:themeFill="accent5"/>
      </w:tcPr>
    </w:tblStylePr>
    <w:tblStylePr w:type="lastRow">
      <w:pPr>
        <w:spacing w:before="0" w:after="0" w:line="240" w:lineRule="auto"/>
      </w:pPr>
      <w:rPr>
        <w:b/>
        <w:bCs/>
      </w:rPr>
      <w:tblPr/>
      <w:tcPr>
        <w:tcBorders>
          <w:top w:val="double" w:color="78C0D4" w:themeColor="accent5" w:themeTint="BF" w:sz="6" w:space="0"/>
          <w:left w:val="single" w:color="78C0D4" w:themeColor="accent5" w:themeTint="BF" w:sz="8" w:space="0"/>
          <w:bottom w:val="single" w:color="78C0D4" w:themeColor="accent5" w:themeTint="BF" w:sz="8" w:space="0"/>
          <w:right w:val="single" w:color="78C0D4" w:themeColor="accent5" w:themeTint="BF" w:sz="8" w:space="0"/>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Ind w:w="0" w:type="dxa"/>
      <w:tbl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single" w:color="F9B074" w:themeColor="accent6"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nil"/>
          <w:insideV w:val="nil"/>
        </w:tcBorders>
        <w:shd w:val="clear" w:color="auto" w:fill="F79646" w:themeFill="accent6"/>
      </w:tcPr>
    </w:tblStylePr>
    <w:tblStylePr w:type="lastRow">
      <w:pPr>
        <w:spacing w:before="0" w:after="0" w:line="240" w:lineRule="auto"/>
      </w:pPr>
      <w:rPr>
        <w:b/>
        <w:bCs/>
      </w:rPr>
      <w:tblPr/>
      <w:tcPr>
        <w:tcBorders>
          <w:top w:val="double" w:color="F9B074" w:themeColor="accent6" w:themeTint="BF" w:sz="6" w:space="0"/>
          <w:left w:val="single" w:color="F9B074" w:themeColor="accent6" w:themeTint="BF" w:sz="8" w:space="0"/>
          <w:bottom w:val="single" w:color="F9B074" w:themeColor="accent6" w:themeTint="BF" w:sz="8" w:space="0"/>
          <w:right w:val="single" w:color="F9B074" w:themeColor="accent6" w:themeTint="BF" w:sz="8" w:space="0"/>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Ind w:w="0" w:type="dxa"/>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Ind w:w="0" w:type="dxa"/>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Ind w:w="0" w:type="dxa"/>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Ind w:w="0" w:type="dxa"/>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Ind w:w="0" w:type="dxa"/>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Ind w:w="0" w:type="dxa"/>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Ind w:w="0" w:type="dxa"/>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Ind w:w="0" w:type="dxa"/>
      <w:tblBorders>
        <w:top w:val="single" w:color="000000" w:themeColor="text1" w:sz="8" w:space="0"/>
        <w:bottom w:val="single" w:color="000000" w:themeColor="text1"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000000" w:themeColor="text1" w:sz="8" w:space="0"/>
        </w:tcBorders>
      </w:tcPr>
    </w:tblStylePr>
    <w:tblStylePr w:type="lastRow">
      <w:rPr>
        <w:b/>
        <w:bCs/>
        <w:color w:val="1F497D" w:themeColor="text2"/>
      </w:rPr>
      <w:tblPr/>
      <w:tcPr>
        <w:tcBorders>
          <w:top w:val="single" w:color="000000" w:themeColor="text1" w:sz="8" w:space="0"/>
          <w:bottom w:val="single" w:color="000000" w:themeColor="text1" w:sz="8" w:space="0"/>
        </w:tcBorders>
      </w:tcPr>
    </w:tblStylePr>
    <w:tblStylePr w:type="firstCol">
      <w:rPr>
        <w:b/>
        <w:bCs/>
      </w:rPr>
    </w:tblStylePr>
    <w:tblStylePr w:type="lastCol">
      <w:rPr>
        <w:b/>
        <w:bCs/>
      </w:rPr>
      <w:tblPr/>
      <w:tcPr>
        <w:tcBorders>
          <w:top w:val="single" w:color="000000" w:themeColor="text1" w:sz="8" w:space="0"/>
          <w:bottom w:val="single" w:color="000000" w:themeColor="text1" w:sz="8" w:space="0"/>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Ind w:w="0" w:type="dxa"/>
      <w:tblBorders>
        <w:top w:val="single" w:color="4F81BD" w:themeColor="accent1" w:sz="8" w:space="0"/>
        <w:bottom w:val="single" w:color="4F81BD" w:themeColor="accent1"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4F81BD" w:themeColor="accent1" w:sz="8" w:space="0"/>
        </w:tcBorders>
      </w:tcPr>
    </w:tblStylePr>
    <w:tblStylePr w:type="lastRow">
      <w:rPr>
        <w:b/>
        <w:bCs/>
        <w:color w:val="1F497D" w:themeColor="text2"/>
      </w:rPr>
      <w:tblPr/>
      <w:tcPr>
        <w:tcBorders>
          <w:top w:val="single" w:color="4F81BD" w:themeColor="accent1" w:sz="8" w:space="0"/>
          <w:bottom w:val="single" w:color="4F81BD" w:themeColor="accent1" w:sz="8" w:space="0"/>
        </w:tcBorders>
      </w:tcPr>
    </w:tblStylePr>
    <w:tblStylePr w:type="firstCol">
      <w:rPr>
        <w:b/>
        <w:bCs/>
      </w:rPr>
    </w:tblStylePr>
    <w:tblStylePr w:type="lastCol">
      <w:rPr>
        <w:b/>
        <w:bCs/>
      </w:rPr>
      <w:tblPr/>
      <w:tcPr>
        <w:tcBorders>
          <w:top w:val="single" w:color="4F81BD" w:themeColor="accent1" w:sz="8" w:space="0"/>
          <w:bottom w:val="single" w:color="4F81BD" w:themeColor="accent1" w:sz="8" w:space="0"/>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Ind w:w="0" w:type="dxa"/>
      <w:tblBorders>
        <w:top w:val="single" w:color="C0504D" w:themeColor="accent2" w:sz="8" w:space="0"/>
        <w:bottom w:val="single" w:color="C0504D" w:themeColor="accent2"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C0504D" w:themeColor="accent2" w:sz="8" w:space="0"/>
        </w:tcBorders>
      </w:tcPr>
    </w:tblStylePr>
    <w:tblStylePr w:type="lastRow">
      <w:rPr>
        <w:b/>
        <w:bCs/>
        <w:color w:val="1F497D" w:themeColor="text2"/>
      </w:rPr>
      <w:tblPr/>
      <w:tcPr>
        <w:tcBorders>
          <w:top w:val="single" w:color="C0504D" w:themeColor="accent2" w:sz="8" w:space="0"/>
          <w:bottom w:val="single" w:color="C0504D" w:themeColor="accent2" w:sz="8" w:space="0"/>
        </w:tcBorders>
      </w:tcPr>
    </w:tblStylePr>
    <w:tblStylePr w:type="firstCol">
      <w:rPr>
        <w:b/>
        <w:bCs/>
      </w:rPr>
    </w:tblStylePr>
    <w:tblStylePr w:type="lastCol">
      <w:rPr>
        <w:b/>
        <w:bCs/>
      </w:rPr>
      <w:tblPr/>
      <w:tcPr>
        <w:tcBorders>
          <w:top w:val="single" w:color="C0504D" w:themeColor="accent2" w:sz="8" w:space="0"/>
          <w:bottom w:val="single" w:color="C0504D" w:themeColor="accent2" w:sz="8" w:space="0"/>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Ind w:w="0" w:type="dxa"/>
      <w:tblBorders>
        <w:top w:val="single" w:color="9BBB59" w:themeColor="accent3" w:sz="8" w:space="0"/>
        <w:bottom w:val="single" w:color="9BBB59" w:themeColor="accent3"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9BBB59" w:themeColor="accent3" w:sz="8" w:space="0"/>
        </w:tcBorders>
      </w:tcPr>
    </w:tblStylePr>
    <w:tblStylePr w:type="lastRow">
      <w:rPr>
        <w:b/>
        <w:bCs/>
        <w:color w:val="1F497D" w:themeColor="text2"/>
      </w:rPr>
      <w:tblPr/>
      <w:tcPr>
        <w:tcBorders>
          <w:top w:val="single" w:color="9BBB59" w:themeColor="accent3" w:sz="8" w:space="0"/>
          <w:bottom w:val="single" w:color="9BBB59" w:themeColor="accent3" w:sz="8" w:space="0"/>
        </w:tcBorders>
      </w:tcPr>
    </w:tblStylePr>
    <w:tblStylePr w:type="firstCol">
      <w:rPr>
        <w:b/>
        <w:bCs/>
      </w:rPr>
    </w:tblStylePr>
    <w:tblStylePr w:type="lastCol">
      <w:rPr>
        <w:b/>
        <w:bCs/>
      </w:rPr>
      <w:tblPr/>
      <w:tcPr>
        <w:tcBorders>
          <w:top w:val="single" w:color="9BBB59" w:themeColor="accent3" w:sz="8" w:space="0"/>
          <w:bottom w:val="single" w:color="9BBB59" w:themeColor="accent3" w:sz="8" w:space="0"/>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Ind w:w="0" w:type="dxa"/>
      <w:tblBorders>
        <w:top w:val="single" w:color="8064A2" w:themeColor="accent4" w:sz="8" w:space="0"/>
        <w:bottom w:val="single" w:color="8064A2" w:themeColor="accent4"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8064A2" w:themeColor="accent4" w:sz="8" w:space="0"/>
        </w:tcBorders>
      </w:tcPr>
    </w:tblStylePr>
    <w:tblStylePr w:type="lastRow">
      <w:rPr>
        <w:b/>
        <w:bCs/>
        <w:color w:val="1F497D" w:themeColor="text2"/>
      </w:rPr>
      <w:tblPr/>
      <w:tcPr>
        <w:tcBorders>
          <w:top w:val="single" w:color="8064A2" w:themeColor="accent4" w:sz="8" w:space="0"/>
          <w:bottom w:val="single" w:color="8064A2" w:themeColor="accent4" w:sz="8" w:space="0"/>
        </w:tcBorders>
      </w:tcPr>
    </w:tblStylePr>
    <w:tblStylePr w:type="firstCol">
      <w:rPr>
        <w:b/>
        <w:bCs/>
      </w:rPr>
    </w:tblStylePr>
    <w:tblStylePr w:type="lastCol">
      <w:rPr>
        <w:b/>
        <w:bCs/>
      </w:rPr>
      <w:tblPr/>
      <w:tcPr>
        <w:tcBorders>
          <w:top w:val="single" w:color="8064A2" w:themeColor="accent4" w:sz="8" w:space="0"/>
          <w:bottom w:val="single" w:color="8064A2" w:themeColor="accent4" w:sz="8" w:space="0"/>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Ind w:w="0" w:type="dxa"/>
      <w:tblBorders>
        <w:top w:val="single" w:color="4BACC6" w:themeColor="accent5" w:sz="8" w:space="0"/>
        <w:bottom w:val="single" w:color="4BACC6" w:themeColor="accent5"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4BACC6" w:themeColor="accent5" w:sz="8" w:space="0"/>
        </w:tcBorders>
      </w:tcPr>
    </w:tblStylePr>
    <w:tblStylePr w:type="lastRow">
      <w:rPr>
        <w:b/>
        <w:bCs/>
        <w:color w:val="1F497D" w:themeColor="text2"/>
      </w:rPr>
      <w:tblPr/>
      <w:tcPr>
        <w:tcBorders>
          <w:top w:val="single" w:color="4BACC6" w:themeColor="accent5" w:sz="8" w:space="0"/>
          <w:bottom w:val="single" w:color="4BACC6" w:themeColor="accent5" w:sz="8" w:space="0"/>
        </w:tcBorders>
      </w:tcPr>
    </w:tblStylePr>
    <w:tblStylePr w:type="firstCol">
      <w:rPr>
        <w:b/>
        <w:bCs/>
      </w:rPr>
    </w:tblStylePr>
    <w:tblStylePr w:type="lastCol">
      <w:rPr>
        <w:b/>
        <w:bCs/>
      </w:rPr>
      <w:tblPr/>
      <w:tcPr>
        <w:tcBorders>
          <w:top w:val="single" w:color="4BACC6" w:themeColor="accent5" w:sz="8" w:space="0"/>
          <w:bottom w:val="single" w:color="4BACC6" w:themeColor="accent5" w:sz="8" w:space="0"/>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Ind w:w="0" w:type="dxa"/>
      <w:tblBorders>
        <w:top w:val="single" w:color="F79646" w:themeColor="accent6" w:sz="8" w:space="0"/>
        <w:bottom w:val="single" w:color="F79646" w:themeColor="accent6"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F79646" w:themeColor="accent6" w:sz="8" w:space="0"/>
        </w:tcBorders>
      </w:tcPr>
    </w:tblStylePr>
    <w:tblStylePr w:type="lastRow">
      <w:rPr>
        <w:b/>
        <w:bCs/>
        <w:color w:val="1F497D" w:themeColor="text2"/>
      </w:rPr>
      <w:tblPr/>
      <w:tcPr>
        <w:tcBorders>
          <w:top w:val="single" w:color="F79646" w:themeColor="accent6" w:sz="8" w:space="0"/>
          <w:bottom w:val="single" w:color="F79646" w:themeColor="accent6" w:sz="8" w:space="0"/>
        </w:tcBorders>
      </w:tcPr>
    </w:tblStylePr>
    <w:tblStylePr w:type="firstCol">
      <w:rPr>
        <w:b/>
        <w:bCs/>
      </w:rPr>
    </w:tblStylePr>
    <w:tblStylePr w:type="lastCol">
      <w:rPr>
        <w:b/>
        <w:bCs/>
      </w:rPr>
      <w:tblPr/>
      <w:tcPr>
        <w:tcBorders>
          <w:top w:val="single" w:color="F79646" w:themeColor="accent6" w:sz="8" w:space="0"/>
          <w:bottom w:val="single" w:color="F79646" w:themeColor="accent6" w:sz="8" w:space="0"/>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000000" w:themeColor="text1" w:sz="8" w:space="0"/>
        <w:left w:val="single" w:color="000000" w:themeColor="text1" w:sz="8" w:space="0"/>
        <w:bottom w:val="single" w:color="000000" w:themeColor="text1" w:sz="8" w:space="0"/>
        <w:right w:val="single" w:color="000000" w:themeColor="text1" w:sz="8" w:space="0"/>
      </w:tblBorders>
      <w:tblCellMar>
        <w:top w:w="0" w:type="dxa"/>
        <w:left w:w="108" w:type="dxa"/>
        <w:bottom w:w="0" w:type="dxa"/>
        <w:right w:w="108" w:type="dxa"/>
      </w:tblCellMar>
    </w:tblPr>
    <w:tblStylePr w:type="firstRow">
      <w:rPr>
        <w:sz w:val="24"/>
        <w:szCs w:val="24"/>
      </w:rPr>
      <w:tblPr/>
      <w:tcPr>
        <w:tcBorders>
          <w:top w:val="nil"/>
          <w:left w:val="nil"/>
          <w:bottom w:val="single" w:color="000000" w:themeColor="text1" w:sz="24" w:space="0"/>
          <w:right w:val="nil"/>
          <w:insideH w:val="nil"/>
          <w:insideV w:val="nil"/>
        </w:tcBorders>
        <w:shd w:val="clear" w:color="auto" w:fill="FFFFFF" w:themeFill="background1"/>
      </w:tcPr>
    </w:tblStylePr>
    <w:tblStylePr w:type="lastRow">
      <w:tblPr/>
      <w:tcPr>
        <w:tcBorders>
          <w:top w:val="single" w:color="000000" w:themeColor="text1"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000000" w:themeColor="text1" w:sz="8" w:space="0"/>
          <w:insideH w:val="nil"/>
          <w:insideV w:val="nil"/>
        </w:tcBorders>
        <w:shd w:val="clear" w:color="auto" w:fill="FFFFFF" w:themeFill="background1"/>
      </w:tcPr>
    </w:tblStylePr>
    <w:tblStylePr w:type="lastCol">
      <w:tblPr/>
      <w:tcPr>
        <w:tcBorders>
          <w:top w:val="nil"/>
          <w:left w:val="single" w:color="000000" w:themeColor="tex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4F81BD" w:themeColor="accent1" w:sz="8" w:space="0"/>
        <w:left w:val="single" w:color="4F81BD" w:themeColor="accent1" w:sz="8" w:space="0"/>
        <w:bottom w:val="single" w:color="4F81BD" w:themeColor="accent1" w:sz="8" w:space="0"/>
        <w:right w:val="single" w:color="4F81BD" w:themeColor="accent1" w:sz="8" w:space="0"/>
      </w:tblBorders>
      <w:tblCellMar>
        <w:top w:w="0" w:type="dxa"/>
        <w:left w:w="108" w:type="dxa"/>
        <w:bottom w:w="0" w:type="dxa"/>
        <w:right w:w="108" w:type="dxa"/>
      </w:tblCellMar>
    </w:tblPr>
    <w:tblStylePr w:type="firstRow">
      <w:rPr>
        <w:sz w:val="24"/>
        <w:szCs w:val="24"/>
      </w:rPr>
      <w:tblPr/>
      <w:tcPr>
        <w:tcBorders>
          <w:top w:val="nil"/>
          <w:left w:val="nil"/>
          <w:bottom w:val="single" w:color="4F81BD" w:themeColor="accent1" w:sz="24" w:space="0"/>
          <w:right w:val="nil"/>
          <w:insideH w:val="nil"/>
          <w:insideV w:val="nil"/>
        </w:tcBorders>
        <w:shd w:val="clear" w:color="auto" w:fill="FFFFFF" w:themeFill="background1"/>
      </w:tcPr>
    </w:tblStylePr>
    <w:tblStylePr w:type="lastRow">
      <w:tblPr/>
      <w:tcPr>
        <w:tcBorders>
          <w:top w:val="single" w:color="4F81BD" w:themeColor="accent1"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4F81BD" w:themeColor="accent1" w:sz="8" w:space="0"/>
          <w:insideH w:val="nil"/>
          <w:insideV w:val="nil"/>
        </w:tcBorders>
        <w:shd w:val="clear" w:color="auto" w:fill="FFFFFF" w:themeFill="background1"/>
      </w:tcPr>
    </w:tblStylePr>
    <w:tblStylePr w:type="lastCol">
      <w:tblPr/>
      <w:tcPr>
        <w:tcBorders>
          <w:top w:val="nil"/>
          <w:left w:val="single" w:color="4F81BD" w:themeColor="accen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C0504D" w:themeColor="accent2" w:sz="8" w:space="0"/>
        <w:left w:val="single" w:color="C0504D" w:themeColor="accent2" w:sz="8" w:space="0"/>
        <w:bottom w:val="single" w:color="C0504D" w:themeColor="accent2" w:sz="8" w:space="0"/>
        <w:right w:val="single" w:color="C0504D" w:themeColor="accent2" w:sz="8" w:space="0"/>
      </w:tblBorders>
      <w:tblCellMar>
        <w:top w:w="0" w:type="dxa"/>
        <w:left w:w="108" w:type="dxa"/>
        <w:bottom w:w="0" w:type="dxa"/>
        <w:right w:w="108" w:type="dxa"/>
      </w:tblCellMar>
    </w:tblPr>
    <w:tblStylePr w:type="firstRow">
      <w:rPr>
        <w:sz w:val="24"/>
        <w:szCs w:val="24"/>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tblPr/>
      <w:tcPr>
        <w:tcBorders>
          <w:top w:val="single" w:color="C0504D" w:themeColor="accent2"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C0504D" w:themeColor="accent2" w:sz="8" w:space="0"/>
          <w:insideH w:val="nil"/>
          <w:insideV w:val="nil"/>
        </w:tcBorders>
        <w:shd w:val="clear" w:color="auto" w:fill="FFFFFF" w:themeFill="background1"/>
      </w:tcPr>
    </w:tblStylePr>
    <w:tblStylePr w:type="lastCol">
      <w:tblPr/>
      <w:tcPr>
        <w:tcBorders>
          <w:top w:val="nil"/>
          <w:left w:val="single" w:color="C0504D" w:themeColor="accent2"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9BBB59" w:themeColor="accent3" w:sz="8" w:space="0"/>
        <w:left w:val="single" w:color="9BBB59" w:themeColor="accent3" w:sz="8" w:space="0"/>
        <w:bottom w:val="single" w:color="9BBB59" w:themeColor="accent3" w:sz="8" w:space="0"/>
        <w:right w:val="single" w:color="9BBB59" w:themeColor="accent3" w:sz="8" w:space="0"/>
      </w:tblBorders>
      <w:tblCellMar>
        <w:top w:w="0" w:type="dxa"/>
        <w:left w:w="108" w:type="dxa"/>
        <w:bottom w:w="0" w:type="dxa"/>
        <w:right w:w="108" w:type="dxa"/>
      </w:tblCellMar>
    </w:tblPr>
    <w:tblStylePr w:type="firstRow">
      <w:rPr>
        <w:sz w:val="24"/>
        <w:szCs w:val="24"/>
      </w:rPr>
      <w:tblPr/>
      <w:tcPr>
        <w:tcBorders>
          <w:top w:val="nil"/>
          <w:left w:val="nil"/>
          <w:bottom w:val="single" w:color="9BBB59" w:themeColor="accent3" w:sz="24" w:space="0"/>
          <w:right w:val="nil"/>
          <w:insideH w:val="nil"/>
          <w:insideV w:val="nil"/>
        </w:tcBorders>
        <w:shd w:val="clear" w:color="auto" w:fill="FFFFFF" w:themeFill="background1"/>
      </w:tcPr>
    </w:tblStylePr>
    <w:tblStylePr w:type="lastRow">
      <w:tblPr/>
      <w:tcPr>
        <w:tcBorders>
          <w:top w:val="single" w:color="9BBB59" w:themeColor="accent3"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9BBB59" w:themeColor="accent3" w:sz="8" w:space="0"/>
          <w:insideH w:val="nil"/>
          <w:insideV w:val="nil"/>
        </w:tcBorders>
        <w:shd w:val="clear" w:color="auto" w:fill="FFFFFF" w:themeFill="background1"/>
      </w:tcPr>
    </w:tblStylePr>
    <w:tblStylePr w:type="lastCol">
      <w:tblPr/>
      <w:tcPr>
        <w:tcBorders>
          <w:top w:val="nil"/>
          <w:left w:val="single" w:color="9BBB59" w:themeColor="accent3"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8064A2" w:themeColor="accent4" w:sz="8" w:space="0"/>
        <w:left w:val="single" w:color="8064A2" w:themeColor="accent4" w:sz="8" w:space="0"/>
        <w:bottom w:val="single" w:color="8064A2" w:themeColor="accent4" w:sz="8" w:space="0"/>
        <w:right w:val="single" w:color="8064A2" w:themeColor="accent4" w:sz="8" w:space="0"/>
      </w:tblBorders>
      <w:tblCellMar>
        <w:top w:w="0" w:type="dxa"/>
        <w:left w:w="108" w:type="dxa"/>
        <w:bottom w:w="0" w:type="dxa"/>
        <w:right w:w="108" w:type="dxa"/>
      </w:tblCellMar>
    </w:tblPr>
    <w:tblStylePr w:type="firstRow">
      <w:rPr>
        <w:sz w:val="24"/>
        <w:szCs w:val="24"/>
      </w:rPr>
      <w:tblPr/>
      <w:tcPr>
        <w:tcBorders>
          <w:top w:val="nil"/>
          <w:left w:val="nil"/>
          <w:bottom w:val="single" w:color="8064A2" w:themeColor="accent4" w:sz="24" w:space="0"/>
          <w:right w:val="nil"/>
          <w:insideH w:val="nil"/>
          <w:insideV w:val="nil"/>
        </w:tcBorders>
        <w:shd w:val="clear" w:color="auto" w:fill="FFFFFF" w:themeFill="background1"/>
      </w:tcPr>
    </w:tblStylePr>
    <w:tblStylePr w:type="lastRow">
      <w:tblPr/>
      <w:tcPr>
        <w:tcBorders>
          <w:top w:val="single" w:color="8064A2" w:themeColor="accent4"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8064A2" w:themeColor="accent4" w:sz="8" w:space="0"/>
          <w:insideH w:val="nil"/>
          <w:insideV w:val="nil"/>
        </w:tcBorders>
        <w:shd w:val="clear" w:color="auto" w:fill="FFFFFF" w:themeFill="background1"/>
      </w:tcPr>
    </w:tblStylePr>
    <w:tblStylePr w:type="lastCol">
      <w:tblPr/>
      <w:tcPr>
        <w:tcBorders>
          <w:top w:val="nil"/>
          <w:left w:val="single" w:color="8064A2" w:themeColor="accent4"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4BACC6" w:themeColor="accent5" w:sz="8" w:space="0"/>
        <w:left w:val="single" w:color="4BACC6" w:themeColor="accent5" w:sz="8" w:space="0"/>
        <w:bottom w:val="single" w:color="4BACC6" w:themeColor="accent5" w:sz="8" w:space="0"/>
        <w:right w:val="single" w:color="4BACC6" w:themeColor="accent5" w:sz="8" w:space="0"/>
      </w:tblBorders>
      <w:tblCellMar>
        <w:top w:w="0" w:type="dxa"/>
        <w:left w:w="108" w:type="dxa"/>
        <w:bottom w:w="0" w:type="dxa"/>
        <w:right w:w="108" w:type="dxa"/>
      </w:tblCellMar>
    </w:tblPr>
    <w:tblStylePr w:type="firstRow">
      <w:rPr>
        <w:sz w:val="24"/>
        <w:szCs w:val="24"/>
      </w:rPr>
      <w:tblPr/>
      <w:tcPr>
        <w:tcBorders>
          <w:top w:val="nil"/>
          <w:left w:val="nil"/>
          <w:bottom w:val="single" w:color="4BACC6" w:themeColor="accent5" w:sz="24" w:space="0"/>
          <w:right w:val="nil"/>
          <w:insideH w:val="nil"/>
          <w:insideV w:val="nil"/>
        </w:tcBorders>
        <w:shd w:val="clear" w:color="auto" w:fill="FFFFFF" w:themeFill="background1"/>
      </w:tcPr>
    </w:tblStylePr>
    <w:tblStylePr w:type="lastRow">
      <w:tblPr/>
      <w:tcPr>
        <w:tcBorders>
          <w:top w:val="single" w:color="4BACC6" w:themeColor="accent5"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4BACC6" w:themeColor="accent5" w:sz="8" w:space="0"/>
          <w:insideH w:val="nil"/>
          <w:insideV w:val="nil"/>
        </w:tcBorders>
        <w:shd w:val="clear" w:color="auto" w:fill="FFFFFF" w:themeFill="background1"/>
      </w:tcPr>
    </w:tblStylePr>
    <w:tblStylePr w:type="lastCol">
      <w:tblPr/>
      <w:tcPr>
        <w:tcBorders>
          <w:top w:val="nil"/>
          <w:left w:val="single" w:color="4BACC6" w:themeColor="accent5"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F79646" w:themeColor="accent6" w:sz="8" w:space="0"/>
        <w:left w:val="single" w:color="F79646" w:themeColor="accent6" w:sz="8" w:space="0"/>
        <w:bottom w:val="single" w:color="F79646" w:themeColor="accent6" w:sz="8" w:space="0"/>
        <w:right w:val="single" w:color="F79646" w:themeColor="accent6" w:sz="8" w:space="0"/>
      </w:tblBorders>
      <w:tblCellMar>
        <w:top w:w="0" w:type="dxa"/>
        <w:left w:w="108" w:type="dxa"/>
        <w:bottom w:w="0" w:type="dxa"/>
        <w:right w:w="108" w:type="dxa"/>
      </w:tblCellMar>
    </w:tblPr>
    <w:tblStylePr w:type="firstRow">
      <w:rPr>
        <w:sz w:val="24"/>
        <w:szCs w:val="24"/>
      </w:rPr>
      <w:tblPr/>
      <w:tcPr>
        <w:tcBorders>
          <w:top w:val="nil"/>
          <w:left w:val="nil"/>
          <w:bottom w:val="single" w:color="F79646" w:themeColor="accent6" w:sz="24" w:space="0"/>
          <w:right w:val="nil"/>
          <w:insideH w:val="nil"/>
          <w:insideV w:val="nil"/>
        </w:tcBorders>
        <w:shd w:val="clear" w:color="auto" w:fill="FFFFFF" w:themeFill="background1"/>
      </w:tcPr>
    </w:tblStylePr>
    <w:tblStylePr w:type="lastRow">
      <w:tblPr/>
      <w:tcPr>
        <w:tcBorders>
          <w:top w:val="single" w:color="F79646" w:themeColor="accent6"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F79646" w:themeColor="accent6" w:sz="8" w:space="0"/>
          <w:insideH w:val="nil"/>
          <w:insideV w:val="nil"/>
        </w:tcBorders>
        <w:shd w:val="clear" w:color="auto" w:fill="FFFFFF" w:themeFill="background1"/>
      </w:tcPr>
    </w:tblStylePr>
    <w:tblStylePr w:type="lastCol">
      <w:tblPr/>
      <w:tcPr>
        <w:tcBorders>
          <w:top w:val="nil"/>
          <w:left w:val="single" w:color="F79646" w:themeColor="accent6"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Ind w:w="0" w:type="dxa"/>
      <w:tbl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single" w:color="404040" w:themeColor="text1" w:themeTint="BF" w:sz="8" w:space="0"/>
        <w:insideV w:val="single" w:color="404040" w:themeColor="text1" w:themeTint="BF" w:sz="8" w:space="0"/>
      </w:tblBorders>
      <w:tblCellMar>
        <w:top w:w="0" w:type="dxa"/>
        <w:left w:w="108" w:type="dxa"/>
        <w:bottom w:w="0" w:type="dxa"/>
        <w:right w:w="108" w:type="dxa"/>
      </w:tblCellMar>
    </w:tblPr>
    <w:tcPr>
      <w:shd w:val="clear" w:color="auto" w:fill="C0C0C0" w:themeFill="text1" w:themeFillTint="3F"/>
    </w:tcPr>
    <w:tblStylePr w:type="firstRow">
      <w:rPr>
        <w:b/>
        <w:bCs/>
      </w:rPr>
    </w:tblStylePr>
    <w:tblStylePr w:type="lastRow">
      <w:rPr>
        <w:b/>
        <w:bCs/>
      </w:rPr>
      <w:tblPr/>
      <w:tcPr>
        <w:tcBorders>
          <w:top w:val="single" w:color="404040" w:themeColor="text1" w:themeTint="BF" w:sz="18" w:space="0"/>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Ind w:w="0" w:type="dxa"/>
      <w:tbl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single" w:color="7BA0CD" w:themeColor="accent1" w:themeTint="BF" w:sz="8" w:space="0"/>
        <w:insideV w:val="single" w:color="7BA0CD" w:themeColor="accent1" w:themeTint="BF" w:sz="8" w:space="0"/>
      </w:tblBorders>
      <w:tblCellMar>
        <w:top w:w="0" w:type="dxa"/>
        <w:left w:w="108" w:type="dxa"/>
        <w:bottom w:w="0" w:type="dxa"/>
        <w:right w:w="108" w:type="dxa"/>
      </w:tblCellMar>
    </w:tblPr>
    <w:tcPr>
      <w:shd w:val="clear" w:color="auto" w:fill="D3DFEE" w:themeFill="accent1" w:themeFillTint="3F"/>
    </w:tcPr>
    <w:tblStylePr w:type="firstRow">
      <w:rPr>
        <w:b/>
        <w:bCs/>
      </w:rPr>
    </w:tblStylePr>
    <w:tblStylePr w:type="lastRow">
      <w:rPr>
        <w:b/>
        <w:bCs/>
      </w:rPr>
      <w:tblPr/>
      <w:tcPr>
        <w:tcBorders>
          <w:top w:val="single" w:color="7BA0CD" w:themeColor="accent1" w:themeTint="BF" w:sz="18" w:space="0"/>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Ind w:w="0" w:type="dxa"/>
      <w:tbl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single" w:color="CF7B79" w:themeColor="accent2" w:themeTint="BF" w:sz="8" w:space="0"/>
        <w:insideV w:val="single" w:color="CF7B79" w:themeColor="accent2" w:themeTint="BF" w:sz="8" w:space="0"/>
      </w:tblBorders>
      <w:tblCellMar>
        <w:top w:w="0" w:type="dxa"/>
        <w:left w:w="108" w:type="dxa"/>
        <w:bottom w:w="0" w:type="dxa"/>
        <w:right w:w="108" w:type="dxa"/>
      </w:tblCellMar>
    </w:tblPr>
    <w:tcPr>
      <w:shd w:val="clear" w:color="auto" w:fill="EFD3D2" w:themeFill="accent2" w:themeFillTint="3F"/>
    </w:tcPr>
    <w:tblStylePr w:type="firstRow">
      <w:rPr>
        <w:b/>
        <w:bCs/>
      </w:rPr>
    </w:tblStylePr>
    <w:tblStylePr w:type="lastRow">
      <w:rPr>
        <w:b/>
        <w:bCs/>
      </w:rPr>
      <w:tblPr/>
      <w:tcPr>
        <w:tcBorders>
          <w:top w:val="single" w:color="CF7B79" w:themeColor="accent2" w:themeTint="BF" w:sz="18" w:space="0"/>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Ind w:w="0" w:type="dxa"/>
      <w:tblBorders>
        <w:top w:val="single" w:color="B3CC82" w:themeColor="accent3" w:themeTint="BF" w:sz="8" w:space="0"/>
        <w:left w:val="single" w:color="B3CC82" w:themeColor="accent3" w:themeTint="BF" w:sz="8" w:space="0"/>
        <w:bottom w:val="single" w:color="B3CC82" w:themeColor="accent3" w:themeTint="BF" w:sz="8" w:space="0"/>
        <w:right w:val="single" w:color="B3CC82" w:themeColor="accent3" w:themeTint="BF" w:sz="8" w:space="0"/>
        <w:insideH w:val="single" w:color="B3CC82" w:themeColor="accent3" w:themeTint="BF" w:sz="8" w:space="0"/>
        <w:insideV w:val="single" w:color="B3CC82" w:themeColor="accent3" w:themeTint="BF" w:sz="8" w:space="0"/>
      </w:tblBorders>
      <w:tblCellMar>
        <w:top w:w="0" w:type="dxa"/>
        <w:left w:w="108" w:type="dxa"/>
        <w:bottom w:w="0" w:type="dxa"/>
        <w:right w:w="108" w:type="dxa"/>
      </w:tblCellMar>
    </w:tblPr>
    <w:tcPr>
      <w:shd w:val="clear" w:color="auto" w:fill="E6EED5" w:themeFill="accent3" w:themeFillTint="3F"/>
    </w:tcPr>
    <w:tblStylePr w:type="firstRow">
      <w:rPr>
        <w:b/>
        <w:bCs/>
      </w:rPr>
    </w:tblStylePr>
    <w:tblStylePr w:type="lastRow">
      <w:rPr>
        <w:b/>
        <w:bCs/>
      </w:rPr>
      <w:tblPr/>
      <w:tcPr>
        <w:tcBorders>
          <w:top w:val="single" w:color="B3CC82" w:themeColor="accent3" w:themeTint="BF" w:sz="18" w:space="0"/>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Ind w:w="0" w:type="dxa"/>
      <w:tbl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single" w:color="9F8AB9" w:themeColor="accent4" w:themeTint="BF" w:sz="8" w:space="0"/>
        <w:insideV w:val="single" w:color="9F8AB9" w:themeColor="accent4" w:themeTint="BF" w:sz="8" w:space="0"/>
      </w:tblBorders>
      <w:tblCellMar>
        <w:top w:w="0" w:type="dxa"/>
        <w:left w:w="108" w:type="dxa"/>
        <w:bottom w:w="0" w:type="dxa"/>
        <w:right w:w="108" w:type="dxa"/>
      </w:tblCellMar>
    </w:tblPr>
    <w:tcPr>
      <w:shd w:val="clear" w:color="auto" w:fill="DFD8E8" w:themeFill="accent4" w:themeFillTint="3F"/>
    </w:tcPr>
    <w:tblStylePr w:type="firstRow">
      <w:rPr>
        <w:b/>
        <w:bCs/>
      </w:rPr>
    </w:tblStylePr>
    <w:tblStylePr w:type="lastRow">
      <w:rPr>
        <w:b/>
        <w:bCs/>
      </w:rPr>
      <w:tblPr/>
      <w:tcPr>
        <w:tcBorders>
          <w:top w:val="single" w:color="9F8AB9" w:themeColor="accent4" w:themeTint="BF" w:sz="18" w:space="0"/>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Ind w:w="0" w:type="dxa"/>
      <w:tbl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single" w:color="78C0D4" w:themeColor="accent5" w:themeTint="BF" w:sz="8" w:space="0"/>
        <w:insideV w:val="single" w:color="78C0D4" w:themeColor="accent5" w:themeTint="BF" w:sz="8" w:space="0"/>
      </w:tblBorders>
      <w:tblCellMar>
        <w:top w:w="0" w:type="dxa"/>
        <w:left w:w="108" w:type="dxa"/>
        <w:bottom w:w="0" w:type="dxa"/>
        <w:right w:w="108" w:type="dxa"/>
      </w:tblCellMar>
    </w:tblPr>
    <w:tcPr>
      <w:shd w:val="clear" w:color="auto" w:fill="D2EAF1" w:themeFill="accent5" w:themeFillTint="3F"/>
    </w:tcPr>
    <w:tblStylePr w:type="firstRow">
      <w:rPr>
        <w:b/>
        <w:bCs/>
      </w:rPr>
    </w:tblStylePr>
    <w:tblStylePr w:type="lastRow">
      <w:rPr>
        <w:b/>
        <w:bCs/>
      </w:rPr>
      <w:tblPr/>
      <w:tcPr>
        <w:tcBorders>
          <w:top w:val="single" w:color="78C0D4" w:themeColor="accent5" w:themeTint="BF" w:sz="18" w:space="0"/>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Ind w:w="0" w:type="dxa"/>
      <w:tbl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single" w:color="F9B074" w:themeColor="accent6" w:themeTint="BF" w:sz="8" w:space="0"/>
        <w:insideV w:val="single" w:color="F9B074" w:themeColor="accent6" w:themeTint="BF" w:sz="8" w:space="0"/>
      </w:tblBorders>
      <w:tblCellMar>
        <w:top w:w="0" w:type="dxa"/>
        <w:left w:w="108" w:type="dxa"/>
        <w:bottom w:w="0" w:type="dxa"/>
        <w:right w:w="108" w:type="dxa"/>
      </w:tblCellMar>
    </w:tblPr>
    <w:tcPr>
      <w:shd w:val="clear" w:color="auto" w:fill="FDE4D0" w:themeFill="accent6" w:themeFillTint="3F"/>
    </w:tcPr>
    <w:tblStylePr w:type="firstRow">
      <w:rPr>
        <w:b/>
        <w:bCs/>
      </w:rPr>
    </w:tblStylePr>
    <w:tblStylePr w:type="lastRow">
      <w:rPr>
        <w:b/>
        <w:bCs/>
      </w:rPr>
      <w:tblPr/>
      <w:tcPr>
        <w:tcBorders>
          <w:top w:val="single" w:color="F9B074" w:themeColor="accent6" w:themeTint="BF" w:sz="18" w:space="0"/>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CellMar>
        <w:top w:w="0" w:type="dxa"/>
        <w:left w:w="108" w:type="dxa"/>
        <w:bottom w:w="0" w:type="dxa"/>
        <w:right w:w="108" w:type="dxa"/>
      </w:tblCellMar>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color="000000" w:themeColor="text1" w:sz="6" w:space="0"/>
          <w:insideV w:val="single" w:color="000000" w:themeColor="text1" w:sz="6" w:space="0"/>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4F81BD" w:themeColor="accent1" w:sz="8" w:space="0"/>
        <w:left w:val="single" w:color="4F81BD" w:themeColor="accent1" w:sz="8" w:space="0"/>
        <w:bottom w:val="single" w:color="4F81BD" w:themeColor="accent1" w:sz="8" w:space="0"/>
        <w:right w:val="single" w:color="4F81BD" w:themeColor="accent1" w:sz="8" w:space="0"/>
        <w:insideH w:val="single" w:color="4F81BD" w:themeColor="accent1" w:sz="8" w:space="0"/>
        <w:insideV w:val="single" w:color="4F81BD" w:themeColor="accent1" w:sz="8" w:space="0"/>
      </w:tblBorders>
      <w:tblCellMar>
        <w:top w:w="0" w:type="dxa"/>
        <w:left w:w="108" w:type="dxa"/>
        <w:bottom w:w="0" w:type="dxa"/>
        <w:right w:w="108" w:type="dxa"/>
      </w:tblCellMar>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color="4F81BD" w:themeColor="accent1" w:sz="6" w:space="0"/>
          <w:insideV w:val="single" w:color="4F81BD" w:themeColor="accent1" w:sz="6" w:space="0"/>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C0504D" w:themeColor="accent2" w:sz="8" w:space="0"/>
        <w:left w:val="single" w:color="C0504D" w:themeColor="accent2" w:sz="8" w:space="0"/>
        <w:bottom w:val="single" w:color="C0504D" w:themeColor="accent2" w:sz="8" w:space="0"/>
        <w:right w:val="single" w:color="C0504D" w:themeColor="accent2" w:sz="8" w:space="0"/>
        <w:insideH w:val="single" w:color="C0504D" w:themeColor="accent2" w:sz="8" w:space="0"/>
        <w:insideV w:val="single" w:color="C0504D" w:themeColor="accent2" w:sz="8" w:space="0"/>
      </w:tblBorders>
      <w:tblCellMar>
        <w:top w:w="0" w:type="dxa"/>
        <w:left w:w="108" w:type="dxa"/>
        <w:bottom w:w="0" w:type="dxa"/>
        <w:right w:w="108" w:type="dxa"/>
      </w:tblCellMar>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color="C0504D" w:themeColor="accent2" w:sz="6" w:space="0"/>
          <w:insideV w:val="single" w:color="C0504D" w:themeColor="accent2" w:sz="6" w:space="0"/>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9BBB59" w:themeColor="accent3" w:sz="8" w:space="0"/>
        <w:left w:val="single" w:color="9BBB59" w:themeColor="accent3" w:sz="8" w:space="0"/>
        <w:bottom w:val="single" w:color="9BBB59" w:themeColor="accent3" w:sz="8" w:space="0"/>
        <w:right w:val="single" w:color="9BBB59" w:themeColor="accent3" w:sz="8" w:space="0"/>
        <w:insideH w:val="single" w:color="9BBB59" w:themeColor="accent3" w:sz="8" w:space="0"/>
        <w:insideV w:val="single" w:color="9BBB59" w:themeColor="accent3" w:sz="8" w:space="0"/>
      </w:tblBorders>
      <w:tblCellMar>
        <w:top w:w="0" w:type="dxa"/>
        <w:left w:w="108" w:type="dxa"/>
        <w:bottom w:w="0" w:type="dxa"/>
        <w:right w:w="108" w:type="dxa"/>
      </w:tblCellMar>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color="9BBB59" w:themeColor="accent3" w:sz="6" w:space="0"/>
          <w:insideV w:val="single" w:color="9BBB59" w:themeColor="accent3" w:sz="6" w:space="0"/>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8064A2" w:themeColor="accent4" w:sz="8" w:space="0"/>
        <w:left w:val="single" w:color="8064A2" w:themeColor="accent4" w:sz="8" w:space="0"/>
        <w:bottom w:val="single" w:color="8064A2" w:themeColor="accent4" w:sz="8" w:space="0"/>
        <w:right w:val="single" w:color="8064A2" w:themeColor="accent4" w:sz="8" w:space="0"/>
        <w:insideH w:val="single" w:color="8064A2" w:themeColor="accent4" w:sz="8" w:space="0"/>
        <w:insideV w:val="single" w:color="8064A2" w:themeColor="accent4" w:sz="8" w:space="0"/>
      </w:tblBorders>
      <w:tblCellMar>
        <w:top w:w="0" w:type="dxa"/>
        <w:left w:w="108" w:type="dxa"/>
        <w:bottom w:w="0" w:type="dxa"/>
        <w:right w:w="108" w:type="dxa"/>
      </w:tblCellMar>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color="8064A2" w:themeColor="accent4" w:sz="6" w:space="0"/>
          <w:insideV w:val="single" w:color="8064A2" w:themeColor="accent4" w:sz="6" w:space="0"/>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4BACC6" w:themeColor="accent5" w:sz="8" w:space="0"/>
        <w:left w:val="single" w:color="4BACC6" w:themeColor="accent5" w:sz="8" w:space="0"/>
        <w:bottom w:val="single" w:color="4BACC6" w:themeColor="accent5" w:sz="8" w:space="0"/>
        <w:right w:val="single" w:color="4BACC6" w:themeColor="accent5" w:sz="8" w:space="0"/>
        <w:insideH w:val="single" w:color="4BACC6" w:themeColor="accent5" w:sz="8" w:space="0"/>
        <w:insideV w:val="single" w:color="4BACC6" w:themeColor="accent5" w:sz="8" w:space="0"/>
      </w:tblBorders>
      <w:tblCellMar>
        <w:top w:w="0" w:type="dxa"/>
        <w:left w:w="108" w:type="dxa"/>
        <w:bottom w:w="0" w:type="dxa"/>
        <w:right w:w="108" w:type="dxa"/>
      </w:tblCellMar>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color="4BACC6" w:themeColor="accent5" w:sz="6" w:space="0"/>
          <w:insideV w:val="single" w:color="4BACC6" w:themeColor="accent5" w:sz="6" w:space="0"/>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F79646" w:themeColor="accent6" w:sz="8" w:space="0"/>
        <w:left w:val="single" w:color="F79646" w:themeColor="accent6" w:sz="8" w:space="0"/>
        <w:bottom w:val="single" w:color="F79646" w:themeColor="accent6" w:sz="8" w:space="0"/>
        <w:right w:val="single" w:color="F79646" w:themeColor="accent6" w:sz="8" w:space="0"/>
        <w:insideH w:val="single" w:color="F79646" w:themeColor="accent6" w:sz="8" w:space="0"/>
        <w:insideV w:val="single" w:color="F79646" w:themeColor="accent6" w:sz="8" w:space="0"/>
      </w:tblBorders>
      <w:tblCellMar>
        <w:top w:w="0" w:type="dxa"/>
        <w:left w:w="108" w:type="dxa"/>
        <w:bottom w:w="0" w:type="dxa"/>
        <w:right w:w="108" w:type="dxa"/>
      </w:tblCellMar>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color="F79646" w:themeColor="accent6" w:sz="6" w:space="0"/>
          <w:insideV w:val="single" w:color="F79646" w:themeColor="accent6" w:sz="6" w:space="0"/>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Ind w:w="0" w:type="dxa"/>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C0C0C0" w:themeFill="text1"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000000" w:themeFill="text1"/>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000000" w:themeFill="text1"/>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000000" w:themeFill="text1"/>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000000" w:themeFill="tex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808080" w:themeFill="tex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Ind w:w="0" w:type="dxa"/>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D3DFEE" w:themeFill="accent1"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4F81BD" w:themeFill="accent1"/>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4F81BD" w:themeFill="accent1"/>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4F81BD" w:themeFill="accent1"/>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4F81BD" w:themeFill="accen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A7BFDE" w:themeFill="accen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Ind w:w="0" w:type="dxa"/>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EFD3D2" w:themeFill="accent2"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C0504D" w:themeFill="accent2"/>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C0504D" w:themeFill="accent2"/>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C0504D" w:themeFill="accent2"/>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C0504D" w:themeFill="accent2"/>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DFA7A6" w:themeFill="accent2"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Ind w:w="0" w:type="dxa"/>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E6EED5" w:themeFill="accent3"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9BBB59" w:themeFill="accent3"/>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9BBB59" w:themeFill="accent3"/>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9BBB59" w:themeFill="accent3"/>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9BBB59" w:themeFill="accent3"/>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CDDDAC" w:themeFill="accent3"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Ind w:w="0" w:type="dxa"/>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DFD8E8" w:themeFill="accent4"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8064A2" w:themeFill="accent4"/>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8064A2" w:themeFill="accent4"/>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8064A2" w:themeFill="accent4"/>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8064A2" w:themeFill="accent4"/>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BFB1D0" w:themeFill="accent4"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Ind w:w="0" w:type="dxa"/>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D2EAF1" w:themeFill="accent5"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4BACC6" w:themeFill="accent5"/>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4BACC6" w:themeFill="accent5"/>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4BACC6" w:themeFill="accent5"/>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4BACC6" w:themeFill="accent5"/>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A5D5E2" w:themeFill="accent5"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Ind w:w="0" w:type="dxa"/>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FDE4D0" w:themeFill="accent6"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F79646" w:themeFill="accent6"/>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F79646" w:themeFill="accent6"/>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F79646" w:themeFill="accent6"/>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F79646" w:themeFill="accent6"/>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FBCAA2" w:themeFill="accent6"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000000" w:themeFill="tex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color="FFFFFF" w:themeColor="background1" w:sz="18" w:space="0"/>
          <w:insideH w:val="nil"/>
          <w:insideV w:val="nil"/>
        </w:tcBorders>
        <w:shd w:val="clear" w:color="auto" w:fill="000000" w:themeFill="text1" w:themeFillShade="BF"/>
      </w:tcPr>
    </w:tblStylePr>
    <w:tblStylePr w:type="lastCol">
      <w:tblPr/>
      <w:tcPr>
        <w:tcBorders>
          <w:top w:val="nil"/>
          <w:left w:val="single" w:color="FFFFFF" w:themeColor="background1" w:sz="18" w:space="0"/>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F81BD" w:themeFill="accen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color="FFFFFF" w:themeColor="background1" w:sz="18" w:space="0"/>
          <w:insideH w:val="nil"/>
          <w:insideV w:val="nil"/>
        </w:tcBorders>
        <w:shd w:val="clear" w:color="auto" w:fill="365F91" w:themeFill="accent1" w:themeFillShade="BF"/>
      </w:tcPr>
    </w:tblStylePr>
    <w:tblStylePr w:type="lastCol">
      <w:tblPr/>
      <w:tcPr>
        <w:tcBorders>
          <w:top w:val="nil"/>
          <w:left w:val="single" w:color="FFFFFF" w:themeColor="background1" w:sz="18" w:space="0"/>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C0504D" w:themeFill="accent2"/>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color="FFFFFF" w:themeColor="background1" w:sz="18" w:space="0"/>
          <w:insideH w:val="nil"/>
          <w:insideV w:val="nil"/>
        </w:tcBorders>
        <w:shd w:val="clear" w:color="auto" w:fill="943634" w:themeFill="accent2" w:themeFillShade="BF"/>
      </w:tcPr>
    </w:tblStylePr>
    <w:tblStylePr w:type="lastCol">
      <w:tblPr/>
      <w:tcPr>
        <w:tcBorders>
          <w:top w:val="nil"/>
          <w:left w:val="single" w:color="FFFFFF" w:themeColor="background1" w:sz="18" w:space="0"/>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9BBB59" w:themeFill="accent3"/>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color="FFFFFF" w:themeColor="background1" w:sz="18" w:space="0"/>
          <w:insideH w:val="nil"/>
          <w:insideV w:val="nil"/>
        </w:tcBorders>
        <w:shd w:val="clear" w:color="auto" w:fill="76923C" w:themeFill="accent3" w:themeFillShade="BF"/>
      </w:tcPr>
    </w:tblStylePr>
    <w:tblStylePr w:type="lastCol">
      <w:tblPr/>
      <w:tcPr>
        <w:tcBorders>
          <w:top w:val="nil"/>
          <w:left w:val="single" w:color="FFFFFF" w:themeColor="background1" w:sz="18" w:space="0"/>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8064A2" w:themeFill="accent4"/>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color="FFFFFF" w:themeColor="background1" w:sz="18" w:space="0"/>
          <w:insideH w:val="nil"/>
          <w:insideV w:val="nil"/>
        </w:tcBorders>
        <w:shd w:val="clear" w:color="auto" w:fill="5F497A" w:themeFill="accent4" w:themeFillShade="BF"/>
      </w:tcPr>
    </w:tblStylePr>
    <w:tblStylePr w:type="lastCol">
      <w:tblPr/>
      <w:tcPr>
        <w:tcBorders>
          <w:top w:val="nil"/>
          <w:left w:val="single" w:color="FFFFFF" w:themeColor="background1" w:sz="18" w:space="0"/>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BACC6" w:themeFill="accent5"/>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color="FFFFFF" w:themeColor="background1" w:sz="18" w:space="0"/>
          <w:insideH w:val="nil"/>
          <w:insideV w:val="nil"/>
        </w:tcBorders>
        <w:shd w:val="clear" w:color="auto" w:fill="31849B" w:themeFill="accent5" w:themeFillShade="BF"/>
      </w:tcPr>
    </w:tblStylePr>
    <w:tblStylePr w:type="lastCol">
      <w:tblPr/>
      <w:tcPr>
        <w:tcBorders>
          <w:top w:val="nil"/>
          <w:left w:val="single" w:color="FFFFFF" w:themeColor="background1" w:sz="18" w:space="0"/>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F79646" w:themeFill="accent6"/>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color="FFFFFF" w:themeColor="background1" w:sz="18" w:space="0"/>
          <w:insideH w:val="nil"/>
          <w:insideV w:val="nil"/>
        </w:tcBorders>
        <w:shd w:val="clear" w:color="auto" w:fill="E36C0A" w:themeFill="accent6" w:themeFillShade="BF"/>
      </w:tcPr>
    </w:tblStylePr>
    <w:tblStylePr w:type="lastCol">
      <w:tblPr/>
      <w:tcPr>
        <w:tcBorders>
          <w:top w:val="nil"/>
          <w:left w:val="single" w:color="FFFFFF" w:themeColor="background1" w:sz="18" w:space="0"/>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Ind w:w="0" w:type="dxa"/>
      <w:tblBorders>
        <w:top w:val="single" w:color="C0504D" w:themeColor="accent2" w:sz="24" w:space="0"/>
        <w:left w:val="single" w:color="000000" w:themeColor="text1" w:sz="4" w:space="0"/>
        <w:bottom w:val="single" w:color="000000" w:themeColor="text1" w:sz="4" w:space="0"/>
        <w:right w:val="single" w:color="000000" w:themeColor="text1"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E6E6E6" w:themeFill="text1"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color="000000" w:themeColor="text1" w:themeShade="99" w:sz="4" w:space="0"/>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Ind w:w="0" w:type="dxa"/>
      <w:tblBorders>
        <w:top w:val="single" w:color="C0504D" w:themeColor="accent2" w:sz="24" w:space="0"/>
        <w:left w:val="single" w:color="4F81BD" w:themeColor="accent1" w:sz="4" w:space="0"/>
        <w:bottom w:val="single" w:color="4F81BD" w:themeColor="accent1" w:sz="4" w:space="0"/>
        <w:right w:val="single" w:color="4F81BD" w:themeColor="accent1"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EDF2F8" w:themeFill="accent1"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color="2C4C74" w:themeColor="accent1" w:themeShade="99" w:sz="4" w:space="0"/>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Ind w:w="0" w:type="dxa"/>
      <w:tblBorders>
        <w:top w:val="single" w:color="C0504D" w:themeColor="accent2" w:sz="24" w:space="0"/>
        <w:left w:val="single" w:color="C0504D" w:themeColor="accent2" w:sz="4" w:space="0"/>
        <w:bottom w:val="single" w:color="C0504D" w:themeColor="accent2" w:sz="4" w:space="0"/>
        <w:right w:val="single" w:color="C0504D" w:themeColor="accent2"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F8EDED" w:themeFill="accent2"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color="772C2A" w:themeColor="accent2" w:themeShade="99" w:sz="4" w:space="0"/>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Ind w:w="0" w:type="dxa"/>
      <w:tblBorders>
        <w:top w:val="single" w:color="8064A2" w:themeColor="accent4" w:sz="24" w:space="0"/>
        <w:left w:val="single" w:color="9BBB59" w:themeColor="accent3" w:sz="4" w:space="0"/>
        <w:bottom w:val="single" w:color="9BBB59" w:themeColor="accent3" w:sz="4" w:space="0"/>
        <w:right w:val="single" w:color="9BBB59" w:themeColor="accent3"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F5F8EE" w:themeFill="accent3" w:themeFillTint="19"/>
    </w:tcPr>
    <w:tblStylePr w:type="firstRow">
      <w:rPr>
        <w:b/>
        <w:bCs/>
      </w:rPr>
      <w:tblPr/>
      <w:tcPr>
        <w:tcBorders>
          <w:top w:val="nil"/>
          <w:left w:val="nil"/>
          <w:bottom w:val="single" w:color="8064A2" w:themeColor="accent4"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color="5E7530" w:themeColor="accent3" w:themeShade="99" w:sz="4" w:space="0"/>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Ind w:w="0" w:type="dxa"/>
      <w:tblBorders>
        <w:top w:val="single" w:color="9BBB59" w:themeColor="accent3" w:sz="24" w:space="0"/>
        <w:left w:val="single" w:color="8064A2" w:themeColor="accent4" w:sz="4" w:space="0"/>
        <w:bottom w:val="single" w:color="8064A2" w:themeColor="accent4" w:sz="4" w:space="0"/>
        <w:right w:val="single" w:color="8064A2" w:themeColor="accent4"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F2EFF6" w:themeFill="accent4" w:themeFillTint="19"/>
    </w:tcPr>
    <w:tblStylePr w:type="firstRow">
      <w:rPr>
        <w:b/>
        <w:bCs/>
      </w:rPr>
      <w:tblPr/>
      <w:tcPr>
        <w:tcBorders>
          <w:top w:val="nil"/>
          <w:left w:val="nil"/>
          <w:bottom w:val="single" w:color="9BBB59" w:themeColor="accent3"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color="4C3B62" w:themeColor="accent4" w:themeShade="99" w:sz="4" w:space="0"/>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Ind w:w="0" w:type="dxa"/>
      <w:tblBorders>
        <w:top w:val="single" w:color="F79646" w:themeColor="accent6" w:sz="24" w:space="0"/>
        <w:left w:val="single" w:color="4BACC6" w:themeColor="accent5" w:sz="4" w:space="0"/>
        <w:bottom w:val="single" w:color="4BACC6" w:themeColor="accent5" w:sz="4" w:space="0"/>
        <w:right w:val="single" w:color="4BACC6" w:themeColor="accent5"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EDF6F9" w:themeFill="accent5" w:themeFillTint="19"/>
    </w:tcPr>
    <w:tblStylePr w:type="firstRow">
      <w:rPr>
        <w:b/>
        <w:bCs/>
      </w:rPr>
      <w:tblPr/>
      <w:tcPr>
        <w:tcBorders>
          <w:top w:val="nil"/>
          <w:left w:val="nil"/>
          <w:bottom w:val="single" w:color="F79646" w:themeColor="accent6"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color="276A7C" w:themeColor="accent5" w:themeShade="99" w:sz="4" w:space="0"/>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Ind w:w="0" w:type="dxa"/>
      <w:tblBorders>
        <w:top w:val="single" w:color="4BACC6" w:themeColor="accent5" w:sz="24" w:space="0"/>
        <w:left w:val="single" w:color="F79646" w:themeColor="accent6" w:sz="4" w:space="0"/>
        <w:bottom w:val="single" w:color="F79646" w:themeColor="accent6" w:sz="4" w:space="0"/>
        <w:right w:val="single" w:color="F79646" w:themeColor="accent6"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FEF4EC" w:themeFill="accent6" w:themeFillTint="19"/>
    </w:tcPr>
    <w:tblStylePr w:type="firstRow">
      <w:rPr>
        <w:b/>
        <w:bCs/>
      </w:rPr>
      <w:tblPr/>
      <w:tcPr>
        <w:tcBorders>
          <w:top w:val="nil"/>
          <w:left w:val="nil"/>
          <w:bottom w:val="single" w:color="4BACC6" w:themeColor="accent5"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color="B65608" w:themeColor="accent6" w:themeShade="99" w:sz="4" w:space="0"/>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6E6E6" w:themeFill="text1" w:themeFillTint="19"/>
    </w:tcPr>
    <w:tblStylePr w:type="firstRow">
      <w:rPr>
        <w:b/>
        <w:bCs/>
        <w:color w:val="FFFFFF" w:themeColor="background1"/>
      </w:rPr>
      <w:tblPr/>
      <w:tcPr>
        <w:tcBorders>
          <w:bottom w:val="single" w:color="FFFFFF" w:themeColor="background1" w:sz="12" w:space="0"/>
        </w:tcBorders>
        <w:shd w:val="clear" w:color="auto" w:fill="9E3A38" w:themeFill="accent2" w:themeFillShade="CC"/>
      </w:tcPr>
    </w:tblStylePr>
    <w:tblStylePr w:type="lastRow">
      <w:rPr>
        <w:b/>
        <w:bCs/>
        <w:color w:val="9E3A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2F8" w:themeFill="accent1" w:themeFillTint="19"/>
    </w:tcPr>
    <w:tblStylePr w:type="firstRow">
      <w:rPr>
        <w:b/>
        <w:bCs/>
        <w:color w:val="FFFFFF" w:themeColor="background1"/>
      </w:rPr>
      <w:tblPr/>
      <w:tcPr>
        <w:tcBorders>
          <w:bottom w:val="single" w:color="FFFFFF" w:themeColor="background1" w:sz="12" w:space="0"/>
        </w:tcBorders>
        <w:shd w:val="clear" w:color="auto" w:fill="9E3A38" w:themeFill="accent2" w:themeFillShade="CC"/>
      </w:tcPr>
    </w:tblStylePr>
    <w:tblStylePr w:type="lastRow">
      <w:rPr>
        <w:b/>
        <w:bCs/>
        <w:color w:val="9E3A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8EDED" w:themeFill="accent2" w:themeFillTint="19"/>
    </w:tcPr>
    <w:tblStylePr w:type="firstRow">
      <w:rPr>
        <w:b/>
        <w:bCs/>
        <w:color w:val="FFFFFF" w:themeColor="background1"/>
      </w:rPr>
      <w:tblPr/>
      <w:tcPr>
        <w:tcBorders>
          <w:bottom w:val="single" w:color="FFFFFF" w:themeColor="background1" w:sz="12" w:space="0"/>
        </w:tcBorders>
        <w:shd w:val="clear" w:color="auto" w:fill="9E3A38" w:themeFill="accent2" w:themeFillShade="CC"/>
      </w:tcPr>
    </w:tblStylePr>
    <w:tblStylePr w:type="lastRow">
      <w:rPr>
        <w:b/>
        <w:bCs/>
        <w:color w:val="9E3A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5F8EE" w:themeFill="accent3" w:themeFillTint="19"/>
    </w:tcPr>
    <w:tblStylePr w:type="firstRow">
      <w:rPr>
        <w:b/>
        <w:bCs/>
        <w:color w:val="FFFFFF" w:themeColor="background1"/>
      </w:rPr>
      <w:tblPr/>
      <w:tcPr>
        <w:tcBorders>
          <w:bottom w:val="single" w:color="FFFFFF" w:themeColor="background1" w:sz="12" w:space="0"/>
        </w:tcBorders>
        <w:shd w:val="clear" w:color="auto" w:fill="664E82" w:themeFill="accent4" w:themeFillShade="CC"/>
      </w:tcPr>
    </w:tblStylePr>
    <w:tblStylePr w:type="lastRow">
      <w:rPr>
        <w:b/>
        <w:bCs/>
        <w:color w:val="664E82" w:themeColor="accent4"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2EFF6" w:themeFill="accent4" w:themeFillTint="19"/>
    </w:tcPr>
    <w:tblStylePr w:type="firstRow">
      <w:rPr>
        <w:b/>
        <w:bCs/>
        <w:color w:val="FFFFFF" w:themeColor="background1"/>
      </w:rPr>
      <w:tblPr/>
      <w:tcPr>
        <w:tcBorders>
          <w:bottom w:val="single" w:color="FFFFFF" w:themeColor="background1" w:sz="12" w:space="0"/>
        </w:tcBorders>
        <w:shd w:val="clear" w:color="auto" w:fill="7E9C40" w:themeFill="accent3" w:themeFillShade="CC"/>
      </w:tcPr>
    </w:tblStylePr>
    <w:tblStylePr w:type="lastRow">
      <w:rPr>
        <w:b/>
        <w:bCs/>
        <w:color w:val="7E9C40" w:themeColor="accent3"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6F9" w:themeFill="accent5" w:themeFillTint="19"/>
    </w:tcPr>
    <w:tblStylePr w:type="firstRow">
      <w:rPr>
        <w:b/>
        <w:bCs/>
        <w:color w:val="FFFFFF" w:themeColor="background1"/>
      </w:rPr>
      <w:tblPr/>
      <w:tcPr>
        <w:tcBorders>
          <w:bottom w:val="single" w:color="FFFFFF" w:themeColor="background1" w:sz="12" w:space="0"/>
        </w:tcBorders>
        <w:shd w:val="clear" w:color="auto" w:fill="F2730A" w:themeFill="accent6" w:themeFillShade="CC"/>
      </w:tcPr>
    </w:tblStylePr>
    <w:tblStylePr w:type="lastRow">
      <w:rPr>
        <w:b/>
        <w:bCs/>
        <w:color w:val="F2730A" w:themeColor="accent6"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EF4EC" w:themeFill="accent6" w:themeFillTint="19"/>
    </w:tcPr>
    <w:tblStylePr w:type="firstRow">
      <w:rPr>
        <w:b/>
        <w:bCs/>
        <w:color w:val="FFFFFF" w:themeColor="background1"/>
      </w:rPr>
      <w:tblPr/>
      <w:tcPr>
        <w:tcBorders>
          <w:bottom w:val="single" w:color="FFFFFF" w:themeColor="background1" w:sz="12" w:space="0"/>
        </w:tcBorders>
        <w:shd w:val="clear" w:color="auto" w:fill="348DA5" w:themeFill="accent5" w:themeFillShade="CC"/>
      </w:tcPr>
    </w:tblStylePr>
    <w:tblStylePr w:type="lastRow">
      <w:rPr>
        <w:b/>
        <w:bCs/>
        <w:color w:val="348DA5" w:themeColor="accent5"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Ind w:w="0" w:type="dxa"/>
      <w:tblBorders>
        <w:insideH w:val="single" w:color="FFFFFF" w:themeColor="background1" w:sz="4" w:space="0"/>
      </w:tblBorders>
      <w:tblCellMar>
        <w:top w:w="0" w:type="dxa"/>
        <w:left w:w="108" w:type="dxa"/>
        <w:bottom w:w="0" w:type="dxa"/>
        <w:right w:w="108" w:type="dxa"/>
      </w:tblCellMar>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Ind w:w="0" w:type="dxa"/>
      <w:tblBorders>
        <w:insideH w:val="single" w:color="FFFFFF" w:themeColor="background1" w:sz="4" w:space="0"/>
      </w:tblBorders>
      <w:tblCellMar>
        <w:top w:w="0" w:type="dxa"/>
        <w:left w:w="108" w:type="dxa"/>
        <w:bottom w:w="0" w:type="dxa"/>
        <w:right w:w="108" w:type="dxa"/>
      </w:tblCellMar>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Ind w:w="0" w:type="dxa"/>
      <w:tblBorders>
        <w:insideH w:val="single" w:color="FFFFFF" w:themeColor="background1" w:sz="4" w:space="0"/>
      </w:tblBorders>
      <w:tblCellMar>
        <w:top w:w="0" w:type="dxa"/>
        <w:left w:w="108" w:type="dxa"/>
        <w:bottom w:w="0" w:type="dxa"/>
        <w:right w:w="108" w:type="dxa"/>
      </w:tblCellMar>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Ind w:w="0" w:type="dxa"/>
      <w:tblBorders>
        <w:insideH w:val="single" w:color="FFFFFF" w:themeColor="background1" w:sz="4" w:space="0"/>
      </w:tblBorders>
      <w:tblCellMar>
        <w:top w:w="0" w:type="dxa"/>
        <w:left w:w="108" w:type="dxa"/>
        <w:bottom w:w="0" w:type="dxa"/>
        <w:right w:w="108" w:type="dxa"/>
      </w:tblCellMar>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Ind w:w="0" w:type="dxa"/>
      <w:tblBorders>
        <w:insideH w:val="single" w:color="FFFFFF" w:themeColor="background1" w:sz="4" w:space="0"/>
      </w:tblBorders>
      <w:tblCellMar>
        <w:top w:w="0" w:type="dxa"/>
        <w:left w:w="108" w:type="dxa"/>
        <w:bottom w:w="0" w:type="dxa"/>
        <w:right w:w="108" w:type="dxa"/>
      </w:tblCellMar>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Ind w:w="0" w:type="dxa"/>
      <w:tblBorders>
        <w:insideH w:val="single" w:color="FFFFFF" w:themeColor="background1" w:sz="4" w:space="0"/>
      </w:tblBorders>
      <w:tblCellMar>
        <w:top w:w="0" w:type="dxa"/>
        <w:left w:w="108" w:type="dxa"/>
        <w:bottom w:w="0" w:type="dxa"/>
        <w:right w:w="108" w:type="dxa"/>
      </w:tblCellMar>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Ind w:w="0" w:type="dxa"/>
      <w:tblBorders>
        <w:insideH w:val="single" w:color="FFFFFF" w:themeColor="background1" w:sz="4" w:space="0"/>
      </w:tblBorders>
      <w:tblCellMar>
        <w:top w:w="0" w:type="dxa"/>
        <w:left w:w="108" w:type="dxa"/>
        <w:bottom w:w="0" w:type="dxa"/>
        <w:right w:w="108" w:type="dxa"/>
      </w:tblCellMar>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CellMar>
        <w:top w:w="0" w:type="dxa"/>
        <w:left w:w="108" w:type="dxa"/>
        <w:bottom w:w="0" w:type="dxa"/>
        <w:right w:w="108" w:type="dxa"/>
      </w:tblCellMar>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CellMar>
        <w:top w:w="0" w:type="dxa"/>
        <w:left w:w="108" w:type="dxa"/>
        <w:bottom w:w="0" w:type="dxa"/>
        <w:right w:w="108" w:type="dxa"/>
      </w:tblCellMar>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CellMar>
        <w:top w:w="0" w:type="dxa"/>
        <w:left w:w="108" w:type="dxa"/>
        <w:bottom w:w="0" w:type="dxa"/>
        <w:right w:w="108" w:type="dxa"/>
      </w:tblCellMar>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CellMar>
        <w:top w:w="0" w:type="dxa"/>
        <w:left w:w="108" w:type="dxa"/>
        <w:bottom w:w="0" w:type="dxa"/>
        <w:right w:w="108" w:type="dxa"/>
      </w:tblCellMar>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CellMar>
        <w:top w:w="0" w:type="dxa"/>
        <w:left w:w="108" w:type="dxa"/>
        <w:bottom w:w="0" w:type="dxa"/>
        <w:right w:w="108" w:type="dxa"/>
      </w:tblCellMar>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CellMar>
        <w:top w:w="0" w:type="dxa"/>
        <w:left w:w="108" w:type="dxa"/>
        <w:bottom w:w="0" w:type="dxa"/>
        <w:right w:w="108" w:type="dxa"/>
      </w:tblCellMar>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CellMar>
        <w:top w:w="0" w:type="dxa"/>
        <w:left w:w="108" w:type="dxa"/>
        <w:bottom w:w="0" w:type="dxa"/>
        <w:right w:w="108" w:type="dxa"/>
      </w:tblCellMar>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&#65279;<?xml version="1.0" encoding="utf-8"?><Relationships xmlns="http://schemas.openxmlformats.org/package/2006/relationships"><Relationship Type="http://schemas.openxmlformats.org/officeDocument/2006/relationships/styles" Target="styles.xml" Id="rId3" /><Relationship Type="http://schemas.microsoft.com/office/2007/relationships/stylesWithEffects" Target="stylesWithEffects.xml" Id="rId4" /><Relationship Type="http://schemas.openxmlformats.org/officeDocument/2006/relationships/settings" Target="settings.xml" Id="rId5" /><Relationship Type="http://schemas.openxmlformats.org/officeDocument/2006/relationships/webSettings" Target="webSettings.xml" Id="rId6" /><Relationship Type="http://schemas.openxmlformats.org/officeDocument/2006/relationships/fontTable" Target="fontTable.xml" Id="rId7" /><Relationship Type="http://schemas.openxmlformats.org/officeDocument/2006/relationships/theme" Target="theme/theme1.xml" Id="rId8" /><Relationship Type="http://schemas.openxmlformats.org/officeDocument/2006/relationships/customXml" Target="../customXml/item1.xml" Id="rId1" /><Relationship Type="http://schemas.openxmlformats.org/officeDocument/2006/relationships/numbering" Target="numbering.xml" Id="rId2" /><Relationship Type="http://schemas.openxmlformats.org/officeDocument/2006/relationships/footer" Target="footer1.xml" Id="rId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Manager/>
  <ap:Company/>
  <ap:SharedDoc>false</ap:SharedDoc>
  <ap:HyperlinkBase/>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python-docx</dc:creator>
  <keywords/>
  <dc:description>generated by python-docx</dc:description>
  <lastModifiedBy>Daniel Naica</lastModifiedBy>
  <revision>2</revision>
  <dcterms:created xsi:type="dcterms:W3CDTF">2013-12-23T23:15:00.0000000Z</dcterms:created>
  <dcterms:modified xsi:type="dcterms:W3CDTF">2025-12-12T18:29:59.5439774Z</dcterms:modified>
  <category/>
</coreProperties>
</file>