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BC25DE" w:rsidRPr="00CD33A8" w:rsidRDefault="00074402" w:rsidP="00CD33A8">
      <w:pPr>
        <w:rPr>
          <w:rFonts w:asciiTheme="minorBidi" w:hAnsiTheme="minorBidi"/>
        </w:rPr>
      </w:pPr>
      <w:r w:rsidRPr="00CD33A8">
        <w:rPr>
          <w:rFonts w:asciiTheme="minorBidi" w:hAnsiTheme="minorBidi"/>
          <w:noProof/>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A59AABF" w14:textId="77777777" w:rsidR="00B5397C" w:rsidRDefault="00B5397C">
      <w:pPr>
        <w:spacing w:after="0"/>
      </w:pPr>
    </w:p>
    <w:p w14:paraId="5CF84C15" w14:textId="77777777" w:rsidR="00B5397C" w:rsidRDefault="00B5397C">
      <w:pPr>
        <w:spacing w:after="0"/>
      </w:pPr>
    </w:p>
    <w:p w14:paraId="3C8BB4A5" w14:textId="77777777" w:rsidR="00B5397C" w:rsidRDefault="00B5397C">
      <w:pPr>
        <w:spacing w:after="0"/>
      </w:pPr>
    </w:p>
    <w:p w14:paraId="569DF0D0" w14:textId="77777777" w:rsidR="00B5397C" w:rsidRDefault="00B5397C">
      <w:pPr>
        <w:spacing w:after="0"/>
      </w:pPr>
    </w:p>
    <w:p w14:paraId="042C315C" w14:textId="77777777" w:rsidR="00B5397C" w:rsidRDefault="00B5397C">
      <w:pPr>
        <w:spacing w:after="0"/>
      </w:pPr>
    </w:p>
    <w:p w14:paraId="2E6E4913" w14:textId="77777777" w:rsidR="00B5397C" w:rsidRDefault="00000000">
      <w:pPr>
        <w:spacing w:after="160"/>
      </w:pPr>
      <w:r>
        <w:rPr>
          <w:b/>
          <w:sz w:val="28"/>
        </w:rPr>
        <w:t xml:space="preserve">Module name: </w:t>
      </w:r>
      <w:r>
        <w:rPr>
          <w:sz w:val="28"/>
        </w:rPr>
        <w:t>Introduction to Health and Social Care</w:t>
      </w:r>
    </w:p>
    <w:p w14:paraId="57F62FA6" w14:textId="77777777" w:rsidR="00B5397C" w:rsidRDefault="00000000">
      <w:pPr>
        <w:spacing w:after="160"/>
      </w:pPr>
      <w:r>
        <w:rPr>
          <w:b/>
          <w:sz w:val="28"/>
        </w:rPr>
        <w:t xml:space="preserve">Module code: </w:t>
      </w:r>
      <w:r>
        <w:rPr>
          <w:sz w:val="28"/>
        </w:rPr>
        <w:t>LCHS4003</w:t>
      </w:r>
    </w:p>
    <w:p w14:paraId="1A8ED3AA" w14:textId="77777777" w:rsidR="00B5397C" w:rsidRDefault="00B5397C">
      <w:pPr>
        <w:spacing w:after="160"/>
      </w:pPr>
    </w:p>
    <w:p w14:paraId="745AEADC" w14:textId="77777777" w:rsidR="00B5397C" w:rsidRDefault="00000000">
      <w:pPr>
        <w:spacing w:after="160"/>
      </w:pPr>
      <w:r>
        <w:rPr>
          <w:b/>
          <w:sz w:val="28"/>
        </w:rPr>
        <w:t xml:space="preserve">Student name: </w:t>
      </w:r>
      <w:r>
        <w:rPr>
          <w:sz w:val="28"/>
        </w:rPr>
        <w:t>Jaime Luis Torres Hernandez</w:t>
      </w:r>
    </w:p>
    <w:p w14:paraId="5EF0EC69" w14:textId="77777777" w:rsidR="00B5397C" w:rsidRDefault="00000000">
      <w:pPr>
        <w:spacing w:after="160"/>
      </w:pPr>
      <w:r>
        <w:rPr>
          <w:b/>
          <w:sz w:val="28"/>
        </w:rPr>
        <w:t xml:space="preserve">Student ID: </w:t>
      </w:r>
      <w:r>
        <w:rPr>
          <w:sz w:val="28"/>
        </w:rPr>
        <w:t>2526991</w:t>
      </w:r>
    </w:p>
    <w:p w14:paraId="5BAA66F6" w14:textId="77777777" w:rsidR="00B5397C" w:rsidRDefault="00B5397C">
      <w:pPr>
        <w:spacing w:after="160"/>
      </w:pPr>
    </w:p>
    <w:p w14:paraId="333CDE02" w14:textId="77777777" w:rsidR="00B5397C" w:rsidRDefault="00000000">
      <w:pPr>
        <w:spacing w:after="160"/>
      </w:pPr>
      <w:r>
        <w:rPr>
          <w:b/>
          <w:sz w:val="28"/>
        </w:rPr>
        <w:t xml:space="preserve">Lecturer's name: </w:t>
      </w:r>
      <w:r>
        <w:rPr>
          <w:sz w:val="28"/>
        </w:rPr>
        <w:t>Muhammad Aliyu</w:t>
      </w:r>
    </w:p>
    <w:p w14:paraId="411DC91F" w14:textId="77777777" w:rsidR="00B5397C" w:rsidRDefault="00000000">
      <w:pPr>
        <w:spacing w:after="160"/>
      </w:pPr>
      <w:r>
        <w:rPr>
          <w:b/>
          <w:sz w:val="28"/>
        </w:rPr>
        <w:t xml:space="preserve">Programme: </w:t>
      </w:r>
      <w:r>
        <w:rPr>
          <w:sz w:val="28"/>
        </w:rPr>
        <w:t>Certificate of Higher Education Skills for the Workplace (Health &amp; Social Care)</w:t>
      </w:r>
    </w:p>
    <w:p w14:paraId="2EB96E4C" w14:textId="77777777" w:rsidR="00B5397C" w:rsidRDefault="00000000">
      <w:pPr>
        <w:spacing w:after="160"/>
      </w:pPr>
      <w:r>
        <w:rPr>
          <w:b/>
          <w:sz w:val="28"/>
        </w:rPr>
        <w:t xml:space="preserve">Assignment title: </w:t>
      </w:r>
      <w:r>
        <w:rPr>
          <w:sz w:val="28"/>
        </w:rPr>
        <w:t>Component 2 - Written Assignment: Case Study of Mrs Thompson</w:t>
      </w:r>
    </w:p>
    <w:p w14:paraId="3360191B" w14:textId="77777777" w:rsidR="00B5397C" w:rsidRDefault="00000000">
      <w:r>
        <w:br w:type="page"/>
      </w:r>
    </w:p>
    <w:p w14:paraId="08AFF51B" w14:textId="77777777" w:rsidR="00B5397C" w:rsidRDefault="00000000">
      <w:pPr>
        <w:pStyle w:val="Heading1"/>
        <w:jc w:val="center"/>
      </w:pPr>
      <w:r>
        <w:lastRenderedPageBreak/>
        <w:t>Table of contents</w:t>
      </w:r>
    </w:p>
    <w:p w14:paraId="615ACD8C" w14:textId="77777777" w:rsidR="00B5397C" w:rsidRDefault="00B5397C"/>
    <w:p w14:paraId="738C4B4C" w14:textId="77777777" w:rsidR="00B5397C" w:rsidRDefault="00B5397C"/>
    <w:p w14:paraId="6831A1D6" w14:textId="77777777" w:rsidR="00B5397C" w:rsidRDefault="00000000">
      <w:pPr>
        <w:tabs>
          <w:tab w:val="right" w:leader="dot" w:pos="9071"/>
        </w:tabs>
        <w:spacing w:after="60"/>
      </w:pPr>
      <w:r>
        <w:t>1. Introduction</w:t>
      </w:r>
      <w:r>
        <w:tab/>
        <w:t>3</w:t>
      </w:r>
    </w:p>
    <w:p w14:paraId="531A7911" w14:textId="77777777" w:rsidR="00B5397C" w:rsidRDefault="00000000">
      <w:pPr>
        <w:tabs>
          <w:tab w:val="right" w:leader="dot" w:pos="9071"/>
        </w:tabs>
        <w:spacing w:after="60"/>
      </w:pPr>
      <w:r>
        <w:t>2. Importance of effective communication</w:t>
      </w:r>
      <w:r>
        <w:tab/>
        <w:t>3</w:t>
      </w:r>
    </w:p>
    <w:p w14:paraId="39A3515A" w14:textId="77777777" w:rsidR="00B5397C" w:rsidRDefault="00000000">
      <w:pPr>
        <w:tabs>
          <w:tab w:val="right" w:leader="dot" w:pos="9071"/>
        </w:tabs>
        <w:spacing w:after="60"/>
      </w:pPr>
      <w:r>
        <w:t>3. Importance of good administrative skills</w:t>
      </w:r>
      <w:r>
        <w:tab/>
        <w:t>4</w:t>
      </w:r>
    </w:p>
    <w:p w14:paraId="4974AACF" w14:textId="77777777" w:rsidR="00B5397C" w:rsidRDefault="00000000">
      <w:pPr>
        <w:tabs>
          <w:tab w:val="right" w:leader="dot" w:pos="9071"/>
        </w:tabs>
        <w:spacing w:after="60"/>
      </w:pPr>
      <w:r>
        <w:t>4. Importance of working collaboratively</w:t>
      </w:r>
      <w:r>
        <w:tab/>
        <w:t>5</w:t>
      </w:r>
    </w:p>
    <w:p w14:paraId="1BC99B1F" w14:textId="77777777" w:rsidR="00B5397C" w:rsidRDefault="00000000">
      <w:pPr>
        <w:tabs>
          <w:tab w:val="right" w:leader="dot" w:pos="9071"/>
        </w:tabs>
        <w:spacing w:after="60"/>
      </w:pPr>
      <w:r>
        <w:t>5. Conclusion</w:t>
      </w:r>
      <w:r>
        <w:tab/>
        <w:t>6</w:t>
      </w:r>
    </w:p>
    <w:p w14:paraId="2050B886" w14:textId="77777777" w:rsidR="00B5397C" w:rsidRDefault="00000000">
      <w:pPr>
        <w:tabs>
          <w:tab w:val="right" w:leader="dot" w:pos="9071"/>
        </w:tabs>
        <w:spacing w:after="60"/>
      </w:pPr>
      <w:r>
        <w:t>References</w:t>
      </w:r>
      <w:r>
        <w:tab/>
        <w:t>7</w:t>
      </w:r>
    </w:p>
    <w:p w14:paraId="53C3B25D" w14:textId="77777777" w:rsidR="00B5397C" w:rsidRDefault="00000000">
      <w:r>
        <w:br w:type="page"/>
      </w:r>
    </w:p>
    <w:p w14:paraId="159E70C8" w14:textId="77777777" w:rsidR="00B5397C" w:rsidRDefault="00000000">
      <w:pPr>
        <w:pStyle w:val="Heading1"/>
      </w:pPr>
      <w:r>
        <w:lastRenderedPageBreak/>
        <w:t>1. Introduction</w:t>
      </w:r>
    </w:p>
    <w:p w14:paraId="7A5957B5" w14:textId="77777777" w:rsidR="00B5397C" w:rsidRDefault="00000000">
      <w:pPr>
        <w:jc w:val="both"/>
      </w:pPr>
      <w:r>
        <w:t>Mrs Thompson is an 84-year-old woman who has recently returned home after hospital treatment for pneumonia. She lives alone in sheltered housing, receives domiciliary care twice daily and has mild dementia. Two recent events suggest that her current support may not be fully meeting her needs: she missed two days of medication and became more confused, and she was later found outside in cold weather without suitable clothing. These incidents raise questions about communication, medication safety, record keeping and coordination between services after discharge. This report examines three areas of practice in relation to Mrs Thompson: effective communication, administrative and record-keeping skills, and collaborative working. Relevant legislation, policy and current research are applied to the case to show how safer, person-centred care could be provided while still respecting her independence, dignity, confidentiality and right to participate in decisions about her own life. The discussion also considers how these areas influence continuity of care.</w:t>
      </w:r>
    </w:p>
    <w:p w14:paraId="5086BDA7" w14:textId="77777777" w:rsidR="00B5397C" w:rsidRDefault="00000000">
      <w:pPr>
        <w:pStyle w:val="Heading1"/>
      </w:pPr>
      <w:r>
        <w:t>2. Importance of effective communication</w:t>
      </w:r>
    </w:p>
    <w:p w14:paraId="5C269618" w14:textId="77777777" w:rsidR="00B5397C" w:rsidRDefault="00000000">
      <w:pPr>
        <w:jc w:val="both"/>
      </w:pPr>
      <w:r>
        <w:t>Effective communication is important because Mrs Thompson needs to understand information about her medicines, health and safety, while professionals need to understand her wishes and notice changes in her condition. Dementia can affect memory, attention and understanding, but these difficulties vary and do not remove a person's right to be involved. Recent evidence suggests that personalised dementia communication works best when professionals understand the person and their context, combine verbal and non-verbal techniques and use external aids where helpful (</w:t>
      </w:r>
      <w:proofErr w:type="spellStart"/>
      <w:r>
        <w:t>Sunjaya</w:t>
      </w:r>
      <w:proofErr w:type="spellEnd"/>
      <w:r>
        <w:t xml:space="preserve"> et al., 2025). Staff should therefore approach Mrs Thompson calmly, use short and clear sentences, discuss one issue at a time and allow enough time for her to answer. Written reminders or visual prompts may support what has been explained verbally. The National Institute for Health and Care Excellence [NICE] (2018) similarly recommends enabling people with dementia to give their own views and using modified communication when needed.</w:t>
      </w:r>
    </w:p>
    <w:p w14:paraId="4F58FC2C" w14:textId="77777777" w:rsidR="00B5397C" w:rsidRDefault="00000000">
      <w:pPr>
        <w:jc w:val="both"/>
      </w:pPr>
      <w:r>
        <w:t>The SOLER model provides a practical framework for face-to-face communication. It encourages an appropriate sitting position, open posture, leaning towards the person when suitable, appropriate eye contact and a relaxed manner (Egan, 2014). Applied to Mrs Thompson, this can help a carer show attention when discussing missed medication or asking about the incident outside. However, SOLER should not be used mechanically. Eye contact, personal distance and posture should reflect her preferences and culture. Pepper and Harrison Dening (2023) also emphasise that person-centred dementia communication requires both verbal and non-verbal approaches.</w:t>
      </w:r>
    </w:p>
    <w:p w14:paraId="23CEFB94" w14:textId="77777777" w:rsidR="00B5397C" w:rsidRDefault="00000000">
      <w:pPr>
        <w:jc w:val="both"/>
      </w:pPr>
      <w:r>
        <w:lastRenderedPageBreak/>
        <w:t xml:space="preserve">The </w:t>
      </w:r>
      <w:r>
        <w:rPr>
          <w:i/>
        </w:rPr>
        <w:t>Equality Act 2010</w:t>
      </w:r>
      <w:r>
        <w:t xml:space="preserve"> is relevant because dementia may meet the legal definition of disability where it has a substantial and long-term effect on day-to-day activities. Services must not discriminate and may need to make reasonable adjustments. For Mrs Thompson, this could include longer appointments, easier written information, repetition of important points and checking understanding. These adjustments reduce disadvantages caused by cognitive impairment.</w:t>
      </w:r>
    </w:p>
    <w:p w14:paraId="56961D34" w14:textId="77777777" w:rsidR="00B5397C" w:rsidRDefault="00000000">
      <w:pPr>
        <w:jc w:val="both"/>
      </w:pPr>
      <w:r>
        <w:t xml:space="preserve">Family members may provide useful information about Mrs Thompson's routines, usual behaviour and medication habits, but they should not replace communication with her. The </w:t>
      </w:r>
      <w:r>
        <w:rPr>
          <w:i/>
        </w:rPr>
        <w:t>Mental Capacity Act 2005</w:t>
      </w:r>
      <w:r>
        <w:t xml:space="preserve"> requires capacity to be presumed unless shown otherwise and requires support to help a person decide before concluding that they cannot. Capacity is also decision-specific. Mild dementia alone is therefore not a reason to exclude Mrs Thompson. With her consent, relatives can contribute to reviews. If she lacks capacity for a particular decision, professionals must follow the best-interests process. This balance between safety, involvement and autonomy is central to respectful communication. Lee, Lee and Kim (2022) found that person-centred approaches can improve important outcomes for people living with dementia, although effects vary by intervention. Communication should therefore go beyond completing tasks. Asking what helps Mrs Thompson remember medicines, what worries her about care visits and how she prefers information to be given may reveal practical solutions and give staff a clearer baseline for recognising changes.</w:t>
      </w:r>
    </w:p>
    <w:p w14:paraId="57EB35D2" w14:textId="77777777" w:rsidR="00B5397C" w:rsidRDefault="00000000">
      <w:pPr>
        <w:pStyle w:val="Heading1"/>
      </w:pPr>
      <w:r>
        <w:t>3. Importance of good administrative skills</w:t>
      </w:r>
    </w:p>
    <w:p w14:paraId="757CA2A3" w14:textId="77777777" w:rsidR="00B5397C" w:rsidRDefault="00000000">
      <w:pPr>
        <w:jc w:val="both"/>
      </w:pPr>
      <w:r>
        <w:t>Good administrative practice is directly linked to safe care. In Mrs Thompson's case, the missed medication, increased confusion, medication review request and incident of being outside without suitable clothing should be recorded clearly and promptly. Records should state what was observed, when it happened, what action was taken, who was contacted and what follow-up is required. Factual detail is more useful than vague wording. Care Quality Commission [CQC] Regulation 17 requires providers to maintain secure, accurate, complete and contemporaneous records, while current CQC guidance states that medicines records in adult social care should be accurate, secure and up to date (CQC, 2025a; CQC, 2025b).</w:t>
      </w:r>
    </w:p>
    <w:p w14:paraId="49782FE4" w14:textId="77777777" w:rsidR="00B5397C" w:rsidRDefault="00000000">
      <w:pPr>
        <w:jc w:val="both"/>
      </w:pPr>
      <w:r>
        <w:t xml:space="preserve">Medication recording is particularly important because mild dementia may make self-management more difficult. Research shows that medication responsibilities often change as cognitive problems progress, so autonomy needs to be balanced with timely support when errors begin (O'Conor et al., 2024). Clough et al. (2024) found that people with dementia and carers need medication information that is clear, relevant and tailored. Therefore, the two missed days should trigger more than an incident entry. The team should establish why the doses were missed. Possible causes include forgetfulness, an unclear care plan, insufficient </w:t>
      </w:r>
      <w:r>
        <w:lastRenderedPageBreak/>
        <w:t>prompting or poor communication after discharge. Depending on the findings, support could include a revised medicines care plan, monitored prompting, pharmacy review or a simpler regimen. A recent systematic review confirms that cognitive impairment creates important adherence challenges and that support should match the person's abilities and circumstances (Cornelisse et al., 2026).</w:t>
      </w:r>
    </w:p>
    <w:p w14:paraId="22D20E3A" w14:textId="77777777" w:rsidR="00B5397C" w:rsidRDefault="00000000">
      <w:pPr>
        <w:jc w:val="both"/>
      </w:pPr>
      <w:r>
        <w:t xml:space="preserve">The </w:t>
      </w:r>
      <w:r>
        <w:rPr>
          <w:i/>
        </w:rPr>
        <w:t>Data Protection Act 2018</w:t>
      </w:r>
      <w:r>
        <w:t xml:space="preserve"> and UK General Data Protection Regulation (UK GDPR) also shape administrative practice. Mrs Thompson's health information is special category data and requires additional protection (Information Commissioner's Office [ICO], 2024). Records should be accessed only for legitimate purposes, stored securely and kept accurate. Staff should avoid discussing her case in public or using insecure personal messaging. However, confidentiality should not be misunderstood as a reason to withhold information needed for safe care or safeguarding. UK evidence shows that data sharing can be obstructed by inaccessible systems, professional boundaries and uncertainty about confidentiality (de Bell et al., 2024). The correct approach is proportionate and lawful sharing.</w:t>
      </w:r>
    </w:p>
    <w:p w14:paraId="6F789D16" w14:textId="77777777" w:rsidR="00B5397C" w:rsidRDefault="00000000">
      <w:pPr>
        <w:jc w:val="both"/>
      </w:pPr>
      <w:r>
        <w:t xml:space="preserve">The cold-weather incident also raises a possible safeguarding concern under the </w:t>
      </w:r>
      <w:r>
        <w:rPr>
          <w:i/>
        </w:rPr>
        <w:t>Care Act 2014</w:t>
      </w:r>
      <w:r>
        <w:t>. It might reflect confusion, self-neglect, inadequate support or another cause, so it should not be assumed automatically. A documented risk assessment, capacity consideration and safeguarding decision are needed. Good records connect separate events, support accountability and allow professionals to judge whether actions such as medication review or increased care reduce future risk. Records should also show whether agreed actions were completed. If a medication review is requested, the outcome and new instructions should be added to the care plan and communicated to relevant staff. This connects incident reporting with actual improvement.</w:t>
      </w:r>
    </w:p>
    <w:p w14:paraId="012F42EB" w14:textId="77777777" w:rsidR="00B5397C" w:rsidRDefault="00000000">
      <w:pPr>
        <w:pStyle w:val="Heading1"/>
      </w:pPr>
      <w:r>
        <w:t>4. Importance of working collaboratively</w:t>
      </w:r>
    </w:p>
    <w:p w14:paraId="0D26D078" w14:textId="77777777" w:rsidR="00B5397C" w:rsidRDefault="00000000">
      <w:pPr>
        <w:jc w:val="both"/>
      </w:pPr>
      <w:r>
        <w:t>Mrs Thompson's needs cannot be managed safely by one professional. Her GP may review her recovery, confusion and medicines; the community nurse can monitor her health and functioning; domiciliary carers can observe daily changes; and a pharmacist can review whether the medication regimen can be made safer or simpler. Social care or the local authority may also need to reassess her care package and safeguarding risks. This is especially important after hospital discharge, when information can be lost between services.</w:t>
      </w:r>
    </w:p>
    <w:p w14:paraId="25184DAF" w14:textId="77777777" w:rsidR="00B5397C" w:rsidRDefault="00000000">
      <w:pPr>
        <w:jc w:val="both"/>
      </w:pPr>
      <w:proofErr w:type="spellStart"/>
      <w:r>
        <w:t>Doornebosch</w:t>
      </w:r>
      <w:proofErr w:type="spellEnd"/>
      <w:r>
        <w:t xml:space="preserve">, </w:t>
      </w:r>
      <w:proofErr w:type="spellStart"/>
      <w:r>
        <w:t>Smaling</w:t>
      </w:r>
      <w:proofErr w:type="spellEnd"/>
      <w:r>
        <w:t xml:space="preserve"> and Achterberg (2022) found that interprofessional collaboration in older people's care is influenced by team performance, organisational conditions and information sharing. Brown et al. (2024) also highlight the risk of fragmented care when older adults with complex needs move from hospital back to the community. For Mrs Thompson, </w:t>
      </w:r>
      <w:r>
        <w:lastRenderedPageBreak/>
        <w:t>collaboration should therefore involve clear action rather than simply passing referrals between services.</w:t>
      </w:r>
    </w:p>
    <w:p w14:paraId="3068F97F" w14:textId="77777777" w:rsidR="00B5397C" w:rsidRDefault="00000000">
      <w:pPr>
        <w:jc w:val="both"/>
      </w:pPr>
      <w:r>
        <w:t>A multidisciplinary review could agree who is responsible for medication support, what happens if another dose is missed, who monitors confusion and who follows up the outside incident. A named coordinator, an updated shared care plan and clear escalation instructions would reduce uncertainty. Carers need a direct route to report urgent concerns rather than relying only on routine notes.</w:t>
      </w:r>
    </w:p>
    <w:p w14:paraId="463840D6" w14:textId="77777777" w:rsidR="00B5397C" w:rsidRDefault="00000000">
      <w:pPr>
        <w:jc w:val="both"/>
      </w:pPr>
      <w:r>
        <w:t>Common barriers include incompatible record systems, delayed referrals, unclear roles and fear of breaching confidentiality. UK evidence shows that relationships, processes and technology all influence information sharing across health and social care (de Bell et al., 2024). Secure information sharing, clear responsibilities and regular review can reduce these barriers. Most importantly, Mrs Thompson should remain involved so that professionals work with her rather than making decisions around her. Regular reviews are useful when needs are changing because they bring information from carers, nursing staff and the GP together. Where views differ, the team should record the reasons for decisions and keep Mrs Thompson's wishes central.</w:t>
      </w:r>
    </w:p>
    <w:p w14:paraId="771C1CB4" w14:textId="77777777" w:rsidR="00B5397C" w:rsidRDefault="00000000">
      <w:pPr>
        <w:pStyle w:val="Heading1"/>
      </w:pPr>
      <w:r>
        <w:t>5. Conclusion</w:t>
      </w:r>
    </w:p>
    <w:p w14:paraId="0C862E83" w14:textId="77777777" w:rsidR="00B5397C" w:rsidRDefault="00000000">
      <w:pPr>
        <w:jc w:val="both"/>
      </w:pPr>
      <w:r>
        <w:t>Mrs Thompson's case shows that communication, administration and collaborative working are closely connected. Her missed medication and unsafe episode outside are warning signs that require a coordinated response, but they do not justify removing her independence without proper assessment. Communication should be adapted to her mild dementia, using reasonable adjustments, clear explanations and genuine involvement in decisions. Accurate records and lawful information sharing are necessary to identify patterns, support medication safety and guide safeguarding and care planning. Multi-agency working should then turn information into action through clear responsibilities and follow-up. The strongest response would be a person-centred multidisciplinary review involving Mrs Thompson, her GP, community nursing, domiciliary care, pharmacy and social care, with family involvement where she agrees. This would allow the team to review medication support, capacity, risk and whether her current care package is sufficient, improving safety while still respecting dignity, autonomy and individual choice.</w:t>
      </w:r>
    </w:p>
    <w:p w14:paraId="12B31AA7" w14:textId="77777777" w:rsidR="00B5397C" w:rsidRDefault="00000000">
      <w:r>
        <w:br w:type="page"/>
      </w:r>
    </w:p>
    <w:p w14:paraId="7C1241F2" w14:textId="77777777" w:rsidR="00B5397C" w:rsidRDefault="00000000">
      <w:pPr>
        <w:pStyle w:val="Heading1"/>
      </w:pPr>
      <w:r>
        <w:lastRenderedPageBreak/>
        <w:t>References</w:t>
      </w:r>
    </w:p>
    <w:p w14:paraId="6378D37A" w14:textId="77777777" w:rsidR="00B5397C" w:rsidRDefault="00000000">
      <w:pPr>
        <w:ind w:left="425" w:hanging="425"/>
      </w:pPr>
      <w:r>
        <w:t xml:space="preserve">Brown, C.L., </w:t>
      </w:r>
      <w:proofErr w:type="spellStart"/>
      <w:r>
        <w:t>Tittlemier</w:t>
      </w:r>
      <w:proofErr w:type="spellEnd"/>
      <w:r>
        <w:t xml:space="preserve">, B.J., Tiwari, K.K. and Loewen, H. (2024) 'Interprofessional teams supporting care transitions from hospital to community: a scoping review', </w:t>
      </w:r>
      <w:r>
        <w:rPr>
          <w:i/>
        </w:rPr>
        <w:t>International Journal of Integrated Care</w:t>
      </w:r>
      <w:r>
        <w:t>, 24(2), article 1. Available at: https://doi.org/10.5334/ijic.7623</w:t>
      </w:r>
    </w:p>
    <w:p w14:paraId="2D55E52F" w14:textId="77777777" w:rsidR="00B5397C" w:rsidRDefault="00000000">
      <w:pPr>
        <w:ind w:left="425" w:hanging="425"/>
      </w:pPr>
      <w:r>
        <w:rPr>
          <w:i/>
        </w:rPr>
        <w:t>Care Act 2014</w:t>
      </w:r>
      <w:r>
        <w:t>, c. 23. Available at: https://www.legislation.gov.uk/ukpga/2014/23/contents (Accessed: 27 July 2026).</w:t>
      </w:r>
    </w:p>
    <w:p w14:paraId="53460B33" w14:textId="77777777" w:rsidR="00B5397C" w:rsidRDefault="00000000">
      <w:pPr>
        <w:ind w:left="425" w:hanging="425"/>
      </w:pPr>
      <w:r>
        <w:t xml:space="preserve">Care Quality Commission [CQC] (2025a) </w:t>
      </w:r>
      <w:r>
        <w:rPr>
          <w:i/>
        </w:rPr>
        <w:t>Regulation 17: good governance</w:t>
      </w:r>
      <w:r>
        <w:t>. Available at: https://www.cqc.org.uk/guidance-providers/regulations/regulation-17-good-governance (Accessed: 27 July 2026).</w:t>
      </w:r>
    </w:p>
    <w:p w14:paraId="4128762C" w14:textId="77777777" w:rsidR="00B5397C" w:rsidRDefault="00000000">
      <w:pPr>
        <w:ind w:left="425" w:hanging="425"/>
      </w:pPr>
      <w:r>
        <w:t xml:space="preserve">Care Quality Commission [CQC] (2025b) </w:t>
      </w:r>
      <w:r>
        <w:rPr>
          <w:i/>
        </w:rPr>
        <w:t>Medicines administration records in adult social care</w:t>
      </w:r>
      <w:r>
        <w:t>. Available at: https://www.cqc.org.uk/guidance-providers/adult-social-care/medicines-administration-records-adult-social-care (Accessed: 27 July 2026).</w:t>
      </w:r>
    </w:p>
    <w:p w14:paraId="484A5D3C" w14:textId="77777777" w:rsidR="00B5397C" w:rsidRDefault="00000000">
      <w:pPr>
        <w:ind w:left="425" w:hanging="425"/>
      </w:pPr>
      <w:r>
        <w:t xml:space="preserve">Clough, A.J., </w:t>
      </w:r>
      <w:proofErr w:type="spellStart"/>
      <w:r>
        <w:t>Gnjidic</w:t>
      </w:r>
      <w:proofErr w:type="spellEnd"/>
      <w:r>
        <w:t xml:space="preserve">, D., Cross, A.J., Jokanovic, N., Watson, K., Wesson, J., Beshara, S., Cheng, J. and Sawan, M.J. (2024) 'Medication management information priorities of people living with dementia and their carers: a scoping review', </w:t>
      </w:r>
      <w:r>
        <w:rPr>
          <w:i/>
        </w:rPr>
        <w:t>Age and Ageing</w:t>
      </w:r>
      <w:r>
        <w:t>, 53(9), article afae200. Available at: https://doi.org/10.1093/ageing/afae200</w:t>
      </w:r>
    </w:p>
    <w:p w14:paraId="67E7AC2C" w14:textId="77777777" w:rsidR="00B5397C" w:rsidRDefault="00000000">
      <w:pPr>
        <w:ind w:left="425" w:hanging="425"/>
      </w:pPr>
      <w:r>
        <w:t xml:space="preserve">Cornelisse, E., Julian, R., Tucker, G. and Laver, K. (2026) 'Approaches to enhance medication adherence in older people with cognitive impairment: a systematic review', </w:t>
      </w:r>
      <w:r>
        <w:rPr>
          <w:i/>
        </w:rPr>
        <w:t>Australasian Journal on Ageing</w:t>
      </w:r>
      <w:r>
        <w:t>, 45(1), article e70125. Available at: https://doi.org/10.1111/ajag.70125</w:t>
      </w:r>
    </w:p>
    <w:p w14:paraId="3DC50AF9" w14:textId="77777777" w:rsidR="00B5397C" w:rsidRDefault="00000000">
      <w:pPr>
        <w:ind w:left="425" w:hanging="425"/>
      </w:pPr>
      <w:r>
        <w:rPr>
          <w:i/>
        </w:rPr>
        <w:t>Data Protection Act 2018</w:t>
      </w:r>
      <w:r>
        <w:t>, c. 12. Available at: https://www.legislation.gov.uk/ukpga/2018/12/contents (Accessed: 27 July 2026).</w:t>
      </w:r>
    </w:p>
    <w:p w14:paraId="4B42B704" w14:textId="77777777" w:rsidR="00B5397C" w:rsidRDefault="00000000">
      <w:pPr>
        <w:ind w:left="425" w:hanging="425"/>
      </w:pPr>
      <w:r>
        <w:t xml:space="preserve">de Bell, S., Zhelev, Z., Bethel, A., Thompson Coon, J. and Anderson, R. (2024) </w:t>
      </w:r>
      <w:r>
        <w:rPr>
          <w:i/>
        </w:rPr>
        <w:t>Factors influencing effective data sharing between health care and social care regarding the care of older people: a qualitative evidence synthesis</w:t>
      </w:r>
      <w:r>
        <w:t>. Health and Social Care Delivery Research, 12(12). Available at: https://doi.org/10.3310/TTWG4738</w:t>
      </w:r>
    </w:p>
    <w:p w14:paraId="5973F602" w14:textId="77777777" w:rsidR="00B5397C" w:rsidRDefault="00000000">
      <w:pPr>
        <w:ind w:left="425" w:hanging="425"/>
      </w:pPr>
      <w:proofErr w:type="spellStart"/>
      <w:r>
        <w:t>Doornebosch</w:t>
      </w:r>
      <w:proofErr w:type="spellEnd"/>
      <w:r>
        <w:t xml:space="preserve">, A.J., </w:t>
      </w:r>
      <w:proofErr w:type="spellStart"/>
      <w:r>
        <w:t>Smaling</w:t>
      </w:r>
      <w:proofErr w:type="spellEnd"/>
      <w:r>
        <w:t xml:space="preserve">, H.J.A. and Achterberg, W.P. (2022) 'Interprofessional collaboration in long-term care and rehabilitation: a systematic review', </w:t>
      </w:r>
      <w:r>
        <w:rPr>
          <w:i/>
        </w:rPr>
        <w:t>Journal of the American Medical Directors Association</w:t>
      </w:r>
      <w:r>
        <w:t>, 23(5), pp. 764-777.e2. Available at: https://doi.org/10.1016/j.jamda.2021.12.028</w:t>
      </w:r>
    </w:p>
    <w:p w14:paraId="50B19799" w14:textId="77777777" w:rsidR="00B5397C" w:rsidRDefault="00000000">
      <w:pPr>
        <w:ind w:left="425" w:hanging="425"/>
      </w:pPr>
      <w:r>
        <w:t xml:space="preserve">Egan, G. (2014) </w:t>
      </w:r>
      <w:r>
        <w:rPr>
          <w:i/>
        </w:rPr>
        <w:t>The skilled helper: a problem-management and opportunity-development approach to helping</w:t>
      </w:r>
      <w:r>
        <w:t xml:space="preserve">. 10th </w:t>
      </w:r>
      <w:proofErr w:type="spellStart"/>
      <w:r>
        <w:t>edn</w:t>
      </w:r>
      <w:proofErr w:type="spellEnd"/>
      <w:r>
        <w:t>. Brooks/Cole, Cengage Learning.</w:t>
      </w:r>
    </w:p>
    <w:p w14:paraId="48119F80" w14:textId="77777777" w:rsidR="00B5397C" w:rsidRDefault="00000000">
      <w:pPr>
        <w:ind w:left="425" w:hanging="425"/>
      </w:pPr>
      <w:r>
        <w:rPr>
          <w:i/>
        </w:rPr>
        <w:lastRenderedPageBreak/>
        <w:t>Equality Act 2010</w:t>
      </w:r>
      <w:r>
        <w:t>, c. 15. Available at: https://www.legislation.gov.uk/ukpga/2010/15/contents (Accessed: 27 July 2026).</w:t>
      </w:r>
    </w:p>
    <w:p w14:paraId="6720BFF3" w14:textId="77777777" w:rsidR="00B5397C" w:rsidRDefault="00000000">
      <w:pPr>
        <w:ind w:left="425" w:hanging="425"/>
      </w:pPr>
      <w:r>
        <w:t xml:space="preserve">Information Commissioner's Office [ICO] (2024) </w:t>
      </w:r>
      <w:r>
        <w:rPr>
          <w:i/>
        </w:rPr>
        <w:t>Special category data</w:t>
      </w:r>
      <w:r>
        <w:t>. Available at: https://ico.org.uk/for-organisations/uk-gdpr-guidance-and-resources/lawful-basis/a-guide-to-lawful-basis/special-category-data/ (Accessed: 27 July 2026).</w:t>
      </w:r>
    </w:p>
    <w:p w14:paraId="6E70ADEF" w14:textId="77777777" w:rsidR="00B5397C" w:rsidRDefault="00000000">
      <w:pPr>
        <w:ind w:left="425" w:hanging="425"/>
      </w:pPr>
      <w:r>
        <w:t>Lee, K.H., Lee, J.Y. and Kim, B. (2022) 'Person-</w:t>
      </w:r>
      <w:proofErr w:type="spellStart"/>
      <w:r>
        <w:t>centered</w:t>
      </w:r>
      <w:proofErr w:type="spellEnd"/>
      <w:r>
        <w:t xml:space="preserve"> care in persons living with dementia: a systematic review and meta-analysis', </w:t>
      </w:r>
      <w:r>
        <w:rPr>
          <w:i/>
        </w:rPr>
        <w:t>The Gerontologist</w:t>
      </w:r>
      <w:r>
        <w:t>, 62(4), pp. e253-e264. Available at: https://doi.org/10.1093/geront/gnaa207</w:t>
      </w:r>
    </w:p>
    <w:p w14:paraId="73CD8FCC" w14:textId="77777777" w:rsidR="00B5397C" w:rsidRDefault="00000000">
      <w:pPr>
        <w:ind w:left="425" w:hanging="425"/>
      </w:pPr>
      <w:r>
        <w:rPr>
          <w:i/>
        </w:rPr>
        <w:t>Mental Capacity Act 2005</w:t>
      </w:r>
      <w:r>
        <w:t>, c. 9. Available at: https://www.legislation.gov.uk/ukpga/2005/9/contents (Accessed: 27 July 2026).</w:t>
      </w:r>
    </w:p>
    <w:p w14:paraId="30128D8E" w14:textId="77777777" w:rsidR="00B5397C" w:rsidRDefault="00000000">
      <w:pPr>
        <w:ind w:left="425" w:hanging="425"/>
      </w:pPr>
      <w:r>
        <w:t xml:space="preserve">National Institute for Health and Care Excellence [NICE] (2018) </w:t>
      </w:r>
      <w:r>
        <w:rPr>
          <w:i/>
        </w:rPr>
        <w:t xml:space="preserve">Dementia: assessment, management and support for people living with dementia and their </w:t>
      </w:r>
      <w:proofErr w:type="spellStart"/>
      <w:r>
        <w:rPr>
          <w:i/>
        </w:rPr>
        <w:t>carers</w:t>
      </w:r>
      <w:proofErr w:type="spellEnd"/>
      <w:r>
        <w:t>. NG97. Available at: https://www.nice.org.uk/guidance/ng97 (Accessed: 27 July 2026).</w:t>
      </w:r>
    </w:p>
    <w:p w14:paraId="52CD5195" w14:textId="77777777" w:rsidR="00B5397C" w:rsidRDefault="00000000">
      <w:pPr>
        <w:ind w:left="425" w:hanging="425"/>
      </w:pPr>
      <w:r>
        <w:t xml:space="preserve">O'Conor, R., Russell, A.M., Pack, A., Oladejo, D., </w:t>
      </w:r>
      <w:proofErr w:type="spellStart"/>
      <w:r>
        <w:t>Filec</w:t>
      </w:r>
      <w:proofErr w:type="spellEnd"/>
      <w:r>
        <w:t xml:space="preserve">, S., Rogalski, E., Morhardt, D., Lindquist, L.A. and Wolf, M.S. (2024) 'Managing medications among individuals with mild cognitive impairment and dementia: patient-caregiver perspectives', </w:t>
      </w:r>
      <w:r>
        <w:rPr>
          <w:i/>
        </w:rPr>
        <w:t>Journal of the American Geriatrics Society</w:t>
      </w:r>
      <w:r>
        <w:t>, 72(10), pp. 3011-3021. Available at: https://doi.org/10.1111/jgs.19065</w:t>
      </w:r>
    </w:p>
    <w:p w14:paraId="29BFA888" w14:textId="77777777" w:rsidR="00B5397C" w:rsidRDefault="00000000">
      <w:pPr>
        <w:ind w:left="425" w:hanging="425"/>
      </w:pPr>
      <w:r>
        <w:t xml:space="preserve">Pepper, A. and Harrison Dening, K. (2023) 'Person-centred communication with people with dementia', </w:t>
      </w:r>
      <w:r>
        <w:rPr>
          <w:i/>
        </w:rPr>
        <w:t>Nursing Older People</w:t>
      </w:r>
      <w:r>
        <w:t>, 35(2), pp. 28-33. Available at: https://doi.org/10.7748/nop.2023.e1430</w:t>
      </w:r>
    </w:p>
    <w:p w14:paraId="38B1365C" w14:textId="77777777" w:rsidR="00B5397C" w:rsidRDefault="00000000">
      <w:pPr>
        <w:ind w:left="425" w:hanging="425"/>
      </w:pPr>
      <w:proofErr w:type="spellStart"/>
      <w:r>
        <w:t>Sunjaya</w:t>
      </w:r>
      <w:proofErr w:type="spellEnd"/>
      <w:r>
        <w:t xml:space="preserve">, A.M., Schreiber, T., Kantilal, K., Davies, N. and Griffiths, S. (2025) 'Communication strategies for delivering personalised dementia care and support: a mixed-methods systematic review and narrative synthesis', </w:t>
      </w:r>
      <w:r>
        <w:rPr>
          <w:i/>
        </w:rPr>
        <w:t>Age and Ageing</w:t>
      </w:r>
      <w:r>
        <w:t>, 54(5), article afaf120. Available at: https://doi.org/10.1093/ageing/afaf120</w:t>
      </w:r>
    </w:p>
    <w:sectPr w:rsidR="00B5397C" w:rsidSect="00E620E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523D28" w14:textId="77777777" w:rsidR="00606821" w:rsidRDefault="00606821" w:rsidP="003E4ECF">
      <w:pPr>
        <w:spacing w:after="0" w:line="240" w:lineRule="auto"/>
      </w:pPr>
      <w:r>
        <w:separator/>
      </w:r>
    </w:p>
  </w:endnote>
  <w:endnote w:type="continuationSeparator" w:id="0">
    <w:p w14:paraId="2E0B23BE" w14:textId="77777777" w:rsidR="00606821" w:rsidRDefault="00606821"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rPr>
    </w:sdtEndPr>
    <w:sdtContent>
      <w:p w14:paraId="22F0D82E" w14:textId="45C034A5" w:rsidR="003E4ECF" w:rsidRPr="00E620E7" w:rsidRDefault="003E4ECF">
        <w:pPr>
          <w:pStyle w:val="Footer"/>
          <w:jc w:val="center"/>
          <w:rPr>
            <w:rFonts w:asciiTheme="minorBidi" w:hAnsiTheme="minorBidi"/>
          </w:rPr>
        </w:pPr>
        <w:r w:rsidRPr="00E620E7">
          <w:rPr>
            <w:rFonts w:asciiTheme="minorBidi" w:hAnsiTheme="minorBidi"/>
          </w:rPr>
          <w:fldChar w:fldCharType="begin"/>
        </w:r>
        <w:r w:rsidRPr="00E620E7">
          <w:rPr>
            <w:rFonts w:asciiTheme="minorBidi" w:hAnsiTheme="minorBidi"/>
          </w:rPr>
          <w:instrText xml:space="preserve"> PAGE   \* MERGEFORMAT </w:instrText>
        </w:r>
        <w:r w:rsidRPr="00E620E7">
          <w:rPr>
            <w:rFonts w:asciiTheme="minorBidi" w:hAnsiTheme="minorBidi"/>
          </w:rPr>
          <w:fldChar w:fldCharType="separate"/>
        </w:r>
        <w:r w:rsidRPr="00E620E7">
          <w:rPr>
            <w:rFonts w:asciiTheme="minorBidi" w:hAnsiTheme="minorBidi"/>
            <w:noProof/>
          </w:rPr>
          <w:t>2</w:t>
        </w:r>
        <w:r w:rsidRPr="00E620E7">
          <w:rPr>
            <w:rFonts w:asciiTheme="minorBidi" w:hAnsiTheme="minorBidi"/>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64D619" w14:textId="77777777" w:rsidR="00606821" w:rsidRDefault="00606821" w:rsidP="003E4ECF">
      <w:pPr>
        <w:spacing w:after="0" w:line="240" w:lineRule="auto"/>
      </w:pPr>
      <w:r>
        <w:separator/>
      </w:r>
    </w:p>
  </w:footnote>
  <w:footnote w:type="continuationSeparator" w:id="0">
    <w:p w14:paraId="291CE27D" w14:textId="77777777" w:rsidR="00606821" w:rsidRDefault="00606821"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D7C03"/>
    <w:rsid w:val="00216C85"/>
    <w:rsid w:val="00233460"/>
    <w:rsid w:val="0026393A"/>
    <w:rsid w:val="00273EDD"/>
    <w:rsid w:val="002C137D"/>
    <w:rsid w:val="002C3965"/>
    <w:rsid w:val="002C6962"/>
    <w:rsid w:val="00321C4C"/>
    <w:rsid w:val="00392BBC"/>
    <w:rsid w:val="003E4ECF"/>
    <w:rsid w:val="004A736E"/>
    <w:rsid w:val="005917D3"/>
    <w:rsid w:val="00606821"/>
    <w:rsid w:val="00637BCC"/>
    <w:rsid w:val="006925AA"/>
    <w:rsid w:val="00725177"/>
    <w:rsid w:val="007A1B8D"/>
    <w:rsid w:val="00814A9E"/>
    <w:rsid w:val="008E3943"/>
    <w:rsid w:val="0090040D"/>
    <w:rsid w:val="009D052C"/>
    <w:rsid w:val="009D1D1E"/>
    <w:rsid w:val="00A035FD"/>
    <w:rsid w:val="00AD23A0"/>
    <w:rsid w:val="00B5397C"/>
    <w:rsid w:val="00B87E75"/>
    <w:rsid w:val="00BC25DE"/>
    <w:rsid w:val="00CD33A8"/>
    <w:rsid w:val="00E569FD"/>
    <w:rsid w:val="00E620E7"/>
    <w:rsid w:val="00F66E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20" w:line="360" w:lineRule="auto"/>
    </w:pPr>
    <w:rPr>
      <w:rFonts w:ascii="Arial" w:hAnsi="Arial"/>
      <w:sz w:val="22"/>
    </w:rPr>
  </w:style>
  <w:style w:type="paragraph" w:styleId="Heading1">
    <w:name w:val="heading 1"/>
    <w:basedOn w:val="Normal"/>
    <w:next w:val="Normal"/>
    <w:link w:val="Heading1Char"/>
    <w:autoRedefine/>
    <w:uiPriority w:val="9"/>
    <w:qFormat/>
    <w:rsid w:val="00E620E7"/>
    <w:pPr>
      <w:keepNext/>
      <w:keepLines/>
      <w:spacing w:before="240"/>
      <w:outlineLvl w:val="0"/>
    </w:pPr>
    <w:rPr>
      <w:rFonts w:eastAsiaTheme="majorEastAsia"/>
      <w:b/>
      <w:sz w:val="28"/>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2340</Words>
  <Characters>13340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LCHS4003 Component 2 - Case Study of Mrs Thompson</dc:title>
  <dc:subject>Introduction to Health and Social Care</dc:subject>
  <dc:creator>Jaime Luis Torres Hernandez</dc:creator>
  <cp:keywords>LCHS4003, Health and Social Care, Mrs Thompson, UWTSD</cp:keywords>
  <dc:description/>
  <cp:lastModifiedBy>jaime torres hernandes</cp:lastModifiedBy>
  <cp:revision>10</cp:revision>
  <dcterms:created xsi:type="dcterms:W3CDTF">2021-10-31T12:16:00Z</dcterms:created>
  <dcterms:modified xsi:type="dcterms:W3CDTF">2026-07-29T08:34:00Z</dcterms:modified>
</cp:coreProperties>
</file>