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line="360" w:lineRule="auto"/>
        <w:jc w:val="both"/>
        <w:rPr>
          <w:b w:val="1"/>
          <w:sz w:val="48"/>
          <w:szCs w:val="48"/>
        </w:rPr>
      </w:pPr>
      <w:bookmarkStart w:colFirst="0" w:colLast="0" w:name="_heading=h.eqx05e7fcvzc" w:id="0"/>
      <w:bookmarkEnd w:id="0"/>
      <w:r w:rsidDel="00000000" w:rsidR="00000000" w:rsidRPr="00000000">
        <w:rPr>
          <w:b w:val="1"/>
          <w:sz w:val="48"/>
          <w:szCs w:val="48"/>
          <w:rtl w:val="0"/>
        </w:rPr>
        <w:t xml:space="preserve">Event Strategic Planning and Delivery Considerations for an International</w:t>
      </w:r>
    </w:p>
    <w:p w:rsidR="00000000" w:rsidDel="00000000" w:rsidP="00000000" w:rsidRDefault="00000000" w:rsidRPr="00000000" w14:paraId="00000002">
      <w:pPr>
        <w:pStyle w:val="Title"/>
        <w:spacing w:line="360" w:lineRule="auto"/>
        <w:jc w:val="both"/>
        <w:rPr>
          <w:b w:val="1"/>
          <w:sz w:val="48"/>
          <w:szCs w:val="48"/>
        </w:rPr>
      </w:pPr>
      <w:bookmarkStart w:colFirst="0" w:colLast="0" w:name="_heading=h.ny2q1yuza8rq" w:id="1"/>
      <w:bookmarkEnd w:id="1"/>
      <w:r w:rsidDel="00000000" w:rsidR="00000000" w:rsidRPr="00000000">
        <w:rPr>
          <w:b w:val="1"/>
          <w:sz w:val="48"/>
          <w:szCs w:val="48"/>
          <w:rtl w:val="0"/>
        </w:rPr>
        <w:t xml:space="preserve">                      Meeting/Event</w:t>
      </w:r>
    </w:p>
    <w:p w:rsidR="00000000" w:rsidDel="00000000" w:rsidP="00000000" w:rsidRDefault="00000000" w:rsidRPr="00000000" w14:paraId="00000003">
      <w:pPr>
        <w:pStyle w:val="Title"/>
        <w:rPr>
          <w:b w:val="1"/>
          <w:sz w:val="32"/>
          <w:szCs w:val="32"/>
        </w:rPr>
      </w:pPr>
      <w:bookmarkStart w:colFirst="0" w:colLast="0" w:name="_heading=h.bnkeduuu1h9y" w:id="2"/>
      <w:bookmarkEnd w:id="2"/>
      <w:r w:rsidDel="00000000" w:rsidR="00000000" w:rsidRPr="00000000">
        <w:rPr>
          <w:rtl w:val="0"/>
        </w:rPr>
      </w:r>
    </w:p>
    <w:p w:rsidR="00000000" w:rsidDel="00000000" w:rsidP="00000000" w:rsidRDefault="00000000" w:rsidRPr="00000000" w14:paraId="00000004">
      <w:pPr>
        <w:pStyle w:val="Title"/>
        <w:rPr>
          <w:b w:val="1"/>
          <w:sz w:val="32"/>
          <w:szCs w:val="32"/>
        </w:rPr>
      </w:pPr>
      <w:bookmarkStart w:colFirst="0" w:colLast="0" w:name="_heading=h.p73y7j10pvg" w:id="3"/>
      <w:bookmarkEnd w:id="3"/>
      <w:r w:rsidDel="00000000" w:rsidR="00000000" w:rsidRPr="00000000">
        <w:rPr>
          <w:rtl w:val="0"/>
        </w:rPr>
      </w:r>
    </w:p>
    <w:p w:rsidR="00000000" w:rsidDel="00000000" w:rsidP="00000000" w:rsidRDefault="00000000" w:rsidRPr="00000000" w14:paraId="00000005">
      <w:pPr>
        <w:pStyle w:val="Title"/>
        <w:rPr>
          <w:b w:val="1"/>
          <w:sz w:val="32"/>
          <w:szCs w:val="32"/>
        </w:rPr>
      </w:pPr>
      <w:bookmarkStart w:colFirst="0" w:colLast="0" w:name="_heading=h.x5iw7fpizsai" w:id="4"/>
      <w:bookmarkEnd w:id="4"/>
      <w:r w:rsidDel="00000000" w:rsidR="00000000" w:rsidRPr="00000000">
        <w:rPr>
          <w:rtl w:val="0"/>
        </w:rPr>
      </w:r>
    </w:p>
    <w:p w:rsidR="00000000" w:rsidDel="00000000" w:rsidP="00000000" w:rsidRDefault="00000000" w:rsidRPr="00000000" w14:paraId="00000006">
      <w:pPr>
        <w:pStyle w:val="Title"/>
        <w:rPr>
          <w:b w:val="1"/>
          <w:sz w:val="32"/>
          <w:szCs w:val="32"/>
        </w:rPr>
      </w:pPr>
      <w:bookmarkStart w:colFirst="0" w:colLast="0" w:name="_heading=h.qi1antyc1n8b" w:id="5"/>
      <w:bookmarkEnd w:id="5"/>
      <w:r w:rsidDel="00000000" w:rsidR="00000000" w:rsidRPr="00000000">
        <w:rPr>
          <w:rtl w:val="0"/>
        </w:rPr>
      </w:r>
    </w:p>
    <w:p w:rsidR="00000000" w:rsidDel="00000000" w:rsidP="00000000" w:rsidRDefault="00000000" w:rsidRPr="00000000" w14:paraId="00000007">
      <w:pPr>
        <w:pStyle w:val="Title"/>
        <w:rPr>
          <w:b w:val="1"/>
          <w:sz w:val="32"/>
          <w:szCs w:val="32"/>
        </w:rPr>
      </w:pPr>
      <w:bookmarkStart w:colFirst="0" w:colLast="0" w:name="_heading=h.i445rmccwv2b" w:id="6"/>
      <w:bookmarkEnd w:id="6"/>
      <w:r w:rsidDel="00000000" w:rsidR="00000000" w:rsidRPr="00000000">
        <w:rPr>
          <w:b w:val="1"/>
          <w:sz w:val="32"/>
          <w:szCs w:val="32"/>
          <w:rtl w:val="0"/>
        </w:rPr>
        <w:t xml:space="preserve">Programme: International Hotel Management (BA)</w:t>
      </w:r>
    </w:p>
    <w:p w:rsidR="00000000" w:rsidDel="00000000" w:rsidP="00000000" w:rsidRDefault="00000000" w:rsidRPr="00000000" w14:paraId="00000008">
      <w:pPr>
        <w:pStyle w:val="Title"/>
        <w:rPr>
          <w:b w:val="1"/>
          <w:sz w:val="30"/>
          <w:szCs w:val="30"/>
        </w:rPr>
      </w:pPr>
      <w:bookmarkStart w:colFirst="0" w:colLast="0" w:name="_heading=h.pphvs2t0hsdl" w:id="7"/>
      <w:bookmarkEnd w:id="7"/>
      <w:r w:rsidDel="00000000" w:rsidR="00000000" w:rsidRPr="00000000">
        <w:rPr>
          <w:b w:val="1"/>
          <w:sz w:val="30"/>
          <w:szCs w:val="30"/>
          <w:rtl w:val="0"/>
        </w:rPr>
        <w:t xml:space="preserve">Module: International Meetings Management for the Hotel Industry (BMIH6007)</w:t>
      </w:r>
    </w:p>
    <w:p w:rsidR="00000000" w:rsidDel="00000000" w:rsidP="00000000" w:rsidRDefault="00000000" w:rsidRPr="00000000" w14:paraId="00000009">
      <w:pPr>
        <w:pStyle w:val="Title"/>
        <w:rPr>
          <w:b w:val="1"/>
          <w:sz w:val="30"/>
          <w:szCs w:val="30"/>
        </w:rPr>
      </w:pPr>
      <w:bookmarkStart w:colFirst="0" w:colLast="0" w:name="_heading=h.up1duutuxhx7" w:id="8"/>
      <w:bookmarkEnd w:id="8"/>
      <w:r w:rsidDel="00000000" w:rsidR="00000000" w:rsidRPr="00000000">
        <w:rPr>
          <w:b w:val="1"/>
          <w:sz w:val="30"/>
          <w:szCs w:val="30"/>
          <w:rtl w:val="0"/>
        </w:rPr>
        <w:t xml:space="preserve">Student ID: 2240974</w:t>
      </w:r>
    </w:p>
    <w:p w:rsidR="00000000" w:rsidDel="00000000" w:rsidP="00000000" w:rsidRDefault="00000000" w:rsidRPr="00000000" w14:paraId="0000000A">
      <w:pPr>
        <w:pStyle w:val="Title"/>
        <w:rPr>
          <w:b w:val="1"/>
          <w:sz w:val="30"/>
          <w:szCs w:val="30"/>
        </w:rPr>
      </w:pPr>
      <w:bookmarkStart w:colFirst="0" w:colLast="0" w:name="_heading=h.nnlq6ba7p20" w:id="9"/>
      <w:bookmarkEnd w:id="9"/>
      <w:r w:rsidDel="00000000" w:rsidR="00000000" w:rsidRPr="00000000">
        <w:rPr>
          <w:b w:val="1"/>
          <w:sz w:val="30"/>
          <w:szCs w:val="30"/>
          <w:rtl w:val="0"/>
        </w:rPr>
        <w:t xml:space="preserve">Student name: Lavinia Dumitrita Bidasca</w:t>
      </w:r>
    </w:p>
    <w:p w:rsidR="00000000" w:rsidDel="00000000" w:rsidP="00000000" w:rsidRDefault="00000000" w:rsidRPr="00000000" w14:paraId="0000000B">
      <w:pPr>
        <w:pStyle w:val="Title"/>
        <w:rPr>
          <w:b w:val="1"/>
          <w:sz w:val="30"/>
          <w:szCs w:val="30"/>
        </w:rPr>
      </w:pPr>
      <w:bookmarkStart w:colFirst="0" w:colLast="0" w:name="_heading=h.j9b1c8wur3pr" w:id="10"/>
      <w:bookmarkEnd w:id="10"/>
      <w:r w:rsidDel="00000000" w:rsidR="00000000" w:rsidRPr="00000000">
        <w:rPr>
          <w:b w:val="1"/>
          <w:sz w:val="30"/>
          <w:szCs w:val="30"/>
          <w:rtl w:val="0"/>
        </w:rPr>
        <w:t xml:space="preserve">Lecture’s name: Kathryn Flynn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Title"/>
        <w:rPr>
          <w:b w:val="1"/>
          <w:sz w:val="30"/>
          <w:szCs w:val="30"/>
        </w:rPr>
      </w:pPr>
      <w:bookmarkStart w:colFirst="0" w:colLast="0" w:name="_heading=h.udh5k2zx9y1" w:id="11"/>
      <w:bookmarkEnd w:id="11"/>
      <w:r w:rsidDel="00000000" w:rsidR="00000000" w:rsidRPr="00000000">
        <w:rPr>
          <w:rtl w:val="0"/>
        </w:rPr>
      </w:r>
    </w:p>
    <w:p w:rsidR="00000000" w:rsidDel="00000000" w:rsidP="00000000" w:rsidRDefault="00000000" w:rsidRPr="00000000" w14:paraId="00000018">
      <w:pPr>
        <w:spacing w:line="360" w:lineRule="auto"/>
        <w:jc w:val="both"/>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i w:val="0"/>
          <w:smallCaps w:val="0"/>
          <w:strike w:val="0"/>
          <w:color w:val="0f4761"/>
          <w:sz w:val="28"/>
          <w:szCs w:val="28"/>
          <w:u w:val="none"/>
          <w:shd w:fill="auto" w:val="clear"/>
          <w:vertAlign w:val="baseline"/>
        </w:rPr>
      </w:pPr>
      <w:r w:rsidDel="00000000" w:rsidR="00000000" w:rsidRPr="00000000">
        <w:rPr>
          <w:rFonts w:ascii="Play" w:cs="Play" w:eastAsia="Play" w:hAnsi="Play"/>
          <w:b w:val="1"/>
          <w:i w:val="0"/>
          <w:smallCaps w:val="0"/>
          <w:strike w:val="0"/>
          <w:color w:val="0f476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264c2vm7cba1">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2. INTRODUCTION</w:t>
              <w:tab/>
              <w:t xml:space="preserve">2</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xsu1touuta82">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3. THE EVENT CYCLE</w:t>
              <w:tab/>
              <w:t xml:space="preserve">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gdm9auppoysn">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4. EVENT CONCEPT</w:t>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akky7729fh8c">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5. AIM AND OBJECTIVES OF THE MEETING / EVENT</w:t>
              <w:tab/>
              <w:t xml:space="preserve">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5v33eqrevp3a">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6. EVENT MANAGEMENT</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pv3cs6fatl44">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7. EVENT BUDGET</w:t>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7ohral1ls5rq">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8. INDUSTRY TRENDS / ISSUES / IMPACTS</w:t>
              <w:tab/>
              <w:t xml:space="preserve">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vkyqqu1iay0b">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9. SITUATIONAL AND CULTURAL CONSIDERATIONS</w:t>
              <w:tab/>
              <w:t xml:space="preserve">9</w:t>
            </w:r>
          </w:hyperlink>
          <w:r w:rsidDel="00000000" w:rsidR="00000000" w:rsidRPr="00000000">
            <w:rPr>
              <w:rtl w:val="0"/>
            </w:rPr>
          </w:r>
        </w:p>
        <w:p w:rsidR="00000000" w:rsidDel="00000000" w:rsidP="00000000" w:rsidRDefault="00000000" w:rsidRPr="00000000" w14:paraId="0000002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pStyle w:val="Heading1"/>
        <w:rPr>
          <w:b w:val="1"/>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jc w:val="both"/>
        <w:rPr>
          <w:rFonts w:ascii="Arial" w:cs="Arial" w:eastAsia="Arial" w:hAnsi="Arial"/>
          <w:b w:val="1"/>
          <w:sz w:val="32"/>
          <w:szCs w:val="32"/>
        </w:rPr>
      </w:pPr>
      <w:r w:rsidDel="00000000" w:rsidR="00000000" w:rsidRPr="00000000">
        <w:rPr>
          <w:rFonts w:ascii="Arial" w:cs="Arial" w:eastAsia="Arial" w:hAnsi="Arial"/>
          <w:sz w:val="32"/>
          <w:szCs w:val="32"/>
          <w:rtl w:val="0"/>
        </w:rPr>
        <w:t xml:space="preserve">       </w:t>
      </w:r>
      <w:r w:rsidDel="00000000" w:rsidR="00000000" w:rsidRPr="00000000">
        <w:rPr>
          <w:rFonts w:ascii="Arial" w:cs="Arial" w:eastAsia="Arial" w:hAnsi="Arial"/>
          <w:b w:val="1"/>
          <w:sz w:val="32"/>
          <w:szCs w:val="32"/>
          <w:rtl w:val="0"/>
        </w:rPr>
        <w:t xml:space="preserve"> 2. INTRODUCTION</w:t>
      </w:r>
    </w:p>
    <w:p w:rsidR="00000000" w:rsidDel="00000000" w:rsidP="00000000" w:rsidRDefault="00000000" w:rsidRPr="00000000" w14:paraId="0000003F">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40">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The scheduled event is the Global Green Tourism Summit 2025 – Welcome to Wales.   It is an international conference aiming to demonstrate the cultural richness, hospitality, and ecological dedication of Wales, neatly coinciding with the “Year of Croeso” theme.   According to Business Wales (2025), this summit closely links with the goal of highlighting Welsh warmth and responsible tourist practices while simultaneously promoting sustainable travel.   The Guardian (2022) has emphasised how Wales is trying to portray itself as a trailblazer in the field of green tourism, stressing cultural identity and environmentally sound visitor experiences.   The fundamental aim is to gather four </w:t>
      </w:r>
      <w:r w:rsidDel="00000000" w:rsidR="00000000" w:rsidRPr="00000000">
        <w:rPr>
          <w:rFonts w:ascii="Arial" w:cs="Arial" w:eastAsia="Arial" w:hAnsi="Arial"/>
          <w:rtl w:val="0"/>
        </w:rPr>
        <w:t xml:space="preserve">400</w:t>
      </w:r>
      <w:r w:rsidDel="00000000" w:rsidR="00000000" w:rsidRPr="00000000">
        <w:rPr>
          <w:rFonts w:ascii="Arial" w:cs="Arial" w:eastAsia="Arial" w:hAnsi="Arial"/>
          <w:vertAlign w:val="baseline"/>
          <w:rtl w:val="0"/>
        </w:rPr>
        <w:t xml:space="preserve"> delegates from at least </w:t>
      </w:r>
      <w:r w:rsidDel="00000000" w:rsidR="00000000" w:rsidRPr="00000000">
        <w:rPr>
          <w:rFonts w:ascii="Arial" w:cs="Arial" w:eastAsia="Arial" w:hAnsi="Arial"/>
          <w:rtl w:val="0"/>
        </w:rPr>
        <w:t xml:space="preserve">50</w:t>
      </w:r>
      <w:r w:rsidDel="00000000" w:rsidR="00000000" w:rsidRPr="00000000">
        <w:rPr>
          <w:rFonts w:ascii="Arial" w:cs="Arial" w:eastAsia="Arial" w:hAnsi="Arial"/>
          <w:vertAlign w:val="baseline"/>
          <w:rtl w:val="0"/>
        </w:rPr>
        <w:t xml:space="preserve"> nations, including major personalities from tourism boards, members of the international media, and representatives from eco-friendly hospitality enterprises.   This extensive reach reflects an intention to strengthen the global image of Wales as both a culturally distinctive and an ecologically conscientious host country (Meet in Wales, 2021).</w:t>
      </w:r>
    </w:p>
    <w:p w:rsidR="00000000" w:rsidDel="00000000" w:rsidP="00000000" w:rsidRDefault="00000000" w:rsidRPr="00000000" w14:paraId="00000041">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Meet In Wales (2025) points out that, by encouraging green travel, the summit can secure up to £</w:t>
      </w:r>
      <w:r w:rsidDel="00000000" w:rsidR="00000000" w:rsidRPr="00000000">
        <w:rPr>
          <w:rFonts w:ascii="Arial" w:cs="Arial" w:eastAsia="Arial" w:hAnsi="Arial"/>
          <w:rtl w:val="0"/>
        </w:rPr>
        <w:t xml:space="preserve">50,000</w:t>
      </w:r>
      <w:r w:rsidDel="00000000" w:rsidR="00000000" w:rsidRPr="00000000">
        <w:rPr>
          <w:rFonts w:ascii="Arial" w:cs="Arial" w:eastAsia="Arial" w:hAnsi="Arial"/>
          <w:vertAlign w:val="baseline"/>
          <w:rtl w:val="0"/>
        </w:rPr>
        <w:t xml:space="preserve"> in pledges that will be invested in Welsh eco-tourism projects.   Additionally, Newport, where this event is to be place, is predicted to gain from roughly £</w:t>
      </w:r>
      <w:r w:rsidDel="00000000" w:rsidR="00000000" w:rsidRPr="00000000">
        <w:rPr>
          <w:rFonts w:ascii="Arial" w:cs="Arial" w:eastAsia="Arial" w:hAnsi="Arial"/>
          <w:rtl w:val="0"/>
        </w:rPr>
        <w:t xml:space="preserve">100,000 </w:t>
      </w:r>
      <w:r w:rsidDel="00000000" w:rsidR="00000000" w:rsidRPr="00000000">
        <w:rPr>
          <w:rFonts w:ascii="Arial" w:cs="Arial" w:eastAsia="Arial" w:hAnsi="Arial"/>
          <w:vertAlign w:val="baseline"/>
          <w:rtl w:val="0"/>
        </w:rPr>
        <w:t xml:space="preserve"> in direct guest expenditure.   This economic advantage is particularly welcome given the recovery time many tourism sites have undergone after altering global circumstances.   The site was chosen carefully because it is well-connected via rail, airport, and road travel, ensuring accessibility for a wide range of foreign delegates.   Plaid Cymru (2025) emphasises that bilingual signs, as well as traditional Welsh folk music, will further underline the inviting “Croeso” atmosphere and cultural authenticity of the place.   Aligning the summit with broader Visit Wales strategic goals, as underlined by Wales.org (2021), highlights the need of creating strong collaborations across business, public, and community sectors.</w:t>
      </w:r>
    </w:p>
    <w:p w:rsidR="00000000" w:rsidDel="00000000" w:rsidP="00000000" w:rsidRDefault="00000000" w:rsidRPr="00000000" w14:paraId="00000042">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This meticulously crafted strategy also draws upon the necessity of defined objectives and viable aims, as noted by Wales.com (2022).   Hence, the conference’s strategic framework has explicitly specified fundraising, attendance, and economic impact thresholds.   A net profit of £</w:t>
      </w:r>
      <w:r w:rsidDel="00000000" w:rsidR="00000000" w:rsidRPr="00000000">
        <w:rPr>
          <w:rFonts w:ascii="Arial" w:cs="Arial" w:eastAsia="Arial" w:hAnsi="Arial"/>
          <w:rtl w:val="0"/>
        </w:rPr>
        <w:t xml:space="preserve">18,000 </w:t>
      </w:r>
      <w:r w:rsidDel="00000000" w:rsidR="00000000" w:rsidRPr="00000000">
        <w:rPr>
          <w:rFonts w:ascii="Arial" w:cs="Arial" w:eastAsia="Arial" w:hAnsi="Arial"/>
          <w:vertAlign w:val="baseline"/>
          <w:rtl w:val="0"/>
        </w:rPr>
        <w:t xml:space="preserve">is expected, contingent upon realistic cost estimates and revenue streams, and a break-even attendance of </w:t>
      </w:r>
      <w:r w:rsidDel="00000000" w:rsidR="00000000" w:rsidRPr="00000000">
        <w:rPr>
          <w:rFonts w:ascii="Arial" w:cs="Arial" w:eastAsia="Arial" w:hAnsi="Arial"/>
          <w:rtl w:val="0"/>
        </w:rPr>
        <w:t xml:space="preserve">300</w:t>
      </w:r>
      <w:r w:rsidDel="00000000" w:rsidR="00000000" w:rsidRPr="00000000">
        <w:rPr>
          <w:rFonts w:ascii="Arial" w:cs="Arial" w:eastAsia="Arial" w:hAnsi="Arial"/>
          <w:vertAlign w:val="baseline"/>
          <w:rtl w:val="0"/>
        </w:rPr>
        <w:t xml:space="preserve"> delegates has been established.   Visit Wales (2025) advocates reserving </w:t>
      </w:r>
      <w:r w:rsidDel="00000000" w:rsidR="00000000" w:rsidRPr="00000000">
        <w:rPr>
          <w:rFonts w:ascii="Arial" w:cs="Arial" w:eastAsia="Arial" w:hAnsi="Arial"/>
          <w:rtl w:val="0"/>
        </w:rPr>
        <w:t xml:space="preserve">10% </w:t>
      </w:r>
      <w:r w:rsidDel="00000000" w:rsidR="00000000" w:rsidRPr="00000000">
        <w:rPr>
          <w:rFonts w:ascii="Arial" w:cs="Arial" w:eastAsia="Arial" w:hAnsi="Arial"/>
          <w:vertAlign w:val="baseline"/>
          <w:rtl w:val="0"/>
        </w:rPr>
        <w:t xml:space="preserve">of the budget for unanticipated audio-visual expenses or personnel demands, providing a flexible approach to unforeseen issues.   These financial criteria are reinforced by an overarching commitment to planning transparency.   Monitoring real-time spending in relation to forecasts enables fast adjustments.   In conjunction with Visit Wales (2021), the preliminary study considers the Global Green Tourism Summit 2025 – Welcome to Wales possible in both financial and operational aspects (Plaid Cymru, 2025).</w:t>
      </w:r>
    </w:p>
    <w:p w:rsidR="00000000" w:rsidDel="00000000" w:rsidP="00000000" w:rsidRDefault="00000000" w:rsidRPr="00000000" w14:paraId="00000043">
      <w:pPr>
        <w:spacing w:line="360" w:lineRule="auto"/>
        <w:ind w:left="720" w:firstLine="0"/>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4">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3. THE EVENT CYCLE</w:t>
      </w:r>
    </w:p>
    <w:p w:rsidR="00000000" w:rsidDel="00000000" w:rsidP="00000000" w:rsidRDefault="00000000" w:rsidRPr="00000000" w14:paraId="00000045">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A valuable way for conceptualising and supervising a large-scale gathering such as this summit is to employ the event cycle framework.   Bowdin et al. (2022) characterise the event cycle as a methodical path that begins with conceptualisation, proceeds through detailed planning, transitions into implementation, and culminates in an assessment phase.   During the conceptualisation stage of the Global Green Tourism Summit 2025 – Welcome to Wales, the major topic was established around sustainable tourism and the unique “Croeso” spirit of Welsh hospitality.   Feasibility studies and stakeholder input also occured here, ensuring that the event’s goals were well-founded and financially realistic.</w:t>
      </w:r>
    </w:p>
    <w:p w:rsidR="00000000" w:rsidDel="00000000" w:rsidP="00000000" w:rsidRDefault="00000000" w:rsidRPr="00000000" w14:paraId="00000046">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The ensuing planning step involved more specific work on the budget and revenue predictions, identifying the summit’s target demographic, marketing approach, and program layout.   Scheduling keynote talks and establishing the number of breakout streams were crucial duties, as was locating local Welsh suppliers to preserve the environmental objectives of the event.   Implementation includes offering the event on-site, complete with speaker sessions, interactive workshops, and full logistical support for attendance.   The final step of the cycle, evaluation, looks closely at whether the established objectives were fulfilled, if the budget estimates were correct, and how participant satisfaction levels panned out in terms of cultural immersion and content quality.   Measuring performance according to indicators such as committed money, delegate feedback, and environmental effect not only confirms the present summit’s plan but also establishes a foundation of best practices for subsequent initiatives in the sphere of green tourism (Global Sustainable Tourism Council, 2023).</w:t>
      </w:r>
    </w:p>
    <w:p w:rsidR="00000000" w:rsidDel="00000000" w:rsidP="00000000" w:rsidRDefault="00000000" w:rsidRPr="00000000" w14:paraId="00000047">
      <w:pPr>
        <w:spacing w:line="360" w:lineRule="auto"/>
        <w:ind w:left="720" w:firstLine="0"/>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8">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 4. EVENT CONCEPT</w:t>
      </w:r>
    </w:p>
    <w:p w:rsidR="00000000" w:rsidDel="00000000" w:rsidP="00000000" w:rsidRDefault="00000000" w:rsidRPr="00000000" w14:paraId="00000049">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Pr>
        <w:drawing>
          <wp:inline distB="0" distT="0" distL="0" distR="0">
            <wp:extent cx="5731510" cy="1305560"/>
            <wp:effectExtent b="0" l="0" r="0" t="0"/>
            <wp:docPr id="169103455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130556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The Global Green Tourism Summit 2025 – Welcome to Wales will extend across three days.   Each day starts with substantial keynote speeches from experts in sustainability and Welsh government representatives debating green tourism strategies.   These morning seminars help to unify the attendees around similar learning goals and highlight the latest policy developments in eco-friendly travel.   After keynotes, the summit shifts to panel discussions, which concentrate around subjects such as “Community-Driven Ecotourism” and “Developing Low-Carbon Destinations”.   These conversations involve foreign experts, Welsh local leaders, and industry practitioners, imparting real-world views on how to make tourism not only profitable but also more sustainable and community-centred.</w:t>
      </w:r>
    </w:p>
    <w:p w:rsidR="00000000" w:rsidDel="00000000" w:rsidP="00000000" w:rsidRDefault="00000000" w:rsidRPr="00000000" w14:paraId="0000004B">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Hands-on seminars, offered by Green Tourism (2025), allow participants to obtain practical experience in carbon offsetting methods, eco-accreditation processes, and tactics for teaching visitors.   This practical element ensures that the event transcends theoretical discourse and allows attendees to leave with applicable strategies.   Another essential component is Welsh language “taster” classes, in line with what Naturetrek (2025) proposes, allowing delegates to immerse themselves in Welsh culture by learning simple phrases and therefore forming greater relationships with the local context.   Afternoons feature breakout seminars and exhibitions that enable participants the chance to study issues relevant to their backgrounds, or to test local green goods and services (The Times, 2025.1).   The final plenary day, as suggested by Henllys Lodge (2025), centres on developing future foreign collaborations, introducing large-scale project concepts, and exploring Welsh tourism investment opportunities.   Across the summit, attendees can enjoy Welsh gastronomic traditions, listen to live music performances, and establish professional contacts within a culturally rich and ecologically conscientious framework (Johnson, Whittington and Scholes, 2017).</w:t>
      </w:r>
    </w:p>
    <w:p w:rsidR="00000000" w:rsidDel="00000000" w:rsidP="00000000" w:rsidRDefault="00000000" w:rsidRPr="00000000" w14:paraId="0000004C">
      <w:pPr>
        <w:spacing w:line="360" w:lineRule="auto"/>
        <w:ind w:left="720" w:firstLine="0"/>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D">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5. AIM AND OBJECTIVES OF THE MEETING / EVENT</w:t>
      </w:r>
    </w:p>
    <w:p w:rsidR="00000000" w:rsidDel="00000000" w:rsidP="00000000" w:rsidRDefault="00000000" w:rsidRPr="00000000" w14:paraId="0000004E">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Pr>
        <w:drawing>
          <wp:inline distB="0" distT="0" distL="0" distR="0">
            <wp:extent cx="5731510" cy="5286338"/>
            <wp:effectExtent b="0" l="0" r="0" t="0"/>
            <wp:docPr id="1691034555"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5286338"/>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The overarching aim of the Global Green Tourism Summit 2025 – Welcome to Wales is to position Wales as a premier model of sustainable tourism by uniting key industry players, government agencies, and researchers from around the world, thereby advancing Welsh ecological goals, economic growth, and cultural pride.</w:t>
      </w:r>
    </w:p>
    <w:p w:rsidR="00000000" w:rsidDel="00000000" w:rsidP="00000000" w:rsidRDefault="00000000" w:rsidRPr="00000000" w14:paraId="00000050">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Several SMART goals underpin this broad target.   The first is to attract </w:t>
      </w:r>
      <w:r w:rsidDel="00000000" w:rsidR="00000000" w:rsidRPr="00000000">
        <w:rPr>
          <w:rFonts w:ascii="Arial" w:cs="Arial" w:eastAsia="Arial" w:hAnsi="Arial"/>
          <w:rtl w:val="0"/>
        </w:rPr>
        <w:t xml:space="preserve">400 </w:t>
      </w:r>
      <w:r w:rsidDel="00000000" w:rsidR="00000000" w:rsidRPr="00000000">
        <w:rPr>
          <w:rFonts w:ascii="Arial" w:cs="Arial" w:eastAsia="Arial" w:hAnsi="Arial"/>
          <w:vertAlign w:val="baseline"/>
          <w:rtl w:val="0"/>
        </w:rPr>
        <w:t xml:space="preserve">people, representing at least </w:t>
      </w:r>
      <w:r w:rsidDel="00000000" w:rsidR="00000000" w:rsidRPr="00000000">
        <w:rPr>
          <w:rFonts w:ascii="Arial" w:cs="Arial" w:eastAsia="Arial" w:hAnsi="Arial"/>
          <w:rtl w:val="0"/>
        </w:rPr>
        <w:t xml:space="preserve">15 </w:t>
      </w:r>
      <w:r w:rsidDel="00000000" w:rsidR="00000000" w:rsidRPr="00000000">
        <w:rPr>
          <w:rFonts w:ascii="Arial" w:cs="Arial" w:eastAsia="Arial" w:hAnsi="Arial"/>
          <w:vertAlign w:val="baseline"/>
          <w:rtl w:val="0"/>
        </w:rPr>
        <w:t xml:space="preserve">different nations, which speaks to the purpose of internationally scaling Welsh tourist views while supporting the concept of eco-friendly travel.   Another aim is to acquire at least £</w:t>
      </w:r>
      <w:r w:rsidDel="00000000" w:rsidR="00000000" w:rsidRPr="00000000">
        <w:rPr>
          <w:rFonts w:ascii="Arial" w:cs="Arial" w:eastAsia="Arial" w:hAnsi="Arial"/>
          <w:rtl w:val="0"/>
        </w:rPr>
        <w:t xml:space="preserve">50,000</w:t>
      </w:r>
      <w:r w:rsidDel="00000000" w:rsidR="00000000" w:rsidRPr="00000000">
        <w:rPr>
          <w:rFonts w:ascii="Arial" w:cs="Arial" w:eastAsia="Arial" w:hAnsi="Arial"/>
          <w:vertAlign w:val="baseline"/>
          <w:rtl w:val="0"/>
        </w:rPr>
        <w:t xml:space="preserve"> in eco-tourism pledges for Welsh initiatives, as indicated by Meet In Wales (2025), allowing the continuous expansion and success of local environmental programs.   A last crucial target is to record £</w:t>
      </w:r>
      <w:r w:rsidDel="00000000" w:rsidR="00000000" w:rsidRPr="00000000">
        <w:rPr>
          <w:rFonts w:ascii="Arial" w:cs="Arial" w:eastAsia="Arial" w:hAnsi="Arial"/>
          <w:rtl w:val="0"/>
        </w:rPr>
        <w:t xml:space="preserve">100,000 </w:t>
      </w:r>
      <w:r w:rsidDel="00000000" w:rsidR="00000000" w:rsidRPr="00000000">
        <w:rPr>
          <w:rFonts w:ascii="Arial" w:cs="Arial" w:eastAsia="Arial" w:hAnsi="Arial"/>
          <w:vertAlign w:val="baseline"/>
          <w:rtl w:val="0"/>
        </w:rPr>
        <w:t xml:space="preserve">in direct expenditure in Newport and adjacent regions , signifying a meaningful stimulus for the local economy that coincides with the summit’s focus on sustainable, community-empowering outcomes.   These goals also parallel the belief that clear targets improve successful planning and stakeholder participation (The Times, 2021).</w:t>
      </w:r>
    </w:p>
    <w:p w:rsidR="00000000" w:rsidDel="00000000" w:rsidP="00000000" w:rsidRDefault="00000000" w:rsidRPr="00000000" w14:paraId="00000051">
      <w:pPr>
        <w:spacing w:line="360" w:lineRule="auto"/>
        <w:ind w:left="720" w:firstLine="0"/>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2">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6. EVENT MANAGEMENT</w:t>
      </w:r>
    </w:p>
    <w:p w:rsidR="00000000" w:rsidDel="00000000" w:rsidP="00000000" w:rsidRDefault="00000000" w:rsidRPr="00000000" w14:paraId="00000053">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A complex multinational meeting, such as this summit, needs a diversified and well-coordinated workforce.   Project managers are crucial, controlling the event’s budget, timeline, and general stakeholder management.   Under them, event managers are responsible for on-site facilitation, including registration, name card distribution, and daily operations to ensure delegates have a seamless experience.   Technical professionals handle audiovisual installations, especially vital for modern conferences where streaming, technology-enabled Q&amp;A sessions, and dependable networking are necessary.   Sustainability planners play an important part too, given the summit’s ecological principles call for eco-friendly solutions in catering, energy usage, waste management, and mobility.   As MWT Cymru (2025) states, these planners regularly adopt eco-friendly approaches and track developments to hold the event accountable for its green credentials.   Meanwhile, marketing and public relations personnel construct initiatives such as “Croeso to Green Wales” to present a consistent message, organise social media, and link with major individuals in environmental media.</w:t>
      </w:r>
    </w:p>
    <w:p w:rsidR="00000000" w:rsidDel="00000000" w:rsidP="00000000" w:rsidRDefault="00000000" w:rsidRPr="00000000" w14:paraId="00000054">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Alongside these critical tasks, financial officers must track event expenditures, sponsor contributions, and delegate fees to ensure the summit stays within the predicted budget.   Maintaining real-time monitoring of actual spending against estimates permits fast modifications, a strategy suggested by MWT Cymru (2021).   In many respects, success for such a summit rests on the synergy that occurs when every member of the organising team understands the core objective and committed to keeping the Welsh hospitality notion of “Croeso,” mixed with a high standard of environmental stewardship (North Wales Tourism, 2021).</w:t>
      </w:r>
    </w:p>
    <w:p w:rsidR="00000000" w:rsidDel="00000000" w:rsidP="00000000" w:rsidRDefault="00000000" w:rsidRPr="00000000" w14:paraId="00000055">
      <w:pPr>
        <w:spacing w:line="360" w:lineRule="auto"/>
        <w:ind w:left="720" w:firstLine="0"/>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6">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7. EVENT BUDGET</w:t>
      </w:r>
    </w:p>
    <w:p w:rsidR="00000000" w:rsidDel="00000000" w:rsidP="00000000" w:rsidRDefault="00000000" w:rsidRPr="00000000" w14:paraId="00000057">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Financial feasibility is important to the success of any event, and the Global Green Tourism Summit 2025 - Welcome to Wales has been developed upon meticulous cost forecasting and revenue analysis.   The greatest expenditures, as highlighted by Audit Wales (2022), rest in renting the site (ICC Wales), compensating keynote and workshop speakers, and initiating worldwide marketing efforts to draw a global audience.   Additionally, participant-driven elements such as catering, eco-friendly supplies, and security measures change based on how many guests finally register.   Conference money mostly comes from delegate fees, sponsorships (from Visit Wales, Green Tourism UK, and other potential organisations), exhibitor booth rentals, and possible government grants.</w:t>
      </w:r>
    </w:p>
    <w:p w:rsidR="00000000" w:rsidDel="00000000" w:rsidP="00000000" w:rsidRDefault="00000000" w:rsidRPr="00000000" w14:paraId="00000058">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The break-even attendance figure is set at </w:t>
      </w:r>
      <w:r w:rsidDel="00000000" w:rsidR="00000000" w:rsidRPr="00000000">
        <w:rPr>
          <w:rFonts w:ascii="Arial" w:cs="Arial" w:eastAsia="Arial" w:hAnsi="Arial"/>
          <w:rtl w:val="0"/>
        </w:rPr>
        <w:t xml:space="preserve">300 </w:t>
      </w:r>
      <w:r w:rsidDel="00000000" w:rsidR="00000000" w:rsidRPr="00000000">
        <w:rPr>
          <w:rFonts w:ascii="Arial" w:cs="Arial" w:eastAsia="Arial" w:hAnsi="Arial"/>
          <w:vertAlign w:val="baseline"/>
          <w:rtl w:val="0"/>
        </w:rPr>
        <w:t xml:space="preserve">delegates, as mentioned by The Times (2021), suggesting that once this level is passed, more attendees will boost profitability.   From these projections, an £</w:t>
      </w:r>
      <w:r w:rsidDel="00000000" w:rsidR="00000000" w:rsidRPr="00000000">
        <w:rPr>
          <w:rFonts w:ascii="Arial" w:cs="Arial" w:eastAsia="Arial" w:hAnsi="Arial"/>
          <w:rtl w:val="0"/>
        </w:rPr>
        <w:t xml:space="preserve">18,000 </w:t>
      </w:r>
      <w:r w:rsidDel="00000000" w:rsidR="00000000" w:rsidRPr="00000000">
        <w:rPr>
          <w:rFonts w:ascii="Arial" w:cs="Arial" w:eastAsia="Arial" w:hAnsi="Arial"/>
          <w:vertAlign w:val="baseline"/>
          <w:rtl w:val="0"/>
        </w:rPr>
        <w:t xml:space="preserve">net profit is projected, which resonates with the data presented by Visit Wales (2021).   In addition, a </w:t>
      </w:r>
      <w:r w:rsidDel="00000000" w:rsidR="00000000" w:rsidRPr="00000000">
        <w:rPr>
          <w:rFonts w:ascii="Arial" w:cs="Arial" w:eastAsia="Arial" w:hAnsi="Arial"/>
          <w:rtl w:val="0"/>
        </w:rPr>
        <w:t xml:space="preserve">10%</w:t>
      </w:r>
      <w:r w:rsidDel="00000000" w:rsidR="00000000" w:rsidRPr="00000000">
        <w:rPr>
          <w:rFonts w:ascii="Arial" w:cs="Arial" w:eastAsia="Arial" w:hAnsi="Arial"/>
          <w:vertAlign w:val="baseline"/>
          <w:rtl w:val="0"/>
        </w:rPr>
        <w:t xml:space="preserve"> emergency fund is set aside to address unforeseen costs linked to audio-visual systems, last-minute personnel shortages, or other unexpected components that events of this scale can face.   Continual inspection of actual costs versus anticipated budgets allows room for flexible decision-making and real-time changes, according to MWT Cymru (2021).   This strategy creates financial openness among all parties, ensuring that the event maintains its solvency and accomplishes the charitable purpose of channelling cash toward Welsh green tourism projects (Business Wales, 2024).</w:t>
      </w:r>
    </w:p>
    <w:p w:rsidR="00000000" w:rsidDel="00000000" w:rsidP="00000000" w:rsidRDefault="00000000" w:rsidRPr="00000000" w14:paraId="00000059">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Below is a simplified breakdown of the event’s planned budget, focusing on significant categories of income and expenses:</w:t>
      </w:r>
    </w:p>
    <w:p w:rsidR="00000000" w:rsidDel="00000000" w:rsidP="00000000" w:rsidRDefault="00000000" w:rsidRPr="00000000" w14:paraId="0000005A">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Projected Income:</w:t>
      </w:r>
    </w:p>
    <w:p w:rsidR="00000000" w:rsidDel="00000000" w:rsidP="00000000" w:rsidRDefault="00000000" w:rsidRPr="00000000" w14:paraId="0000005B">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Delegate Fees (estimated 400 individuals)</w:t>
      </w:r>
    </w:p>
    <w:p w:rsidR="00000000" w:rsidDel="00000000" w:rsidP="00000000" w:rsidRDefault="00000000" w:rsidRPr="00000000" w14:paraId="0000005C">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Sponsorship (Visit Wales, Green Tourism UK, and others)</w:t>
      </w:r>
    </w:p>
    <w:p w:rsidR="00000000" w:rsidDel="00000000" w:rsidP="00000000" w:rsidRDefault="00000000" w:rsidRPr="00000000" w14:paraId="0000005D">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Exhibitor Booth Sales</w:t>
      </w:r>
    </w:p>
    <w:p w:rsidR="00000000" w:rsidDel="00000000" w:rsidP="00000000" w:rsidRDefault="00000000" w:rsidRPr="00000000" w14:paraId="0000005E">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Potential Government or Industry Subsidies</w:t>
      </w:r>
    </w:p>
    <w:p w:rsidR="00000000" w:rsidDel="00000000" w:rsidP="00000000" w:rsidRDefault="00000000" w:rsidRPr="00000000" w14:paraId="0000005F">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Key Expenditure:</w:t>
      </w:r>
    </w:p>
    <w:p w:rsidR="00000000" w:rsidDel="00000000" w:rsidP="00000000" w:rsidRDefault="00000000" w:rsidRPr="00000000" w14:paraId="00000060">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Venue Rental at ICC Wales, with meeting utilities</w:t>
      </w:r>
    </w:p>
    <w:p w:rsidR="00000000" w:rsidDel="00000000" w:rsidP="00000000" w:rsidRDefault="00000000" w:rsidRPr="00000000" w14:paraId="00000061">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Keynote Speaker and Workshop Leader Fees, including airfare and housing for certain VIPs (Industry Visit Wales, 2025).</w:t>
      </w:r>
    </w:p>
    <w:p w:rsidR="00000000" w:rsidDel="00000000" w:rsidP="00000000" w:rsidRDefault="00000000" w:rsidRPr="00000000" w14:paraId="00000062">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Marketing and Public Relations (designing materials, influencer prices, social media ads)</w:t>
      </w:r>
    </w:p>
    <w:p w:rsidR="00000000" w:rsidDel="00000000" w:rsidP="00000000" w:rsidRDefault="00000000" w:rsidRPr="00000000" w14:paraId="00000063">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Catering (sustainably found local ingredients)</w:t>
      </w:r>
    </w:p>
    <w:p w:rsidR="00000000" w:rsidDel="00000000" w:rsidP="00000000" w:rsidRDefault="00000000" w:rsidRPr="00000000" w14:paraId="00000064">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Operational Staff Costs (including event planners, AV techs, interpreters)</w:t>
      </w:r>
    </w:p>
    <w:p w:rsidR="00000000" w:rsidDel="00000000" w:rsidP="00000000" w:rsidRDefault="00000000" w:rsidRPr="00000000" w14:paraId="00000065">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w:t>
      </w:r>
      <w:r w:rsidDel="00000000" w:rsidR="00000000" w:rsidRPr="00000000">
        <w:rPr>
          <w:rFonts w:ascii="Arial" w:cs="Arial" w:eastAsia="Arial" w:hAnsi="Arial"/>
          <w:rtl w:val="0"/>
        </w:rPr>
        <w:t xml:space="preserve">10%</w:t>
      </w:r>
      <w:r w:rsidDel="00000000" w:rsidR="00000000" w:rsidRPr="00000000">
        <w:rPr>
          <w:rFonts w:ascii="Arial" w:cs="Arial" w:eastAsia="Arial" w:hAnsi="Arial"/>
          <w:vertAlign w:val="baseline"/>
          <w:rtl w:val="0"/>
        </w:rPr>
        <w:t xml:space="preserve"> Emergency Reserve</w:t>
      </w:r>
    </w:p>
    <w:p w:rsidR="00000000" w:rsidDel="00000000" w:rsidP="00000000" w:rsidRDefault="00000000" w:rsidRPr="00000000" w14:paraId="00000066">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Based on the estimates supplied during the original feasibility studies, the net outcome of these income streams and costs is a projected profit of £18,000 assuming attendance and sponsorship targets are satisfied.   Moreover, the event’s intangible benefits include expanding global knowledge of Welsh sustainable tourism practices and promoting the “Croeso” brand (Visit Wales, 2021).</w:t>
      </w:r>
    </w:p>
    <w:p w:rsidR="00000000" w:rsidDel="00000000" w:rsidP="00000000" w:rsidRDefault="00000000" w:rsidRPr="00000000" w14:paraId="00000067">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7. Event Budget From the presentation, the expected net profit is £18,000, with 300 delegates being the break-even mark.   Key qualities include:</w:t>
      </w:r>
    </w:p>
    <w:p w:rsidR="00000000" w:rsidDel="00000000" w:rsidP="00000000" w:rsidRDefault="00000000" w:rsidRPr="00000000" w14:paraId="00000068">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Income:  1. Delegate Fees: Tiered early-bird fees, ordinary rates, and group savings (The Guardian, 2021).</w:t>
      </w:r>
    </w:p>
    <w:p w:rsidR="00000000" w:rsidDel="00000000" w:rsidP="00000000" w:rsidRDefault="00000000" w:rsidRPr="00000000" w14:paraId="00000069">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2. Sponsorships: Visit Wales, Green Tourism UK, exhibitor booth fees, and possible subsidies.</w:t>
      </w:r>
    </w:p>
    <w:p w:rsidR="00000000" w:rsidDel="00000000" w:rsidP="00000000" w:rsidRDefault="00000000" w:rsidRPr="00000000" w14:paraId="0000006A">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3. Exhibition Spaces: Fees from eco-friendly entrepreneurs showing items.</w:t>
      </w:r>
    </w:p>
    <w:p w:rsidR="00000000" w:rsidDel="00000000" w:rsidP="00000000" w:rsidRDefault="00000000" w:rsidRPr="00000000" w14:paraId="0000006B">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 Expenditure:</w:t>
      </w:r>
    </w:p>
    <w:p w:rsidR="00000000" w:rsidDel="00000000" w:rsidP="00000000" w:rsidRDefault="00000000" w:rsidRPr="00000000" w14:paraId="0000006C">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1. Venue Hire &amp; Services: ICC Wales hire, technology setup, breakout rooms (Ambition North Wales, 2021).</w:t>
      </w:r>
    </w:p>
    <w:p w:rsidR="00000000" w:rsidDel="00000000" w:rsidP="00000000" w:rsidRDefault="00000000" w:rsidRPr="00000000" w14:paraId="0000006D">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2. Speaker Costs: Keynote honorariums, travel, hotel.</w:t>
      </w:r>
    </w:p>
    <w:p w:rsidR="00000000" w:rsidDel="00000000" w:rsidP="00000000" w:rsidRDefault="00000000" w:rsidRPr="00000000" w14:paraId="0000006E">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3. Marketing: Designing bilingual campaigns, influencer relationships, social media ads.  4. workers &amp; Logistics: Salaries or contractor costs for event planners, technical workers, security, etc.</w:t>
      </w:r>
    </w:p>
    <w:p w:rsidR="00000000" w:rsidDel="00000000" w:rsidP="00000000" w:rsidRDefault="00000000" w:rsidRPr="00000000" w14:paraId="0000006F">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5. Catering: Locally sourced cuisine, centred on organic and seasonal produce (MWT Cymru, 2025).</w:t>
      </w:r>
    </w:p>
    <w:p w:rsidR="00000000" w:rsidDel="00000000" w:rsidP="00000000" w:rsidRDefault="00000000" w:rsidRPr="00000000" w14:paraId="00000070">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6. Contingency: 10% emergency fund for unplanned AV or staffing needs, as stated.</w:t>
      </w:r>
    </w:p>
    <w:p w:rsidR="00000000" w:rsidDel="00000000" w:rsidP="00000000" w:rsidRDefault="00000000" w:rsidRPr="00000000" w14:paraId="00000071">
      <w:pPr>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As indicated, monitoring actual vs. expected spend is critical for dynamic adjustments.   Surpassing 300 guests enhances the profit margin, while ensuring costs stay consistent.   Achieving the £50,000 fundraising pledge objective also provides intangible value to local projects (Naturetrek, 2025).</w:t>
      </w:r>
    </w:p>
    <w:p w:rsidR="00000000" w:rsidDel="00000000" w:rsidP="00000000" w:rsidRDefault="00000000" w:rsidRPr="00000000" w14:paraId="00000072">
      <w:pPr>
        <w:spacing w:line="360" w:lineRule="auto"/>
        <w:ind w:left="72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3">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8. INDUSTRY TRENDS / ISSUES / IMPACTS</w:t>
      </w:r>
    </w:p>
    <w:p w:rsidR="00000000" w:rsidDel="00000000" w:rsidP="00000000" w:rsidRDefault="00000000" w:rsidRPr="00000000" w14:paraId="00000074">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The meetings and events business continues to adapt in response to global influences, technological breakthroughs, and sustainability imperatives.   One pressing trend is the growth in demand for eco-conscious events, something that resonates directly with the Welsh focus on decreasing carbon footprints and promoting local communities.   Consequently, planners have been more attentive of choosing locations with sound environmental strategies and building ties with suppliers who value recycling, waste minimisation, and local sourcing.   Another noteworthy trend is to digital and hybrid event platforms, which enhance audiences by permitting remote involvement.   FT.com (2021) adds that by giving virtual participation alternatives, an event might appeal to delegates unable or unable to engage in long-distance travel, which can lessen total environmental impact and reduce cancellations or disruptions.</w:t>
      </w:r>
    </w:p>
    <w:p w:rsidR="00000000" w:rsidDel="00000000" w:rsidP="00000000" w:rsidRDefault="00000000" w:rsidRPr="00000000" w14:paraId="00000075">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An constant focus on cultural authenticity also shapes the business.   Researchers observe that delegates desire immersive experiences, and the presence of bilingual signs and traditional music can differentiate an event, especially in a region like Wales with a rich history.   Plaid Cymru (2025) illustrates how promoting national identity can enhance both audience enjoyment and post-event tourism.   Certain macroeconomic variables, such as inflation or changes in travel rules, also affect event success.   This conference handles these issues by having flexible registration criteria and offers early-bird discounts.   Health and safety considerations continue to be crucial, as shown by Meet In Wales (2025), underlining the necessity for norms that adapt to changing situations.   Moreover, the drive toward inclusive tourism ensures that people from diverse backgrounds feel genuinely welcomed, supported by strategies like offering a variety of dietary choices, ensuring accessibility in all physical spaces, and scheduling content that addresses both academic and industry perspectives (Audit Wales, 2022).</w:t>
      </w:r>
    </w:p>
    <w:p w:rsidR="00000000" w:rsidDel="00000000" w:rsidP="00000000" w:rsidRDefault="00000000" w:rsidRPr="00000000" w14:paraId="00000076">
      <w:pPr>
        <w:spacing w:line="360" w:lineRule="auto"/>
        <w:ind w:left="720" w:firstLine="0"/>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7">
      <w:pPr>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9. SITUATIONAL AND CULTURAL CONSIDERATIONS</w:t>
      </w:r>
    </w:p>
    <w:p w:rsidR="00000000" w:rsidDel="00000000" w:rsidP="00000000" w:rsidRDefault="00000000" w:rsidRPr="00000000" w14:paraId="00000078">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Evaluating the wider location in which the summit takes place is vital, especially when factoring in the cultural aspirations and environmental aims that underpin the event’s ethos.   A PESTEL analysis, a tool widely suggested by Johnson et al. (2017), offers insight into the Political, Economic, Social, Technological, Environmental, and Legal aspects affecting the event.</w:t>
      </w:r>
    </w:p>
    <w:p w:rsidR="00000000" w:rsidDel="00000000" w:rsidP="00000000" w:rsidRDefault="00000000" w:rsidRPr="00000000" w14:paraId="00000079">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From a political aspect, Wales benefits from devolved authorities that allow it to pursue tourist aims.   Visit Wales, with the cooperation of the Welsh government, typically offers supporting financing and marketing, which assists events like the Global Green Tourism Summit.   Economic factors concentrate around the opportunity for foreign investments, sponsor contributions, and the local money injection from visitors.   Exchange rate swings or post-Brexit laws might alter the cost structures of having an overseas event, but cautious planning and local connections assist overcome these concerns.   In social terms, heightened knowledge surrounding sustainability and cultural identity encourages goodwill, which this summit utilises by offering bilingual signs and displaying Welsh music and language, keeping with the notion of “Croeso.” (Worlds Better, 2023).</w:t>
      </w:r>
    </w:p>
    <w:p w:rsidR="00000000" w:rsidDel="00000000" w:rsidP="00000000" w:rsidRDefault="00000000" w:rsidRPr="00000000" w14:paraId="0000007A">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  On the technology front, the transition to hybrid meeting environments needs for powerful AV infrastructure, stable internet connection, and user-friendly event software, all of which ICC Wales can supply.   Environmentally, the entire conceptual framework of this conference focusses on green tourism principles, indicating carbon offsetting, the employment of recyclable materials, and advising delegates to use bus or train transport where possible.   Finally, legal laws, health and safety standards, and supplier contracts that favour local vendors or green-certified suppliers all combine to guarantee that operational choices stay consistent with Welsh legislation and rules.   This strategy assures not only compliance but also generates a feeling of integrity crucial to the success of a green event.</w:t>
      </w:r>
    </w:p>
    <w:p w:rsidR="00000000" w:rsidDel="00000000" w:rsidP="00000000" w:rsidRDefault="00000000" w:rsidRPr="00000000" w14:paraId="0000007B">
      <w:pPr>
        <w:spacing w:after="280" w:before="280" w:line="360" w:lineRule="auto"/>
        <w:ind w:left="720" w:firstLine="0"/>
        <w:jc w:val="both"/>
        <w:rPr>
          <w:rFonts w:ascii="Arial" w:cs="Arial" w:eastAsia="Arial" w:hAnsi="Arial"/>
          <w:vertAlign w:val="baseline"/>
        </w:rPr>
      </w:pPr>
      <w:r w:rsidDel="00000000" w:rsidR="00000000" w:rsidRPr="00000000">
        <w:rPr>
          <w:rFonts w:ascii="Arial" w:cs="Arial" w:eastAsia="Arial" w:hAnsi="Arial"/>
          <w:vertAlign w:val="baseline"/>
          <w:rtl w:val="0"/>
        </w:rPr>
        <w:t xml:space="preserve">Cultural concerns are as essential.   As the event name suggests, “Welcome to Wales” promotes the local identity and encourages guests to explore intangible heritage, such as folk traditions and culinary highlights, in a way that stimulates learning and sensitivity to local customs.   By giving Welsh classes and musical performances, the summit anchors itself in the heart of Welsh community life and guarantees that participants acquire both a professional and cultural education during their visit.   This strategy aligns with global trends emphasising experiential travel, since attendees generally desire something more significant than traditional conference experiences.   Altogether, these situational and cultural components provide the context against which the event is planned and implemented, showcasing the connection between Wales’s vision of sustainable hospitality and the international audience’s desire for engaging, responsible tourism experiences (Ecobnb, 2021).</w:t>
      </w:r>
    </w:p>
    <w:p w:rsidR="00000000" w:rsidDel="00000000" w:rsidP="00000000" w:rsidRDefault="00000000" w:rsidRPr="00000000" w14:paraId="0000007C">
      <w:pPr>
        <w:spacing w:line="360" w:lineRule="auto"/>
        <w:ind w:left="720" w:firstLine="0"/>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Conclusion</w:t>
      </w:r>
    </w:p>
    <w:p w:rsidR="00000000" w:rsidDel="00000000" w:rsidP="00000000" w:rsidRDefault="00000000" w:rsidRPr="00000000" w14:paraId="0000007D">
      <w:pPr>
        <w:spacing w:line="360" w:lineRule="auto"/>
        <w:ind w:left="720" w:firstLine="0"/>
        <w:jc w:val="both"/>
        <w:rPr>
          <w:rFonts w:ascii="Arial" w:cs="Arial" w:eastAsia="Arial" w:hAnsi="Arial"/>
        </w:rPr>
      </w:pPr>
      <w:r w:rsidDel="00000000" w:rsidR="00000000" w:rsidRPr="00000000">
        <w:rPr>
          <w:rFonts w:ascii="Arial" w:cs="Arial" w:eastAsia="Arial" w:hAnsi="Arial"/>
          <w:rtl w:val="0"/>
        </w:rPr>
        <w:t xml:space="preserve">The Global Green Tourism Summit 2025 - Welcome to Wales is a deliberately conceived project meant to position Wales at the forefront of international sustainable tourism.   Aligned with the captivating "Year of Croeso" theme, this event is meticulously organised to emphasise Welsh cultural hospitality, ecological responsibility, and economic revitalisation.   Careful planning across numerous dimensions—financial management, audience engagement, venue selection, and event operations—ensures robust feasibility, notably through realistic budgeting, rigorous risk assessment, and the integration of modern sustainable techniques.</w:t>
      </w:r>
    </w:p>
    <w:p w:rsidR="00000000" w:rsidDel="00000000" w:rsidP="00000000" w:rsidRDefault="00000000" w:rsidRPr="00000000" w14:paraId="0000007E">
      <w:pPr>
        <w:spacing w:line="360" w:lineRule="auto"/>
        <w:ind w:left="72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F">
      <w:pPr>
        <w:spacing w:line="360" w:lineRule="auto"/>
        <w:ind w:left="720" w:firstLine="0"/>
        <w:jc w:val="both"/>
        <w:rPr/>
      </w:pPr>
      <w:r w:rsidDel="00000000" w:rsidR="00000000" w:rsidRPr="00000000">
        <w:rPr>
          <w:rtl w:val="0"/>
        </w:rPr>
      </w:r>
    </w:p>
    <w:p w:rsidR="00000000" w:rsidDel="00000000" w:rsidP="00000000" w:rsidRDefault="00000000" w:rsidRPr="00000000" w14:paraId="00000080">
      <w:pPr>
        <w:spacing w:line="360" w:lineRule="auto"/>
        <w:ind w:left="720" w:firstLine="0"/>
        <w:jc w:val="both"/>
        <w:rPr/>
      </w:pPr>
      <w:r w:rsidDel="00000000" w:rsidR="00000000" w:rsidRPr="00000000">
        <w:rPr>
          <w:rtl w:val="0"/>
        </w:rPr>
      </w:r>
    </w:p>
    <w:p w:rsidR="00000000" w:rsidDel="00000000" w:rsidP="00000000" w:rsidRDefault="00000000" w:rsidRPr="00000000" w14:paraId="00000081">
      <w:pPr>
        <w:spacing w:line="360" w:lineRule="auto"/>
        <w:ind w:left="720" w:firstLine="0"/>
        <w:jc w:val="both"/>
        <w:rPr/>
      </w:pPr>
      <w:r w:rsidDel="00000000" w:rsidR="00000000" w:rsidRPr="00000000">
        <w:rPr>
          <w:rtl w:val="0"/>
        </w:rPr>
      </w:r>
    </w:p>
    <w:p w:rsidR="00000000" w:rsidDel="00000000" w:rsidP="00000000" w:rsidRDefault="00000000" w:rsidRPr="00000000" w14:paraId="00000082">
      <w:pPr>
        <w:spacing w:line="360" w:lineRule="auto"/>
        <w:ind w:left="720" w:firstLine="0"/>
        <w:jc w:val="both"/>
        <w:rPr/>
      </w:pPr>
      <w:r w:rsidDel="00000000" w:rsidR="00000000" w:rsidRPr="00000000">
        <w:rPr>
          <w:rtl w:val="0"/>
        </w:rPr>
      </w:r>
    </w:p>
    <w:p w:rsidR="00000000" w:rsidDel="00000000" w:rsidP="00000000" w:rsidRDefault="00000000" w:rsidRPr="00000000" w14:paraId="00000083">
      <w:pPr>
        <w:spacing w:line="360" w:lineRule="auto"/>
        <w:ind w:left="720" w:firstLine="0"/>
        <w:jc w:val="both"/>
        <w:rPr/>
      </w:pPr>
      <w:r w:rsidDel="00000000" w:rsidR="00000000" w:rsidRPr="00000000">
        <w:rPr>
          <w:rtl w:val="0"/>
        </w:rPr>
      </w:r>
    </w:p>
    <w:p w:rsidR="00000000" w:rsidDel="00000000" w:rsidP="00000000" w:rsidRDefault="00000000" w:rsidRPr="00000000" w14:paraId="00000084">
      <w:pPr>
        <w:spacing w:line="360" w:lineRule="auto"/>
        <w:ind w:left="720" w:firstLine="0"/>
        <w:jc w:val="both"/>
        <w:rPr/>
      </w:pPr>
      <w:r w:rsidDel="00000000" w:rsidR="00000000" w:rsidRPr="00000000">
        <w:rPr>
          <w:rtl w:val="0"/>
        </w:rPr>
      </w:r>
    </w:p>
    <w:p w:rsidR="00000000" w:rsidDel="00000000" w:rsidP="00000000" w:rsidRDefault="00000000" w:rsidRPr="00000000" w14:paraId="00000085">
      <w:pPr>
        <w:spacing w:line="360" w:lineRule="auto"/>
        <w:ind w:left="720" w:firstLine="0"/>
        <w:jc w:val="both"/>
        <w:rPr/>
      </w:pPr>
      <w:r w:rsidDel="00000000" w:rsidR="00000000" w:rsidRPr="00000000">
        <w:rPr>
          <w:rtl w:val="0"/>
        </w:rPr>
      </w:r>
    </w:p>
    <w:p w:rsidR="00000000" w:rsidDel="00000000" w:rsidP="00000000" w:rsidRDefault="00000000" w:rsidRPr="00000000" w14:paraId="00000086">
      <w:pPr>
        <w:spacing w:line="360" w:lineRule="auto"/>
        <w:ind w:left="720" w:firstLine="0"/>
        <w:jc w:val="both"/>
        <w:rPr/>
      </w:pPr>
      <w:r w:rsidDel="00000000" w:rsidR="00000000" w:rsidRPr="00000000">
        <w:rPr>
          <w:rtl w:val="0"/>
        </w:rPr>
      </w:r>
    </w:p>
    <w:p w:rsidR="00000000" w:rsidDel="00000000" w:rsidP="00000000" w:rsidRDefault="00000000" w:rsidRPr="00000000" w14:paraId="00000087">
      <w:pPr>
        <w:spacing w:line="360" w:lineRule="auto"/>
        <w:ind w:left="720" w:firstLine="0"/>
        <w:jc w:val="both"/>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r>
    </w:p>
    <w:p w:rsidR="00000000" w:rsidDel="00000000" w:rsidP="00000000" w:rsidRDefault="00000000" w:rsidRPr="00000000" w14:paraId="00000089">
      <w:pPr>
        <w:spacing w:line="360" w:lineRule="auto"/>
        <w:jc w:val="both"/>
        <w:rPr/>
      </w:pPr>
      <w:r w:rsidDel="00000000" w:rsidR="00000000" w:rsidRPr="00000000">
        <w:rPr>
          <w:rtl w:val="0"/>
        </w:rPr>
      </w:r>
    </w:p>
    <w:p w:rsidR="00000000" w:rsidDel="00000000" w:rsidP="00000000" w:rsidRDefault="00000000" w:rsidRPr="00000000" w14:paraId="0000008A">
      <w:pPr>
        <w:spacing w:line="360" w:lineRule="auto"/>
        <w:jc w:val="both"/>
        <w:rPr/>
      </w:pPr>
      <w:r w:rsidDel="00000000" w:rsidR="00000000" w:rsidRPr="00000000">
        <w:rPr>
          <w:rtl w:val="0"/>
        </w:rPr>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Ambition North Wales (2021) Responsible Adventure. Available at: https://ambitionnorth.wales/agri-food-and-tourism/responsible-adventure/.</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Audit Wales (2022) Sustainable Tourism in Wales’ National Parks. Available at: https://www.audit.wales/news/challenge-national-parks-wales-balance-encouraging-tourism-conserving-natural-environment.</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News Wales (2024) Visit Wales Unveils Theme for Attracting Visitors in 2025. Business News Wales, 22 July. Available at: https://businessnewswales.com/visit-wales-unveils-theme-for-attracting-visitors-in-2025/.</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Wales (2024) Croeso’ i bawb! A warm Welsh ‘Welcome!’ Available at: https://businesswales.gov.wales/news-and-blog/croeso-i-bawb-a-warm-welsh-welcome.</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Bowdin, G., Allen, J., O’Toole, W., Harris, R. and McDonnell, I.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Events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5th edn. London: Routledge.</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Wales (2025) Sustainable Tourism Wales. Available at: https://businesswales.gov.wales/tourism/sustainable-tourism-wales.</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Ecobnb (2021) Green Hospitality: 10 Eco-Friendly Steps for your Hotel. Available at: https://ecobnb.com/blog/2021/05/green-hospitality-eco-friendly-steps-hotel/.</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Event Industry News (2023) Sustainability in the Business Events Sector Calls for a Collaborative Approach. Available at: https://www.eventindustrynews.com/news/sustainability-in-the-business-events-sector-calls-for-a-collaborative-approach.</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FT.com (2021) Tidy! Inside Cardigan's food revolution. Available at: https://www.ft.com/content/21e18300-1aee-4c22-939d-bdfda18e4784.</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FT.com (2022) Logistics issues, cancellations, and sudden travel rule changes in events. Available at: https://www.ft.com/content/21e18300-1aee-4c22-939d-bdfda18e4784.</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 Sustainable Tourism Council (2023) GSTC Criteria. Available at: https://www.gstcouncil.org.</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Green Tourism (2025) Who We Work With. Available at: https://www.green-tourism.com/who-we-work-with/.</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Henllys Lodge (2025) Eco-friendly luxury in rural Carmarthenshire, Wales. Available at: https://henllyslodge.co.uk/.</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Industry Visit Wales (2025) Year of Croeso Campaign. Available at: https://industry.visitwales.com/get-involved/visit-wales-themed-year-campaigns/year-croeso.</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Johnson, G., Whittington, R. and Scholes, K.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Exploring Strategy: Text &amp; Cases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Harlow: Pearson.</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Meet in Wales (2021) ICC Wales: Wales' International Convention Centre. Available at: https://www.meetinwales.com/choose-wales/wales-for-associations/information-on-icc-wales.</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MWT Cymru (2025) Sustainable Tourism Wales – News. Available at: https://www.mwtcymru.co.uk/latest-news/sustainable-tourism-wales.</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Naturetrek (2025) Sustainable Tourism. Available at: https://www.naturetrek.co.uk/sustainable-tourism.</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North Wales Tourism (2021) Sustainable Tourism: A Framework for Wales. Available at: https://northwalestourism.com/research-strategies/sustainable-tourism-a-framework-for-wales.</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Plaid Cymru (2025) Sustainable Tourism – Plaid Cymru. Available at: https://www.partyof.wales/2022_twristiaeth_tourism.</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Guardian (2021) Deep joy: Wales embraces 'hwyl' in tourism campaign. Available at: https://www.theguardian.com/uk-news/2025/jan/12/deep-joy-wales-embraces-hwyl-in-tourism-campaign-to-rival-danish-hygge.</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Guardian (2022) Wales aims to lead green tourism. The Guardian..</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Times (2021) Harbourmaster hotel review: a Cardigan Bay trailblazer. Available at: https://www.thetimes.co.uk/article/the-harbourmaster-cardigan-bay-wales-hotel-review-b8dmxbb3t.</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Visit Wales (2021) Funding information and advice available for tourism businesses. Available at: https://industry.visitwales.com/supporting-you/funding-information-and-advice-available-tourism-businesses.</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Visit Wales (2025) Wales Tourism Summit 2025. Available at: https://industry.visitwales.com/get-involved/industry-engagement-events/wales-tourism-summit-2025.</w:t>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Worlds Better (2023) ICC Wales: how venues can achieve their sustainability goals. Available at: https://www.worlds-better.co.uk/post/icc-wales-how-venues-can-achieve-their-sustainability-goals.</w:t>
      </w:r>
    </w:p>
    <w:p w:rsidR="00000000" w:rsidDel="00000000" w:rsidP="00000000" w:rsidRDefault="00000000" w:rsidRPr="00000000" w14:paraId="000000A7">
      <w:pPr>
        <w:spacing w:line="360" w:lineRule="auto"/>
        <w:jc w:val="both"/>
        <w:rPr/>
      </w:pPr>
      <w:r w:rsidDel="00000000" w:rsidR="00000000" w:rsidRPr="00000000">
        <w:rPr>
          <w:rtl w:val="0"/>
        </w:rPr>
      </w:r>
    </w:p>
    <w:sectPr>
      <w:footerReference r:id="rId9"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156082"/>
        <w:sz w:val="24"/>
        <w:szCs w:val="24"/>
        <w:u w:val="none"/>
        <w:shd w:fill="auto" w:val="clear"/>
        <w:vertAlign w:val="baseline"/>
        <w:rtl w:val="0"/>
      </w:rPr>
      <w:t xml:space="preserve"> </w:t>
    </w:r>
    <w:r w:rsidDel="00000000" w:rsidR="00000000" w:rsidRPr="00000000">
      <w:rPr>
        <w:rFonts w:ascii="Play" w:cs="Play" w:eastAsia="Play" w:hAnsi="Play"/>
        <w:b w:val="0"/>
        <w:i w:val="0"/>
        <w:smallCaps w:val="0"/>
        <w:strike w:val="0"/>
        <w:color w:val="156082"/>
        <w:sz w:val="20"/>
        <w:szCs w:val="20"/>
        <w:u w:val="none"/>
        <w:shd w:fill="auto" w:val="clear"/>
        <w:vertAlign w:val="baseline"/>
        <w:rtl w:val="0"/>
      </w:rPr>
      <w:t xml:space="preserve">pg. </w:t>
    </w:r>
    <w:r w:rsidDel="00000000" w:rsidR="00000000" w:rsidRPr="00000000">
      <w:rPr>
        <w:rFonts w:ascii="Aptos" w:cs="Aptos" w:eastAsia="Aptos" w:hAnsi="Aptos"/>
        <w:b w:val="0"/>
        <w:i w:val="0"/>
        <w:smallCaps w:val="0"/>
        <w:strike w:val="0"/>
        <w:color w:val="156082"/>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0</wp:posOffset>
              </wp:positionV>
              <wp:extent cx="7380605" cy="9544685"/>
              <wp:effectExtent b="0" l="0" r="0" t="0"/>
              <wp:wrapNone/>
              <wp:docPr id="1691034554" name=""/>
              <a:graphic>
                <a:graphicData uri="http://schemas.microsoft.com/office/word/2010/wordprocessingShape">
                  <wps:wsp>
                    <wps:cNvSpPr/>
                    <wps:cNvPr id="2" name="Shape 2"/>
                    <wps:spPr>
                      <a:xfrm>
                        <a:off x="1663635" y="0"/>
                        <a:ext cx="7364730" cy="7560000"/>
                      </a:xfrm>
                      <a:prstGeom prst="rect">
                        <a:avLst/>
                      </a:prstGeom>
                      <a:noFill/>
                      <a:ln cap="flat" cmpd="sng" w="15875">
                        <a:solidFill>
                          <a:srgbClr val="74747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0</wp:posOffset>
              </wp:positionV>
              <wp:extent cx="7380605" cy="9544685"/>
              <wp:effectExtent b="0" l="0" r="0" t="0"/>
              <wp:wrapNone/>
              <wp:docPr id="1691034554" name="image3.png"/>
              <a:graphic>
                <a:graphicData uri="http://schemas.openxmlformats.org/drawingml/2006/picture">
                  <pic:pic>
                    <pic:nvPicPr>
                      <pic:cNvPr id="0" name="image3.png"/>
                      <pic:cNvPicPr preferRelativeResize="0"/>
                    </pic:nvPicPr>
                    <pic:blipFill>
                      <a:blip r:embed="rId1"/>
                      <a:srcRect/>
                      <a:stretch>
                        <a:fillRect/>
                      </a:stretch>
                    </pic:blipFill>
                    <pic:spPr>
                      <a:xfrm>
                        <a:off x="0" y="0"/>
                        <a:ext cx="7380605" cy="9544685"/>
                      </a:xfrm>
                      <a:prstGeom prst="rect"/>
                      <a:ln/>
                    </pic:spPr>
                  </pic:pic>
                </a:graphicData>
              </a:graphic>
            </wp:anchor>
          </w:drawing>
        </mc:Fallback>
      </mc:AlternateConten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360" w:lineRule="auto"/>
      <w:jc w:val="center"/>
    </w:pPr>
    <w:rPr>
      <w:rFonts w:ascii="Times New Roman" w:cs="Times New Roman" w:eastAsia="Times New Roman" w:hAnsi="Times New Roman"/>
      <w:b w:val="1"/>
      <w:color w:val="000000"/>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110D29"/>
    <w:pPr>
      <w:keepNext w:val="1"/>
      <w:keepLines w:val="1"/>
      <w:spacing w:after="80" w:before="360" w:line="360" w:lineRule="auto"/>
      <w:jc w:val="center"/>
      <w:outlineLvl w:val="0"/>
    </w:pPr>
    <w:rPr>
      <w:rFonts w:ascii="Times New Roman" w:hAnsi="Times New Roman" w:cstheme="majorBidi" w:eastAsiaTheme="majorEastAsia"/>
      <w:b w:val="1"/>
      <w:color w:val="000000" w:themeColor="text1"/>
      <w:sz w:val="40"/>
      <w:szCs w:val="40"/>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10D29"/>
    <w:rPr>
      <w:rFonts w:ascii="Times New Roman" w:hAnsi="Times New Roman" w:cstheme="majorBidi" w:eastAsiaTheme="majorEastAsia"/>
      <w:b w:val="1"/>
      <w:color w:val="000000" w:themeColor="text1"/>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character" w:styleId="apple-converted-space" w:customStyle="1">
    <w:name w:val="apple-converted-space"/>
    <w:basedOn w:val="DefaultParagraphFont"/>
    <w:rsid w:val="3477C495"/>
    <w:rPr>
      <w:rFonts w:asciiTheme="minorHAnsi" w:cstheme="minorBidi" w:eastAsiaTheme="minorEastAsia" w:hAnsiTheme="minorHAnsi"/>
      <w:sz w:val="24"/>
      <w:szCs w:val="24"/>
    </w:rPr>
  </w:style>
  <w:style w:type="character" w:styleId="Hyperlink">
    <w:name w:val="Hyperlink"/>
    <w:basedOn w:val="DefaultParagraphFont"/>
    <w:uiPriority w:val="99"/>
    <w:unhideWhenUsed w:val="1"/>
    <w:rsid w:val="3477C495"/>
    <w:rPr>
      <w:color w:val="467886"/>
      <w:u w:val="single"/>
    </w:rPr>
  </w:style>
  <w:style w:type="table" w:styleId="TableGrid">
    <w:name w:val="Table Grid"/>
    <w:basedOn w:val="TableNormal"/>
    <w:uiPriority w:val="3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character" w:styleId="Strong">
    <w:name w:val="Strong"/>
    <w:basedOn w:val="DefaultParagraphFont"/>
    <w:uiPriority w:val="22"/>
    <w:qFormat w:val="1"/>
    <w:rsid w:val="002072E8"/>
    <w:rPr>
      <w:b w:val="1"/>
      <w:bCs w:val="1"/>
    </w:rPr>
  </w:style>
  <w:style w:type="character" w:styleId="overflow-hidden" w:customStyle="1">
    <w:name w:val="overflow-hidden"/>
    <w:basedOn w:val="DefaultParagraphFont"/>
    <w:rsid w:val="002072E8"/>
  </w:style>
  <w:style w:type="character" w:styleId="relative" w:customStyle="1">
    <w:name w:val="relative"/>
    <w:basedOn w:val="DefaultParagraphFont"/>
    <w:rsid w:val="002072E8"/>
  </w:style>
  <w:style w:type="character" w:styleId="Emphasis">
    <w:name w:val="Emphasis"/>
    <w:basedOn w:val="DefaultParagraphFont"/>
    <w:uiPriority w:val="20"/>
    <w:qFormat w:val="1"/>
    <w:rsid w:val="002072E8"/>
    <w:rPr>
      <w:i w:val="1"/>
      <w:iCs w:val="1"/>
    </w:rPr>
  </w:style>
  <w:style w:type="character" w:styleId="ms-1" w:customStyle="1">
    <w:name w:val="ms-1"/>
    <w:basedOn w:val="DefaultParagraphFont"/>
    <w:rsid w:val="002072E8"/>
  </w:style>
  <w:style w:type="character" w:styleId="max-w-full" w:customStyle="1">
    <w:name w:val="max-w-full"/>
    <w:basedOn w:val="DefaultParagraphFont"/>
    <w:rsid w:val="002072E8"/>
  </w:style>
  <w:style w:type="character" w:styleId="-me-1" w:customStyle="1">
    <w:name w:val="-me-1"/>
    <w:basedOn w:val="DefaultParagraphFont"/>
    <w:rsid w:val="002072E8"/>
  </w:style>
  <w:style w:type="paragraph" w:styleId="z-TopofForm">
    <w:name w:val="HTML Top of Form"/>
    <w:basedOn w:val="Normal"/>
    <w:next w:val="Normal"/>
    <w:link w:val="z-TopofFormChar"/>
    <w:hidden w:val="1"/>
    <w:uiPriority w:val="99"/>
    <w:semiHidden w:val="1"/>
    <w:unhideWhenUsed w:val="1"/>
    <w:rsid w:val="002072E8"/>
    <w:pPr>
      <w:pBdr>
        <w:bottom w:color="auto" w:space="1" w:sz="6" w:val="single"/>
      </w:pBdr>
      <w:spacing w:after="0" w:line="240" w:lineRule="auto"/>
      <w:jc w:val="center"/>
    </w:pPr>
    <w:rPr>
      <w:rFonts w:ascii="Arial" w:cs="Arial" w:eastAsia="Times New Roman" w:hAnsi="Arial"/>
      <w:vanish w:val="1"/>
      <w:sz w:val="16"/>
      <w:szCs w:val="16"/>
      <w:lang w:eastAsia="en-GB"/>
    </w:rPr>
  </w:style>
  <w:style w:type="character" w:styleId="z-TopofFormChar" w:customStyle="1">
    <w:name w:val="z-Top of Form Char"/>
    <w:basedOn w:val="DefaultParagraphFont"/>
    <w:link w:val="z-TopofForm"/>
    <w:uiPriority w:val="99"/>
    <w:semiHidden w:val="1"/>
    <w:rsid w:val="002072E8"/>
    <w:rPr>
      <w:rFonts w:ascii="Arial" w:cs="Arial" w:eastAsia="Times New Roman" w:hAnsi="Arial"/>
      <w:vanish w:val="1"/>
      <w:sz w:val="16"/>
      <w:szCs w:val="16"/>
      <w:lang w:eastAsia="en-GB"/>
    </w:rPr>
  </w:style>
  <w:style w:type="paragraph" w:styleId="placeholder" w:customStyle="1">
    <w:name w:val="placeholder"/>
    <w:basedOn w:val="Normal"/>
    <w:rsid w:val="002072E8"/>
    <w:pPr>
      <w:spacing w:after="100" w:afterAutospacing="1" w:before="100" w:beforeAutospacing="1" w:line="240" w:lineRule="auto"/>
    </w:pPr>
    <w:rPr>
      <w:rFonts w:ascii="Times New Roman" w:cs="Times New Roman" w:eastAsia="Times New Roman" w:hAnsi="Times New Roman"/>
      <w:lang w:eastAsia="en-GB"/>
    </w:rPr>
  </w:style>
  <w:style w:type="paragraph" w:styleId="z-BottomofForm">
    <w:name w:val="HTML Bottom of Form"/>
    <w:basedOn w:val="Normal"/>
    <w:next w:val="Normal"/>
    <w:link w:val="z-BottomofFormChar"/>
    <w:hidden w:val="1"/>
    <w:uiPriority w:val="99"/>
    <w:semiHidden w:val="1"/>
    <w:unhideWhenUsed w:val="1"/>
    <w:rsid w:val="002072E8"/>
    <w:pPr>
      <w:pBdr>
        <w:top w:color="auto" w:space="1" w:sz="6" w:val="single"/>
      </w:pBdr>
      <w:spacing w:after="0" w:line="240" w:lineRule="auto"/>
      <w:jc w:val="center"/>
    </w:pPr>
    <w:rPr>
      <w:rFonts w:ascii="Arial" w:cs="Arial" w:eastAsia="Times New Roman" w:hAnsi="Arial"/>
      <w:vanish w:val="1"/>
      <w:sz w:val="16"/>
      <w:szCs w:val="16"/>
      <w:lang w:eastAsia="en-GB"/>
    </w:rPr>
  </w:style>
  <w:style w:type="character" w:styleId="z-BottomofFormChar" w:customStyle="1">
    <w:name w:val="z-Bottom of Form Char"/>
    <w:basedOn w:val="DefaultParagraphFont"/>
    <w:link w:val="z-BottomofForm"/>
    <w:uiPriority w:val="99"/>
    <w:semiHidden w:val="1"/>
    <w:rsid w:val="002072E8"/>
    <w:rPr>
      <w:rFonts w:ascii="Arial" w:cs="Arial" w:eastAsia="Times New Roman" w:hAnsi="Arial"/>
      <w:vanish w:val="1"/>
      <w:sz w:val="16"/>
      <w:szCs w:val="16"/>
      <w:lang w:eastAsia="en-GB"/>
    </w:rPr>
  </w:style>
  <w:style w:type="paragraph" w:styleId="TOCHeading">
    <w:name w:val="TOC Heading"/>
    <w:basedOn w:val="Heading1"/>
    <w:next w:val="Normal"/>
    <w:uiPriority w:val="39"/>
    <w:unhideWhenUsed w:val="1"/>
    <w:qFormat w:val="1"/>
    <w:rsid w:val="002072E8"/>
    <w:pPr>
      <w:spacing w:after="0" w:before="480" w:line="276" w:lineRule="auto"/>
      <w:jc w:val="left"/>
      <w:outlineLvl w:val="9"/>
    </w:pPr>
    <w:rPr>
      <w:rFonts w:asciiTheme="majorHAnsi" w:hAnsiTheme="majorHAnsi"/>
      <w:bCs w:val="1"/>
      <w:color w:val="0f4761" w:themeColor="accent1" w:themeShade="0000BF"/>
      <w:sz w:val="28"/>
      <w:szCs w:val="28"/>
      <w:lang w:eastAsia="en-US" w:val="en-US"/>
    </w:rPr>
  </w:style>
  <w:style w:type="paragraph" w:styleId="TOC1">
    <w:name w:val="toc 1"/>
    <w:basedOn w:val="Normal"/>
    <w:next w:val="Normal"/>
    <w:autoRedefine w:val="1"/>
    <w:uiPriority w:val="39"/>
    <w:unhideWhenUsed w:val="1"/>
    <w:rsid w:val="002072E8"/>
    <w:pPr>
      <w:spacing w:after="0" w:before="120"/>
    </w:pPr>
    <w:rPr>
      <w:b w:val="1"/>
      <w:bCs w:val="1"/>
      <w:i w:val="1"/>
      <w:iCs w:val="1"/>
    </w:rPr>
  </w:style>
  <w:style w:type="paragraph" w:styleId="TOC3">
    <w:name w:val="toc 3"/>
    <w:basedOn w:val="Normal"/>
    <w:next w:val="Normal"/>
    <w:autoRedefine w:val="1"/>
    <w:uiPriority w:val="39"/>
    <w:unhideWhenUsed w:val="1"/>
    <w:rsid w:val="002072E8"/>
    <w:pPr>
      <w:spacing w:after="0"/>
      <w:ind w:left="480"/>
    </w:pPr>
    <w:rPr>
      <w:sz w:val="20"/>
      <w:szCs w:val="20"/>
    </w:rPr>
  </w:style>
  <w:style w:type="paragraph" w:styleId="TOC2">
    <w:name w:val="toc 2"/>
    <w:basedOn w:val="Normal"/>
    <w:next w:val="Normal"/>
    <w:autoRedefine w:val="1"/>
    <w:uiPriority w:val="39"/>
    <w:unhideWhenUsed w:val="1"/>
    <w:rsid w:val="002072E8"/>
    <w:pPr>
      <w:spacing w:after="0" w:before="120"/>
      <w:ind w:left="240"/>
    </w:pPr>
    <w:rPr>
      <w:b w:val="1"/>
      <w:bCs w:val="1"/>
      <w:sz w:val="22"/>
      <w:szCs w:val="22"/>
    </w:rPr>
  </w:style>
  <w:style w:type="paragraph" w:styleId="TOC4">
    <w:name w:val="toc 4"/>
    <w:basedOn w:val="Normal"/>
    <w:next w:val="Normal"/>
    <w:autoRedefine w:val="1"/>
    <w:uiPriority w:val="39"/>
    <w:semiHidden w:val="1"/>
    <w:unhideWhenUsed w:val="1"/>
    <w:rsid w:val="002072E8"/>
    <w:pPr>
      <w:spacing w:after="0"/>
      <w:ind w:left="720"/>
    </w:pPr>
    <w:rPr>
      <w:sz w:val="20"/>
      <w:szCs w:val="20"/>
    </w:rPr>
  </w:style>
  <w:style w:type="paragraph" w:styleId="TOC5">
    <w:name w:val="toc 5"/>
    <w:basedOn w:val="Normal"/>
    <w:next w:val="Normal"/>
    <w:autoRedefine w:val="1"/>
    <w:uiPriority w:val="39"/>
    <w:semiHidden w:val="1"/>
    <w:unhideWhenUsed w:val="1"/>
    <w:rsid w:val="002072E8"/>
    <w:pPr>
      <w:spacing w:after="0"/>
      <w:ind w:left="960"/>
    </w:pPr>
    <w:rPr>
      <w:sz w:val="20"/>
      <w:szCs w:val="20"/>
    </w:rPr>
  </w:style>
  <w:style w:type="paragraph" w:styleId="TOC6">
    <w:name w:val="toc 6"/>
    <w:basedOn w:val="Normal"/>
    <w:next w:val="Normal"/>
    <w:autoRedefine w:val="1"/>
    <w:uiPriority w:val="39"/>
    <w:semiHidden w:val="1"/>
    <w:unhideWhenUsed w:val="1"/>
    <w:rsid w:val="002072E8"/>
    <w:pPr>
      <w:spacing w:after="0"/>
      <w:ind w:left="1200"/>
    </w:pPr>
    <w:rPr>
      <w:sz w:val="20"/>
      <w:szCs w:val="20"/>
    </w:rPr>
  </w:style>
  <w:style w:type="paragraph" w:styleId="TOC7">
    <w:name w:val="toc 7"/>
    <w:basedOn w:val="Normal"/>
    <w:next w:val="Normal"/>
    <w:autoRedefine w:val="1"/>
    <w:uiPriority w:val="39"/>
    <w:semiHidden w:val="1"/>
    <w:unhideWhenUsed w:val="1"/>
    <w:rsid w:val="002072E8"/>
    <w:pPr>
      <w:spacing w:after="0"/>
      <w:ind w:left="1440"/>
    </w:pPr>
    <w:rPr>
      <w:sz w:val="20"/>
      <w:szCs w:val="20"/>
    </w:rPr>
  </w:style>
  <w:style w:type="paragraph" w:styleId="TOC8">
    <w:name w:val="toc 8"/>
    <w:basedOn w:val="Normal"/>
    <w:next w:val="Normal"/>
    <w:autoRedefine w:val="1"/>
    <w:uiPriority w:val="39"/>
    <w:semiHidden w:val="1"/>
    <w:unhideWhenUsed w:val="1"/>
    <w:rsid w:val="002072E8"/>
    <w:pPr>
      <w:spacing w:after="0"/>
      <w:ind w:left="1680"/>
    </w:pPr>
    <w:rPr>
      <w:sz w:val="20"/>
      <w:szCs w:val="20"/>
    </w:rPr>
  </w:style>
  <w:style w:type="paragraph" w:styleId="TOC9">
    <w:name w:val="toc 9"/>
    <w:basedOn w:val="Normal"/>
    <w:next w:val="Normal"/>
    <w:autoRedefine w:val="1"/>
    <w:uiPriority w:val="39"/>
    <w:semiHidden w:val="1"/>
    <w:unhideWhenUsed w:val="1"/>
    <w:rsid w:val="002072E8"/>
    <w:pPr>
      <w:spacing w:after="0"/>
      <w:ind w:left="1920"/>
    </w:pPr>
    <w:rPr>
      <w:sz w:val="20"/>
      <w:szCs w:val="20"/>
    </w:rPr>
  </w:style>
  <w:style w:type="paragraph" w:styleId="ListParagraph">
    <w:name w:val="List Paragraph"/>
    <w:basedOn w:val="Normal"/>
    <w:link w:val="ListParagraphChar"/>
    <w:uiPriority w:val="34"/>
    <w:qFormat w:val="1"/>
    <w:rsid w:val="00E13768"/>
    <w:pPr>
      <w:ind w:left="720"/>
      <w:contextualSpacing w:val="1"/>
    </w:pPr>
  </w:style>
  <w:style w:type="paragraph" w:styleId="NormalWeb">
    <w:name w:val="Normal (Web)"/>
    <w:basedOn w:val="Normal"/>
    <w:uiPriority w:val="99"/>
    <w:unhideWhenUsed w:val="1"/>
    <w:rsid w:val="0040390F"/>
    <w:pPr>
      <w:spacing w:after="100" w:afterAutospacing="1" w:before="100" w:beforeAutospacing="1" w:line="240" w:lineRule="auto"/>
    </w:pPr>
    <w:rPr>
      <w:rFonts w:ascii="Times New Roman" w:cs="Times New Roman" w:eastAsia="Times New Roman" w:hAnsi="Times New Roman"/>
      <w:lang w:eastAsia="en-GB"/>
    </w:rPr>
  </w:style>
  <w:style w:type="paragraph" w:styleId="Header">
    <w:name w:val="header"/>
    <w:basedOn w:val="Normal"/>
    <w:link w:val="HeaderChar"/>
    <w:uiPriority w:val="99"/>
    <w:unhideWhenUsed w:val="1"/>
    <w:rsid w:val="0043394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394B"/>
  </w:style>
  <w:style w:type="paragraph" w:styleId="Footer">
    <w:name w:val="footer"/>
    <w:basedOn w:val="Normal"/>
    <w:link w:val="FooterChar"/>
    <w:uiPriority w:val="99"/>
    <w:unhideWhenUsed w:val="1"/>
    <w:rsid w:val="0043394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394B"/>
  </w:style>
  <w:style w:type="table" w:styleId="GridTable4-Accent4">
    <w:name w:val="Grid Table 4 Accent 4"/>
    <w:basedOn w:val="TableNormal"/>
    <w:uiPriority w:val="49"/>
    <w:rsid w:val="009A2640"/>
    <w:pPr>
      <w:spacing w:after="0" w:line="240" w:lineRule="auto"/>
    </w:pPr>
    <w:tblPr>
      <w:tblStyleRowBandSize w:val="1"/>
      <w:tblStyleColBandSize w:val="1"/>
      <w:tblBorders>
        <w:top w:color="60caf3" w:space="0" w:sz="4" w:themeColor="accent4" w:themeTint="000099" w:val="single"/>
        <w:left w:color="60caf3" w:space="0" w:sz="4" w:themeColor="accent4" w:themeTint="000099" w:val="single"/>
        <w:bottom w:color="60caf3" w:space="0" w:sz="4" w:themeColor="accent4" w:themeTint="000099" w:val="single"/>
        <w:right w:color="60caf3" w:space="0" w:sz="4" w:themeColor="accent4" w:themeTint="000099" w:val="single"/>
        <w:insideH w:color="60caf3" w:space="0" w:sz="4" w:themeColor="accent4" w:themeTint="000099" w:val="single"/>
        <w:insideV w:color="60caf3" w:space="0" w:sz="4" w:themeColor="accent4" w:themeTint="000099" w:val="single"/>
      </w:tblBorders>
    </w:tblPr>
    <w:tblStylePr w:type="firstRow">
      <w:rPr>
        <w:b w:val="1"/>
        <w:bCs w:val="1"/>
        <w:color w:val="ffffff" w:themeColor="background1"/>
      </w:rPr>
      <w:tblPr/>
      <w:tcPr>
        <w:tcBorders>
          <w:top w:color="0f9ed5" w:space="0" w:sz="4" w:themeColor="accent4" w:val="single"/>
          <w:left w:color="0f9ed5" w:space="0" w:sz="4" w:themeColor="accent4" w:val="single"/>
          <w:bottom w:color="0f9ed5" w:space="0" w:sz="4" w:themeColor="accent4" w:val="single"/>
          <w:right w:color="0f9ed5" w:space="0" w:sz="4" w:themeColor="accent4" w:val="single"/>
          <w:insideH w:space="0" w:sz="0" w:val="nil"/>
          <w:insideV w:space="0" w:sz="0" w:val="nil"/>
        </w:tcBorders>
        <w:shd w:color="auto" w:fill="0f9ed5" w:themeFill="accent4" w:val="clear"/>
      </w:tcPr>
    </w:tblStylePr>
    <w:tblStylePr w:type="lastRow">
      <w:rPr>
        <w:b w:val="1"/>
        <w:bCs w:val="1"/>
      </w:rPr>
      <w:tblPr/>
      <w:tcPr>
        <w:tcBorders>
          <w:top w:color="0f9ed5" w:space="0" w:sz="4" w:themeColor="accent4" w:val="double"/>
        </w:tcBorders>
      </w:tcPr>
    </w:tblStylePr>
    <w:tblStylePr w:type="firstCol">
      <w:rPr>
        <w:b w:val="1"/>
        <w:bCs w:val="1"/>
      </w:rPr>
    </w:tblStylePr>
    <w:tblStylePr w:type="lastCol">
      <w:rPr>
        <w:b w:val="1"/>
        <w:bCs w:val="1"/>
      </w:rPr>
    </w:tblStylePr>
    <w:tblStylePr w:type="band1Vert">
      <w:tblPr/>
      <w:tcPr>
        <w:shd w:color="auto" w:fill="caedfb" w:themeFill="accent4" w:themeFillTint="000033" w:val="clear"/>
      </w:tcPr>
    </w:tblStylePr>
    <w:tblStylePr w:type="band1Horz">
      <w:tblPr/>
      <w:tcPr>
        <w:shd w:color="auto" w:fill="caedfb" w:themeFill="accent4" w:themeFillTint="000033" w:val="clear"/>
      </w:tcPr>
    </w:tblStylePr>
  </w:style>
  <w:style w:type="paragraph" w:styleId="HTMLPreformatted">
    <w:name w:val="HTML Preformatted"/>
    <w:basedOn w:val="Normal"/>
    <w:link w:val="HTMLPreformattedChar"/>
    <w:uiPriority w:val="99"/>
    <w:unhideWhenUsed w:val="1"/>
    <w:rsid w:val="00CD09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cs="Courier New" w:eastAsia="Times New Roman" w:hAnsi="Courier New"/>
      <w:sz w:val="20"/>
      <w:szCs w:val="20"/>
      <w:lang w:eastAsia="en-GB"/>
    </w:rPr>
  </w:style>
  <w:style w:type="character" w:styleId="HTMLPreformattedChar" w:customStyle="1">
    <w:name w:val="HTML Preformatted Char"/>
    <w:basedOn w:val="DefaultParagraphFont"/>
    <w:link w:val="HTMLPreformatted"/>
    <w:uiPriority w:val="99"/>
    <w:rsid w:val="00CD094A"/>
    <w:rPr>
      <w:rFonts w:ascii="Courier New" w:cs="Courier New" w:eastAsia="Times New Roman" w:hAnsi="Courier New"/>
      <w:sz w:val="20"/>
      <w:szCs w:val="20"/>
      <w:lang w:eastAsia="en-GB"/>
    </w:rPr>
  </w:style>
  <w:style w:type="character" w:styleId="HTMLCode">
    <w:name w:val="HTML Code"/>
    <w:basedOn w:val="DefaultParagraphFont"/>
    <w:uiPriority w:val="99"/>
    <w:semiHidden w:val="1"/>
    <w:unhideWhenUsed w:val="1"/>
    <w:rsid w:val="00CD094A"/>
    <w:rPr>
      <w:rFonts w:ascii="Courier New" w:cs="Courier New" w:eastAsia="Times New Roman" w:hAnsi="Courier New"/>
      <w:sz w:val="20"/>
      <w:szCs w:val="20"/>
    </w:rPr>
  </w:style>
  <w:style w:type="character" w:styleId="hljs-operator" w:customStyle="1">
    <w:name w:val="hljs-operator"/>
    <w:basedOn w:val="DefaultParagraphFont"/>
    <w:rsid w:val="00CD094A"/>
  </w:style>
  <w:style w:type="character" w:styleId="hljs-comment" w:customStyle="1">
    <w:name w:val="hljs-comment"/>
    <w:basedOn w:val="DefaultParagraphFont"/>
    <w:rsid w:val="00CD094A"/>
  </w:style>
  <w:style w:type="character" w:styleId="hljs-type" w:customStyle="1">
    <w:name w:val="hljs-type"/>
    <w:basedOn w:val="DefaultParagraphFont"/>
    <w:rsid w:val="00CD094A"/>
  </w:style>
  <w:style w:type="paragraph" w:styleId="NoSpacing">
    <w:name w:val="No Spacing"/>
    <w:uiPriority w:val="1"/>
    <w:qFormat w:val="1"/>
    <w:rsid w:val="00D17462"/>
    <w:pPr>
      <w:spacing w:after="0" w:line="240" w:lineRule="auto"/>
    </w:pPr>
  </w:style>
  <w:style w:type="character" w:styleId="fadein4f9by7" w:customStyle="1">
    <w:name w:val="_fadein_4f9by_7"/>
    <w:basedOn w:val="DefaultParagraphFont"/>
    <w:rsid w:val="00E167F3"/>
  </w:style>
  <w:style w:type="table" w:styleId="PlainTable1">
    <w:name w:val="Plain Table 1"/>
    <w:basedOn w:val="TableNormal"/>
    <w:uiPriority w:val="41"/>
    <w:rsid w:val="0072655C"/>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table" w:styleId="TableGridLight">
    <w:name w:val="Grid Table Light"/>
    <w:basedOn w:val="TableNormal"/>
    <w:uiPriority w:val="40"/>
    <w:rsid w:val="0072655C"/>
    <w:pPr>
      <w:spacing w:after="0" w:line="240" w:lineRule="auto"/>
    </w:pPr>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katex-mathml" w:customStyle="1">
    <w:name w:val="katex-mathml"/>
    <w:basedOn w:val="DefaultParagraphFont"/>
    <w:rsid w:val="00393D49"/>
  </w:style>
  <w:style w:type="character" w:styleId="mord" w:customStyle="1">
    <w:name w:val="mord"/>
    <w:basedOn w:val="DefaultParagraphFont"/>
    <w:rsid w:val="00393D49"/>
  </w:style>
  <w:style w:type="character" w:styleId="mrel" w:customStyle="1">
    <w:name w:val="mrel"/>
    <w:basedOn w:val="DefaultParagraphFont"/>
    <w:rsid w:val="00393D49"/>
  </w:style>
  <w:style w:type="character" w:styleId="mbin" w:customStyle="1">
    <w:name w:val="mbin"/>
    <w:basedOn w:val="DefaultParagraphFont"/>
    <w:rsid w:val="00393D49"/>
  </w:style>
  <w:style w:type="character" w:styleId="mopen" w:customStyle="1">
    <w:name w:val="mopen"/>
    <w:basedOn w:val="DefaultParagraphFont"/>
    <w:rsid w:val="00393D49"/>
  </w:style>
  <w:style w:type="character" w:styleId="mclose" w:customStyle="1">
    <w:name w:val="mclose"/>
    <w:basedOn w:val="DefaultParagraphFont"/>
    <w:rsid w:val="00393D49"/>
  </w:style>
  <w:style w:type="character" w:styleId="vlist-s" w:customStyle="1">
    <w:name w:val="vlist-s"/>
    <w:basedOn w:val="DefaultParagraphFont"/>
    <w:rsid w:val="00393D49"/>
  </w:style>
  <w:style w:type="character" w:styleId="hljs-keyword" w:customStyle="1">
    <w:name w:val="hljs-keyword"/>
    <w:basedOn w:val="DefaultParagraphFont"/>
    <w:rsid w:val="00393D49"/>
  </w:style>
  <w:style w:type="character" w:styleId="hljs-number" w:customStyle="1">
    <w:name w:val="hljs-number"/>
    <w:basedOn w:val="DefaultParagraphFont"/>
    <w:rsid w:val="00393D49"/>
  </w:style>
  <w:style w:type="character" w:styleId="ms-15" w:customStyle="1">
    <w:name w:val="ms-1.5"/>
    <w:basedOn w:val="DefaultParagraphFont"/>
    <w:rsid w:val="00C236A3"/>
  </w:style>
  <w:style w:type="character" w:styleId="mx-15" w:customStyle="1">
    <w:name w:val="mx-1.5"/>
    <w:basedOn w:val="DefaultParagraphFont"/>
    <w:rsid w:val="00146CF7"/>
  </w:style>
  <w:style w:type="character" w:styleId="ListParagraphChar" w:customStyle="1">
    <w:name w:val="List Paragraph Char"/>
    <w:link w:val="ListParagraph"/>
    <w:uiPriority w:val="34"/>
    <w:locked w:val="1"/>
    <w:rsid w:val="00146CF7"/>
  </w:style>
  <w:style w:type="table" w:styleId="ListTable7Colorful-Accent6">
    <w:name w:val="List Table 7 Colorful Accent 6"/>
    <w:basedOn w:val="TableNormal"/>
    <w:uiPriority w:val="52"/>
    <w:rsid w:val="001112CE"/>
    <w:pPr>
      <w:spacing w:after="0" w:line="240" w:lineRule="auto"/>
    </w:pPr>
    <w:rPr>
      <w:color w:val="3a7c22" w:themeColor="accent6" w:themeShade="0000BF"/>
    </w:rPr>
    <w:tblPr>
      <w:tblStyleRowBandSize w:val="1"/>
      <w:tblStyleColBandSize w:val="1"/>
    </w:tblPr>
    <w:tblStylePr w:type="firstRow">
      <w:rPr>
        <w:rFonts w:asciiTheme="majorHAnsi" w:cstheme="majorBidi" w:eastAsiaTheme="majorEastAsia" w:hAnsiTheme="majorHAnsi"/>
        <w:i w:val="1"/>
        <w:iCs w:val="1"/>
        <w:sz w:val="26"/>
      </w:rPr>
      <w:tblPr/>
      <w:tcPr>
        <w:tcBorders>
          <w:bottom w:color="4ea72e" w:space="0" w:sz="4" w:themeColor="accent6" w:val="single"/>
        </w:tcBorders>
        <w:shd w:color="auto" w:fill="ffffff" w:themeFill="background1" w:val="clear"/>
      </w:tcPr>
    </w:tblStylePr>
    <w:tblStylePr w:type="lastRow">
      <w:rPr>
        <w:rFonts w:asciiTheme="majorHAnsi" w:cstheme="majorBidi" w:eastAsiaTheme="majorEastAsia" w:hAnsiTheme="majorHAnsi"/>
        <w:i w:val="1"/>
        <w:iCs w:val="1"/>
        <w:sz w:val="26"/>
      </w:rPr>
      <w:tblPr/>
      <w:tcPr>
        <w:tcBorders>
          <w:top w:color="4ea72e" w:space="0" w:sz="4" w:themeColor="accent6" w:val="single"/>
        </w:tcBorders>
        <w:shd w:color="auto" w:fill="ffffff" w:themeFill="background1" w:val="clear"/>
      </w:tcPr>
    </w:tblStylePr>
    <w:tblStylePr w:type="firstCol">
      <w:pPr>
        <w:jc w:val="right"/>
      </w:pPr>
      <w:rPr>
        <w:rFonts w:asciiTheme="majorHAnsi" w:cstheme="majorBidi" w:eastAsiaTheme="majorEastAsia" w:hAnsiTheme="majorHAnsi"/>
        <w:i w:val="1"/>
        <w:iCs w:val="1"/>
        <w:sz w:val="26"/>
      </w:rPr>
      <w:tblPr/>
      <w:tcPr>
        <w:tcBorders>
          <w:right w:color="4ea72e" w:space="0" w:sz="4" w:themeColor="accent6" w:val="single"/>
        </w:tcBorders>
        <w:shd w:color="auto" w:fill="ffffff" w:themeFill="background1" w:val="clear"/>
      </w:tcPr>
    </w:tblStylePr>
    <w:tblStylePr w:type="lastCol">
      <w:rPr>
        <w:rFonts w:asciiTheme="majorHAnsi" w:cstheme="majorBidi" w:eastAsiaTheme="majorEastAsia" w:hAnsiTheme="majorHAnsi"/>
        <w:i w:val="1"/>
        <w:iCs w:val="1"/>
        <w:sz w:val="26"/>
      </w:rPr>
      <w:tblPr/>
      <w:tcPr>
        <w:tcBorders>
          <w:left w:color="4ea72e" w:space="0" w:sz="4" w:themeColor="accent6" w:val="single"/>
        </w:tcBorders>
        <w:shd w:color="auto" w:fill="ffffff" w:themeFill="background1" w:val="clear"/>
      </w:tcPr>
    </w:tblStylePr>
    <w:tblStylePr w:type="band1Vert">
      <w:tblPr/>
      <w:tcPr>
        <w:shd w:color="auto" w:fill="d9f2d0" w:themeFill="accent6" w:themeFillTint="000033" w:val="clear"/>
      </w:tcPr>
    </w:tblStylePr>
    <w:tblStylePr w:type="band1Horz">
      <w:tblPr/>
      <w:tcPr>
        <w:shd w:color="auto" w:fill="d9f2d0" w:themeFill="accent6" w:themeFillTint="000033" w:val="clear"/>
      </w:tcPr>
    </w:tblStylePr>
    <w:tblStylePr w:type="neCell">
      <w:tblPr/>
      <w:tcPr>
        <w:tcBorders>
          <w:left w:space="0" w:sz="0" w:val="nil"/>
        </w:tcBorders>
      </w:tcPr>
    </w:tblStylePr>
    <w:tblStylePr w:type="nwCell">
      <w:tblPr/>
      <w:tcPr>
        <w:tcBorders>
          <w:right w:space="0" w:sz="0" w:val="nil"/>
        </w:tcBorders>
      </w:tcPr>
    </w:tblStylePr>
    <w:tblStylePr w:type="seCell">
      <w:tblPr/>
      <w:tcPr>
        <w:tcBorders>
          <w:left w:space="0" w:sz="0" w:val="nil"/>
        </w:tcBorders>
      </w:tcPr>
    </w:tblStylePr>
    <w:tblStylePr w:type="swCell">
      <w:tblPr/>
      <w:tcPr>
        <w:tcBorders>
          <w:right w:space="0" w:sz="0" w:val="nil"/>
        </w:tcBorders>
      </w:tcPr>
    </w:tblStylePr>
  </w:style>
  <w:style w:type="table" w:styleId="GridTable3-Accent4">
    <w:name w:val="Grid Table 3 Accent 4"/>
    <w:basedOn w:val="TableNormal"/>
    <w:uiPriority w:val="48"/>
    <w:rsid w:val="00557F1B"/>
    <w:pPr>
      <w:spacing w:after="0" w:line="240" w:lineRule="auto"/>
    </w:pPr>
    <w:tblPr>
      <w:tblStyleRowBandSize w:val="1"/>
      <w:tblStyleColBandSize w:val="1"/>
      <w:tblBorders>
        <w:top w:color="60caf3" w:space="0" w:sz="4" w:themeColor="accent4" w:themeTint="000099" w:val="single"/>
        <w:left w:color="60caf3" w:space="0" w:sz="4" w:themeColor="accent4" w:themeTint="000099" w:val="single"/>
        <w:bottom w:color="60caf3" w:space="0" w:sz="4" w:themeColor="accent4" w:themeTint="000099" w:val="single"/>
        <w:right w:color="60caf3" w:space="0" w:sz="4" w:themeColor="accent4" w:themeTint="000099" w:val="single"/>
        <w:insideH w:color="60caf3" w:space="0" w:sz="4" w:themeColor="accent4" w:themeTint="000099" w:val="single"/>
        <w:insideV w:color="60caf3" w:space="0" w:sz="4" w:themeColor="accent4"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caedfb" w:themeFill="accent4" w:themeFillTint="000033" w:val="clear"/>
      </w:tcPr>
    </w:tblStylePr>
    <w:tblStylePr w:type="band1Horz">
      <w:tblPr/>
      <w:tcPr>
        <w:shd w:color="auto" w:fill="caedfb" w:themeFill="accent4" w:themeFillTint="000033" w:val="clear"/>
      </w:tcPr>
    </w:tblStylePr>
    <w:tblStylePr w:type="neCell">
      <w:tblPr/>
      <w:tcPr>
        <w:tcBorders>
          <w:bottom w:color="60caf3" w:space="0" w:sz="4" w:themeColor="accent4" w:themeTint="000099" w:val="single"/>
        </w:tcBorders>
      </w:tcPr>
    </w:tblStylePr>
    <w:tblStylePr w:type="nwCell">
      <w:tblPr/>
      <w:tcPr>
        <w:tcBorders>
          <w:bottom w:color="60caf3" w:space="0" w:sz="4" w:themeColor="accent4" w:themeTint="000099" w:val="single"/>
        </w:tcBorders>
      </w:tcPr>
    </w:tblStylePr>
    <w:tblStylePr w:type="seCell">
      <w:tblPr/>
      <w:tcPr>
        <w:tcBorders>
          <w:top w:color="60caf3" w:space="0" w:sz="4" w:themeColor="accent4" w:themeTint="000099" w:val="single"/>
        </w:tcBorders>
      </w:tcPr>
    </w:tblStylePr>
    <w:tblStylePr w:type="swCell">
      <w:tblPr/>
      <w:tcPr>
        <w:tcBorders>
          <w:top w:color="60caf3" w:space="0" w:sz="4" w:themeColor="accent4" w:themeTint="000099" w:val="single"/>
        </w:tcBorders>
      </w:tcPr>
    </w:tblStylePr>
  </w:style>
  <w:style w:type="table" w:styleId="GridTable3-Accent1">
    <w:name w:val="Grid Table 3 Accent 1"/>
    <w:basedOn w:val="TableNormal"/>
    <w:uiPriority w:val="48"/>
    <w:rsid w:val="0091279F"/>
    <w:pPr>
      <w:spacing w:after="0" w:line="240" w:lineRule="auto"/>
    </w:pPr>
    <w:tblPr>
      <w:tblStyleRowBandSize w:val="1"/>
      <w:tblStyleColBandSize w:val="1"/>
      <w:tblBorders>
        <w:top w:color="45b0e1" w:space="0" w:sz="4" w:themeColor="accent1" w:themeTint="000099" w:val="single"/>
        <w:left w:color="45b0e1" w:space="0" w:sz="4" w:themeColor="accent1" w:themeTint="000099" w:val="single"/>
        <w:bottom w:color="45b0e1" w:space="0" w:sz="4" w:themeColor="accent1" w:themeTint="000099" w:val="single"/>
        <w:right w:color="45b0e1" w:space="0" w:sz="4" w:themeColor="accent1" w:themeTint="000099" w:val="single"/>
        <w:insideH w:color="45b0e1" w:space="0" w:sz="4" w:themeColor="accent1" w:themeTint="000099" w:val="single"/>
        <w:insideV w:color="45b0e1" w:space="0" w:sz="4" w:themeColor="accent1"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c1e4f5" w:themeFill="accent1" w:themeFillTint="000033" w:val="clear"/>
      </w:tcPr>
    </w:tblStylePr>
    <w:tblStylePr w:type="band1Horz">
      <w:tblPr/>
      <w:tcPr>
        <w:shd w:color="auto" w:fill="c1e4f5" w:themeFill="accent1" w:themeFillTint="000033" w:val="clear"/>
      </w:tcPr>
    </w:tblStylePr>
    <w:tblStylePr w:type="neCell">
      <w:tblPr/>
      <w:tcPr>
        <w:tcBorders>
          <w:bottom w:color="45b0e1" w:space="0" w:sz="4" w:themeColor="accent1" w:themeTint="000099" w:val="single"/>
        </w:tcBorders>
      </w:tcPr>
    </w:tblStylePr>
    <w:tblStylePr w:type="nwCell">
      <w:tblPr/>
      <w:tcPr>
        <w:tcBorders>
          <w:bottom w:color="45b0e1" w:space="0" w:sz="4" w:themeColor="accent1" w:themeTint="000099" w:val="single"/>
        </w:tcBorders>
      </w:tcPr>
    </w:tblStylePr>
    <w:tblStylePr w:type="seCell">
      <w:tblPr/>
      <w:tcPr>
        <w:tcBorders>
          <w:top w:color="45b0e1" w:space="0" w:sz="4" w:themeColor="accent1" w:themeTint="000099" w:val="single"/>
        </w:tcBorders>
      </w:tcPr>
    </w:tblStylePr>
    <w:tblStylePr w:type="swCell">
      <w:tblPr/>
      <w:tcPr>
        <w:tcBorders>
          <w:top w:color="45b0e1" w:space="0" w:sz="4" w:themeColor="accent1" w:themeTint="000099" w:val="single"/>
        </w:tcBorders>
      </w:tcPr>
    </w:tblStyle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X+h0V6JqnqKUgDrzRa3jL4Pq3g==">CgMxLjAyDmguZXF4MDVlN2ZjdnpjMg5oLm55MnExeXV6YThycTIOaC5ibmtlZHV1dTFoOXkyDWgucDczeTdqMTBwdmcyDmgueDVpdzdmcGl6c2FpMg5oLnFpMWFudHljMW44YjIOaC5pNDQ1cm1jY3d2MmIyDmgucHBodnMydDBoc2RsMg5oLnVwMWR1dXR1eGh4NzINaC5ubmxxNmJhN3AyMDIOaC5qOWIxYzh3dXIzcHIyDWgudWRoNWsyeng5eTE4AHIhMTBoUGI5bjZXZE8ybjJLQW9LQk9xb2lBUC14TDQxa2c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2025-06-09T09:49:00Z</dcterms:created>
  <dc:creator>Izabela-gabriela  Micsa</dc:creator>
</cp:coreProperties>
</file>