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8820045"/>
        <w:docPartObj>
          <w:docPartGallery w:val="Cover Pages"/>
          <w:docPartUnique/>
        </w:docPartObj>
      </w:sdtPr>
      <w:sdtEndPr>
        <w:rPr>
          <w:rFonts w:ascii="Arial" w:hAnsi="Arial" w:cs="Arial"/>
          <w:color w:val="0E101A"/>
        </w:rPr>
      </w:sdtEndPr>
      <w:sdtContent>
        <w:p w14:paraId="542A2C81" w14:textId="0102BC9E" w:rsidR="00A77085" w:rsidRDefault="00A77085">
          <w:r>
            <w:rPr>
              <w:noProof/>
            </w:rPr>
            <mc:AlternateContent>
              <mc:Choice Requires="wpg">
                <w:drawing>
                  <wp:anchor distT="0" distB="0" distL="114300" distR="114300" simplePos="0" relativeHeight="251659264" behindDoc="1" locked="0" layoutInCell="1" allowOverlap="1" wp14:anchorId="70FA277A" wp14:editId="47C972A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206E6C3" w14:textId="237E1241" w:rsidR="00A77085" w:rsidRDefault="00A77085">
                                      <w:pPr>
                                        <w:pStyle w:val="NoSpacing"/>
                                        <w:spacing w:before="120"/>
                                        <w:jc w:val="center"/>
                                        <w:rPr>
                                          <w:color w:val="FFFFFF" w:themeColor="background1"/>
                                        </w:rPr>
                                      </w:pPr>
                                      <w:r>
                                        <w:rPr>
                                          <w:color w:val="FFFFFF" w:themeColor="background1"/>
                                        </w:rPr>
                                        <w:t>Amy Cranfield (2200726)</w:t>
                                      </w:r>
                                    </w:p>
                                  </w:sdtContent>
                                </w:sdt>
                                <w:p w14:paraId="2DCF8DF3" w14:textId="16F1398D" w:rsidR="00A7708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77085">
                                        <w:rPr>
                                          <w:caps/>
                                          <w:color w:val="FFFFFF" w:themeColor="background1"/>
                                        </w:rPr>
                                        <w:t xml:space="preserve">     </w:t>
                                      </w:r>
                                    </w:sdtContent>
                                  </w:sdt>
                                  <w:r w:rsidR="00A7708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7708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88C2D4" w14:textId="112F666D" w:rsidR="00A77085" w:rsidRPr="00A77085" w:rsidRDefault="001F4F89">
                                      <w:pPr>
                                        <w:pStyle w:val="NoSpacing"/>
                                        <w:jc w:val="center"/>
                                        <w:rPr>
                                          <w:rFonts w:asciiTheme="majorHAnsi" w:eastAsiaTheme="majorEastAsia" w:hAnsiTheme="majorHAnsi" w:cstheme="majorBidi"/>
                                          <w:caps/>
                                          <w:color w:val="000000" w:themeColor="text1"/>
                                          <w:sz w:val="72"/>
                                          <w:szCs w:val="72"/>
                                        </w:rPr>
                                      </w:pPr>
                                      <w:r>
                                        <w:rPr>
                                          <w:rFonts w:asciiTheme="majorHAnsi" w:eastAsiaTheme="majorEastAsia" w:hAnsiTheme="majorHAnsi" w:cstheme="majorBidi"/>
                                          <w:caps/>
                                          <w:color w:val="000000" w:themeColor="text1"/>
                                          <w:sz w:val="72"/>
                                          <w:szCs w:val="72"/>
                                        </w:rPr>
                                        <w:t>ECAD6008_Assignment   2200726_Cranfield_AMy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FA277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206E6C3" w14:textId="237E1241" w:rsidR="00A77085" w:rsidRDefault="00A77085">
                                <w:pPr>
                                  <w:pStyle w:val="NoSpacing"/>
                                  <w:spacing w:before="120"/>
                                  <w:jc w:val="center"/>
                                  <w:rPr>
                                    <w:color w:val="FFFFFF" w:themeColor="background1"/>
                                  </w:rPr>
                                </w:pPr>
                                <w:r>
                                  <w:rPr>
                                    <w:color w:val="FFFFFF" w:themeColor="background1"/>
                                  </w:rPr>
                                  <w:t>Amy Cranfield (2200726)</w:t>
                                </w:r>
                              </w:p>
                            </w:sdtContent>
                          </w:sdt>
                          <w:p w14:paraId="2DCF8DF3" w14:textId="16F1398D" w:rsidR="00A77085"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77085">
                                  <w:rPr>
                                    <w:caps/>
                                    <w:color w:val="FFFFFF" w:themeColor="background1"/>
                                  </w:rPr>
                                  <w:t xml:space="preserve">     </w:t>
                                </w:r>
                              </w:sdtContent>
                            </w:sdt>
                            <w:r w:rsidR="00A7708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7708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E88C2D4" w14:textId="112F666D" w:rsidR="00A77085" w:rsidRPr="00A77085" w:rsidRDefault="001F4F89">
                                <w:pPr>
                                  <w:pStyle w:val="NoSpacing"/>
                                  <w:jc w:val="center"/>
                                  <w:rPr>
                                    <w:rFonts w:asciiTheme="majorHAnsi" w:eastAsiaTheme="majorEastAsia" w:hAnsiTheme="majorHAnsi" w:cstheme="majorBidi"/>
                                    <w:caps/>
                                    <w:color w:val="000000" w:themeColor="text1"/>
                                    <w:sz w:val="72"/>
                                    <w:szCs w:val="72"/>
                                  </w:rPr>
                                </w:pPr>
                                <w:r>
                                  <w:rPr>
                                    <w:rFonts w:asciiTheme="majorHAnsi" w:eastAsiaTheme="majorEastAsia" w:hAnsiTheme="majorHAnsi" w:cstheme="majorBidi"/>
                                    <w:caps/>
                                    <w:color w:val="000000" w:themeColor="text1"/>
                                    <w:sz w:val="72"/>
                                    <w:szCs w:val="72"/>
                                  </w:rPr>
                                  <w:t>ECAD6008_Assignment   2200726_Cranfield_AMy</w:t>
                                </w:r>
                              </w:p>
                            </w:sdtContent>
                          </w:sdt>
                        </w:txbxContent>
                      </v:textbox>
                    </v:shape>
                    <w10:wrap anchorx="page" anchory="page"/>
                  </v:group>
                </w:pict>
              </mc:Fallback>
            </mc:AlternateContent>
          </w:r>
        </w:p>
        <w:p w14:paraId="4CE8A8E7" w14:textId="163F2EFB" w:rsidR="00A77085" w:rsidRDefault="00A77085">
          <w:pPr>
            <w:rPr>
              <w:rFonts w:ascii="Arial" w:eastAsia="Times New Roman" w:hAnsi="Arial" w:cs="Arial"/>
              <w:color w:val="0E101A"/>
              <w:sz w:val="24"/>
              <w:szCs w:val="24"/>
              <w:lang w:eastAsia="en-GB"/>
            </w:rPr>
          </w:pPr>
          <w:r>
            <w:rPr>
              <w:rFonts w:ascii="Arial" w:hAnsi="Arial" w:cs="Arial"/>
              <w:color w:val="0E101A"/>
            </w:rPr>
            <w:br w:type="page"/>
          </w:r>
        </w:p>
      </w:sdtContent>
    </w:sdt>
    <w:p w14:paraId="67C6416A" w14:textId="77777777" w:rsidR="00A77085" w:rsidRDefault="00A77085" w:rsidP="00DD570C">
      <w:pPr>
        <w:pStyle w:val="NormalWeb"/>
        <w:spacing w:before="0" w:beforeAutospacing="0" w:after="0" w:afterAutospacing="0"/>
        <w:rPr>
          <w:rFonts w:ascii="Arial" w:hAnsi="Arial" w:cs="Arial"/>
          <w:color w:val="0E101A"/>
        </w:rPr>
      </w:pPr>
    </w:p>
    <w:p w14:paraId="04A69416" w14:textId="77777777" w:rsidR="00A77085" w:rsidRDefault="00A77085" w:rsidP="00DD570C">
      <w:pPr>
        <w:pStyle w:val="NormalWeb"/>
        <w:spacing w:before="0" w:beforeAutospacing="0" w:after="0" w:afterAutospacing="0"/>
        <w:rPr>
          <w:rFonts w:ascii="Arial" w:hAnsi="Arial" w:cs="Arial"/>
          <w:color w:val="0E101A"/>
        </w:rPr>
      </w:pPr>
    </w:p>
    <w:p w14:paraId="2CD845B0" w14:textId="036875A8"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In this assignment, I will be critically evaluating and identifying my next teaching and learning steps, about the topic of interest which is</w:t>
      </w:r>
      <w:r w:rsidR="00820F44">
        <w:rPr>
          <w:rFonts w:ascii="Arial" w:hAnsi="Arial" w:cs="Arial"/>
          <w:color w:val="0E101A"/>
        </w:rPr>
        <w:t>,’ S</w:t>
      </w:r>
      <w:r w:rsidRPr="00DD570C">
        <w:rPr>
          <w:rFonts w:ascii="Arial" w:hAnsi="Arial" w:cs="Arial"/>
          <w:color w:val="0E101A"/>
        </w:rPr>
        <w:t xml:space="preserve">trategies </w:t>
      </w:r>
      <w:r w:rsidR="00C277B1">
        <w:rPr>
          <w:rFonts w:ascii="Arial" w:hAnsi="Arial" w:cs="Arial"/>
          <w:color w:val="0E101A"/>
        </w:rPr>
        <w:t xml:space="preserve">that support children in </w:t>
      </w:r>
      <w:r w:rsidRPr="00DD570C">
        <w:rPr>
          <w:rFonts w:ascii="Arial" w:hAnsi="Arial" w:cs="Arial"/>
          <w:color w:val="0E101A"/>
        </w:rPr>
        <w:t>writing</w:t>
      </w:r>
      <w:r w:rsidR="00C277B1">
        <w:rPr>
          <w:rFonts w:ascii="Arial" w:hAnsi="Arial" w:cs="Arial"/>
          <w:color w:val="0E101A"/>
        </w:rPr>
        <w:t xml:space="preserve">, in the primary years </w:t>
      </w:r>
      <w:r w:rsidR="002D24A8">
        <w:rPr>
          <w:rFonts w:ascii="Arial" w:hAnsi="Arial" w:cs="Arial"/>
          <w:color w:val="0E101A"/>
        </w:rPr>
        <w:t>and</w:t>
      </w:r>
      <w:r w:rsidR="00C277B1">
        <w:rPr>
          <w:rFonts w:ascii="Arial" w:hAnsi="Arial" w:cs="Arial"/>
          <w:color w:val="0E101A"/>
        </w:rPr>
        <w:t xml:space="preserve"> </w:t>
      </w:r>
      <w:r w:rsidR="002D24A8">
        <w:rPr>
          <w:rFonts w:ascii="Arial" w:hAnsi="Arial" w:cs="Arial"/>
          <w:color w:val="0E101A"/>
        </w:rPr>
        <w:t>fac</w:t>
      </w:r>
      <w:r w:rsidR="00C277B1">
        <w:rPr>
          <w:rFonts w:ascii="Arial" w:hAnsi="Arial" w:cs="Arial"/>
          <w:color w:val="0E101A"/>
        </w:rPr>
        <w:t>tors which may affect it</w:t>
      </w:r>
      <w:r w:rsidR="00820F44">
        <w:rPr>
          <w:rFonts w:ascii="Arial" w:hAnsi="Arial" w:cs="Arial"/>
          <w:color w:val="0E101A"/>
        </w:rPr>
        <w:t xml:space="preserve">’. </w:t>
      </w:r>
      <w:r w:rsidR="00C277B1">
        <w:rPr>
          <w:rFonts w:ascii="Arial" w:hAnsi="Arial" w:cs="Arial"/>
          <w:color w:val="0E101A"/>
        </w:rPr>
        <w:t xml:space="preserve"> </w:t>
      </w:r>
      <w:r w:rsidRPr="00DD570C">
        <w:rPr>
          <w:rFonts w:ascii="Arial" w:hAnsi="Arial" w:cs="Arial"/>
          <w:color w:val="0E101A"/>
        </w:rPr>
        <w:t>The case study involves a critical incident “Appendix 1”, between a teacher and a small group of students. In this context, a critical incident is a situation that has made me, as a practitioner, stop, think and reflect on the situation. Therefore, a critical incident can be any situation, in the classroom, corridor or school playground, which has been a significant moment (Tripp, 2012). These types of incidents are common in schools and can allow for rich learning and development opportunities, especially for beginning teachers, like me. </w:t>
      </w:r>
    </w:p>
    <w:p w14:paraId="7FF62ADA" w14:textId="423E3B46"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Despite noting down many different critical incidents during Bridging, one particular observation caught my attention for this assignment. Through this assignment, I hope to identify what research is available to support, or provide alternative views regarding the professional practice observed. Along with this, I will be sharing the critical incident, giving the context, and what took place. To do this professionally and thoughtfully, I will be ensuring I am complying with the British Educational Research Association’s (BERA, 2018) guidelines surrounding anonymity; not using explicit identifying markers of the school at which this critical incident was taken, or using names of pupils and teacher (BERA 2018). </w:t>
      </w:r>
    </w:p>
    <w:p w14:paraId="6874B87B"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21D6FD0F" w14:textId="1A2D66BB"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Critical reflection is vital in developing my teaching practice. Without critical reflection, I would be unable to identify areas of my practice that require improvement, and my learning would be stagnant (Dressler et al, 2018). Gibbs’s model stresses the need for one to spend equal time in practice, testing, and reflecting (Dressler et al, 2018). Gibbs’s model highlights the important aspect of the model, which is to take action and implement what is identified in the reflection (Gibbs, cited in Dressler et al (2018). As a beginning teacher, it will be crucial for me to critically reflect, implement and use what I learn from my reflective practice. Not only this, but it is important for me to model reflective thinking, to be able to teach, support, and help children be reflective thinkers in their work. </w:t>
      </w:r>
    </w:p>
    <w:p w14:paraId="4FB6F8B2"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Similarly, Schon’s reflective model focuses on reflecting while engaging in practice (Schon 1983, cited in Goh, 2019). Unlike Gibbs’s model, Schon’s model draws attention to when reflection takes place. It requires the practitioner to reflect on what has </w:t>
      </w:r>
      <w:r w:rsidRPr="00DD570C">
        <w:rPr>
          <w:rFonts w:ascii="Arial" w:hAnsi="Arial" w:cs="Arial"/>
          <w:color w:val="0E101A"/>
        </w:rPr>
        <w:lastRenderedPageBreak/>
        <w:t>occurred, and what is happening at the moment. Therefore, practitioners will have the opportunity to reflect on ways to adjust and improve their practice (Goh, 2019). This model of reflection offers a useful basis for practitioners to take on board; reflection occurs during, and after action, and it is good practice to be able to discern what can be adjusted and changed, in the midst of the action (Goh, 2019). </w:t>
      </w:r>
    </w:p>
    <w:p w14:paraId="36675431" w14:textId="77777777"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Thus, Welsh Government has seen reform to the Professional Standards, and reflection is highlighted in the Professional Learning strand of the professional standards. </w:t>
      </w:r>
    </w:p>
    <w:p w14:paraId="1AB59F79" w14:textId="77777777" w:rsidR="00DD570C" w:rsidRDefault="00DD570C" w:rsidP="001F4F89">
      <w:pPr>
        <w:pStyle w:val="NormalWeb"/>
        <w:spacing w:before="30" w:beforeAutospacing="0" w:after="0" w:afterAutospacing="0" w:line="360" w:lineRule="auto"/>
        <w:ind w:left="397"/>
        <w:rPr>
          <w:rFonts w:ascii="Arial" w:hAnsi="Arial" w:cs="Arial"/>
          <w:color w:val="0E101A"/>
        </w:rPr>
      </w:pPr>
    </w:p>
    <w:p w14:paraId="396FB31C" w14:textId="60D62E88"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The Welsh Government denotes the need for teachers to be reflectors, who are constantly learning and developing their pedagogy (Welsh government 2019). Those in teacher training or qualified teachers are charged to work towards becoming teachers who thrive to extend knowledge, methods, and understanding in professional practice (Welsh Government, 2019). Not only this, but reflection is necessary for every aspect and strand of the professional standards, and can be found in almost every descriptor. Educators are required to be critical reflectors, to ensure their learning and development are ongoing, and that the learning of the children is ongoing too. Hence reflection should be constant in practice, and allow teachers to reflect on “their professional experiences” (Welsh Government, 2019, p.6). The use of critical reflection is important and will be part of my future in the education sector, as teachers must be reflective in their practice to be the best teachers they can be (Welsh Government, 2019). </w:t>
      </w:r>
    </w:p>
    <w:p w14:paraId="13C40E2C"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0D3708F9" w14:textId="63605DA3"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To adhere to the BERA guidelines, all participants mentioned, including the school discussed will remain anonymous (BERA 2018). The school is located in the East Swansea area and caters to children between the ages of 3 and 11. It is a large Primary School with 16 classes, and over 400 pupils. The school is community orientated, working in close partnership with the local community. The school is a reflection of the community it resides in, and 16% of pupils have English as their additional language. On average the school has an attendance of 94.3%. The school’s most recent Estyn report rating was good, and there is a hope that in the next Estyn report the school will achieve a rating of outstanding (Estyn 2014). </w:t>
      </w:r>
    </w:p>
    <w:p w14:paraId="02F52424"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135FFD18" w14:textId="1178181A"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The details of the critical incident were observed from a class in which I observed the critical incident was of a Year 2 Class, with approximately 28 children. The class had a </w:t>
      </w:r>
      <w:r w:rsidRPr="00DD570C">
        <w:rPr>
          <w:rFonts w:ascii="Arial" w:hAnsi="Arial" w:cs="Arial"/>
          <w:color w:val="0E101A"/>
        </w:rPr>
        <w:lastRenderedPageBreak/>
        <w:t>main class teacher and a teaching assistant, who were both present on the day of the observation. Additionally, the critical incident took place during a morning session, in which various activities were set out for the children to engage with. The children in the class were mostly motivated to complete the tasks set out, and many were engaged with the various challenges set out for them to complete. Also, it is important to note that this critical incident was observed during the start of the school year; children are still very new to their year group and are just getting used to their class teacher. Along with this, as observers, we were privileged to observe a lesson and engage with both the teacher and the students. However, for this critical incident, the interaction with the students took place after this particular activity. </w:t>
      </w:r>
    </w:p>
    <w:p w14:paraId="47415891"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647D43E1" w14:textId="30EF8938"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During the morning session in the Year 2 class, Teacher X instructed the class that there would be six distinctive activities set out around the classroom, each relating to an Area of Learning and Experience (AOLE). The activities ranged from an expressive arts challenge to a literacy challenge. Teacher X informed some of the children that they would be completing the writing challenge with her, while the teaching assistant instructed a group of children to join her for a maths activity. Children were to be engaged in learning, and tackling the challenges with enjoyment; an explicit link to one of the four purposes, found in the new Welsh curriculum. Teacher X set out challenges to expand the children’s resilience, and to allow the children to be ambitious in the work they would complete (Hwb 2020). </w:t>
      </w:r>
    </w:p>
    <w:p w14:paraId="706FFB50"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18BCE538" w14:textId="77777777"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The writing task Teacher X wanted the small group of children to complete included children using the writing strategy, “I see, I think, I wonder”. Children were given a picture illustration from a book they had previously read as a class and were tasked this writing two sentences for each sentence prompt. As I observed, Teacher X mentioned to me that this was called graphic modelling, and that they wanted the children to work independently, but that they were there to support the children by giving some prompts if they were to struggle. Following this, pupils including pupil Z began to think of sentences to write, and before starting their next sentence, Teacher X would mark their work. I noticed Teacher X not correcting the spelling errors of Pupil Z. Teacher X, informed me that they tend not to correct children’s spelling when they are at this level and stage of writing development. Teacher X explained that they want to build up </w:t>
      </w:r>
      <w:r w:rsidRPr="00DD570C">
        <w:rPr>
          <w:rFonts w:ascii="Arial" w:hAnsi="Arial" w:cs="Arial"/>
          <w:color w:val="0E101A"/>
        </w:rPr>
        <w:lastRenderedPageBreak/>
        <w:t xml:space="preserve">children’s confidence in their writing, and focus on letter formations and learning the phonics instead. The teacher continued to explain that eventually the children would develop a greater understanding of phonics and letter formation, and be able to spell words correctly. During this writing activity, the teacher had to remind some of the other children to stay on task and complete their challenges, however, most of the class was engaged with the activities and enjoyed ticking off the completed challenges in their book. </w:t>
      </w:r>
    </w:p>
    <w:p w14:paraId="4FE28EFC" w14:textId="77777777" w:rsidR="00DD570C" w:rsidRDefault="00DD570C" w:rsidP="001F4F89">
      <w:pPr>
        <w:pStyle w:val="NormalWeb"/>
        <w:spacing w:before="30" w:beforeAutospacing="0" w:after="0" w:afterAutospacing="0" w:line="360" w:lineRule="auto"/>
        <w:ind w:left="397"/>
        <w:rPr>
          <w:rFonts w:ascii="Arial" w:hAnsi="Arial" w:cs="Arial"/>
          <w:color w:val="0E101A"/>
        </w:rPr>
      </w:pPr>
    </w:p>
    <w:p w14:paraId="34A1F77D" w14:textId="0BF8B7C9"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The children were proud of their achievements and would show Teacher X their work. In return, Teacher X would mark the work, and give verbal feedback as soon as possible to the pupils. At times teacher X asked them to check their work, and evaluate it themselves. Pupil Z, despite a few incorrect spellings, had thought of very creative sentences for their, “I see I think I wonder” activity. Teacher X did ask Pupil Z to practice a few letter formations at the end of their work but praised the child for their creative sentences, and for working independently. Teacher X also asked the children questions during and after the activity, allowing the children to evaluate and self-assess how they think they were doing with the task. After one group had finished their writing, the teacher then would call a new group to come and complete the writing activity. However, the first group did take a long time to write their sentences, yet, Teacher X gave them the time to think before they wrote. When the children were writing, the Teacher gave them time to write and did not rush them to complete the sentences.</w:t>
      </w:r>
      <w:r w:rsidR="00C277B1">
        <w:rPr>
          <w:rFonts w:ascii="Arial" w:hAnsi="Arial" w:cs="Arial"/>
          <w:color w:val="0E101A"/>
        </w:rPr>
        <w:t xml:space="preserve"> </w:t>
      </w:r>
    </w:p>
    <w:p w14:paraId="60505154"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44A04DB4"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Style w:val="Strong"/>
          <w:rFonts w:ascii="Arial" w:hAnsi="Arial" w:cs="Arial"/>
          <w:color w:val="0E101A"/>
        </w:rPr>
        <w:t>Literature Review </w:t>
      </w:r>
    </w:p>
    <w:p w14:paraId="54D1BD51"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Style w:val="Strong"/>
          <w:rFonts w:ascii="Arial" w:hAnsi="Arial" w:cs="Arial"/>
          <w:color w:val="0E101A"/>
        </w:rPr>
        <w:t>Introduction </w:t>
      </w:r>
    </w:p>
    <w:p w14:paraId="0D58BED8"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Strategies to support children’s literary development are important to educators and researchers alike. The assessment for learning strategies teachers use is to be effective and relevant to the children they teach. The critical incident highlighted the use of self-assessment, for pupils to check and take ownership of their work. As well as this the observation identified the use of a particular thinking routine, to inform the children’s writing. are which This literature hopes to identify supportive literature the strategies found in the observation, or literature contradictory strategies and techniques found in the observation. Also, the literature hopes to identify what the gaps in the literature may be. Finally, the literature review will aim to conclude with final thoughts on how the </w:t>
      </w:r>
      <w:r w:rsidRPr="00DD570C">
        <w:rPr>
          <w:rFonts w:ascii="Arial" w:hAnsi="Arial" w:cs="Arial"/>
          <w:color w:val="0E101A"/>
        </w:rPr>
        <w:lastRenderedPageBreak/>
        <w:t>literature has given insights and improved the knowledge of the researcher. Thus, the researcher will be able to make some final thoughts on how the information from the literature will inform future reading and research. </w:t>
      </w:r>
    </w:p>
    <w:p w14:paraId="209E25F5"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6E22F866" w14:textId="2A32740C"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Style w:val="Strong"/>
          <w:rFonts w:ascii="Arial" w:hAnsi="Arial" w:cs="Arial"/>
          <w:color w:val="0E101A"/>
        </w:rPr>
        <w:t>Strategies to support children’s writing skills in Primary School </w:t>
      </w:r>
      <w:r w:rsidR="00C277B1">
        <w:rPr>
          <w:rStyle w:val="Strong"/>
          <w:rFonts w:ascii="Arial" w:hAnsi="Arial" w:cs="Arial"/>
          <w:color w:val="0E101A"/>
        </w:rPr>
        <w:t>and factor which may affect it</w:t>
      </w:r>
      <w:r w:rsidRPr="00DD570C">
        <w:rPr>
          <w:rStyle w:val="Strong"/>
          <w:rFonts w:ascii="Arial" w:hAnsi="Arial" w:cs="Arial"/>
          <w:color w:val="0E101A"/>
        </w:rPr>
        <w:t> </w:t>
      </w:r>
    </w:p>
    <w:p w14:paraId="4EA05D6F" w14:textId="4194473E"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It is suggested by those who have conducted reviews of best practices in education, that self-assessment is a good tool that enables children to take ownership of their work and skills (</w:t>
      </w:r>
      <w:proofErr w:type="spellStart"/>
      <w:r w:rsidRPr="00DD570C">
        <w:rPr>
          <w:rFonts w:ascii="Arial" w:hAnsi="Arial" w:cs="Arial"/>
          <w:color w:val="0E101A"/>
        </w:rPr>
        <w:t>Florez</w:t>
      </w:r>
      <w:proofErr w:type="spellEnd"/>
      <w:r w:rsidRPr="00DD570C">
        <w:rPr>
          <w:rFonts w:ascii="Arial" w:hAnsi="Arial" w:cs="Arial"/>
          <w:color w:val="0E101A"/>
        </w:rPr>
        <w:t xml:space="preserve"> and Sammons, 2013). The critical incident “Appendix 1” highlighted that the teacher used this strategy in the activity, but mostly focused on teacher assessment. </w:t>
      </w:r>
      <w:proofErr w:type="spellStart"/>
      <w:r w:rsidRPr="00DD570C">
        <w:rPr>
          <w:rFonts w:ascii="Arial" w:hAnsi="Arial" w:cs="Arial"/>
          <w:color w:val="0E101A"/>
        </w:rPr>
        <w:t>Florez</w:t>
      </w:r>
      <w:proofErr w:type="spellEnd"/>
      <w:r w:rsidRPr="00DD570C">
        <w:rPr>
          <w:rFonts w:ascii="Arial" w:hAnsi="Arial" w:cs="Arial"/>
          <w:color w:val="0E101A"/>
        </w:rPr>
        <w:t xml:space="preserve"> and Sammons (2013) propose the reason for this, is many researchers indicate that children struggle with the ability to understand their learning goals, and what their next steps could be. However, it is denoted that if children receive clear instruction on what they are to assess and how children will be more successful with self-assessment (</w:t>
      </w:r>
      <w:proofErr w:type="spellStart"/>
      <w:r w:rsidRPr="00DD570C">
        <w:rPr>
          <w:rFonts w:ascii="Arial" w:hAnsi="Arial" w:cs="Arial"/>
          <w:color w:val="0E101A"/>
        </w:rPr>
        <w:t>Florez</w:t>
      </w:r>
      <w:proofErr w:type="spellEnd"/>
      <w:r w:rsidRPr="00DD570C">
        <w:rPr>
          <w:rFonts w:ascii="Arial" w:hAnsi="Arial" w:cs="Arial"/>
          <w:color w:val="0E101A"/>
        </w:rPr>
        <w:t xml:space="preserve"> and Sammons 2013) In addition to that, Gardner (2012) insists on self-assessment being a vital strategy to help children develop the skills and attributes, such as being independent and conscious learners; reflecting on their work and what can be improved upon. It is argued that the focus should be more on the children, taking ownership of their learning, and the teacher is a facilitator and works with the children to achieve goals in their learning (Gardner 2012). In this regard, the teacher in the critical incident “Appendix 1” allowed the children to work independently, taking ownership of their work and evaluating if they were successful in the task. </w:t>
      </w:r>
    </w:p>
    <w:p w14:paraId="707DEC5D"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792D593E" w14:textId="29E199A2"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Alternatively, spelling correction, an assessment for learning strategy highlighted in the critical incident “Appendix 1”, is an area with limited research, as to what methods work for checking children’s written work (Downs et al, 2022). Despite this, there have been some recent studies which have pointed to digital spellcheckers assisting with checking children’s spelling; allowing the children to use it to check their work and adjust their spelling independently. Digital spell checkers have been used in a recent study to determine what area of literacy children are struggling with, such as checking phonetics and generating relevant spelling suggestions (Downs et al, 2022). This type of spelling correction could be the future in spelling correction, as it focuses on providing spelling suggestions for children to choose from, allowing them to be involved in the process of </w:t>
      </w:r>
      <w:r w:rsidRPr="00DD570C">
        <w:rPr>
          <w:rFonts w:ascii="Arial" w:hAnsi="Arial" w:cs="Arial"/>
          <w:color w:val="0E101A"/>
        </w:rPr>
        <w:lastRenderedPageBreak/>
        <w:t>learning. Consequently, the use of this type of spelling interface requires access to computers, which most schools do have, but many may not, so could be ineffective in some schools. Concerning the critical incident, perhaps this tool would not have been appropriate, as the learning objective of the task, in the critical incident was for the children to write creatively, using their imagination, not to spell correctly. </w:t>
      </w:r>
    </w:p>
    <w:p w14:paraId="4ECF9A6B"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71C3954C" w14:textId="77777777"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w:t>
      </w:r>
      <w:proofErr w:type="spellStart"/>
      <w:r w:rsidRPr="00DD570C">
        <w:rPr>
          <w:rFonts w:ascii="Arial" w:hAnsi="Arial" w:cs="Arial"/>
          <w:color w:val="0E101A"/>
        </w:rPr>
        <w:t>Treiman</w:t>
      </w:r>
      <w:proofErr w:type="spellEnd"/>
      <w:r w:rsidRPr="00DD570C">
        <w:rPr>
          <w:rFonts w:ascii="Arial" w:hAnsi="Arial" w:cs="Arial"/>
          <w:color w:val="0E101A"/>
        </w:rPr>
        <w:t xml:space="preserve"> (2018) states that correcting children’s spelling is a controversial topic among many, especially the notion of whether spelling should be taught or should the learning focus be on phonics. </w:t>
      </w:r>
      <w:proofErr w:type="spellStart"/>
      <w:r w:rsidRPr="00DD570C">
        <w:rPr>
          <w:rFonts w:ascii="Arial" w:hAnsi="Arial" w:cs="Arial"/>
          <w:color w:val="0E101A"/>
        </w:rPr>
        <w:t>Treiman</w:t>
      </w:r>
      <w:proofErr w:type="spellEnd"/>
      <w:r w:rsidRPr="00DD570C">
        <w:rPr>
          <w:rFonts w:ascii="Arial" w:hAnsi="Arial" w:cs="Arial"/>
          <w:color w:val="0E101A"/>
        </w:rPr>
        <w:t xml:space="preserve"> (2018) further suggests that phonetical knowledge alone is not beneficial in supporting children’s spelling, and in some cases, the knowledge of phonetical knowledge does not always equate to correct spellings. Therefore, it is argued that teachers must be knowledgeable of the type of spelling errors the children in their class typically make, at their developmental stage. The knowledge of this allows teachers to better support the learners with their spelling errors. Hence, the way one corrects the spellings of children is important and can impact the child’s learning, and what they take away from that interaction (</w:t>
      </w:r>
      <w:proofErr w:type="spellStart"/>
      <w:r w:rsidRPr="00DD570C">
        <w:rPr>
          <w:rFonts w:ascii="Arial" w:hAnsi="Arial" w:cs="Arial"/>
          <w:color w:val="0E101A"/>
        </w:rPr>
        <w:t>Treiman</w:t>
      </w:r>
      <w:proofErr w:type="spellEnd"/>
      <w:r w:rsidRPr="00DD570C">
        <w:rPr>
          <w:rFonts w:ascii="Arial" w:hAnsi="Arial" w:cs="Arial"/>
          <w:color w:val="0E101A"/>
        </w:rPr>
        <w:t xml:space="preserve"> 2018). The interaction can take many forms, and in a study which collated evidence from a small group activity, the use of talk in that small group was effective (Davidson 2008). The correction of students’ work occurred last in the stages of correction, rather than starting with the correction. </w:t>
      </w:r>
    </w:p>
    <w:p w14:paraId="754DA5AB" w14:textId="77777777" w:rsidR="00DD570C" w:rsidRDefault="00DD570C" w:rsidP="001F4F89">
      <w:pPr>
        <w:pStyle w:val="NormalWeb"/>
        <w:spacing w:before="30" w:beforeAutospacing="0" w:after="0" w:afterAutospacing="0" w:line="360" w:lineRule="auto"/>
        <w:ind w:left="397"/>
        <w:rPr>
          <w:rFonts w:ascii="Arial" w:hAnsi="Arial" w:cs="Arial"/>
          <w:color w:val="0E101A"/>
        </w:rPr>
      </w:pPr>
    </w:p>
    <w:p w14:paraId="5BC58B45" w14:textId="77438B8D"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Firstly, there was a dialogue between the teacher and the pupil; either the teacher asks a question, or reads the pupil’s work back to them (Davidson, 2008). The teacher ensured enough time was given to the student to reply. In cases where the child’s response missed the error in their work, the teacher would read their work back to them, and in most cases, the children would recognise their error. Meaning, the strategy of reading the children’s work back to them is an effective tool, in supporting children’s literacy skills (Davidson, 2008). The critical study expressed a similar strategy used by Teacher X, in that the teacher used dialogue first when marking the pupil’s work. Interestingly enough, the goal of both teachers is not to correct first, but to allow for self-assessment and correction, or adjusting. Ultimately, both scenarios end with a physical correction being made. Although in the critical incident, “Appendix 1” the correction was to one aspect of the work, and not to the spelling. Davidson (2008) expresses that many have suggested the need for correction, as it is an illustration of school literacy. </w:t>
      </w:r>
      <w:r w:rsidRPr="00DD570C">
        <w:rPr>
          <w:rFonts w:ascii="Arial" w:hAnsi="Arial" w:cs="Arial"/>
          <w:color w:val="0E101A"/>
        </w:rPr>
        <w:lastRenderedPageBreak/>
        <w:t>However, this implies the teacher has the choice of what talk and error correction sequence is used in their classroom. </w:t>
      </w:r>
    </w:p>
    <w:p w14:paraId="112F7551"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447CB7B3" w14:textId="3ED97E4B"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In regards to handwriting in the primary years, Feder and </w:t>
      </w:r>
      <w:proofErr w:type="spellStart"/>
      <w:r w:rsidRPr="00DD570C">
        <w:rPr>
          <w:rFonts w:ascii="Arial" w:hAnsi="Arial" w:cs="Arial"/>
          <w:color w:val="0E101A"/>
        </w:rPr>
        <w:t>Majnemer</w:t>
      </w:r>
      <w:proofErr w:type="spellEnd"/>
      <w:r w:rsidRPr="00DD570C">
        <w:rPr>
          <w:rFonts w:ascii="Arial" w:hAnsi="Arial" w:cs="Arial"/>
          <w:color w:val="0E101A"/>
        </w:rPr>
        <w:t xml:space="preserve"> (2007) stress the importance of children’s writing development, to boost children’s confidence. Feder and </w:t>
      </w:r>
      <w:proofErr w:type="spellStart"/>
      <w:r w:rsidRPr="00DD570C">
        <w:rPr>
          <w:rFonts w:ascii="Arial" w:hAnsi="Arial" w:cs="Arial"/>
          <w:color w:val="0E101A"/>
        </w:rPr>
        <w:t>Majnemar</w:t>
      </w:r>
      <w:proofErr w:type="spellEnd"/>
      <w:r w:rsidRPr="00DD570C">
        <w:rPr>
          <w:rFonts w:ascii="Arial" w:hAnsi="Arial" w:cs="Arial"/>
          <w:color w:val="0E101A"/>
        </w:rPr>
        <w:t xml:space="preserve"> (2007) maintain that handwriting is an important aspect of children’s schooling, and vital for children’s academic success. As mentioned by the class Teacher X, the teacher chose to focus more on the children’s handwriting and letter formation, than other aspects of correction. Researchers reiterate that poor handwriting must be addressed, as it can be an obstacle to other areas of literacy, such as writing stories and spelling (Feder and </w:t>
      </w:r>
      <w:proofErr w:type="spellStart"/>
      <w:r w:rsidRPr="00DD570C">
        <w:rPr>
          <w:rFonts w:ascii="Arial" w:hAnsi="Arial" w:cs="Arial"/>
          <w:color w:val="0E101A"/>
        </w:rPr>
        <w:t>Majnemer</w:t>
      </w:r>
      <w:proofErr w:type="spellEnd"/>
      <w:r w:rsidRPr="00DD570C">
        <w:rPr>
          <w:rFonts w:ascii="Arial" w:hAnsi="Arial" w:cs="Arial"/>
          <w:color w:val="0E101A"/>
        </w:rPr>
        <w:t xml:space="preserve"> 2007). Furthermore, Teacher X was aware of the importance of addressing the letter formation in their student’s work, while ensuring they had a boost of self-confidence, by focusing on the areas that they did well. As highlighted by some researchers, the attitude and competence of the teacher, and the methods they use are important in supporting children in their writing (Downs et al, 2019). The research points to the importance of the teacher being informed of what works well for teaching writing to children; supporting them and using methods which are personalised to the children in their class (Downs et al, 2019). Furthermore, parents who were involved in the research identified the need for the teacher to provide positive feedback on their written work, as capable children are more likely to thrive and attempt tasks (Downs et al, 2019). </w:t>
      </w:r>
    </w:p>
    <w:p w14:paraId="38CECFC0"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7FA01B80" w14:textId="7104BDAE"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As stated by Downs et al (2019), the teacher must be aware of the strategies that will work best for their classroom. Teachers of younger students are usually more focused on phonics than spelling, due to the level of development typically found in the younger year groups. The research conducted in England has found teachers in KS1 had significant differences in the teacher’s approach to spelling across the year’s groups, to best fit their classroom, and the children’s level of development </w:t>
      </w:r>
      <w:proofErr w:type="spellStart"/>
      <w:r w:rsidRPr="00DD570C">
        <w:rPr>
          <w:rFonts w:ascii="Arial" w:hAnsi="Arial" w:cs="Arial"/>
          <w:color w:val="0E101A"/>
        </w:rPr>
        <w:t>Docktrell</w:t>
      </w:r>
      <w:proofErr w:type="spellEnd"/>
      <w:r w:rsidRPr="00DD570C">
        <w:rPr>
          <w:rFonts w:ascii="Arial" w:hAnsi="Arial" w:cs="Arial"/>
          <w:color w:val="0E101A"/>
        </w:rPr>
        <w:t xml:space="preserve"> et al, 2016). Also, </w:t>
      </w:r>
      <w:proofErr w:type="spellStart"/>
      <w:r w:rsidRPr="00DD570C">
        <w:rPr>
          <w:rFonts w:ascii="Arial" w:hAnsi="Arial" w:cs="Arial"/>
          <w:color w:val="0E101A"/>
        </w:rPr>
        <w:t>Docktrell</w:t>
      </w:r>
      <w:proofErr w:type="spellEnd"/>
      <w:r w:rsidRPr="00DD570C">
        <w:rPr>
          <w:rFonts w:ascii="Arial" w:hAnsi="Arial" w:cs="Arial"/>
          <w:color w:val="0E101A"/>
        </w:rPr>
        <w:t xml:space="preserve"> et al (2016) highlight that all respondent teachers, who took part in the research mentioned that there was a focus on spelling in the classroom, but the regular attention to spelling was varied among the teachers. This is contrary to some research, where spelling is taught or focused on daily (Cutler and Graham 2008). The research conducted by Cutler and Graham, surveyed teachers in the United States of America, to </w:t>
      </w:r>
      <w:r w:rsidRPr="00DD570C">
        <w:rPr>
          <w:rFonts w:ascii="Arial" w:hAnsi="Arial" w:cs="Arial"/>
          <w:color w:val="0E101A"/>
        </w:rPr>
        <w:lastRenderedPageBreak/>
        <w:t>identify how much time is being spent teaching writing, and which aspects are being focused on. One particular finding was, as well as it is to teach children to spell correctly, and use correct grammar, is the importance of fostering motivation to write. The study found that more teachers needed to focus on fostering motivation, by allowing children to share their writing with their peers, or sharing writing in the classroom, on a display, for example. Thus, the children will be motivated to be lifelong writers, especially in classrooms with teachers who focus on having practices that nurture motivation for writing (</w:t>
      </w:r>
      <w:proofErr w:type="spellStart"/>
      <w:r w:rsidRPr="00DD570C">
        <w:rPr>
          <w:rFonts w:ascii="Arial" w:hAnsi="Arial" w:cs="Arial"/>
          <w:color w:val="0E101A"/>
        </w:rPr>
        <w:t>Dcoktrell</w:t>
      </w:r>
      <w:proofErr w:type="spellEnd"/>
      <w:r w:rsidRPr="00DD570C">
        <w:rPr>
          <w:rFonts w:ascii="Arial" w:hAnsi="Arial" w:cs="Arial"/>
          <w:color w:val="0E101A"/>
        </w:rPr>
        <w:t xml:space="preserve"> et al, 2019). </w:t>
      </w:r>
    </w:p>
    <w:p w14:paraId="5DEDC09C"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3C4BF6A9"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This Literature review was not an extensive literature on the various strategies which teachers must be aware of when supporting children with their writing in the primary years, however, it has drawn attention to the use of types of assessment used in correcting children’s writing, as well the importance of developing children’s self-confidence and motivation in their writing. Ultimately, the use of correction in primary years must be done thoughtfully and with the children’s best interest in mind (</w:t>
      </w:r>
      <w:proofErr w:type="spellStart"/>
      <w:r w:rsidRPr="00DD570C">
        <w:rPr>
          <w:rFonts w:ascii="Arial" w:hAnsi="Arial" w:cs="Arial"/>
          <w:color w:val="0E101A"/>
        </w:rPr>
        <w:t>Docktrell</w:t>
      </w:r>
      <w:proofErr w:type="spellEnd"/>
      <w:r w:rsidRPr="00DD570C">
        <w:rPr>
          <w:rFonts w:ascii="Arial" w:hAnsi="Arial" w:cs="Arial"/>
          <w:color w:val="0E101A"/>
        </w:rPr>
        <w:t xml:space="preserve"> et al 2019). Also, the literature review has stressed the importance of handwriting in the primary years, and the need to address any issues in children’s handwriting as soon as possible (Feder and </w:t>
      </w:r>
      <w:proofErr w:type="spellStart"/>
      <w:r w:rsidRPr="00DD570C">
        <w:rPr>
          <w:rFonts w:ascii="Arial" w:hAnsi="Arial" w:cs="Arial"/>
          <w:color w:val="0E101A"/>
        </w:rPr>
        <w:t>Majnemer</w:t>
      </w:r>
      <w:proofErr w:type="spellEnd"/>
      <w:r w:rsidRPr="00DD570C">
        <w:rPr>
          <w:rFonts w:ascii="Arial" w:hAnsi="Arial" w:cs="Arial"/>
          <w:color w:val="0E101A"/>
        </w:rPr>
        <w:t xml:space="preserve"> 2017). </w:t>
      </w:r>
    </w:p>
    <w:p w14:paraId="4942804B"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5E17C7D9" w14:textId="77777777"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The reflection model I will use to reflect upon the critical incident, “Appendix 1”, focus, (‘Strategies to support children’s writing in primary years)’, is the Gibbs Reflective Cycle. Firstly, what occurred in the critical incident, was in my opinion good practice. Initially, I was unsure as to why the teacher did not focus on correcting the spellings of the children, however, after reading various sources, I understood some of the rationales behind that strategy. As a beginning teacher, I am at the start of my teaching journey and felt very privileged to observe Teacher X, and appreciated and commended them on how they encouraged the children’s written work and focused on the positives they achieved. I was impressed with the way the teacher allowed the children to work independently on the writing task, and instead of giving them the answers, Teacher X would ask the children questions to help them think creatively. Not only this, but Teacher X did not dismiss the children’s ideas, and welcomed creative, out-of-the-box, creative and imaginative thinking. This articulated the desire of the teacher to allow the </w:t>
      </w:r>
      <w:r w:rsidRPr="00DD570C">
        <w:rPr>
          <w:rFonts w:ascii="Arial" w:hAnsi="Arial" w:cs="Arial"/>
          <w:color w:val="0E101A"/>
        </w:rPr>
        <w:lastRenderedPageBreak/>
        <w:t>children to enjoy their writing task and enable them to have some ownership over their ideas and the direction of their sentences.</w:t>
      </w:r>
    </w:p>
    <w:p w14:paraId="1740A15A" w14:textId="0502F904"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w:t>
      </w:r>
    </w:p>
    <w:p w14:paraId="257AC6F3" w14:textId="515AAEEA"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The critical incident “Appendix 1” provoked thoughts about how I approach correcting errors of the children I teach. Errors in written work, for example, may have various underlying reasons; children could be struggling with their spelling or handwriting or just experiencing learning, which errors and making mistakes are part of. I have considered how I can model making mistakes in the classroom, so children can see that mistakes are part of life, and make them feel more comfortable with making them too. The different sources in the literature review have drawn my attention to various strategies that can be used to support children in literacy. In particular, I want to be sure to always focus on the positive of children’s work, and correct only what is necessary. However, I realise that there is so much for me to learn regarding this area, and with more practice and experience, I will be able to use the appropriate strategies to support children in their literacy work; such as peer assessment, self-assessment, independent work and correcting errors in written work. </w:t>
      </w:r>
    </w:p>
    <w:p w14:paraId="1EF5341B"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722F162A"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Upon further reflection, if in a situation where children have some errors in their spellings, for example, I would perhaps use the method suggested in reading, which is to use dialogue to include the child in the discussion regarding the work and identifying the errors. Perhaps I could provide some questions to ask the child, to draw out ideas regarding whether they think anything could be improved upon. Yet, I would want to ensure I am being positive in my feedback, and not using it to emphasise the errors, instead, I would want to conclude the feedback by highlighting the positives, and using positive language when correcting. </w:t>
      </w:r>
    </w:p>
    <w:p w14:paraId="13724AD0" w14:textId="3FDCB544"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To conclude, the approach I have taken has been informed by the practice observed during the critical incident “Appendix 1” and the relevant readings related to the topic of, ‘Strategies to support children’s writing in primary </w:t>
      </w:r>
      <w:proofErr w:type="gramStart"/>
      <w:r w:rsidRPr="00DD570C">
        <w:rPr>
          <w:rFonts w:ascii="Arial" w:hAnsi="Arial" w:cs="Arial"/>
          <w:color w:val="0E101A"/>
        </w:rPr>
        <w:t>years’</w:t>
      </w:r>
      <w:proofErr w:type="gramEnd"/>
      <w:r w:rsidRPr="00DD570C">
        <w:rPr>
          <w:rFonts w:ascii="Arial" w:hAnsi="Arial" w:cs="Arial"/>
          <w:color w:val="0E101A"/>
        </w:rPr>
        <w:t xml:space="preserve">. Through reflection, I have been able to identify the importance of finding a balance between correcting children’s written work and identifying the positives and areas in which they have done well. This has allowed me to consider how to correct parts of children’s work, without negatively affecting their self-confidence and motivation to write. Despite this, it has been evident </w:t>
      </w:r>
      <w:r w:rsidRPr="00DD570C">
        <w:rPr>
          <w:rFonts w:ascii="Arial" w:hAnsi="Arial" w:cs="Arial"/>
          <w:color w:val="0E101A"/>
        </w:rPr>
        <w:lastRenderedPageBreak/>
        <w:t>to me through the readings that error correction is important too, to help children develop and learn the correct literacy skills needed for future life and learning. </w:t>
      </w:r>
    </w:p>
    <w:p w14:paraId="1122DA28"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22ACC34A" w14:textId="0117EBF4" w:rsid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 xml:space="preserve">With this in mind, I am aware that being able to use the correct strategies to support children’s written work is a skill I will be continuing to develop as a beginning teacher. Thus, I will be “seeking advice and support” from those more knowledgeable in this area, such as my class mentor or other professionals, to help inform my practice and teaching (Welsh Government, pg. 43, </w:t>
      </w:r>
      <w:proofErr w:type="gramStart"/>
      <w:r w:rsidRPr="00DD570C">
        <w:rPr>
          <w:rFonts w:ascii="Arial" w:hAnsi="Arial" w:cs="Arial"/>
          <w:color w:val="0E101A"/>
        </w:rPr>
        <w:t>2019 )</w:t>
      </w:r>
      <w:proofErr w:type="gramEnd"/>
      <w:r w:rsidRPr="00DD570C">
        <w:rPr>
          <w:rFonts w:ascii="Arial" w:hAnsi="Arial" w:cs="Arial"/>
          <w:color w:val="0E101A"/>
        </w:rPr>
        <w:t>. This is part of the collaboration professional standard, which I hope to continue to develop by seeking support from others. Plus, it will be important for me to seek “wider readings and research findings”, (Welsh Government, pg. 48, 2019), related to this topic, and consider what the research identifies as good practice, and what has been successful in the past, or what is being trialled and could be useful in the future. This is important in my development as a teacher; being open to new ideas, and critical advice, will support me in my continued professional development. </w:t>
      </w:r>
    </w:p>
    <w:p w14:paraId="0DC3A4B1"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p>
    <w:p w14:paraId="58CCAA6C" w14:textId="77777777" w:rsidR="00DD570C" w:rsidRPr="00DD570C" w:rsidRDefault="00DD570C" w:rsidP="001F4F89">
      <w:pPr>
        <w:pStyle w:val="NormalWeb"/>
        <w:spacing w:before="30" w:beforeAutospacing="0" w:after="0" w:afterAutospacing="0" w:line="360" w:lineRule="auto"/>
        <w:ind w:left="397"/>
        <w:rPr>
          <w:rFonts w:ascii="Arial" w:hAnsi="Arial" w:cs="Arial"/>
          <w:color w:val="0E101A"/>
        </w:rPr>
      </w:pPr>
      <w:r w:rsidRPr="00DD570C">
        <w:rPr>
          <w:rFonts w:ascii="Arial" w:hAnsi="Arial" w:cs="Arial"/>
          <w:color w:val="0E101A"/>
        </w:rPr>
        <w:t>How I will reflect on my practice is important too, and the use of reflection models, such as the Gibbs reflection model, is one I hope to use in my practice; ensuring to go through the cyclical process, which ultimately leads to the action plan. The use of models such as these will help to improve my critical reflections, and make me think deeper and more critically. This will be to inform my practice and allow me to become a thoughtful practitioner, who justifies their practice and is willing to learn from others, such as experts in the field or relevant research. With this in mind, the other goal of reflective practice, for me, as a beginning teacher is to provide the best experiences for the children I will teach, and help the children to start to develop a reflective mind too. </w:t>
      </w:r>
    </w:p>
    <w:p w14:paraId="1FC22471" w14:textId="1588B8FD" w:rsidR="00DD570C" w:rsidRDefault="00DD570C" w:rsidP="001F4F89">
      <w:pPr>
        <w:spacing w:before="30"/>
        <w:ind w:left="397"/>
      </w:pPr>
    </w:p>
    <w:p w14:paraId="392D912F" w14:textId="1CF65833" w:rsidR="000C3557" w:rsidRDefault="000C3557">
      <w:pPr>
        <w:rPr>
          <w:rFonts w:ascii="Arial" w:hAnsi="Arial" w:cs="Arial"/>
          <w:sz w:val="24"/>
          <w:szCs w:val="24"/>
        </w:rPr>
      </w:pPr>
      <w:r w:rsidRPr="000C3557">
        <w:rPr>
          <w:rFonts w:ascii="Arial" w:hAnsi="Arial" w:cs="Arial"/>
          <w:sz w:val="24"/>
          <w:szCs w:val="24"/>
        </w:rPr>
        <w:t xml:space="preserve">Word count: </w:t>
      </w:r>
      <w:r>
        <w:rPr>
          <w:rFonts w:ascii="Arial" w:hAnsi="Arial" w:cs="Arial"/>
          <w:sz w:val="24"/>
          <w:szCs w:val="24"/>
        </w:rPr>
        <w:t>4,02</w:t>
      </w:r>
      <w:r w:rsidR="00C277B1">
        <w:rPr>
          <w:rFonts w:ascii="Arial" w:hAnsi="Arial" w:cs="Arial"/>
          <w:sz w:val="24"/>
          <w:szCs w:val="24"/>
        </w:rPr>
        <w:t>3</w:t>
      </w:r>
    </w:p>
    <w:p w14:paraId="5294E81D" w14:textId="359977FA" w:rsidR="00F76036" w:rsidRDefault="00F76036">
      <w:pPr>
        <w:rPr>
          <w:rFonts w:ascii="Arial" w:hAnsi="Arial" w:cs="Arial"/>
          <w:sz w:val="24"/>
          <w:szCs w:val="24"/>
        </w:rPr>
      </w:pPr>
    </w:p>
    <w:p w14:paraId="5B9C8AAF" w14:textId="1F8145C0" w:rsidR="00F76036" w:rsidRDefault="00F76036">
      <w:pPr>
        <w:rPr>
          <w:rFonts w:ascii="Arial" w:hAnsi="Arial" w:cs="Arial"/>
          <w:sz w:val="24"/>
          <w:szCs w:val="24"/>
        </w:rPr>
      </w:pPr>
    </w:p>
    <w:p w14:paraId="3D5D98FD" w14:textId="4AC2EB44" w:rsidR="00F76036" w:rsidRDefault="00F76036">
      <w:pPr>
        <w:rPr>
          <w:rFonts w:ascii="Arial" w:hAnsi="Arial" w:cs="Arial"/>
          <w:sz w:val="24"/>
          <w:szCs w:val="24"/>
        </w:rPr>
      </w:pPr>
    </w:p>
    <w:p w14:paraId="32C862E0" w14:textId="54D48947" w:rsidR="00F76036" w:rsidRDefault="00F76036">
      <w:pPr>
        <w:rPr>
          <w:rFonts w:ascii="Arial" w:hAnsi="Arial" w:cs="Arial"/>
          <w:sz w:val="24"/>
          <w:szCs w:val="24"/>
        </w:rPr>
      </w:pPr>
      <w:r>
        <w:rPr>
          <w:rFonts w:ascii="Arial" w:hAnsi="Arial" w:cs="Arial"/>
          <w:sz w:val="24"/>
          <w:szCs w:val="24"/>
        </w:rPr>
        <w:lastRenderedPageBreak/>
        <w:t xml:space="preserve">Reference list </w:t>
      </w:r>
    </w:p>
    <w:p w14:paraId="4E3F1F9F" w14:textId="77777777" w:rsidR="00F76036" w:rsidRPr="00E416F8" w:rsidRDefault="00F76036" w:rsidP="00F76036">
      <w:pPr>
        <w:pStyle w:val="NormalWeb"/>
        <w:rPr>
          <w:rFonts w:ascii="Arial" w:hAnsi="Arial" w:cs="Arial"/>
        </w:rPr>
      </w:pPr>
      <w:r w:rsidRPr="00E416F8">
        <w:rPr>
          <w:rFonts w:ascii="Arial" w:hAnsi="Arial" w:cs="Arial"/>
        </w:rPr>
        <w:t xml:space="preserve">BERA (2018) </w:t>
      </w:r>
      <w:r w:rsidRPr="00E416F8">
        <w:rPr>
          <w:rFonts w:ascii="Arial" w:hAnsi="Arial" w:cs="Arial"/>
          <w:i/>
          <w:iCs/>
        </w:rPr>
        <w:t xml:space="preserve">Ethical guidelines for educational research, </w:t>
      </w:r>
      <w:proofErr w:type="gramStart"/>
      <w:r w:rsidRPr="00E416F8">
        <w:rPr>
          <w:rFonts w:ascii="Arial" w:hAnsi="Arial" w:cs="Arial"/>
          <w:i/>
          <w:iCs/>
        </w:rPr>
        <w:t>Fourth</w:t>
      </w:r>
      <w:proofErr w:type="gramEnd"/>
      <w:r w:rsidRPr="00E416F8">
        <w:rPr>
          <w:rFonts w:ascii="Arial" w:hAnsi="Arial" w:cs="Arial"/>
          <w:i/>
          <w:iCs/>
        </w:rPr>
        <w:t xml:space="preserve"> edition (2018)</w:t>
      </w:r>
      <w:r w:rsidRPr="00E416F8">
        <w:rPr>
          <w:rFonts w:ascii="Arial" w:hAnsi="Arial" w:cs="Arial"/>
        </w:rPr>
        <w:t xml:space="preserve"> Available at: </w:t>
      </w:r>
      <w:hyperlink r:id="rId4" w:history="1">
        <w:r w:rsidRPr="00E416F8">
          <w:rPr>
            <w:rStyle w:val="Hyperlink"/>
            <w:rFonts w:ascii="Arial" w:hAnsi="Arial" w:cs="Arial"/>
          </w:rPr>
          <w:t>https://www.bera.ac.uk/publication/ethical-guidelines-for-educational-research-2018</w:t>
        </w:r>
      </w:hyperlink>
      <w:r w:rsidRPr="00E416F8">
        <w:rPr>
          <w:rFonts w:ascii="Arial" w:hAnsi="Arial" w:cs="Arial"/>
        </w:rPr>
        <w:t xml:space="preserve">  (Accessed: October 13, 2022). </w:t>
      </w:r>
    </w:p>
    <w:p w14:paraId="66ACE8BB" w14:textId="77777777" w:rsidR="00F76036" w:rsidRPr="00E416F8" w:rsidRDefault="00F76036" w:rsidP="00F76036">
      <w:pPr>
        <w:rPr>
          <w:rFonts w:ascii="Arial" w:hAnsi="Arial" w:cs="Arial"/>
          <w:sz w:val="24"/>
          <w:szCs w:val="24"/>
        </w:rPr>
      </w:pPr>
      <w:r w:rsidRPr="00E416F8">
        <w:rPr>
          <w:rFonts w:ascii="Arial" w:hAnsi="Arial" w:cs="Arial"/>
          <w:sz w:val="24"/>
          <w:szCs w:val="24"/>
        </w:rPr>
        <w:t xml:space="preserve">Berge, Skar, G. B., </w:t>
      </w:r>
      <w:proofErr w:type="spellStart"/>
      <w:r w:rsidRPr="00E416F8">
        <w:rPr>
          <w:rFonts w:ascii="Arial" w:hAnsi="Arial" w:cs="Arial"/>
          <w:sz w:val="24"/>
          <w:szCs w:val="24"/>
        </w:rPr>
        <w:t>Matre</w:t>
      </w:r>
      <w:proofErr w:type="spellEnd"/>
      <w:r w:rsidRPr="00E416F8">
        <w:rPr>
          <w:rFonts w:ascii="Arial" w:hAnsi="Arial" w:cs="Arial"/>
          <w:sz w:val="24"/>
          <w:szCs w:val="24"/>
        </w:rPr>
        <w:t xml:space="preserve">, S., Solheim, R., </w:t>
      </w:r>
      <w:proofErr w:type="spellStart"/>
      <w:r w:rsidRPr="00E416F8">
        <w:rPr>
          <w:rFonts w:ascii="Arial" w:hAnsi="Arial" w:cs="Arial"/>
          <w:sz w:val="24"/>
          <w:szCs w:val="24"/>
        </w:rPr>
        <w:t>Evensen</w:t>
      </w:r>
      <w:proofErr w:type="spellEnd"/>
      <w:r w:rsidRPr="00E416F8">
        <w:rPr>
          <w:rFonts w:ascii="Arial" w:hAnsi="Arial" w:cs="Arial"/>
          <w:sz w:val="24"/>
          <w:szCs w:val="24"/>
        </w:rPr>
        <w:t xml:space="preserve">, L. S., </w:t>
      </w:r>
      <w:proofErr w:type="spellStart"/>
      <w:r w:rsidRPr="00E416F8">
        <w:rPr>
          <w:rFonts w:ascii="Arial" w:hAnsi="Arial" w:cs="Arial"/>
          <w:sz w:val="24"/>
          <w:szCs w:val="24"/>
        </w:rPr>
        <w:t>Otnes</w:t>
      </w:r>
      <w:proofErr w:type="spellEnd"/>
      <w:r w:rsidRPr="00E416F8">
        <w:rPr>
          <w:rFonts w:ascii="Arial" w:hAnsi="Arial" w:cs="Arial"/>
          <w:sz w:val="24"/>
          <w:szCs w:val="24"/>
        </w:rPr>
        <w:t xml:space="preserve">, H., &amp; </w:t>
      </w:r>
      <w:proofErr w:type="spellStart"/>
      <w:r w:rsidRPr="00E416F8">
        <w:rPr>
          <w:rFonts w:ascii="Arial" w:hAnsi="Arial" w:cs="Arial"/>
          <w:sz w:val="24"/>
          <w:szCs w:val="24"/>
        </w:rPr>
        <w:t>Thygesen</w:t>
      </w:r>
      <w:proofErr w:type="spellEnd"/>
      <w:r w:rsidRPr="00E416F8">
        <w:rPr>
          <w:rFonts w:ascii="Arial" w:hAnsi="Arial" w:cs="Arial"/>
          <w:sz w:val="24"/>
          <w:szCs w:val="24"/>
        </w:rPr>
        <w:t xml:space="preserve">, R. (2019). Introducing teachers to new semiotic tools for writing instruction and writing assessment: consequences for students’ writing proficiency. Assessment in </w:t>
      </w:r>
      <w:proofErr w:type="gramStart"/>
      <w:r w:rsidRPr="00E416F8">
        <w:rPr>
          <w:rFonts w:ascii="Arial" w:hAnsi="Arial" w:cs="Arial"/>
          <w:sz w:val="24"/>
          <w:szCs w:val="24"/>
        </w:rPr>
        <w:t>Education :</w:t>
      </w:r>
      <w:proofErr w:type="gramEnd"/>
      <w:r w:rsidRPr="00E416F8">
        <w:rPr>
          <w:rFonts w:ascii="Arial" w:hAnsi="Arial" w:cs="Arial"/>
          <w:sz w:val="24"/>
          <w:szCs w:val="24"/>
        </w:rPr>
        <w:t xml:space="preserve"> Principles, Policy &amp; Practice, 26(1), 6–25. </w:t>
      </w:r>
      <w:proofErr w:type="spellStart"/>
      <w:r>
        <w:rPr>
          <w:rFonts w:ascii="Arial" w:hAnsi="Arial" w:cs="Arial"/>
          <w:sz w:val="24"/>
          <w:szCs w:val="24"/>
        </w:rPr>
        <w:t>Availabel</w:t>
      </w:r>
      <w:proofErr w:type="spellEnd"/>
      <w:r>
        <w:rPr>
          <w:rFonts w:ascii="Arial" w:hAnsi="Arial" w:cs="Arial"/>
          <w:sz w:val="24"/>
          <w:szCs w:val="24"/>
        </w:rPr>
        <w:t xml:space="preserve"> </w:t>
      </w:r>
      <w:proofErr w:type="gramStart"/>
      <w:r>
        <w:rPr>
          <w:rFonts w:ascii="Arial" w:hAnsi="Arial" w:cs="Arial"/>
          <w:sz w:val="24"/>
          <w:szCs w:val="24"/>
        </w:rPr>
        <w:t>at :</w:t>
      </w:r>
      <w:proofErr w:type="gramEnd"/>
      <w:r>
        <w:rPr>
          <w:rFonts w:ascii="Arial" w:hAnsi="Arial" w:cs="Arial"/>
          <w:sz w:val="24"/>
          <w:szCs w:val="24"/>
        </w:rPr>
        <w:t xml:space="preserve"> </w:t>
      </w:r>
      <w:hyperlink r:id="rId5" w:history="1">
        <w:r w:rsidRPr="00CE12FF">
          <w:rPr>
            <w:rStyle w:val="Hyperlink"/>
            <w:rFonts w:ascii="Arial" w:hAnsi="Arial" w:cs="Arial"/>
            <w:sz w:val="24"/>
            <w:szCs w:val="24"/>
          </w:rPr>
          <w:t xml:space="preserve">https://doi.org/10.1080/0969594X.2017.1330251( </w:t>
        </w:r>
        <w:r w:rsidRPr="003D3B32">
          <w:rPr>
            <w:rStyle w:val="Hyperlink"/>
            <w:rFonts w:ascii="Arial" w:hAnsi="Arial" w:cs="Arial"/>
            <w:sz w:val="24"/>
            <w:szCs w:val="24"/>
          </w:rPr>
          <w:t>Accessed :20</w:t>
        </w:r>
      </w:hyperlink>
      <w:r>
        <w:rPr>
          <w:rFonts w:ascii="Arial" w:hAnsi="Arial" w:cs="Arial"/>
          <w:sz w:val="24"/>
          <w:szCs w:val="24"/>
        </w:rPr>
        <w:t xml:space="preserve"> Oct 2022) </w:t>
      </w:r>
    </w:p>
    <w:p w14:paraId="12694333" w14:textId="77777777" w:rsidR="00F76036" w:rsidRDefault="00F76036" w:rsidP="00F76036">
      <w:pPr>
        <w:rPr>
          <w:rFonts w:ascii="Arial" w:hAnsi="Arial" w:cs="Arial"/>
          <w:color w:val="111111"/>
          <w:spacing w:val="-3"/>
          <w:sz w:val="24"/>
          <w:szCs w:val="24"/>
          <w:shd w:val="clear" w:color="auto" w:fill="FFFFFF"/>
        </w:rPr>
      </w:pPr>
      <w:r w:rsidRPr="00E416F8">
        <w:rPr>
          <w:rFonts w:ascii="Arial" w:hAnsi="Arial" w:cs="Arial"/>
          <w:color w:val="111111"/>
          <w:spacing w:val="-3"/>
          <w:sz w:val="24"/>
          <w:szCs w:val="24"/>
          <w:shd w:val="clear" w:color="auto" w:fill="FFFFFF"/>
        </w:rPr>
        <w:t xml:space="preserve">Brooks, Burton, R., van der </w:t>
      </w:r>
      <w:proofErr w:type="spellStart"/>
      <w:r w:rsidRPr="00E416F8">
        <w:rPr>
          <w:rFonts w:ascii="Arial" w:hAnsi="Arial" w:cs="Arial"/>
          <w:color w:val="111111"/>
          <w:spacing w:val="-3"/>
          <w:sz w:val="24"/>
          <w:szCs w:val="24"/>
          <w:shd w:val="clear" w:color="auto" w:fill="FFFFFF"/>
        </w:rPr>
        <w:t>Kleij</w:t>
      </w:r>
      <w:proofErr w:type="spellEnd"/>
      <w:r w:rsidRPr="00E416F8">
        <w:rPr>
          <w:rFonts w:ascii="Arial" w:hAnsi="Arial" w:cs="Arial"/>
          <w:color w:val="111111"/>
          <w:spacing w:val="-3"/>
          <w:sz w:val="24"/>
          <w:szCs w:val="24"/>
          <w:shd w:val="clear" w:color="auto" w:fill="FFFFFF"/>
        </w:rPr>
        <w:t xml:space="preserve">, F., </w:t>
      </w:r>
      <w:proofErr w:type="spellStart"/>
      <w:r w:rsidRPr="00E416F8">
        <w:rPr>
          <w:rFonts w:ascii="Arial" w:hAnsi="Arial" w:cs="Arial"/>
          <w:color w:val="111111"/>
          <w:spacing w:val="-3"/>
          <w:sz w:val="24"/>
          <w:szCs w:val="24"/>
          <w:shd w:val="clear" w:color="auto" w:fill="FFFFFF"/>
        </w:rPr>
        <w:t>Ablaza</w:t>
      </w:r>
      <w:proofErr w:type="spellEnd"/>
      <w:r w:rsidRPr="00E416F8">
        <w:rPr>
          <w:rFonts w:ascii="Arial" w:hAnsi="Arial" w:cs="Arial"/>
          <w:color w:val="111111"/>
          <w:spacing w:val="-3"/>
          <w:sz w:val="24"/>
          <w:szCs w:val="24"/>
          <w:shd w:val="clear" w:color="auto" w:fill="FFFFFF"/>
        </w:rPr>
        <w:t xml:space="preserve">, C., Carroll, A., Hattie, J., &amp; Neill, S. (2021). Teachers activating learners: The effects of a student-centred feedback approach on writing achievement. </w:t>
      </w:r>
      <w:r w:rsidRPr="00E416F8">
        <w:rPr>
          <w:rStyle w:val="Emphasis"/>
          <w:rFonts w:ascii="Arial" w:hAnsi="Arial" w:cs="Arial"/>
          <w:color w:val="111111"/>
          <w:spacing w:val="-3"/>
          <w:sz w:val="24"/>
          <w:szCs w:val="24"/>
          <w:bdr w:val="none" w:sz="0" w:space="0" w:color="auto" w:frame="1"/>
          <w:shd w:val="clear" w:color="auto" w:fill="FFFFFF"/>
        </w:rPr>
        <w:t>Teaching and Teacher Education</w:t>
      </w:r>
      <w:r w:rsidRPr="00E416F8">
        <w:rPr>
          <w:rFonts w:ascii="Arial" w:hAnsi="Arial" w:cs="Arial"/>
          <w:color w:val="111111"/>
          <w:spacing w:val="-3"/>
          <w:sz w:val="24"/>
          <w:szCs w:val="24"/>
          <w:shd w:val="clear" w:color="auto" w:fill="FFFFFF"/>
        </w:rPr>
        <w:t xml:space="preserve">, </w:t>
      </w:r>
      <w:r w:rsidRPr="00E416F8">
        <w:rPr>
          <w:rStyle w:val="Emphasis"/>
          <w:rFonts w:ascii="Arial" w:hAnsi="Arial" w:cs="Arial"/>
          <w:color w:val="111111"/>
          <w:spacing w:val="-3"/>
          <w:sz w:val="24"/>
          <w:szCs w:val="24"/>
          <w:bdr w:val="none" w:sz="0" w:space="0" w:color="auto" w:frame="1"/>
          <w:shd w:val="clear" w:color="auto" w:fill="FFFFFF"/>
        </w:rPr>
        <w:t>105</w:t>
      </w:r>
      <w:r w:rsidRPr="00E416F8">
        <w:rPr>
          <w:rFonts w:ascii="Arial" w:hAnsi="Arial" w:cs="Arial"/>
          <w:color w:val="111111"/>
          <w:spacing w:val="-3"/>
          <w:sz w:val="24"/>
          <w:szCs w:val="24"/>
          <w:shd w:val="clear" w:color="auto" w:fill="FFFFFF"/>
        </w:rPr>
        <w:t xml:space="preserve">(September 2021), 103387–. </w:t>
      </w:r>
      <w:r>
        <w:rPr>
          <w:rFonts w:ascii="Arial" w:hAnsi="Arial" w:cs="Arial"/>
          <w:color w:val="111111"/>
          <w:spacing w:val="-3"/>
          <w:sz w:val="24"/>
          <w:szCs w:val="24"/>
          <w:shd w:val="clear" w:color="auto" w:fill="FFFFFF"/>
        </w:rPr>
        <w:t xml:space="preserve">Available </w:t>
      </w:r>
      <w:proofErr w:type="gramStart"/>
      <w:r>
        <w:rPr>
          <w:rFonts w:ascii="Arial" w:hAnsi="Arial" w:cs="Arial"/>
          <w:color w:val="111111"/>
          <w:spacing w:val="-3"/>
          <w:sz w:val="24"/>
          <w:szCs w:val="24"/>
          <w:shd w:val="clear" w:color="auto" w:fill="FFFFFF"/>
        </w:rPr>
        <w:t>at :</w:t>
      </w:r>
      <w:proofErr w:type="gramEnd"/>
      <w:r>
        <w:rPr>
          <w:rFonts w:ascii="Arial" w:hAnsi="Arial" w:cs="Arial"/>
          <w:color w:val="111111"/>
          <w:spacing w:val="-3"/>
          <w:sz w:val="24"/>
          <w:szCs w:val="24"/>
          <w:shd w:val="clear" w:color="auto" w:fill="FFFFFF"/>
        </w:rPr>
        <w:t xml:space="preserve"> </w:t>
      </w:r>
      <w:hyperlink r:id="rId6" w:history="1">
        <w:r w:rsidRPr="00CE12FF">
          <w:rPr>
            <w:rStyle w:val="Hyperlink"/>
            <w:rFonts w:ascii="Arial" w:hAnsi="Arial" w:cs="Arial"/>
            <w:spacing w:val="-3"/>
            <w:sz w:val="24"/>
            <w:szCs w:val="24"/>
            <w:shd w:val="clear" w:color="auto" w:fill="FFFFFF"/>
          </w:rPr>
          <w:t>https://doi.org/10.1016/j.tate.2021.103387</w:t>
        </w:r>
      </w:hyperlink>
      <w:r>
        <w:rPr>
          <w:rFonts w:ascii="Arial" w:hAnsi="Arial" w:cs="Arial"/>
          <w:color w:val="111111"/>
          <w:spacing w:val="-3"/>
          <w:sz w:val="24"/>
          <w:szCs w:val="24"/>
          <w:shd w:val="clear" w:color="auto" w:fill="FFFFFF"/>
        </w:rPr>
        <w:t xml:space="preserve"> </w:t>
      </w:r>
    </w:p>
    <w:p w14:paraId="6B43B944" w14:textId="77777777" w:rsidR="00F76036" w:rsidRPr="00E416F8" w:rsidRDefault="00F76036" w:rsidP="00F76036">
      <w:pPr>
        <w:rPr>
          <w:rFonts w:ascii="Arial" w:hAnsi="Arial" w:cs="Arial"/>
          <w:sz w:val="24"/>
          <w:szCs w:val="24"/>
        </w:rPr>
      </w:pPr>
      <w:r w:rsidRPr="00315D8E">
        <w:rPr>
          <w:rFonts w:ascii="Arial" w:hAnsi="Arial" w:cs="Arial"/>
          <w:sz w:val="24"/>
          <w:szCs w:val="24"/>
        </w:rPr>
        <w:t>Cutler, L., &amp; Graham, S. (2008). Primary Grade Writing Instruction: A National Survey. Journal of Educational Psychology, 100, 907-919.</w:t>
      </w:r>
      <w:r w:rsidRPr="00315D8E">
        <w:rPr>
          <w:rFonts w:ascii="Arial" w:hAnsi="Arial" w:cs="Arial"/>
          <w:sz w:val="24"/>
          <w:szCs w:val="24"/>
        </w:rPr>
        <w:br/>
      </w:r>
      <w:hyperlink r:id="rId7" w:history="1">
        <w:r w:rsidRPr="00CE12FF">
          <w:rPr>
            <w:rStyle w:val="Hyperlink"/>
            <w:rFonts w:ascii="Arial" w:hAnsi="Arial" w:cs="Arial"/>
            <w:sz w:val="24"/>
            <w:szCs w:val="24"/>
          </w:rPr>
          <w:t>https://doi.org/10.1037/a0012656</w:t>
        </w:r>
      </w:hyperlink>
      <w:r>
        <w:rPr>
          <w:rFonts w:ascii="Arial" w:hAnsi="Arial" w:cs="Arial"/>
          <w:sz w:val="24"/>
          <w:szCs w:val="24"/>
        </w:rPr>
        <w:t xml:space="preserve"> </w:t>
      </w:r>
    </w:p>
    <w:p w14:paraId="20275952" w14:textId="77777777" w:rsidR="00F76036" w:rsidRDefault="00F76036" w:rsidP="00F76036">
      <w:pPr>
        <w:pStyle w:val="NormalWeb"/>
        <w:rPr>
          <w:rFonts w:ascii="Arial" w:hAnsi="Arial" w:cs="Arial"/>
        </w:rPr>
      </w:pPr>
      <w:r w:rsidRPr="00E416F8">
        <w:rPr>
          <w:rFonts w:ascii="Arial" w:hAnsi="Arial" w:cs="Arial"/>
        </w:rPr>
        <w:t xml:space="preserve">  Davidson. (2008). Righting Writing: What the Social Accomplishment of Error Correction </w:t>
      </w:r>
      <w:proofErr w:type="gramStart"/>
      <w:r w:rsidRPr="00E416F8">
        <w:rPr>
          <w:rFonts w:ascii="Arial" w:hAnsi="Arial" w:cs="Arial"/>
        </w:rPr>
        <w:t>tells</w:t>
      </w:r>
      <w:proofErr w:type="gramEnd"/>
      <w:r w:rsidRPr="00E416F8">
        <w:rPr>
          <w:rFonts w:ascii="Arial" w:hAnsi="Arial" w:cs="Arial"/>
        </w:rPr>
        <w:t xml:space="preserve"> about School Literacy. The Journal of Classroom Interaction, 43(2), 14–21. </w:t>
      </w:r>
      <w:r>
        <w:rPr>
          <w:rFonts w:ascii="Arial" w:hAnsi="Arial" w:cs="Arial"/>
        </w:rPr>
        <w:t xml:space="preserve">Available at: </w:t>
      </w:r>
      <w:hyperlink r:id="rId8" w:history="1">
        <w:r w:rsidRPr="00CE12FF">
          <w:rPr>
            <w:rStyle w:val="Hyperlink"/>
            <w:rFonts w:ascii="Arial" w:hAnsi="Arial" w:cs="Arial"/>
          </w:rPr>
          <w:t>https://web-s-ebscohost-com.ezproxy.uwtsd.ac.uk/ehost/pdfviewer/pdfviewer?vid=0&amp;sid=feb126e0-d93f-4e92-90cd-53de0d3192c7%40redis</w:t>
        </w:r>
      </w:hyperlink>
      <w:r>
        <w:rPr>
          <w:rFonts w:ascii="Arial" w:hAnsi="Arial" w:cs="Arial"/>
        </w:rPr>
        <w:t xml:space="preserve"> </w:t>
      </w:r>
    </w:p>
    <w:p w14:paraId="209A5CC2" w14:textId="77777777" w:rsidR="00F76036" w:rsidRPr="00E416F8" w:rsidRDefault="00F76036" w:rsidP="00F76036">
      <w:pPr>
        <w:pStyle w:val="NormalWeb"/>
        <w:rPr>
          <w:rFonts w:ascii="Arial" w:hAnsi="Arial" w:cs="Arial"/>
        </w:rPr>
      </w:pPr>
      <w:proofErr w:type="spellStart"/>
      <w:r w:rsidRPr="0062116A">
        <w:rPr>
          <w:rFonts w:ascii="Arial" w:hAnsi="Arial" w:cs="Arial"/>
        </w:rPr>
        <w:t>Dockrell</w:t>
      </w:r>
      <w:proofErr w:type="spellEnd"/>
      <w:r w:rsidRPr="0062116A">
        <w:rPr>
          <w:rFonts w:ascii="Arial" w:hAnsi="Arial" w:cs="Arial"/>
        </w:rPr>
        <w:t>, J.E., Marshall, C.R. &amp; Wyse, D. Teachers’ reported practices for teaching writing in England. </w:t>
      </w:r>
      <w:r w:rsidRPr="0062116A">
        <w:rPr>
          <w:rFonts w:ascii="Arial" w:hAnsi="Arial" w:cs="Arial"/>
          <w:i/>
          <w:iCs/>
        </w:rPr>
        <w:t>Read Writ</w:t>
      </w:r>
      <w:r w:rsidRPr="0062116A">
        <w:rPr>
          <w:rFonts w:ascii="Arial" w:hAnsi="Arial" w:cs="Arial"/>
        </w:rPr>
        <w:t> </w:t>
      </w:r>
      <w:r w:rsidRPr="0062116A">
        <w:rPr>
          <w:rFonts w:ascii="Arial" w:hAnsi="Arial" w:cs="Arial"/>
          <w:b/>
          <w:bCs/>
        </w:rPr>
        <w:t>29</w:t>
      </w:r>
      <w:r w:rsidRPr="0062116A">
        <w:rPr>
          <w:rFonts w:ascii="Arial" w:hAnsi="Arial" w:cs="Arial"/>
        </w:rPr>
        <w:t>, 409–434 (2016).</w:t>
      </w:r>
      <w:r>
        <w:rPr>
          <w:rFonts w:ascii="Arial" w:hAnsi="Arial" w:cs="Arial"/>
        </w:rPr>
        <w:t xml:space="preserve"> Available at: </w:t>
      </w:r>
      <w:r w:rsidRPr="0062116A">
        <w:rPr>
          <w:rFonts w:ascii="Arial" w:hAnsi="Arial" w:cs="Arial"/>
        </w:rPr>
        <w:t xml:space="preserve"> </w:t>
      </w:r>
      <w:hyperlink r:id="rId9" w:history="1">
        <w:r w:rsidRPr="00CE12FF">
          <w:rPr>
            <w:rStyle w:val="Hyperlink"/>
            <w:rFonts w:ascii="Arial" w:hAnsi="Arial" w:cs="Arial"/>
          </w:rPr>
          <w:t>https://doi.org/10.1007/s11145-015-9605-9</w:t>
        </w:r>
      </w:hyperlink>
      <w:r>
        <w:rPr>
          <w:rFonts w:ascii="Arial" w:hAnsi="Arial" w:cs="Arial"/>
        </w:rPr>
        <w:t xml:space="preserve">  </w:t>
      </w:r>
    </w:p>
    <w:p w14:paraId="5CE53A45" w14:textId="77777777" w:rsidR="00F76036" w:rsidRPr="00E416F8" w:rsidRDefault="00F76036" w:rsidP="00F76036">
      <w:pPr>
        <w:pStyle w:val="NormalWeb"/>
        <w:ind w:left="567" w:hanging="567"/>
        <w:rPr>
          <w:rFonts w:ascii="Arial" w:hAnsi="Arial" w:cs="Arial"/>
        </w:rPr>
      </w:pPr>
      <w:r w:rsidRPr="00E416F8">
        <w:rPr>
          <w:rFonts w:ascii="Arial" w:hAnsi="Arial" w:cs="Arial"/>
        </w:rPr>
        <w:t xml:space="preserve">Downs, B. </w:t>
      </w:r>
      <w:r w:rsidRPr="00E416F8">
        <w:rPr>
          <w:rFonts w:ascii="Arial" w:hAnsi="Arial" w:cs="Arial"/>
          <w:i/>
          <w:iCs/>
        </w:rPr>
        <w:t>et al.</w:t>
      </w:r>
      <w:r w:rsidRPr="00E416F8">
        <w:rPr>
          <w:rFonts w:ascii="Arial" w:hAnsi="Arial" w:cs="Arial"/>
        </w:rPr>
        <w:t xml:space="preserve"> (2022) “</w:t>
      </w:r>
      <w:proofErr w:type="spellStart"/>
      <w:r w:rsidRPr="00E416F8">
        <w:rPr>
          <w:rFonts w:ascii="Arial" w:hAnsi="Arial" w:cs="Arial"/>
        </w:rPr>
        <w:t>Kidspell</w:t>
      </w:r>
      <w:proofErr w:type="spellEnd"/>
      <w:r w:rsidRPr="00E416F8">
        <w:rPr>
          <w:rFonts w:ascii="Arial" w:hAnsi="Arial" w:cs="Arial"/>
        </w:rPr>
        <w:t xml:space="preserve">: Making a difference in spellchecking for children,” </w:t>
      </w:r>
      <w:r w:rsidRPr="00E416F8">
        <w:rPr>
          <w:rFonts w:ascii="Arial" w:hAnsi="Arial" w:cs="Arial"/>
          <w:i/>
          <w:iCs/>
        </w:rPr>
        <w:t>International Journal of Child-Computer Interaction</w:t>
      </w:r>
      <w:r w:rsidRPr="00E416F8">
        <w:rPr>
          <w:rFonts w:ascii="Arial" w:hAnsi="Arial" w:cs="Arial"/>
        </w:rPr>
        <w:t xml:space="preserve">, 32, p. 100373. Available at: </w:t>
      </w:r>
      <w:hyperlink r:id="rId10" w:history="1">
        <w:r w:rsidRPr="00E416F8">
          <w:rPr>
            <w:rStyle w:val="Hyperlink"/>
            <w:rFonts w:ascii="Arial" w:hAnsi="Arial" w:cs="Arial"/>
          </w:rPr>
          <w:t>https://doi.org/10.1016/j.ijcci.2021.100373</w:t>
        </w:r>
      </w:hyperlink>
      <w:r w:rsidRPr="00E416F8">
        <w:rPr>
          <w:rFonts w:ascii="Arial" w:hAnsi="Arial" w:cs="Arial"/>
        </w:rPr>
        <w:t xml:space="preserve">. </w:t>
      </w:r>
    </w:p>
    <w:p w14:paraId="60F940F5" w14:textId="77777777" w:rsidR="00F76036" w:rsidRPr="00E416F8" w:rsidRDefault="00F76036" w:rsidP="00F76036">
      <w:pPr>
        <w:rPr>
          <w:rFonts w:ascii="Arial" w:hAnsi="Arial" w:cs="Arial"/>
          <w:sz w:val="24"/>
          <w:szCs w:val="24"/>
        </w:rPr>
      </w:pPr>
      <w:r w:rsidRPr="00E416F8">
        <w:rPr>
          <w:rFonts w:ascii="Arial" w:hAnsi="Arial" w:cs="Arial"/>
          <w:sz w:val="24"/>
          <w:szCs w:val="24"/>
        </w:rPr>
        <w:lastRenderedPageBreak/>
        <w:t xml:space="preserve">Dressler, Becker, S., </w:t>
      </w:r>
      <w:proofErr w:type="spellStart"/>
      <w:r w:rsidRPr="00E416F8">
        <w:rPr>
          <w:rFonts w:ascii="Arial" w:hAnsi="Arial" w:cs="Arial"/>
          <w:sz w:val="24"/>
          <w:szCs w:val="24"/>
        </w:rPr>
        <w:t>Kawalilak</w:t>
      </w:r>
      <w:proofErr w:type="spellEnd"/>
      <w:r w:rsidRPr="00E416F8">
        <w:rPr>
          <w:rFonts w:ascii="Arial" w:hAnsi="Arial" w:cs="Arial"/>
          <w:sz w:val="24"/>
          <w:szCs w:val="24"/>
        </w:rPr>
        <w:t>, C., &amp; Arthur, N. (2018). The cross-cultural reflective model for post-sojourn debriefing. </w:t>
      </w:r>
      <w:r w:rsidRPr="00E416F8">
        <w:rPr>
          <w:rFonts w:ascii="Arial" w:hAnsi="Arial" w:cs="Arial"/>
          <w:i/>
          <w:iCs/>
          <w:sz w:val="24"/>
          <w:szCs w:val="24"/>
        </w:rPr>
        <w:t>Reflective Practice</w:t>
      </w:r>
      <w:r w:rsidRPr="00E416F8">
        <w:rPr>
          <w:rFonts w:ascii="Arial" w:hAnsi="Arial" w:cs="Arial"/>
          <w:sz w:val="24"/>
          <w:szCs w:val="24"/>
        </w:rPr>
        <w:t>, </w:t>
      </w:r>
      <w:r w:rsidRPr="00E416F8">
        <w:rPr>
          <w:rFonts w:ascii="Arial" w:hAnsi="Arial" w:cs="Arial"/>
          <w:i/>
          <w:iCs/>
          <w:sz w:val="24"/>
          <w:szCs w:val="24"/>
        </w:rPr>
        <w:t>19</w:t>
      </w:r>
      <w:r w:rsidRPr="00E416F8">
        <w:rPr>
          <w:rFonts w:ascii="Arial" w:hAnsi="Arial" w:cs="Arial"/>
          <w:sz w:val="24"/>
          <w:szCs w:val="24"/>
        </w:rPr>
        <w:t xml:space="preserve">(4), 490–504. </w:t>
      </w:r>
      <w:hyperlink r:id="rId11" w:history="1">
        <w:r w:rsidRPr="00E416F8">
          <w:rPr>
            <w:rStyle w:val="Hyperlink"/>
            <w:rFonts w:ascii="Arial" w:hAnsi="Arial" w:cs="Arial"/>
            <w:sz w:val="24"/>
            <w:szCs w:val="24"/>
          </w:rPr>
          <w:t>https://doi.org/10.1080/14623943.2018.1530207</w:t>
        </w:r>
      </w:hyperlink>
      <w:r w:rsidRPr="00E416F8">
        <w:rPr>
          <w:rFonts w:ascii="Arial" w:hAnsi="Arial" w:cs="Arial"/>
          <w:sz w:val="24"/>
          <w:szCs w:val="24"/>
        </w:rPr>
        <w:t xml:space="preserve"> </w:t>
      </w:r>
    </w:p>
    <w:p w14:paraId="553DD351" w14:textId="77777777" w:rsidR="00F76036" w:rsidRPr="00E416F8" w:rsidRDefault="00F76036" w:rsidP="00F76036">
      <w:pPr>
        <w:rPr>
          <w:rFonts w:ascii="Arial" w:hAnsi="Arial" w:cs="Arial"/>
          <w:sz w:val="24"/>
          <w:szCs w:val="24"/>
        </w:rPr>
      </w:pPr>
      <w:r w:rsidRPr="00E416F8">
        <w:rPr>
          <w:rFonts w:ascii="Arial" w:hAnsi="Arial" w:cs="Arial"/>
          <w:sz w:val="24"/>
          <w:szCs w:val="24"/>
        </w:rPr>
        <w:t xml:space="preserve">Estyn (2014) </w:t>
      </w:r>
      <w:r w:rsidRPr="00E416F8">
        <w:rPr>
          <w:rFonts w:ascii="Arial" w:hAnsi="Arial" w:cs="Arial"/>
          <w:i/>
          <w:iCs/>
          <w:sz w:val="24"/>
          <w:szCs w:val="24"/>
          <w:highlight w:val="black"/>
        </w:rPr>
        <w:t>St Thomas Community Primary School</w:t>
      </w:r>
      <w:r w:rsidRPr="00E416F8">
        <w:rPr>
          <w:rFonts w:ascii="Arial" w:hAnsi="Arial" w:cs="Arial"/>
          <w:sz w:val="24"/>
          <w:szCs w:val="24"/>
        </w:rPr>
        <w:t xml:space="preserve">, </w:t>
      </w:r>
      <w:r w:rsidRPr="00E416F8">
        <w:rPr>
          <w:rFonts w:ascii="Arial" w:hAnsi="Arial" w:cs="Arial"/>
          <w:i/>
          <w:iCs/>
          <w:sz w:val="24"/>
          <w:szCs w:val="24"/>
        </w:rPr>
        <w:t>Estyn</w:t>
      </w:r>
      <w:r w:rsidRPr="00E416F8">
        <w:rPr>
          <w:rFonts w:ascii="Arial" w:hAnsi="Arial" w:cs="Arial"/>
          <w:sz w:val="24"/>
          <w:szCs w:val="24"/>
        </w:rPr>
        <w:t xml:space="preserve">. Available at: </w:t>
      </w:r>
      <w:hyperlink r:id="rId12" w:history="1">
        <w:r w:rsidRPr="00E416F8">
          <w:rPr>
            <w:rStyle w:val="Hyperlink"/>
            <w:rFonts w:ascii="Arial" w:hAnsi="Arial" w:cs="Arial"/>
            <w:color w:val="000000" w:themeColor="text1"/>
            <w:sz w:val="24"/>
            <w:szCs w:val="24"/>
            <w:highlight w:val="black"/>
          </w:rPr>
          <w:t>https://www.estyn...gov.wales/provider/6702239</w:t>
        </w:r>
      </w:hyperlink>
      <w:r w:rsidRPr="00E416F8">
        <w:rPr>
          <w:rFonts w:ascii="Arial" w:hAnsi="Arial" w:cs="Arial"/>
          <w:color w:val="000000" w:themeColor="text1"/>
          <w:sz w:val="24"/>
          <w:szCs w:val="24"/>
        </w:rPr>
        <w:t xml:space="preserve"> </w:t>
      </w:r>
      <w:r w:rsidRPr="00E416F8">
        <w:rPr>
          <w:rFonts w:ascii="Arial" w:hAnsi="Arial" w:cs="Arial"/>
          <w:sz w:val="24"/>
          <w:szCs w:val="24"/>
        </w:rPr>
        <w:t xml:space="preserve"> (Accessed: October </w:t>
      </w:r>
      <w:r>
        <w:rPr>
          <w:rFonts w:ascii="Arial" w:hAnsi="Arial" w:cs="Arial"/>
          <w:sz w:val="24"/>
          <w:szCs w:val="24"/>
        </w:rPr>
        <w:t>10</w:t>
      </w:r>
      <w:r w:rsidRPr="00E416F8">
        <w:rPr>
          <w:rFonts w:ascii="Arial" w:hAnsi="Arial" w:cs="Arial"/>
          <w:sz w:val="24"/>
          <w:szCs w:val="24"/>
        </w:rPr>
        <w:t xml:space="preserve">, 2022). </w:t>
      </w:r>
    </w:p>
    <w:p w14:paraId="3FE09BE0" w14:textId="77777777" w:rsidR="00F76036" w:rsidRDefault="00F76036" w:rsidP="00F76036">
      <w:pPr>
        <w:pStyle w:val="NormalWeb"/>
        <w:rPr>
          <w:rFonts w:ascii="Arial" w:hAnsi="Arial" w:cs="Arial"/>
        </w:rPr>
      </w:pPr>
      <w:r w:rsidRPr="00E416F8">
        <w:rPr>
          <w:rFonts w:ascii="Arial" w:hAnsi="Arial" w:cs="Arial"/>
        </w:rPr>
        <w:t xml:space="preserve">  Feder, &amp; </w:t>
      </w:r>
      <w:proofErr w:type="spellStart"/>
      <w:r w:rsidRPr="00E416F8">
        <w:rPr>
          <w:rFonts w:ascii="Arial" w:hAnsi="Arial" w:cs="Arial"/>
        </w:rPr>
        <w:t>Majnemer</w:t>
      </w:r>
      <w:proofErr w:type="spellEnd"/>
      <w:r w:rsidRPr="00E416F8">
        <w:rPr>
          <w:rFonts w:ascii="Arial" w:hAnsi="Arial" w:cs="Arial"/>
        </w:rPr>
        <w:t xml:space="preserve">, A. (2007). Handwriting development, competency, and intervention. Developmental Medicine and Child Neurology, 49(4), 312–317. </w:t>
      </w:r>
      <w:hyperlink r:id="rId13" w:history="1">
        <w:r w:rsidRPr="00E416F8">
          <w:rPr>
            <w:rStyle w:val="Hyperlink"/>
            <w:rFonts w:ascii="Arial" w:hAnsi="Arial" w:cs="Arial"/>
          </w:rPr>
          <w:t>https://doi.org/10.1111/j.1469-8749.2007.00312.x</w:t>
        </w:r>
      </w:hyperlink>
      <w:r w:rsidRPr="00E416F8">
        <w:rPr>
          <w:rFonts w:ascii="Arial" w:hAnsi="Arial" w:cs="Arial"/>
        </w:rPr>
        <w:t xml:space="preserve"> </w:t>
      </w:r>
    </w:p>
    <w:p w14:paraId="26C8A4DC" w14:textId="77777777" w:rsidR="00F76036" w:rsidRPr="004A09CE" w:rsidRDefault="00F76036" w:rsidP="00F76036">
      <w:pPr>
        <w:pStyle w:val="NormalWeb"/>
        <w:rPr>
          <w:rFonts w:ascii="Arial" w:hAnsi="Arial" w:cs="Arial"/>
        </w:rPr>
      </w:pPr>
      <w:proofErr w:type="spellStart"/>
      <w:r w:rsidRPr="004A09CE">
        <w:rPr>
          <w:rFonts w:ascii="Arial" w:hAnsi="Arial" w:cs="Arial"/>
        </w:rPr>
        <w:t>Flórez</w:t>
      </w:r>
      <w:proofErr w:type="spellEnd"/>
      <w:r w:rsidRPr="004A09CE">
        <w:rPr>
          <w:rFonts w:ascii="Arial" w:hAnsi="Arial" w:cs="Arial"/>
        </w:rPr>
        <w:t xml:space="preserve">, M.T. and Sammons, P. (2013) </w:t>
      </w:r>
      <w:r w:rsidRPr="004A09CE">
        <w:rPr>
          <w:rFonts w:ascii="Arial" w:hAnsi="Arial" w:cs="Arial"/>
          <w:i/>
          <w:iCs/>
        </w:rPr>
        <w:t>Assessment for Learning: Effects and Impact</w:t>
      </w:r>
      <w:r w:rsidRPr="004A09CE">
        <w:rPr>
          <w:rFonts w:ascii="Arial" w:hAnsi="Arial" w:cs="Arial"/>
        </w:rPr>
        <w:t>. rep. Reading, England</w:t>
      </w:r>
      <w:proofErr w:type="gramStart"/>
      <w:r w:rsidRPr="004A09CE">
        <w:rPr>
          <w:rFonts w:ascii="Arial" w:hAnsi="Arial" w:cs="Arial"/>
        </w:rPr>
        <w:t>. :</w:t>
      </w:r>
      <w:proofErr w:type="gramEnd"/>
      <w:r w:rsidRPr="004A09CE">
        <w:rPr>
          <w:rFonts w:ascii="Arial" w:hAnsi="Arial" w:cs="Arial"/>
        </w:rPr>
        <w:t xml:space="preserve"> </w:t>
      </w:r>
      <w:proofErr w:type="spellStart"/>
      <w:r w:rsidRPr="004A09CE">
        <w:rPr>
          <w:rFonts w:ascii="Arial" w:hAnsi="Arial" w:cs="Arial"/>
        </w:rPr>
        <w:t>CfBT</w:t>
      </w:r>
      <w:proofErr w:type="spellEnd"/>
      <w:r w:rsidRPr="004A09CE">
        <w:rPr>
          <w:rFonts w:ascii="Arial" w:hAnsi="Arial" w:cs="Arial"/>
        </w:rPr>
        <w:t xml:space="preserve"> Education Trust. </w:t>
      </w:r>
      <w:r>
        <w:rPr>
          <w:rFonts w:ascii="Arial" w:hAnsi="Arial" w:cs="Arial"/>
        </w:rPr>
        <w:t xml:space="preserve">Available at: </w:t>
      </w:r>
      <w:hyperlink r:id="rId14" w:history="1">
        <w:r w:rsidRPr="00CE12FF">
          <w:rPr>
            <w:rStyle w:val="Hyperlink"/>
            <w:rFonts w:ascii="Arial" w:hAnsi="Arial" w:cs="Arial"/>
          </w:rPr>
          <w:t>https://eric.ed.gov/?id=ED546817</w:t>
        </w:r>
      </w:hyperlink>
      <w:r>
        <w:rPr>
          <w:rFonts w:ascii="Arial" w:hAnsi="Arial" w:cs="Arial"/>
        </w:rPr>
        <w:t xml:space="preserve"> </w:t>
      </w:r>
    </w:p>
    <w:p w14:paraId="7A696682" w14:textId="77777777" w:rsidR="00F76036" w:rsidRPr="00E416F8" w:rsidRDefault="00F76036" w:rsidP="00F76036">
      <w:pPr>
        <w:pStyle w:val="NormalWeb"/>
        <w:rPr>
          <w:rFonts w:ascii="Arial" w:hAnsi="Arial" w:cs="Arial"/>
        </w:rPr>
      </w:pPr>
      <w:r w:rsidRPr="00E416F8">
        <w:rPr>
          <w:rFonts w:ascii="Arial" w:hAnsi="Arial" w:cs="Arial"/>
        </w:rPr>
        <w:t xml:space="preserve">Gardner, J. (2012) </w:t>
      </w:r>
      <w:r w:rsidRPr="00E416F8">
        <w:rPr>
          <w:rFonts w:ascii="Arial" w:hAnsi="Arial" w:cs="Arial"/>
          <w:i/>
          <w:iCs/>
        </w:rPr>
        <w:t>Assessment and Learning</w:t>
      </w:r>
      <w:r w:rsidRPr="00E416F8">
        <w:rPr>
          <w:rFonts w:ascii="Arial" w:hAnsi="Arial" w:cs="Arial"/>
        </w:rPr>
        <w:t xml:space="preserve">. Second. Los Angeles: Sage.  </w:t>
      </w:r>
    </w:p>
    <w:p w14:paraId="388E7A38" w14:textId="77777777" w:rsidR="00F76036" w:rsidRPr="00E416F8" w:rsidRDefault="00F76036" w:rsidP="00F76036">
      <w:pPr>
        <w:rPr>
          <w:rFonts w:ascii="Arial" w:hAnsi="Arial" w:cs="Arial"/>
          <w:sz w:val="24"/>
          <w:szCs w:val="24"/>
        </w:rPr>
      </w:pPr>
      <w:r w:rsidRPr="00E416F8">
        <w:rPr>
          <w:rFonts w:ascii="Arial" w:hAnsi="Arial" w:cs="Arial"/>
          <w:sz w:val="24"/>
          <w:szCs w:val="24"/>
        </w:rPr>
        <w:t xml:space="preserve">  Goh. (2019). Rethinking reflective practice in professional lifelong learning using learning metaphors. Studies in Continuing Education, 41(1), 1–16. </w:t>
      </w:r>
      <w:hyperlink r:id="rId15" w:history="1">
        <w:r w:rsidRPr="00E416F8">
          <w:rPr>
            <w:rStyle w:val="Hyperlink"/>
            <w:rFonts w:ascii="Arial" w:hAnsi="Arial" w:cs="Arial"/>
            <w:sz w:val="24"/>
            <w:szCs w:val="24"/>
          </w:rPr>
          <w:t>https://doi.org/10.1080/0158037X.2018.1474867</w:t>
        </w:r>
      </w:hyperlink>
      <w:r w:rsidRPr="00E416F8">
        <w:rPr>
          <w:rFonts w:ascii="Arial" w:hAnsi="Arial" w:cs="Arial"/>
          <w:sz w:val="24"/>
          <w:szCs w:val="24"/>
        </w:rPr>
        <w:t xml:space="preserve"> </w:t>
      </w:r>
    </w:p>
    <w:p w14:paraId="4CF38CE3" w14:textId="77777777" w:rsidR="00F76036" w:rsidRPr="00E416F8" w:rsidRDefault="00F76036" w:rsidP="00F76036">
      <w:pPr>
        <w:rPr>
          <w:rFonts w:ascii="Arial" w:hAnsi="Arial" w:cs="Arial"/>
          <w:sz w:val="24"/>
          <w:szCs w:val="24"/>
        </w:rPr>
      </w:pPr>
      <w:r w:rsidRPr="00E416F8">
        <w:rPr>
          <w:rFonts w:ascii="Arial" w:hAnsi="Arial" w:cs="Arial"/>
          <w:sz w:val="24"/>
          <w:szCs w:val="24"/>
        </w:rPr>
        <w:t xml:space="preserve">Hwb (2022) </w:t>
      </w:r>
      <w:r w:rsidRPr="00E416F8">
        <w:rPr>
          <w:rFonts w:ascii="Arial" w:hAnsi="Arial" w:cs="Arial"/>
          <w:i/>
          <w:iCs/>
          <w:sz w:val="24"/>
          <w:szCs w:val="24"/>
        </w:rPr>
        <w:t>Developing a Vision for Curriculum Design</w:t>
      </w:r>
      <w:r w:rsidRPr="00E416F8">
        <w:rPr>
          <w:rFonts w:ascii="Arial" w:hAnsi="Arial" w:cs="Arial"/>
          <w:sz w:val="24"/>
          <w:szCs w:val="24"/>
        </w:rPr>
        <w:t xml:space="preserve"> Available at: </w:t>
      </w:r>
      <w:hyperlink r:id="rId16" w:history="1">
        <w:r w:rsidRPr="00E416F8">
          <w:rPr>
            <w:rStyle w:val="Hyperlink"/>
            <w:rFonts w:ascii="Arial" w:hAnsi="Arial" w:cs="Arial"/>
            <w:sz w:val="24"/>
            <w:szCs w:val="24"/>
          </w:rPr>
          <w:t>https://hwb.gov.wales/curriculum-for-wales/designing-your-curriculum/developing-a-vision-for-curriculum-design/</w:t>
        </w:r>
      </w:hyperlink>
      <w:r w:rsidRPr="00E416F8">
        <w:rPr>
          <w:rFonts w:ascii="Arial" w:hAnsi="Arial" w:cs="Arial"/>
          <w:sz w:val="24"/>
          <w:szCs w:val="24"/>
        </w:rPr>
        <w:t xml:space="preserve"> (Accessed: October 13, 2022). </w:t>
      </w:r>
    </w:p>
    <w:p w14:paraId="3670B270" w14:textId="77777777" w:rsidR="00F76036" w:rsidRPr="00E416F8" w:rsidRDefault="00F76036" w:rsidP="00F76036">
      <w:pPr>
        <w:pStyle w:val="NormalWeb"/>
        <w:ind w:left="567" w:hanging="567"/>
        <w:rPr>
          <w:rFonts w:ascii="Arial" w:hAnsi="Arial" w:cs="Arial"/>
          <w:color w:val="333333"/>
          <w:shd w:val="clear" w:color="auto" w:fill="FFFFFF"/>
        </w:rPr>
      </w:pPr>
      <w:proofErr w:type="spellStart"/>
      <w:r w:rsidRPr="00E416F8">
        <w:rPr>
          <w:rFonts w:ascii="Arial" w:hAnsi="Arial" w:cs="Arial"/>
          <w:color w:val="333333"/>
          <w:shd w:val="clear" w:color="auto" w:fill="FFFFFF"/>
        </w:rPr>
        <w:t>Rietdijk</w:t>
      </w:r>
      <w:proofErr w:type="spellEnd"/>
      <w:r w:rsidRPr="00E416F8">
        <w:rPr>
          <w:rFonts w:ascii="Arial" w:hAnsi="Arial" w:cs="Arial"/>
          <w:color w:val="333333"/>
          <w:shd w:val="clear" w:color="auto" w:fill="FFFFFF"/>
        </w:rPr>
        <w:t xml:space="preserve">, S., van </w:t>
      </w:r>
      <w:proofErr w:type="spellStart"/>
      <w:r w:rsidRPr="00E416F8">
        <w:rPr>
          <w:rFonts w:ascii="Arial" w:hAnsi="Arial" w:cs="Arial"/>
          <w:color w:val="333333"/>
          <w:shd w:val="clear" w:color="auto" w:fill="FFFFFF"/>
        </w:rPr>
        <w:t>Weijen</w:t>
      </w:r>
      <w:proofErr w:type="spellEnd"/>
      <w:r w:rsidRPr="00E416F8">
        <w:rPr>
          <w:rFonts w:ascii="Arial" w:hAnsi="Arial" w:cs="Arial"/>
          <w:color w:val="333333"/>
          <w:shd w:val="clear" w:color="auto" w:fill="FFFFFF"/>
        </w:rPr>
        <w:t xml:space="preserve">, D., Janssen, T., van den Bergh, H., &amp; </w:t>
      </w:r>
      <w:proofErr w:type="spellStart"/>
      <w:r w:rsidRPr="00E416F8">
        <w:rPr>
          <w:rFonts w:ascii="Arial" w:hAnsi="Arial" w:cs="Arial"/>
          <w:color w:val="333333"/>
          <w:shd w:val="clear" w:color="auto" w:fill="FFFFFF"/>
        </w:rPr>
        <w:t>Rijlaarsdam</w:t>
      </w:r>
      <w:proofErr w:type="spellEnd"/>
      <w:r w:rsidRPr="00E416F8">
        <w:rPr>
          <w:rFonts w:ascii="Arial" w:hAnsi="Arial" w:cs="Arial"/>
          <w:color w:val="333333"/>
          <w:shd w:val="clear" w:color="auto" w:fill="FFFFFF"/>
        </w:rPr>
        <w:t>, G</w:t>
      </w:r>
      <w:r>
        <w:rPr>
          <w:rFonts w:ascii="Arial" w:hAnsi="Arial" w:cs="Arial"/>
          <w:color w:val="333333"/>
          <w:shd w:val="clear" w:color="auto" w:fill="FFFFFF"/>
        </w:rPr>
        <w:t xml:space="preserve"> </w:t>
      </w:r>
      <w:r w:rsidRPr="00E416F8">
        <w:rPr>
          <w:rFonts w:ascii="Arial" w:hAnsi="Arial" w:cs="Arial"/>
          <w:color w:val="333333"/>
          <w:shd w:val="clear" w:color="auto" w:fill="FFFFFF"/>
        </w:rPr>
        <w:t>(2018). Teaching writing in primary education: Classroom practice, time, teachers’ beliefs and skills. </w:t>
      </w:r>
      <w:r w:rsidRPr="00E416F8">
        <w:rPr>
          <w:rStyle w:val="Emphasis"/>
          <w:rFonts w:ascii="Arial" w:hAnsi="Arial" w:cs="Arial"/>
          <w:color w:val="333333"/>
          <w:shd w:val="clear" w:color="auto" w:fill="FFFFFF"/>
        </w:rPr>
        <w:t>Journal of Educational Psychology, 110</w:t>
      </w:r>
      <w:r w:rsidRPr="00E416F8">
        <w:rPr>
          <w:rFonts w:ascii="Arial" w:hAnsi="Arial" w:cs="Arial"/>
          <w:color w:val="333333"/>
          <w:shd w:val="clear" w:color="auto" w:fill="FFFFFF"/>
        </w:rPr>
        <w:t>(5), 640–663</w:t>
      </w:r>
      <w:r w:rsidRPr="0051388F">
        <w:t xml:space="preserve"> </w:t>
      </w:r>
      <w:r w:rsidRPr="0051388F">
        <w:rPr>
          <w:rFonts w:ascii="Arial" w:hAnsi="Arial" w:cs="Arial"/>
        </w:rPr>
        <w:t>Available at:</w:t>
      </w:r>
      <w:hyperlink r:id="rId17" w:history="1">
        <w:r w:rsidRPr="00CE12FF">
          <w:rPr>
            <w:rStyle w:val="Hyperlink"/>
            <w:rFonts w:ascii="Arial" w:hAnsi="Arial" w:cs="Arial"/>
            <w:shd w:val="clear" w:color="auto" w:fill="FFFFFF"/>
          </w:rPr>
          <w:t>https://web-s-ebscohost-com.ezproxy.uwtsd.ac.uk/ehost/pdfviewer/pdfviewer?vid=0&amp;sid=5106f348-3381-45ad-842c-164d57ecafdb%40redis</w:t>
        </w:r>
      </w:hyperlink>
      <w:r>
        <w:rPr>
          <w:rFonts w:ascii="Arial" w:hAnsi="Arial" w:cs="Arial"/>
          <w:color w:val="333333"/>
          <w:shd w:val="clear" w:color="auto" w:fill="FFFFFF"/>
        </w:rPr>
        <w:t xml:space="preserve"> (Accessed 13 Oct 2022) </w:t>
      </w:r>
    </w:p>
    <w:p w14:paraId="1C7A4197" w14:textId="77777777" w:rsidR="00F76036" w:rsidRPr="00E416F8" w:rsidRDefault="00F76036" w:rsidP="00F76036">
      <w:pPr>
        <w:pStyle w:val="NormalWeb"/>
        <w:rPr>
          <w:rFonts w:ascii="Arial" w:hAnsi="Arial" w:cs="Arial"/>
        </w:rPr>
      </w:pPr>
      <w:proofErr w:type="spellStart"/>
      <w:r w:rsidRPr="00E416F8">
        <w:rPr>
          <w:rFonts w:ascii="Arial" w:hAnsi="Arial" w:cs="Arial"/>
        </w:rPr>
        <w:t>Treiman</w:t>
      </w:r>
      <w:proofErr w:type="spellEnd"/>
      <w:r w:rsidRPr="00E416F8">
        <w:rPr>
          <w:rFonts w:ascii="Arial" w:hAnsi="Arial" w:cs="Arial"/>
        </w:rPr>
        <w:t xml:space="preserve">, R. (2018) “Teaching and learning spelling,” </w:t>
      </w:r>
      <w:r w:rsidRPr="00E416F8">
        <w:rPr>
          <w:rFonts w:ascii="Arial" w:hAnsi="Arial" w:cs="Arial"/>
          <w:i/>
          <w:iCs/>
        </w:rPr>
        <w:t>Child Development Perspectives</w:t>
      </w:r>
      <w:r w:rsidRPr="00E416F8">
        <w:rPr>
          <w:rFonts w:ascii="Arial" w:hAnsi="Arial" w:cs="Arial"/>
        </w:rPr>
        <w:t xml:space="preserve">, 12(4), pp. 235–239. Available at: </w:t>
      </w:r>
      <w:hyperlink r:id="rId18" w:history="1">
        <w:r w:rsidRPr="00E416F8">
          <w:rPr>
            <w:rStyle w:val="Hyperlink"/>
            <w:rFonts w:ascii="Arial" w:hAnsi="Arial" w:cs="Arial"/>
          </w:rPr>
          <w:t>https://doi.org/10.1111/cdep.12292</w:t>
        </w:r>
      </w:hyperlink>
      <w:r w:rsidRPr="00E416F8">
        <w:rPr>
          <w:rFonts w:ascii="Arial" w:hAnsi="Arial" w:cs="Arial"/>
        </w:rPr>
        <w:t xml:space="preserve">. </w:t>
      </w:r>
    </w:p>
    <w:p w14:paraId="1932FB99" w14:textId="77777777" w:rsidR="00F76036" w:rsidRPr="00E416F8" w:rsidRDefault="00F76036" w:rsidP="00F76036">
      <w:pPr>
        <w:rPr>
          <w:rFonts w:ascii="Arial" w:hAnsi="Arial" w:cs="Arial"/>
          <w:sz w:val="24"/>
          <w:szCs w:val="24"/>
        </w:rPr>
      </w:pPr>
      <w:r w:rsidRPr="00E416F8">
        <w:rPr>
          <w:rFonts w:ascii="Arial" w:hAnsi="Arial" w:cs="Arial"/>
          <w:sz w:val="24"/>
          <w:szCs w:val="24"/>
        </w:rPr>
        <w:t xml:space="preserve">Tripp. (2012). Critical incidents in </w:t>
      </w:r>
      <w:proofErr w:type="gramStart"/>
      <w:r w:rsidRPr="00E416F8">
        <w:rPr>
          <w:rFonts w:ascii="Arial" w:hAnsi="Arial" w:cs="Arial"/>
          <w:sz w:val="24"/>
          <w:szCs w:val="24"/>
        </w:rPr>
        <w:t>teaching :developing</w:t>
      </w:r>
      <w:proofErr w:type="gramEnd"/>
      <w:r w:rsidRPr="00E416F8">
        <w:rPr>
          <w:rFonts w:ascii="Arial" w:hAnsi="Arial" w:cs="Arial"/>
          <w:sz w:val="24"/>
          <w:szCs w:val="24"/>
        </w:rPr>
        <w:t xml:space="preserve"> professional judgement (Classic ed.). Routledge.</w:t>
      </w:r>
    </w:p>
    <w:p w14:paraId="53EAE9D5" w14:textId="77777777" w:rsidR="00F76036" w:rsidRPr="00E416F8" w:rsidRDefault="00F76036" w:rsidP="00F76036">
      <w:pPr>
        <w:rPr>
          <w:rFonts w:ascii="Arial" w:hAnsi="Arial" w:cs="Arial"/>
          <w:sz w:val="24"/>
          <w:szCs w:val="24"/>
        </w:rPr>
      </w:pPr>
      <w:r w:rsidRPr="00E416F8">
        <w:rPr>
          <w:rFonts w:ascii="Arial" w:hAnsi="Arial" w:cs="Arial"/>
          <w:sz w:val="24"/>
          <w:szCs w:val="24"/>
        </w:rPr>
        <w:lastRenderedPageBreak/>
        <w:t xml:space="preserve">Welsh Government (2019) </w:t>
      </w:r>
      <w:r w:rsidRPr="00E416F8">
        <w:rPr>
          <w:rFonts w:ascii="Arial" w:hAnsi="Arial" w:cs="Arial"/>
          <w:i/>
          <w:iCs/>
          <w:sz w:val="24"/>
          <w:szCs w:val="24"/>
        </w:rPr>
        <w:t>Professional standards for teaching and leadership</w:t>
      </w:r>
      <w:r w:rsidRPr="00E416F8">
        <w:rPr>
          <w:rFonts w:ascii="Arial" w:hAnsi="Arial" w:cs="Arial"/>
          <w:sz w:val="24"/>
          <w:szCs w:val="24"/>
        </w:rPr>
        <w:t xml:space="preserve">. </w:t>
      </w:r>
      <w:hyperlink r:id="rId19" w:history="1">
        <w:r w:rsidRPr="00E416F8">
          <w:rPr>
            <w:rStyle w:val="Hyperlink"/>
            <w:rFonts w:ascii="Arial" w:hAnsi="Arial" w:cs="Arial"/>
            <w:sz w:val="24"/>
            <w:szCs w:val="24"/>
          </w:rPr>
          <w:t>https://hwb.gov.wales/api/storage/19bc948b-8a3f-41e0-944a-7bf2cadf7d18/professional-standards-for-teaching-and-leadership-interactive-pdf-for-pc.pdf</w:t>
        </w:r>
      </w:hyperlink>
      <w:r w:rsidRPr="00E416F8">
        <w:rPr>
          <w:rFonts w:ascii="Arial" w:hAnsi="Arial" w:cs="Arial"/>
          <w:sz w:val="24"/>
          <w:szCs w:val="24"/>
        </w:rPr>
        <w:t xml:space="preserve"> </w:t>
      </w:r>
    </w:p>
    <w:p w14:paraId="761974A1" w14:textId="77777777" w:rsidR="00F76036" w:rsidRDefault="00F76036" w:rsidP="00F76036">
      <w:pPr>
        <w:rPr>
          <w:rFonts w:ascii="Arial" w:hAnsi="Arial" w:cs="Arial"/>
          <w:sz w:val="24"/>
          <w:szCs w:val="24"/>
        </w:rPr>
      </w:pPr>
    </w:p>
    <w:p w14:paraId="499C460A" w14:textId="77777777" w:rsidR="00F76036" w:rsidRDefault="00F76036" w:rsidP="00F76036">
      <w:pPr>
        <w:rPr>
          <w:rFonts w:ascii="Arial" w:hAnsi="Arial" w:cs="Arial"/>
          <w:sz w:val="24"/>
          <w:szCs w:val="24"/>
        </w:rPr>
      </w:pPr>
    </w:p>
    <w:p w14:paraId="0B37C9B9" w14:textId="77777777" w:rsidR="00F76036" w:rsidRDefault="00F76036" w:rsidP="00F76036">
      <w:pPr>
        <w:rPr>
          <w:rFonts w:ascii="Arial" w:hAnsi="Arial" w:cs="Arial"/>
          <w:sz w:val="24"/>
          <w:szCs w:val="24"/>
        </w:rPr>
      </w:pPr>
    </w:p>
    <w:p w14:paraId="76427ABF" w14:textId="77777777" w:rsidR="00F76036" w:rsidRPr="0063595F" w:rsidRDefault="00F76036" w:rsidP="00F76036">
      <w:pPr>
        <w:rPr>
          <w:rFonts w:ascii="Arial" w:hAnsi="Arial" w:cs="Arial"/>
          <w:sz w:val="24"/>
          <w:szCs w:val="24"/>
        </w:rPr>
      </w:pPr>
    </w:p>
    <w:p w14:paraId="6F6BE898" w14:textId="77777777" w:rsidR="00F76036" w:rsidRDefault="00F76036" w:rsidP="00F76036"/>
    <w:p w14:paraId="78A35177" w14:textId="6DFF9CFA" w:rsidR="00F76036" w:rsidRDefault="00F76036">
      <w:pPr>
        <w:rPr>
          <w:rFonts w:ascii="Arial" w:hAnsi="Arial" w:cs="Arial"/>
          <w:sz w:val="24"/>
          <w:szCs w:val="24"/>
        </w:rPr>
      </w:pPr>
    </w:p>
    <w:p w14:paraId="023611CB" w14:textId="77777777" w:rsidR="00F76036" w:rsidRPr="000C3557" w:rsidRDefault="00F76036">
      <w:pPr>
        <w:rPr>
          <w:rFonts w:ascii="Arial" w:hAnsi="Arial" w:cs="Arial"/>
          <w:sz w:val="24"/>
          <w:szCs w:val="24"/>
        </w:rPr>
      </w:pPr>
    </w:p>
    <w:sectPr w:rsidR="00F76036" w:rsidRPr="000C3557" w:rsidSect="001F4F89">
      <w:pgSz w:w="11906" w:h="16838"/>
      <w:pgMar w:top="1440" w:right="1080" w:bottom="1440" w:left="108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70C"/>
    <w:rsid w:val="000C3557"/>
    <w:rsid w:val="001F4F89"/>
    <w:rsid w:val="002D24A8"/>
    <w:rsid w:val="00820F44"/>
    <w:rsid w:val="00A77085"/>
    <w:rsid w:val="00C277B1"/>
    <w:rsid w:val="00DD570C"/>
    <w:rsid w:val="00F76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18A11"/>
  <w15:chartTrackingRefBased/>
  <w15:docId w15:val="{56776847-697D-445E-B29C-D054ABCA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F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5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570C"/>
    <w:rPr>
      <w:b/>
      <w:bCs/>
    </w:rPr>
  </w:style>
  <w:style w:type="character" w:styleId="Hyperlink">
    <w:name w:val="Hyperlink"/>
    <w:basedOn w:val="DefaultParagraphFont"/>
    <w:uiPriority w:val="99"/>
    <w:unhideWhenUsed/>
    <w:rsid w:val="00F76036"/>
    <w:rPr>
      <w:color w:val="0563C1" w:themeColor="hyperlink"/>
      <w:u w:val="single"/>
    </w:rPr>
  </w:style>
  <w:style w:type="character" w:styleId="Emphasis">
    <w:name w:val="Emphasis"/>
    <w:basedOn w:val="DefaultParagraphFont"/>
    <w:uiPriority w:val="20"/>
    <w:qFormat/>
    <w:rsid w:val="00F76036"/>
    <w:rPr>
      <w:i/>
      <w:iCs/>
    </w:rPr>
  </w:style>
  <w:style w:type="paragraph" w:styleId="NoSpacing">
    <w:name w:val="No Spacing"/>
    <w:link w:val="NoSpacingChar"/>
    <w:uiPriority w:val="1"/>
    <w:qFormat/>
    <w:rsid w:val="00A77085"/>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77085"/>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83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pdfviewer/pdfviewer?vid=0&amp;sid=feb126e0-d93f-4e92-90cd-53de0d3192c7%40redis" TargetMode="External"/><Relationship Id="rId13" Type="http://schemas.openxmlformats.org/officeDocument/2006/relationships/hyperlink" Target="https://doi.org/10.1111/j.1469-8749.2007.00312.x" TargetMode="External"/><Relationship Id="rId18" Type="http://schemas.openxmlformats.org/officeDocument/2006/relationships/hyperlink" Target="https://doi.org/10.1111/cdep.1229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37/a0012656" TargetMode="External"/><Relationship Id="rId12" Type="http://schemas.openxmlformats.org/officeDocument/2006/relationships/hyperlink" Target="https://www.estyn...gov.wales/provider/6702239" TargetMode="External"/><Relationship Id="rId17" Type="http://schemas.openxmlformats.org/officeDocument/2006/relationships/hyperlink" Target="https://web-s-ebscohost-com.ezproxy.uwtsd.ac.uk/ehost/pdfviewer/pdfviewer?vid=0&amp;sid=5106f348-3381-45ad-842c-164d57ecafdb%40redis" TargetMode="External"/><Relationship Id="rId2" Type="http://schemas.openxmlformats.org/officeDocument/2006/relationships/settings" Target="settings.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tate.2021.103387" TargetMode="External"/><Relationship Id="rId11" Type="http://schemas.openxmlformats.org/officeDocument/2006/relationships/hyperlink" Target="https://doi.org/10.1080/14623943.2018.1530207" TargetMode="External"/><Relationship Id="rId5" Type="http://schemas.openxmlformats.org/officeDocument/2006/relationships/hyperlink" Target="https://doi.org/10.1080/0969594X.2017.1330251(%20Accessed%20:20" TargetMode="External"/><Relationship Id="rId15" Type="http://schemas.openxmlformats.org/officeDocument/2006/relationships/hyperlink" Target="https://doi.org/10.1080/0158037X.2018.1474867" TargetMode="External"/><Relationship Id="rId10" Type="http://schemas.openxmlformats.org/officeDocument/2006/relationships/hyperlink" Target="https://doi.org/10.1016/j.ijcci.2021.100373"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hyperlink" Target="https://www.bera.ac.uk/publication/ethical-guidelines-for-educational-research-2018" TargetMode="External"/><Relationship Id="rId9" Type="http://schemas.openxmlformats.org/officeDocument/2006/relationships/hyperlink" Target="https://doi.org/10.1007/s11145-015-9605-9" TargetMode="External"/><Relationship Id="rId14" Type="http://schemas.openxmlformats.org/officeDocument/2006/relationships/hyperlink" Target="https://eric.ed.gov/?id=ED546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4512</Words>
  <Characters>25720</Characters>
  <Application>Microsoft Office Word</Application>
  <DocSecurity>0</DocSecurity>
  <Lines>214</Lines>
  <Paragraphs>60</Paragraphs>
  <ScaleCrop>false</ScaleCrop>
  <Company/>
  <LinksUpToDate>false</LinksUpToDate>
  <CharactersWithSpaces>30172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ECAD6008_Assignment   2200726_Cranfield_AMy</dc:title>
  <dc:subject/>
  <dc:creator>Amy Cranfield (2200726)</dc:creator>
  <cp:keywords/>
  <dc:description/>
  <cp:lastModifiedBy>Amy Cranfield (2200726)</cp:lastModifiedBy>
  <cp:revision>10</cp:revision>
  <dcterms:created xsi:type="dcterms:W3CDTF">2022-11-04T13:04:00Z</dcterms:created>
  <dcterms:modified xsi:type="dcterms:W3CDTF">2022-11-04T14:09:00Z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180fa69a-8018-4ac1-aea6-071b3dacddaa</vt:lpwstr>
  </property>
</Properties>
</file>