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93E5F"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Health, </w:t>
      </w:r>
      <w:proofErr w:type="gramStart"/>
      <w:r w:rsidRPr="00593159">
        <w:rPr>
          <w:rFonts w:ascii="Calibri" w:eastAsia="Times New Roman" w:hAnsi="Calibri" w:cs="Calibri"/>
          <w:color w:val="000000"/>
          <w:sz w:val="27"/>
          <w:szCs w:val="27"/>
          <w:lang w:eastAsia="en-GB"/>
        </w:rPr>
        <w:t>well-being</w:t>
      </w:r>
      <w:proofErr w:type="gramEnd"/>
      <w:r w:rsidRPr="00593159">
        <w:rPr>
          <w:rFonts w:ascii="Calibri" w:eastAsia="Times New Roman" w:hAnsi="Calibri" w:cs="Calibri"/>
          <w:color w:val="000000"/>
          <w:sz w:val="27"/>
          <w:szCs w:val="27"/>
          <w:lang w:eastAsia="en-GB"/>
        </w:rPr>
        <w:t xml:space="preserve"> and lifestyle are fundamental concepts that influence the growth and development of young children. World Health Organization (2023) define health as “a state of complete physical, mental and social well-being”. This definition shows that health extends beyond physical fitness. World Health Organization (2023) also state that children need a healthy and balanced diet to make sure they feel safe and secure emotionally, psychologically and in their social life.</w:t>
      </w:r>
    </w:p>
    <w:p w14:paraId="71DA8AE4"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Langevin, H.M (2024) consider health and well-being as complex concepts that are intertwined. It is important to know that children’s physical health can affect their emotional </w:t>
      </w:r>
      <w:proofErr w:type="spellStart"/>
      <w:r w:rsidRPr="00593159">
        <w:rPr>
          <w:rFonts w:ascii="Calibri" w:eastAsia="Times New Roman" w:hAnsi="Calibri" w:cs="Calibri"/>
          <w:color w:val="000000"/>
          <w:sz w:val="27"/>
          <w:szCs w:val="27"/>
          <w:lang w:eastAsia="en-GB"/>
        </w:rPr>
        <w:t>well being</w:t>
      </w:r>
      <w:proofErr w:type="spellEnd"/>
      <w:r w:rsidRPr="00593159">
        <w:rPr>
          <w:rFonts w:ascii="Calibri" w:eastAsia="Times New Roman" w:hAnsi="Calibri" w:cs="Calibri"/>
          <w:color w:val="000000"/>
          <w:sz w:val="27"/>
          <w:szCs w:val="27"/>
          <w:lang w:eastAsia="en-GB"/>
        </w:rPr>
        <w:t xml:space="preserve">, and whilst a positive social relationship and a positive mental health can contribute to a better overall health </w:t>
      </w:r>
      <w:proofErr w:type="gramStart"/>
      <w:r w:rsidRPr="00593159">
        <w:rPr>
          <w:rFonts w:ascii="Calibri" w:eastAsia="Times New Roman" w:hAnsi="Calibri" w:cs="Calibri"/>
          <w:color w:val="000000"/>
          <w:sz w:val="27"/>
          <w:szCs w:val="27"/>
          <w:lang w:eastAsia="en-GB"/>
        </w:rPr>
        <w:t>outcomes</w:t>
      </w:r>
      <w:proofErr w:type="gramEnd"/>
      <w:r w:rsidRPr="00593159">
        <w:rPr>
          <w:rFonts w:ascii="Calibri" w:eastAsia="Times New Roman" w:hAnsi="Calibri" w:cs="Calibri"/>
          <w:color w:val="000000"/>
          <w:sz w:val="27"/>
          <w:szCs w:val="27"/>
          <w:lang w:eastAsia="en-GB"/>
        </w:rPr>
        <w:t xml:space="preserve">. De </w:t>
      </w:r>
      <w:proofErr w:type="spellStart"/>
      <w:r w:rsidRPr="00593159">
        <w:rPr>
          <w:rFonts w:ascii="Calibri" w:eastAsia="Times New Roman" w:hAnsi="Calibri" w:cs="Calibri"/>
          <w:color w:val="000000"/>
          <w:sz w:val="27"/>
          <w:szCs w:val="27"/>
          <w:lang w:eastAsia="en-GB"/>
        </w:rPr>
        <w:t>Oliveria</w:t>
      </w:r>
      <w:proofErr w:type="spellEnd"/>
      <w:r w:rsidRPr="00593159">
        <w:rPr>
          <w:rFonts w:ascii="Calibri" w:eastAsia="Times New Roman" w:hAnsi="Calibri" w:cs="Calibri"/>
          <w:color w:val="000000"/>
          <w:sz w:val="27"/>
          <w:szCs w:val="27"/>
          <w:lang w:eastAsia="en-GB"/>
        </w:rPr>
        <w:t xml:space="preserve"> et al (2025) state that the key points to a healthy and long life is diet, physical activity restorative sleep stress management and having a social connection with friends and those around you. They believe having a healthy balanced diet with nutrient rich foods and engaging in regular movement and having high quality sleep can improve </w:t>
      </w:r>
      <w:proofErr w:type="spellStart"/>
      <w:proofErr w:type="gramStart"/>
      <w:r w:rsidRPr="00593159">
        <w:rPr>
          <w:rFonts w:ascii="Calibri" w:eastAsia="Times New Roman" w:hAnsi="Calibri" w:cs="Calibri"/>
          <w:color w:val="000000"/>
          <w:sz w:val="27"/>
          <w:szCs w:val="27"/>
          <w:lang w:eastAsia="en-GB"/>
        </w:rPr>
        <w:t>ones</w:t>
      </w:r>
      <w:proofErr w:type="spellEnd"/>
      <w:proofErr w:type="gramEnd"/>
      <w:r w:rsidRPr="00593159">
        <w:rPr>
          <w:rFonts w:ascii="Calibri" w:eastAsia="Times New Roman" w:hAnsi="Calibri" w:cs="Calibri"/>
          <w:color w:val="000000"/>
          <w:sz w:val="27"/>
          <w:szCs w:val="27"/>
          <w:lang w:eastAsia="en-GB"/>
        </w:rPr>
        <w:t xml:space="preserve"> life. </w:t>
      </w:r>
    </w:p>
    <w:p w14:paraId="680F387F"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Ofsted (2023) state that early childhood experience is important to establish foundations for future health and </w:t>
      </w:r>
      <w:proofErr w:type="spellStart"/>
      <w:r w:rsidRPr="00593159">
        <w:rPr>
          <w:rFonts w:ascii="Calibri" w:eastAsia="Times New Roman" w:hAnsi="Calibri" w:cs="Calibri"/>
          <w:color w:val="000000"/>
          <w:sz w:val="27"/>
          <w:szCs w:val="27"/>
          <w:lang w:eastAsia="en-GB"/>
        </w:rPr>
        <w:t>well being</w:t>
      </w:r>
      <w:proofErr w:type="spellEnd"/>
      <w:r w:rsidRPr="00593159">
        <w:rPr>
          <w:rFonts w:ascii="Calibri" w:eastAsia="Times New Roman" w:hAnsi="Calibri" w:cs="Calibri"/>
          <w:color w:val="000000"/>
          <w:sz w:val="27"/>
          <w:szCs w:val="27"/>
          <w:lang w:eastAsia="en-GB"/>
        </w:rPr>
        <w:t xml:space="preserve"> as the brain is developing the fastest during those first few years of life than at any other time. National Institutes of health (2015) stat that having positive experiences allows to promote for healthy habits as dopamine is released to train the brain to repeat that behaviour and then for the future it will be easier to do. Whilst well- negative experiences may increase the risk of health challenges </w:t>
      </w:r>
      <w:proofErr w:type="gramStart"/>
      <w:r w:rsidRPr="00593159">
        <w:rPr>
          <w:rFonts w:ascii="Calibri" w:eastAsia="Times New Roman" w:hAnsi="Calibri" w:cs="Calibri"/>
          <w:color w:val="000000"/>
          <w:sz w:val="27"/>
          <w:szCs w:val="27"/>
          <w:lang w:eastAsia="en-GB"/>
        </w:rPr>
        <w:t>later on</w:t>
      </w:r>
      <w:proofErr w:type="gramEnd"/>
      <w:r w:rsidRPr="00593159">
        <w:rPr>
          <w:rFonts w:ascii="Calibri" w:eastAsia="Times New Roman" w:hAnsi="Calibri" w:cs="Calibri"/>
          <w:color w:val="000000"/>
          <w:sz w:val="27"/>
          <w:szCs w:val="27"/>
          <w:lang w:eastAsia="en-GB"/>
        </w:rPr>
        <w:t xml:space="preserve"> in life. </w:t>
      </w:r>
    </w:p>
    <w:p w14:paraId="2AF76117"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This poster will explore the key aspects of health, </w:t>
      </w:r>
      <w:proofErr w:type="gramStart"/>
      <w:r w:rsidRPr="00593159">
        <w:rPr>
          <w:rFonts w:ascii="Calibri" w:eastAsia="Times New Roman" w:hAnsi="Calibri" w:cs="Calibri"/>
          <w:color w:val="000000"/>
          <w:sz w:val="27"/>
          <w:szCs w:val="27"/>
          <w:lang w:eastAsia="en-GB"/>
        </w:rPr>
        <w:t>well-being</w:t>
      </w:r>
      <w:proofErr w:type="gramEnd"/>
      <w:r w:rsidRPr="00593159">
        <w:rPr>
          <w:rFonts w:ascii="Calibri" w:eastAsia="Times New Roman" w:hAnsi="Calibri" w:cs="Calibri"/>
          <w:color w:val="000000"/>
          <w:sz w:val="27"/>
          <w:szCs w:val="27"/>
          <w:lang w:eastAsia="en-GB"/>
        </w:rPr>
        <w:t xml:space="preserve"> and lifestyle with attention to childhood obesity. And with particular attention to childhood obesity and nutrition, and how early year practioners play a vital role in promoting healthy development.</w:t>
      </w:r>
    </w:p>
    <w:p w14:paraId="6F5479FB" w14:textId="77777777" w:rsidR="00593159" w:rsidRPr="00593159" w:rsidRDefault="001F488F"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noProof/>
          <w:color w:val="000000"/>
          <w:sz w:val="27"/>
          <w:szCs w:val="27"/>
          <w:lang w:eastAsia="en-GB"/>
        </w:rPr>
        <w:pict w14:anchorId="1087CCA2">
          <v:rect id="_x0000_i1033" alt="" style="width:451.3pt;height:.05pt;mso-width-percent:0;mso-height-percent:0;mso-width-percent:0;mso-height-percent:0" o:hralign="center" o:hrstd="t" o:hr="t" fillcolor="#a0a0a0" stroked="f"/>
        </w:pict>
      </w:r>
    </w:p>
    <w:p w14:paraId="16D88F18"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1: Understanding Health (350–400 words)</w:t>
      </w:r>
    </w:p>
    <w:p w14:paraId="0CF63768"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Entity:</w:t>
      </w:r>
      <w:r w:rsidRPr="00593159">
        <w:rPr>
          <w:rFonts w:ascii="Calibri" w:eastAsia="Times New Roman" w:hAnsi="Calibri" w:cs="Calibri"/>
          <w:color w:val="000000"/>
          <w:sz w:val="27"/>
          <w:szCs w:val="27"/>
          <w:lang w:eastAsia="en-GB"/>
        </w:rPr>
        <w:br/>
        <w:t>NHS Eatwell Guide.</w:t>
      </w:r>
    </w:p>
    <w:p w14:paraId="5CB84049"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Cambridge Dictionary (2019) define health as “the condition of the body and the degree to which it is free from illness”. Health is also seen as a multidimensional concept that encompasses physical, mental, </w:t>
      </w:r>
      <w:proofErr w:type="gramStart"/>
      <w:r w:rsidRPr="00593159">
        <w:rPr>
          <w:rFonts w:ascii="Calibri" w:eastAsia="Times New Roman" w:hAnsi="Calibri" w:cs="Calibri"/>
          <w:color w:val="000000"/>
          <w:sz w:val="27"/>
          <w:szCs w:val="27"/>
          <w:lang w:eastAsia="en-GB"/>
        </w:rPr>
        <w:t>emotional</w:t>
      </w:r>
      <w:proofErr w:type="gramEnd"/>
      <w:r w:rsidRPr="00593159">
        <w:rPr>
          <w:rFonts w:ascii="Calibri" w:eastAsia="Times New Roman" w:hAnsi="Calibri" w:cs="Calibri"/>
          <w:color w:val="000000"/>
          <w:sz w:val="27"/>
          <w:szCs w:val="27"/>
          <w:lang w:eastAsia="en-GB"/>
        </w:rPr>
        <w:t xml:space="preserve"> and nutritional well-being. For young children these dimensions are closely interconnected and collectively contribute to healthy growth and development in school and in their home environment.</w:t>
      </w:r>
    </w:p>
    <w:p w14:paraId="23871081" w14:textId="77777777" w:rsidR="00593159" w:rsidRPr="00593159" w:rsidRDefault="00593159" w:rsidP="00593159">
      <w:pPr>
        <w:rPr>
          <w:rFonts w:ascii="Times New Roman" w:eastAsia="Times New Roman" w:hAnsi="Times New Roman" w:cs="Times New Roman"/>
          <w:color w:val="000000"/>
          <w:sz w:val="27"/>
          <w:szCs w:val="27"/>
          <w:lang w:eastAsia="en-GB"/>
        </w:rPr>
      </w:pPr>
      <w:proofErr w:type="spellStart"/>
      <w:r w:rsidRPr="00593159">
        <w:rPr>
          <w:rFonts w:ascii="Calibri" w:eastAsia="Times New Roman" w:hAnsi="Calibri" w:cs="Calibri"/>
          <w:color w:val="000000"/>
          <w:sz w:val="27"/>
          <w:szCs w:val="27"/>
          <w:lang w:eastAsia="en-GB"/>
        </w:rPr>
        <w:t>Unesco</w:t>
      </w:r>
      <w:proofErr w:type="spellEnd"/>
      <w:r w:rsidRPr="00593159">
        <w:rPr>
          <w:rFonts w:ascii="Calibri" w:eastAsia="Times New Roman" w:hAnsi="Calibri" w:cs="Calibri"/>
          <w:color w:val="000000"/>
          <w:sz w:val="27"/>
          <w:szCs w:val="27"/>
          <w:lang w:eastAsia="en-GB"/>
        </w:rPr>
        <w:t xml:space="preserve"> (2024) define physical health “as the overall condition of the body and the ability to perform daily </w:t>
      </w:r>
      <w:proofErr w:type="spellStart"/>
      <w:proofErr w:type="gramStart"/>
      <w:r w:rsidRPr="00593159">
        <w:rPr>
          <w:rFonts w:ascii="Calibri" w:eastAsia="Times New Roman" w:hAnsi="Calibri" w:cs="Calibri"/>
          <w:color w:val="000000"/>
          <w:sz w:val="27"/>
          <w:szCs w:val="27"/>
          <w:lang w:eastAsia="en-GB"/>
        </w:rPr>
        <w:t>activites”this</w:t>
      </w:r>
      <w:proofErr w:type="spellEnd"/>
      <w:proofErr w:type="gramEnd"/>
      <w:r w:rsidRPr="00593159">
        <w:rPr>
          <w:rFonts w:ascii="Calibri" w:eastAsia="Times New Roman" w:hAnsi="Calibri" w:cs="Calibri"/>
          <w:color w:val="000000"/>
          <w:sz w:val="27"/>
          <w:szCs w:val="27"/>
          <w:lang w:eastAsia="en-GB"/>
        </w:rPr>
        <w:t xml:space="preserve"> refers to the functioning of the body and the achievement of age-appropriate growth and development. The World Health Organization (2024) state children require regular physical activity to strengthen muscles and bones and to develop coordination and maintain a healthy weight </w:t>
      </w:r>
      <w:r w:rsidRPr="00593159">
        <w:rPr>
          <w:rFonts w:ascii="Calibri" w:eastAsia="Times New Roman" w:hAnsi="Calibri" w:cs="Calibri"/>
          <w:color w:val="000000"/>
          <w:sz w:val="27"/>
          <w:szCs w:val="27"/>
          <w:lang w:eastAsia="en-GB"/>
        </w:rPr>
        <w:lastRenderedPageBreak/>
        <w:t>this is because childhood is when bones and muscles are the most responsive. Not only is physical activity important for the body but adequate sleep is equally as important as it supports physical growth, deep sleep releases human growth hormone to repair tissues. Having good hygiene practices such as handwashing </w:t>
      </w:r>
      <w:r w:rsidRPr="00593159">
        <w:rPr>
          <w:rFonts w:ascii="Calibri" w:eastAsia="Times New Roman" w:hAnsi="Calibri" w:cs="Calibri"/>
          <w:color w:val="000000"/>
          <w:sz w:val="27"/>
          <w:szCs w:val="27"/>
          <w:shd w:val="clear" w:color="auto" w:fill="FFFF00"/>
          <w:lang w:eastAsia="en-GB"/>
        </w:rPr>
        <w:t>and dental care, help prevent illnesses and promote overall health HOW REFERENCE. Having routine check-ups and vaccinations strengthen immunity and protect children from diseases.</w:t>
      </w:r>
    </w:p>
    <w:p w14:paraId="0F90F27E"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Mental and emotional health relates to a child’s ability to understand their emotions and to develop confidence. It also helps form meaningful relationship and the NHS (2019) states that emotional regulation enables children to express themselves appropriately, as having a positive self-image supports children with a higher self-esteem and resilience whilst having secure attachment with carers and practioners provides them safety and belonging </w:t>
      </w:r>
    </w:p>
    <w:p w14:paraId="46B38624"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Nutritional health is important for the growth of the child, British Nutrition Foundations (2025) states it helps to create energy and help them develop as well as sustain daily activities. Having a balanced diet includes a variety of foods from different food groups as children need nutrients to be able to function. The UK government brought out a visual plate to show what a healthy balanced diet is, NHS (2022) Eatwell guide provides a guidance on a balanced diet and how a child’s plate should look.</w:t>
      </w:r>
    </w:p>
    <w:p w14:paraId="702E0005"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w:t>
      </w:r>
    </w:p>
    <w:p w14:paraId="2FC3C411" w14:textId="77777777" w:rsidR="00593159" w:rsidRPr="00593159" w:rsidRDefault="00593159"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color w:val="000000"/>
          <w:sz w:val="27"/>
          <w:szCs w:val="27"/>
          <w:lang w:eastAsia="en-GB"/>
        </w:rPr>
        <w:pict w14:anchorId="44C2107C">
          <v:rect id="_x0000_i1026" style="width:468pt;height:1pt" o:hralign="center" o:hrstd="t" o:hr="t" fillcolor="#a0a0a0" stroked="f"/>
        </w:pict>
      </w:r>
    </w:p>
    <w:p w14:paraId="04458A95"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2: Understanding Well-being (350–400 words)</w:t>
      </w:r>
    </w:p>
    <w:p w14:paraId="7AE237C3"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w:t>
      </w:r>
    </w:p>
    <w:p w14:paraId="53823889"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Cambridge Dictionary (2025) define well-being as “the state of feeling healthy and happy” well-being is seen as a concept of physical health but its further than that </w:t>
      </w:r>
      <w:proofErr w:type="spellStart"/>
      <w:r w:rsidRPr="00593159">
        <w:rPr>
          <w:rFonts w:ascii="Calibri" w:eastAsia="Times New Roman" w:hAnsi="Calibri" w:cs="Calibri"/>
          <w:color w:val="000000"/>
          <w:sz w:val="27"/>
          <w:szCs w:val="27"/>
          <w:lang w:eastAsia="en-GB"/>
        </w:rPr>
        <w:t>its</w:t>
      </w:r>
      <w:proofErr w:type="spellEnd"/>
      <w:r w:rsidRPr="00593159">
        <w:rPr>
          <w:rFonts w:ascii="Calibri" w:eastAsia="Times New Roman" w:hAnsi="Calibri" w:cs="Calibri"/>
          <w:color w:val="000000"/>
          <w:sz w:val="27"/>
          <w:szCs w:val="27"/>
          <w:lang w:eastAsia="en-GB"/>
        </w:rPr>
        <w:t xml:space="preserve"> how that child feels about themselves and the relationships and the satisfaction with life. </w:t>
      </w:r>
      <w:proofErr w:type="spellStart"/>
      <w:r w:rsidRPr="00593159">
        <w:rPr>
          <w:rFonts w:ascii="Calibri" w:eastAsia="Times New Roman" w:hAnsi="Calibri" w:cs="Calibri"/>
          <w:color w:val="000000"/>
          <w:sz w:val="27"/>
          <w:szCs w:val="27"/>
          <w:lang w:eastAsia="en-GB"/>
        </w:rPr>
        <w:t>Koomen</w:t>
      </w:r>
      <w:proofErr w:type="spellEnd"/>
      <w:r w:rsidRPr="00593159">
        <w:rPr>
          <w:rFonts w:ascii="Calibri" w:eastAsia="Times New Roman" w:hAnsi="Calibri" w:cs="Calibri"/>
          <w:color w:val="000000"/>
          <w:sz w:val="27"/>
          <w:szCs w:val="27"/>
          <w:lang w:eastAsia="en-GB"/>
        </w:rPr>
        <w:t xml:space="preserve"> et al (2004) believes that a child’s well-being includes emotional security and positive relationships but also growth. </w:t>
      </w:r>
      <w:proofErr w:type="spellStart"/>
      <w:r w:rsidRPr="00593159">
        <w:rPr>
          <w:rFonts w:ascii="Calibri" w:eastAsia="Times New Roman" w:hAnsi="Calibri" w:cs="Calibri"/>
          <w:color w:val="000000"/>
          <w:sz w:val="27"/>
          <w:szCs w:val="27"/>
          <w:lang w:eastAsia="en-GB"/>
        </w:rPr>
        <w:t>Savahal</w:t>
      </w:r>
      <w:proofErr w:type="spellEnd"/>
      <w:r w:rsidRPr="00593159">
        <w:rPr>
          <w:rFonts w:ascii="Calibri" w:eastAsia="Times New Roman" w:hAnsi="Calibri" w:cs="Calibri"/>
          <w:color w:val="000000"/>
          <w:sz w:val="27"/>
          <w:szCs w:val="27"/>
          <w:lang w:eastAsia="en-GB"/>
        </w:rPr>
        <w:t xml:space="preserve"> et al (2019) say that children who have a higher level of well-being have been shown to me more likely to be engaged in learning and to develop healthy relationships and to achieve positive outcome in their life this is because they are being </w:t>
      </w:r>
      <w:proofErr w:type="gramStart"/>
      <w:r w:rsidRPr="00593159">
        <w:rPr>
          <w:rFonts w:ascii="Calibri" w:eastAsia="Times New Roman" w:hAnsi="Calibri" w:cs="Calibri"/>
          <w:color w:val="000000"/>
          <w:sz w:val="27"/>
          <w:szCs w:val="27"/>
          <w:lang w:eastAsia="en-GB"/>
        </w:rPr>
        <w:t>there</w:t>
      </w:r>
      <w:proofErr w:type="gramEnd"/>
      <w:r w:rsidRPr="00593159">
        <w:rPr>
          <w:rFonts w:ascii="Calibri" w:eastAsia="Times New Roman" w:hAnsi="Calibri" w:cs="Calibri"/>
          <w:color w:val="000000"/>
          <w:sz w:val="27"/>
          <w:szCs w:val="27"/>
          <w:lang w:eastAsia="en-GB"/>
        </w:rPr>
        <w:t xml:space="preserve"> true self, they </w:t>
      </w:r>
      <w:proofErr w:type="spellStart"/>
      <w:r w:rsidRPr="00593159">
        <w:rPr>
          <w:rFonts w:ascii="Calibri" w:eastAsia="Times New Roman" w:hAnsi="Calibri" w:cs="Calibri"/>
          <w:color w:val="000000"/>
          <w:sz w:val="27"/>
          <w:szCs w:val="27"/>
          <w:lang w:eastAsia="en-GB"/>
        </w:rPr>
        <w:t>wont</w:t>
      </w:r>
      <w:proofErr w:type="spellEnd"/>
      <w:r w:rsidRPr="00593159">
        <w:rPr>
          <w:rFonts w:ascii="Calibri" w:eastAsia="Times New Roman" w:hAnsi="Calibri" w:cs="Calibri"/>
          <w:color w:val="000000"/>
          <w:sz w:val="27"/>
          <w:szCs w:val="27"/>
          <w:lang w:eastAsia="en-GB"/>
        </w:rPr>
        <w:t xml:space="preserve"> be putting an act on and naturally this reduces cognitive burnout.</w:t>
      </w:r>
    </w:p>
    <w:p w14:paraId="45BFD3FC"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Psychological well-being is about a child’s individual emotional and mental state. Liddle and Carter (2015) state that an important aspect of emotion and mental state is esteem this is the feeling of being valued and respected by those around you. By having these positive </w:t>
      </w:r>
      <w:proofErr w:type="gramStart"/>
      <w:r w:rsidRPr="00593159">
        <w:rPr>
          <w:rFonts w:ascii="Calibri" w:eastAsia="Times New Roman" w:hAnsi="Calibri" w:cs="Calibri"/>
          <w:color w:val="000000"/>
          <w:sz w:val="27"/>
          <w:szCs w:val="27"/>
          <w:lang w:eastAsia="en-GB"/>
        </w:rPr>
        <w:t>experiences</w:t>
      </w:r>
      <w:proofErr w:type="gramEnd"/>
      <w:r w:rsidRPr="00593159">
        <w:rPr>
          <w:rFonts w:ascii="Calibri" w:eastAsia="Times New Roman" w:hAnsi="Calibri" w:cs="Calibri"/>
          <w:color w:val="000000"/>
          <w:sz w:val="27"/>
          <w:szCs w:val="27"/>
          <w:lang w:eastAsia="en-GB"/>
        </w:rPr>
        <w:t xml:space="preserve"> it help will help a child with confidence and a stronger self-esteem. </w:t>
      </w:r>
      <w:proofErr w:type="spellStart"/>
      <w:r w:rsidRPr="00593159">
        <w:rPr>
          <w:rFonts w:ascii="Calibri" w:eastAsia="Times New Roman" w:hAnsi="Calibri" w:cs="Calibri"/>
          <w:color w:val="000000"/>
          <w:sz w:val="27"/>
          <w:szCs w:val="27"/>
          <w:lang w:eastAsia="en-GB"/>
        </w:rPr>
        <w:t>Negaard</w:t>
      </w:r>
      <w:proofErr w:type="spellEnd"/>
      <w:r w:rsidRPr="00593159">
        <w:rPr>
          <w:rFonts w:ascii="Calibri" w:eastAsia="Times New Roman" w:hAnsi="Calibri" w:cs="Calibri"/>
          <w:color w:val="000000"/>
          <w:sz w:val="27"/>
          <w:szCs w:val="27"/>
          <w:lang w:eastAsia="en-GB"/>
        </w:rPr>
        <w:t xml:space="preserve"> et al (2020) believe that children should feel a sense of belong and the importance of belonging is vital as children should feel accepted and included within their friendship groups and their family as well as </w:t>
      </w:r>
      <w:r w:rsidRPr="00593159">
        <w:rPr>
          <w:rFonts w:ascii="Calibri" w:eastAsia="Times New Roman" w:hAnsi="Calibri" w:cs="Calibri"/>
          <w:color w:val="000000"/>
          <w:sz w:val="27"/>
          <w:szCs w:val="27"/>
          <w:lang w:eastAsia="en-GB"/>
        </w:rPr>
        <w:lastRenderedPageBreak/>
        <w:t>their school, a strong sense of belonging helps with happiness and emotional security.</w:t>
      </w:r>
    </w:p>
    <w:p w14:paraId="6B3439D2"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Children learn to be competent from the ability to develop skills through play and learning in daily activities. Nicholls (1978) state that children gain a sense of achievement from doing daily tasks in school and at home. When children participate in tasks and are making choices it shows how they can reach their full potential. This can also help with setbacks and </w:t>
      </w:r>
      <w:proofErr w:type="gramStart"/>
      <w:r w:rsidRPr="00593159">
        <w:rPr>
          <w:rFonts w:ascii="Calibri" w:eastAsia="Times New Roman" w:hAnsi="Calibri" w:cs="Calibri"/>
          <w:color w:val="000000"/>
          <w:sz w:val="27"/>
          <w:szCs w:val="27"/>
          <w:lang w:eastAsia="en-GB"/>
        </w:rPr>
        <w:t>challenges,</w:t>
      </w:r>
      <w:proofErr w:type="gramEnd"/>
      <w:r w:rsidRPr="00593159">
        <w:rPr>
          <w:rFonts w:ascii="Calibri" w:eastAsia="Times New Roman" w:hAnsi="Calibri" w:cs="Calibri"/>
          <w:color w:val="000000"/>
          <w:sz w:val="27"/>
          <w:szCs w:val="27"/>
          <w:lang w:eastAsia="en-GB"/>
        </w:rPr>
        <w:t xml:space="preserve"> children learn how to adapt to difficulties and to deal with it differently. Newman (2002) state that practioners can listen to children’s views and understand their difficulties and how to move forward. </w:t>
      </w:r>
    </w:p>
    <w:p w14:paraId="4D9B0DDF"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In Wales children there is a sense of belonging and </w:t>
      </w:r>
      <w:proofErr w:type="spellStart"/>
      <w:r w:rsidRPr="00593159">
        <w:rPr>
          <w:rFonts w:ascii="Calibri" w:eastAsia="Times New Roman" w:hAnsi="Calibri" w:cs="Calibri"/>
          <w:color w:val="000000"/>
          <w:sz w:val="27"/>
          <w:szCs w:val="27"/>
          <w:lang w:eastAsia="en-GB"/>
        </w:rPr>
        <w:t>its</w:t>
      </w:r>
      <w:proofErr w:type="spellEnd"/>
      <w:r w:rsidRPr="00593159">
        <w:rPr>
          <w:rFonts w:ascii="Calibri" w:eastAsia="Times New Roman" w:hAnsi="Calibri" w:cs="Calibri"/>
          <w:color w:val="000000"/>
          <w:sz w:val="27"/>
          <w:szCs w:val="27"/>
          <w:lang w:eastAsia="en-GB"/>
        </w:rPr>
        <w:t xml:space="preserve"> called </w:t>
      </w:r>
      <w:proofErr w:type="spellStart"/>
      <w:r w:rsidRPr="00593159">
        <w:rPr>
          <w:rFonts w:ascii="Calibri" w:eastAsia="Times New Roman" w:hAnsi="Calibri" w:cs="Calibri"/>
          <w:color w:val="000000"/>
          <w:sz w:val="27"/>
          <w:szCs w:val="27"/>
          <w:lang w:eastAsia="en-GB"/>
        </w:rPr>
        <w:t>cynefin</w:t>
      </w:r>
      <w:proofErr w:type="spellEnd"/>
      <w:r w:rsidRPr="00593159">
        <w:rPr>
          <w:rFonts w:ascii="Calibri" w:eastAsia="Times New Roman" w:hAnsi="Calibri" w:cs="Calibri"/>
          <w:color w:val="000000"/>
          <w:sz w:val="27"/>
          <w:szCs w:val="27"/>
          <w:lang w:eastAsia="en-GB"/>
        </w:rPr>
        <w:t xml:space="preserve">. </w:t>
      </w:r>
      <w:proofErr w:type="spellStart"/>
      <w:r w:rsidRPr="00593159">
        <w:rPr>
          <w:rFonts w:ascii="Calibri" w:eastAsia="Times New Roman" w:hAnsi="Calibri" w:cs="Calibri"/>
          <w:color w:val="000000"/>
          <w:sz w:val="27"/>
          <w:szCs w:val="27"/>
          <w:lang w:eastAsia="en-GB"/>
        </w:rPr>
        <w:t>Cynefin</w:t>
      </w:r>
      <w:proofErr w:type="spellEnd"/>
      <w:r w:rsidRPr="00593159">
        <w:rPr>
          <w:rFonts w:ascii="Calibri" w:eastAsia="Times New Roman" w:hAnsi="Calibri" w:cs="Calibri"/>
          <w:color w:val="000000"/>
          <w:sz w:val="27"/>
          <w:szCs w:val="27"/>
          <w:lang w:eastAsia="en-GB"/>
        </w:rPr>
        <w:t xml:space="preserve"> is described as a sense of identity and connection to community. </w:t>
      </w:r>
      <w:proofErr w:type="spellStart"/>
      <w:r w:rsidRPr="00593159">
        <w:rPr>
          <w:rFonts w:ascii="Calibri" w:eastAsia="Times New Roman" w:hAnsi="Calibri" w:cs="Calibri"/>
          <w:color w:val="000000"/>
          <w:sz w:val="27"/>
          <w:szCs w:val="27"/>
          <w:lang w:eastAsia="en-GB"/>
        </w:rPr>
        <w:t>Cynefin</w:t>
      </w:r>
      <w:proofErr w:type="spellEnd"/>
      <w:r w:rsidRPr="00593159">
        <w:rPr>
          <w:rFonts w:ascii="Calibri" w:eastAsia="Times New Roman" w:hAnsi="Calibri" w:cs="Calibri"/>
          <w:color w:val="000000"/>
          <w:sz w:val="27"/>
          <w:szCs w:val="27"/>
          <w:lang w:eastAsia="en-GB"/>
        </w:rPr>
        <w:t xml:space="preserve"> is taught to help children to feel valued and connected to their roots which can then help to their emotional well-being and strengthen their sense of belonging.</w:t>
      </w:r>
    </w:p>
    <w:p w14:paraId="50700318" w14:textId="77777777" w:rsidR="00593159" w:rsidRPr="00593159" w:rsidRDefault="00593159"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color w:val="000000"/>
          <w:sz w:val="27"/>
          <w:szCs w:val="27"/>
          <w:lang w:eastAsia="en-GB"/>
        </w:rPr>
        <w:pict w14:anchorId="63FF3046">
          <v:rect id="_x0000_i1027" style="width:468pt;height:1pt" o:hralign="center" o:hrstd="t" o:hr="t" fillcolor="#a0a0a0" stroked="f"/>
        </w:pict>
      </w:r>
    </w:p>
    <w:p w14:paraId="74339CD0"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3: Lifestyle Factors Affecting Children (300–350 words)</w:t>
      </w:r>
    </w:p>
    <w:p w14:paraId="7B13C362"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Cambridge Dictionary (2019) defines lifestyle as “someone’s way of living” lifestyle refers to behaviours and habits, that will influence a child’s health and well-being. The factors can </w:t>
      </w:r>
      <w:proofErr w:type="gramStart"/>
      <w:r w:rsidRPr="00593159">
        <w:rPr>
          <w:rFonts w:ascii="Calibri" w:eastAsia="Times New Roman" w:hAnsi="Calibri" w:cs="Calibri"/>
          <w:color w:val="000000"/>
          <w:sz w:val="27"/>
          <w:szCs w:val="27"/>
          <w:lang w:eastAsia="en-GB"/>
        </w:rPr>
        <w:t>effect</w:t>
      </w:r>
      <w:proofErr w:type="gramEnd"/>
      <w:r w:rsidRPr="00593159">
        <w:rPr>
          <w:rFonts w:ascii="Calibri" w:eastAsia="Times New Roman" w:hAnsi="Calibri" w:cs="Calibri"/>
          <w:color w:val="000000"/>
          <w:sz w:val="27"/>
          <w:szCs w:val="27"/>
          <w:lang w:eastAsia="en-GB"/>
        </w:rPr>
        <w:t xml:space="preserve"> a child’s physical, emotional and social development, these can have a long term impact on a child’s health. For children, lifestyle includes diet, physical </w:t>
      </w:r>
      <w:proofErr w:type="gramStart"/>
      <w:r w:rsidRPr="00593159">
        <w:rPr>
          <w:rFonts w:ascii="Calibri" w:eastAsia="Times New Roman" w:hAnsi="Calibri" w:cs="Calibri"/>
          <w:color w:val="000000"/>
          <w:sz w:val="27"/>
          <w:szCs w:val="27"/>
          <w:lang w:eastAsia="en-GB"/>
        </w:rPr>
        <w:t>activity</w:t>
      </w:r>
      <w:proofErr w:type="gramEnd"/>
      <w:r w:rsidRPr="00593159">
        <w:rPr>
          <w:rFonts w:ascii="Calibri" w:eastAsia="Times New Roman" w:hAnsi="Calibri" w:cs="Calibri"/>
          <w:color w:val="000000"/>
          <w:sz w:val="27"/>
          <w:szCs w:val="27"/>
          <w:lang w:eastAsia="en-GB"/>
        </w:rPr>
        <w:t xml:space="preserve"> and their sleep patterns. On the other hand children are limited to having a control over their lifestyle </w:t>
      </w:r>
      <w:proofErr w:type="gramStart"/>
      <w:r w:rsidRPr="00593159">
        <w:rPr>
          <w:rFonts w:ascii="Calibri" w:eastAsia="Times New Roman" w:hAnsi="Calibri" w:cs="Calibri"/>
          <w:color w:val="000000"/>
          <w:sz w:val="27"/>
          <w:szCs w:val="27"/>
          <w:lang w:eastAsia="en-GB"/>
        </w:rPr>
        <w:t>choices  as</w:t>
      </w:r>
      <w:proofErr w:type="gramEnd"/>
      <w:r w:rsidRPr="00593159">
        <w:rPr>
          <w:rFonts w:ascii="Calibri" w:eastAsia="Times New Roman" w:hAnsi="Calibri" w:cs="Calibri"/>
          <w:color w:val="000000"/>
          <w:sz w:val="27"/>
          <w:szCs w:val="27"/>
          <w:lang w:eastAsia="en-GB"/>
        </w:rPr>
        <w:t xml:space="preserve"> there are those possibilities of harm this is why they are </w:t>
      </w:r>
      <w:proofErr w:type="spellStart"/>
      <w:r w:rsidRPr="00593159">
        <w:rPr>
          <w:rFonts w:ascii="Calibri" w:eastAsia="Times New Roman" w:hAnsi="Calibri" w:cs="Calibri"/>
          <w:color w:val="000000"/>
          <w:sz w:val="27"/>
          <w:szCs w:val="27"/>
          <w:lang w:eastAsia="en-GB"/>
        </w:rPr>
        <w:t>dependant</w:t>
      </w:r>
      <w:proofErr w:type="spellEnd"/>
      <w:r w:rsidRPr="00593159">
        <w:rPr>
          <w:rFonts w:ascii="Calibri" w:eastAsia="Times New Roman" w:hAnsi="Calibri" w:cs="Calibri"/>
          <w:color w:val="000000"/>
          <w:sz w:val="27"/>
          <w:szCs w:val="27"/>
          <w:lang w:eastAsia="en-GB"/>
        </w:rPr>
        <w:t xml:space="preserve"> on the adult in their life.</w:t>
      </w:r>
    </w:p>
    <w:p w14:paraId="403B6F20"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There are many factors that influence a child’s lifestyle. </w:t>
      </w:r>
      <w:proofErr w:type="spellStart"/>
      <w:r w:rsidRPr="00593159">
        <w:rPr>
          <w:rFonts w:ascii="Calibri" w:eastAsia="Times New Roman" w:hAnsi="Calibri" w:cs="Calibri"/>
          <w:color w:val="000000"/>
          <w:sz w:val="27"/>
          <w:szCs w:val="27"/>
          <w:lang w:eastAsia="en-GB"/>
        </w:rPr>
        <w:t>Vispute</w:t>
      </w:r>
      <w:proofErr w:type="spellEnd"/>
      <w:r w:rsidRPr="00593159">
        <w:rPr>
          <w:rFonts w:ascii="Calibri" w:eastAsia="Times New Roman" w:hAnsi="Calibri" w:cs="Calibri"/>
          <w:color w:val="000000"/>
          <w:sz w:val="27"/>
          <w:szCs w:val="27"/>
          <w:lang w:eastAsia="en-GB"/>
        </w:rPr>
        <w:t xml:space="preserve"> et al (2023) state that families have a significant influence on a child’s lifestyle as carers are the ones to </w:t>
      </w:r>
      <w:proofErr w:type="gramStart"/>
      <w:r w:rsidRPr="00593159">
        <w:rPr>
          <w:rFonts w:ascii="Calibri" w:eastAsia="Times New Roman" w:hAnsi="Calibri" w:cs="Calibri"/>
          <w:color w:val="000000"/>
          <w:sz w:val="27"/>
          <w:szCs w:val="27"/>
          <w:lang w:eastAsia="en-GB"/>
        </w:rPr>
        <w:t>make a decision</w:t>
      </w:r>
      <w:proofErr w:type="gramEnd"/>
      <w:r w:rsidRPr="00593159">
        <w:rPr>
          <w:rFonts w:ascii="Calibri" w:eastAsia="Times New Roman" w:hAnsi="Calibri" w:cs="Calibri"/>
          <w:color w:val="000000"/>
          <w:sz w:val="27"/>
          <w:szCs w:val="27"/>
          <w:lang w:eastAsia="en-GB"/>
        </w:rPr>
        <w:t xml:space="preserve"> about meals, bedtimes and the opportunities for physical activity. A child growing up in a positive family can have an impact on their future as they become grow resilience and empathy, they can have developed a better mental health. Schools and nurseries have an important role in promoting children’s healthy lifestyle as children have daily routines, Tur, J.A and Gonzalez-Gross, M (2025) believe that they provide structure and consistency for nutritious food choices as these places follow a healthy meal plans by governments.</w:t>
      </w:r>
    </w:p>
    <w:p w14:paraId="43230773"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As well as schools and </w:t>
      </w:r>
      <w:proofErr w:type="gramStart"/>
      <w:r w:rsidRPr="00593159">
        <w:rPr>
          <w:rFonts w:ascii="Calibri" w:eastAsia="Times New Roman" w:hAnsi="Calibri" w:cs="Calibri"/>
          <w:color w:val="000000"/>
          <w:sz w:val="27"/>
          <w:szCs w:val="27"/>
          <w:lang w:eastAsia="en-GB"/>
        </w:rPr>
        <w:t>families</w:t>
      </w:r>
      <w:proofErr w:type="gramEnd"/>
      <w:r w:rsidRPr="00593159">
        <w:rPr>
          <w:rFonts w:ascii="Calibri" w:eastAsia="Times New Roman" w:hAnsi="Calibri" w:cs="Calibri"/>
          <w:color w:val="000000"/>
          <w:sz w:val="27"/>
          <w:szCs w:val="27"/>
          <w:lang w:eastAsia="en-GB"/>
        </w:rPr>
        <w:t xml:space="preserve"> children are also influenced by cultural traditions, these can affect a child’s lifestyle from their daily habits to their core values. Poverty can affect a child’s lifestyle, as families who may be experiencing poverty may lack food security and may be limited to healthy foods as well as outdoor areas such as spaces to play and exercise, lack of resources.</w:t>
      </w:r>
    </w:p>
    <w:p w14:paraId="31E1A50A" w14:textId="77777777" w:rsidR="00593159" w:rsidRPr="00593159" w:rsidRDefault="00593159"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color w:val="000000"/>
          <w:sz w:val="27"/>
          <w:szCs w:val="27"/>
          <w:lang w:eastAsia="en-GB"/>
        </w:rPr>
        <w:pict w14:anchorId="4FEBD55B">
          <v:rect id="_x0000_i1028" style="width:468pt;height:1pt" o:hralign="center" o:hrstd="t" o:hr="t" fillcolor="#a0a0a0" stroked="f"/>
        </w:pict>
      </w:r>
    </w:p>
    <w:p w14:paraId="38853771"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4: Factors Influencing Health and Well-being (250–300 words)</w:t>
      </w:r>
    </w:p>
    <w:p w14:paraId="69ACB67A"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Conclude that health and well-being are influenced by multiple interconnected factors rather than individual choices alone.</w:t>
      </w:r>
    </w:p>
    <w:p w14:paraId="21E14AA7"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lastRenderedPageBreak/>
        <w:t>A socio-ecological approach sees that children’s health and well-being are shaped by lots of influences as social, environmental, economic and their education. Rupert (2017) states that these factors can either help or hinder a child’s healthy development REFERENCE.</w:t>
      </w:r>
    </w:p>
    <w:p w14:paraId="5AF9A476"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Some factors relate to the characteristics of a child, as each child is different, genetics can influence a child’s physical health and their developmental outcomes. When a child develops there are some stages that can be </w:t>
      </w:r>
      <w:proofErr w:type="gramStart"/>
      <w:r w:rsidRPr="00593159">
        <w:rPr>
          <w:rFonts w:ascii="Calibri" w:eastAsia="Times New Roman" w:hAnsi="Calibri" w:cs="Calibri"/>
          <w:color w:val="000000"/>
          <w:sz w:val="27"/>
          <w:szCs w:val="27"/>
          <w:lang w:eastAsia="en-GB"/>
        </w:rPr>
        <w:t>effected</w:t>
      </w:r>
      <w:proofErr w:type="gramEnd"/>
      <w:r w:rsidRPr="00593159">
        <w:rPr>
          <w:rFonts w:ascii="Calibri" w:eastAsia="Times New Roman" w:hAnsi="Calibri" w:cs="Calibri"/>
          <w:color w:val="000000"/>
          <w:sz w:val="27"/>
          <w:szCs w:val="27"/>
          <w:lang w:eastAsia="en-GB"/>
        </w:rPr>
        <w:t xml:space="preserve"> such as health needs and behaviours. Negatives are that children with disabilities may be impacted by the participation in activities and may require additional support. </w:t>
      </w:r>
      <w:proofErr w:type="spellStart"/>
      <w:r w:rsidRPr="00593159">
        <w:rPr>
          <w:rFonts w:ascii="Calibri" w:eastAsia="Times New Roman" w:hAnsi="Calibri" w:cs="Calibri"/>
          <w:color w:val="000000"/>
          <w:sz w:val="27"/>
          <w:szCs w:val="27"/>
          <w:lang w:eastAsia="en-GB"/>
        </w:rPr>
        <w:t>ApA</w:t>
      </w:r>
      <w:proofErr w:type="spellEnd"/>
      <w:r w:rsidRPr="00593159">
        <w:rPr>
          <w:rFonts w:ascii="Calibri" w:eastAsia="Times New Roman" w:hAnsi="Calibri" w:cs="Calibri"/>
          <w:color w:val="000000"/>
          <w:sz w:val="27"/>
          <w:szCs w:val="27"/>
          <w:lang w:eastAsia="en-GB"/>
        </w:rPr>
        <w:t xml:space="preserve"> (2025) believe that a child’s social relationship is vital in development as a child with a positive family relationship with security and guidance and support, this also links in with where the child may live as having a safe house supports the physical well-being this is done by being in the real world and interacting with people. Interaction can happen anywhere and having access to outdoor </w:t>
      </w:r>
      <w:proofErr w:type="gramStart"/>
      <w:r w:rsidRPr="00593159">
        <w:rPr>
          <w:rFonts w:ascii="Calibri" w:eastAsia="Times New Roman" w:hAnsi="Calibri" w:cs="Calibri"/>
          <w:color w:val="000000"/>
          <w:sz w:val="27"/>
          <w:szCs w:val="27"/>
          <w:lang w:eastAsia="en-GB"/>
        </w:rPr>
        <w:t>areas, and</w:t>
      </w:r>
      <w:proofErr w:type="gramEnd"/>
      <w:r w:rsidRPr="00593159">
        <w:rPr>
          <w:rFonts w:ascii="Calibri" w:eastAsia="Times New Roman" w:hAnsi="Calibri" w:cs="Calibri"/>
          <w:color w:val="000000"/>
          <w:sz w:val="27"/>
          <w:szCs w:val="27"/>
          <w:lang w:eastAsia="en-GB"/>
        </w:rPr>
        <w:t xml:space="preserve"> having a safe neighbourhood where they can go out and play and socialise benefits their social skills.</w:t>
      </w:r>
    </w:p>
    <w:p w14:paraId="36271AC2"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Whereas those children who live in poverty can struggle in these circumstances as they may not have access to nutritious foods or extra curricula activities, where if they attend </w:t>
      </w:r>
      <w:proofErr w:type="gramStart"/>
      <w:r w:rsidRPr="00593159">
        <w:rPr>
          <w:rFonts w:ascii="Calibri" w:eastAsia="Times New Roman" w:hAnsi="Calibri" w:cs="Calibri"/>
          <w:color w:val="000000"/>
          <w:sz w:val="27"/>
          <w:szCs w:val="27"/>
          <w:lang w:eastAsia="en-GB"/>
        </w:rPr>
        <w:t>school</w:t>
      </w:r>
      <w:proofErr w:type="gramEnd"/>
      <w:r w:rsidRPr="00593159">
        <w:rPr>
          <w:rFonts w:ascii="Calibri" w:eastAsia="Times New Roman" w:hAnsi="Calibri" w:cs="Calibri"/>
          <w:color w:val="000000"/>
          <w:sz w:val="27"/>
          <w:szCs w:val="27"/>
          <w:lang w:eastAsia="en-GB"/>
        </w:rPr>
        <w:t xml:space="preserve"> this will help with their social side of meeting children. </w:t>
      </w:r>
      <w:proofErr w:type="spellStart"/>
      <w:r w:rsidRPr="00593159">
        <w:rPr>
          <w:rFonts w:ascii="Calibri" w:eastAsia="Times New Roman" w:hAnsi="Calibri" w:cs="Calibri"/>
          <w:color w:val="000000"/>
          <w:sz w:val="27"/>
          <w:szCs w:val="27"/>
          <w:lang w:eastAsia="en-GB"/>
        </w:rPr>
        <w:t>Buttriss</w:t>
      </w:r>
      <w:proofErr w:type="spellEnd"/>
      <w:r w:rsidRPr="00593159">
        <w:rPr>
          <w:rFonts w:ascii="Calibri" w:eastAsia="Times New Roman" w:hAnsi="Calibri" w:cs="Calibri"/>
          <w:color w:val="000000"/>
          <w:sz w:val="27"/>
          <w:szCs w:val="27"/>
          <w:lang w:eastAsia="en-GB"/>
        </w:rPr>
        <w:t xml:space="preserve"> (2016) also says that children attending school have guidance to healthier lifestyle, this is because schools follow the Eat well guide. EAT WELL </w:t>
      </w:r>
    </w:p>
    <w:p w14:paraId="153A60CB" w14:textId="77777777" w:rsidR="00593159" w:rsidRPr="00593159" w:rsidRDefault="00593159"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color w:val="000000"/>
          <w:sz w:val="27"/>
          <w:szCs w:val="27"/>
          <w:lang w:eastAsia="en-GB"/>
        </w:rPr>
        <w:pict w14:anchorId="2564DB6D">
          <v:rect id="_x0000_i1029" style="width:468pt;height:1pt" o:hralign="center" o:hrstd="t" o:hr="t" fillcolor="#a0a0a0" stroked="f"/>
        </w:pict>
      </w:r>
    </w:p>
    <w:p w14:paraId="7B9FF6D4"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5: Childhood Obesity, Diet and Nutrition (350–400 words)</w:t>
      </w:r>
    </w:p>
    <w:p w14:paraId="42CD0DDD"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Childhood obesity is significant concern that effects health, </w:t>
      </w:r>
      <w:proofErr w:type="gramStart"/>
      <w:r w:rsidRPr="00593159">
        <w:rPr>
          <w:rFonts w:ascii="Calibri" w:eastAsia="Times New Roman" w:hAnsi="Calibri" w:cs="Calibri"/>
          <w:color w:val="000000"/>
          <w:sz w:val="27"/>
          <w:szCs w:val="27"/>
          <w:lang w:eastAsia="en-GB"/>
        </w:rPr>
        <w:t>development</w:t>
      </w:r>
      <w:proofErr w:type="gramEnd"/>
      <w:r w:rsidRPr="00593159">
        <w:rPr>
          <w:rFonts w:ascii="Calibri" w:eastAsia="Times New Roman" w:hAnsi="Calibri" w:cs="Calibri"/>
          <w:color w:val="000000"/>
          <w:sz w:val="27"/>
          <w:szCs w:val="27"/>
          <w:lang w:eastAsia="en-GB"/>
        </w:rPr>
        <w:t xml:space="preserve"> and the well-being </w:t>
      </w:r>
      <w:proofErr w:type="spellStart"/>
      <w:r w:rsidRPr="00593159">
        <w:rPr>
          <w:rFonts w:ascii="Calibri" w:eastAsia="Times New Roman" w:hAnsi="Calibri" w:cs="Calibri"/>
          <w:color w:val="000000"/>
          <w:sz w:val="27"/>
          <w:szCs w:val="27"/>
          <w:lang w:eastAsia="en-GB"/>
        </w:rPr>
        <w:t>on</w:t>
      </w:r>
      <w:proofErr w:type="spellEnd"/>
      <w:r w:rsidRPr="00593159">
        <w:rPr>
          <w:rFonts w:ascii="Calibri" w:eastAsia="Times New Roman" w:hAnsi="Calibri" w:cs="Calibri"/>
          <w:color w:val="000000"/>
          <w:sz w:val="27"/>
          <w:szCs w:val="27"/>
          <w:lang w:eastAsia="en-GB"/>
        </w:rPr>
        <w:t xml:space="preserve"> children this is because excess weight impacts a child’s developing organs, it can also affect a child’s mental health. Children who have an excessive amount of body fat will be impacted on their physical and social development. Body weight doesn’t always determine a child’s </w:t>
      </w:r>
      <w:proofErr w:type="gramStart"/>
      <w:r w:rsidRPr="00593159">
        <w:rPr>
          <w:rFonts w:ascii="Calibri" w:eastAsia="Times New Roman" w:hAnsi="Calibri" w:cs="Calibri"/>
          <w:color w:val="000000"/>
          <w:sz w:val="27"/>
          <w:szCs w:val="27"/>
          <w:lang w:eastAsia="en-GB"/>
        </w:rPr>
        <w:t>health</w:t>
      </w:r>
      <w:proofErr w:type="gramEnd"/>
      <w:r w:rsidRPr="00593159">
        <w:rPr>
          <w:rFonts w:ascii="Calibri" w:eastAsia="Times New Roman" w:hAnsi="Calibri" w:cs="Calibri"/>
          <w:color w:val="000000"/>
          <w:sz w:val="27"/>
          <w:szCs w:val="27"/>
          <w:lang w:eastAsia="en-GB"/>
        </w:rPr>
        <w:t xml:space="preserve"> but NHS England (2024) state obesity can increase the likelihood of developing health problems later on in life as well as childhood. </w:t>
      </w:r>
    </w:p>
    <w:p w14:paraId="4F99B206"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Obesity in childhood can be caused by many different factors. One factor could be poor nutrition eating diets which consist of highly processed foods and saturated fats as well as sugary snacks, excess sugar like sugary drinks and sweets can cause weight gain from unnecessary calories. As well as diet, having a sedentary lifestyle can be another factor children aren’t increasing their metabolism there for are not burning as many calories as they should. Worth (2025) conducted </w:t>
      </w:r>
      <w:proofErr w:type="gramStart"/>
      <w:r w:rsidRPr="00593159">
        <w:rPr>
          <w:rFonts w:ascii="Calibri" w:eastAsia="Times New Roman" w:hAnsi="Calibri" w:cs="Calibri"/>
          <w:color w:val="000000"/>
          <w:sz w:val="27"/>
          <w:szCs w:val="27"/>
          <w:lang w:eastAsia="en-GB"/>
        </w:rPr>
        <w:t>a research</w:t>
      </w:r>
      <w:proofErr w:type="gramEnd"/>
      <w:r w:rsidRPr="00593159">
        <w:rPr>
          <w:rFonts w:ascii="Calibri" w:eastAsia="Times New Roman" w:hAnsi="Calibri" w:cs="Calibri"/>
          <w:color w:val="000000"/>
          <w:sz w:val="27"/>
          <w:szCs w:val="27"/>
          <w:lang w:eastAsia="en-GB"/>
        </w:rPr>
        <w:t xml:space="preserve"> on screen time and those children who watched more tv and were on screens compared to their friends were overweight and that it carried on into their adulthood of having a higher BMI.</w:t>
      </w:r>
    </w:p>
    <w:p w14:paraId="564F68BE"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O’Connor, M (2025) state that more than a quarter reception aged children in Wales are overweight, this can cause many health issues such as the chances of developing type 2 diabetes as well as high blood pressure and cardiovascular </w:t>
      </w:r>
      <w:r w:rsidRPr="00593159">
        <w:rPr>
          <w:rFonts w:ascii="Calibri" w:eastAsia="Times New Roman" w:hAnsi="Calibri" w:cs="Calibri"/>
          <w:color w:val="000000"/>
          <w:sz w:val="27"/>
          <w:szCs w:val="27"/>
          <w:lang w:eastAsia="en-GB"/>
        </w:rPr>
        <w:lastRenderedPageBreak/>
        <w:t>problems. Not only are internal risks scary and dangerous but children may have a lowers self-esteem and a poorer body image that could lead to mental health problems.</w:t>
      </w:r>
    </w:p>
    <w:p w14:paraId="3F7235B0"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Children can be supported as well as their family by early year practioners as they can promote a balanced lifestyle by role modelling and encouraging healthy habits such as regular exercise and modelling the right food. It is important that </w:t>
      </w:r>
      <w:proofErr w:type="spellStart"/>
      <w:proofErr w:type="gramStart"/>
      <w:r w:rsidRPr="00593159">
        <w:rPr>
          <w:rFonts w:ascii="Calibri" w:eastAsia="Times New Roman" w:hAnsi="Calibri" w:cs="Calibri"/>
          <w:color w:val="000000"/>
          <w:sz w:val="27"/>
          <w:szCs w:val="27"/>
          <w:lang w:eastAsia="en-GB"/>
        </w:rPr>
        <w:t>family’s</w:t>
      </w:r>
      <w:proofErr w:type="spellEnd"/>
      <w:proofErr w:type="gramEnd"/>
      <w:r w:rsidRPr="00593159">
        <w:rPr>
          <w:rFonts w:ascii="Calibri" w:eastAsia="Times New Roman" w:hAnsi="Calibri" w:cs="Calibri"/>
          <w:color w:val="000000"/>
          <w:sz w:val="27"/>
          <w:szCs w:val="27"/>
          <w:lang w:eastAsia="en-GB"/>
        </w:rPr>
        <w:t xml:space="preserve"> can receive help schools as they can be referred to multi-agency support that can then provide extra assistance for children.</w:t>
      </w:r>
    </w:p>
    <w:p w14:paraId="1B8273A9" w14:textId="77777777" w:rsidR="00593159" w:rsidRPr="00593159" w:rsidRDefault="001F488F"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noProof/>
          <w:color w:val="000000"/>
          <w:sz w:val="27"/>
          <w:szCs w:val="27"/>
          <w:lang w:eastAsia="en-GB"/>
        </w:rPr>
        <w:pict w14:anchorId="2942B67F">
          <v:rect id="_x0000_i1032" alt="" style="width:451.3pt;height:.05pt;mso-width-percent:0;mso-height-percent:0;mso-width-percent:0;mso-height-percent:0" o:hralign="center" o:hrstd="t" o:hr="t" fillcolor="#a0a0a0" stroked="f"/>
        </w:pict>
      </w:r>
    </w:p>
    <w:p w14:paraId="769BE23F"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6: Relevant Guidelines, Legislation and Curriculum Links (250–300 words)</w:t>
      </w:r>
    </w:p>
    <w:p w14:paraId="55439282"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Children’s health and well-being is supported by legislations and government guidance as well as curriculum frameworks, these policies provide a foundation for early years practioners to create the best environment to encourage healthy development. The Welsh Government (2024) </w:t>
      </w:r>
      <w:proofErr w:type="spellStart"/>
      <w:r w:rsidRPr="00593159">
        <w:rPr>
          <w:rFonts w:ascii="Calibri" w:eastAsia="Times New Roman" w:hAnsi="Calibri" w:cs="Calibri"/>
          <w:color w:val="000000"/>
          <w:sz w:val="27"/>
          <w:szCs w:val="27"/>
          <w:lang w:eastAsia="en-GB"/>
        </w:rPr>
        <w:t>Well being</w:t>
      </w:r>
      <w:proofErr w:type="spellEnd"/>
      <w:r w:rsidRPr="00593159">
        <w:rPr>
          <w:rFonts w:ascii="Calibri" w:eastAsia="Times New Roman" w:hAnsi="Calibri" w:cs="Calibri"/>
          <w:color w:val="000000"/>
          <w:sz w:val="27"/>
          <w:szCs w:val="27"/>
          <w:lang w:eastAsia="en-GB"/>
        </w:rPr>
        <w:t xml:space="preserve"> of future generations act (2015) is to help improve social, </w:t>
      </w:r>
      <w:proofErr w:type="gramStart"/>
      <w:r w:rsidRPr="00593159">
        <w:rPr>
          <w:rFonts w:ascii="Calibri" w:eastAsia="Times New Roman" w:hAnsi="Calibri" w:cs="Calibri"/>
          <w:color w:val="000000"/>
          <w:sz w:val="27"/>
          <w:szCs w:val="27"/>
          <w:lang w:eastAsia="en-GB"/>
        </w:rPr>
        <w:t>economic</w:t>
      </w:r>
      <w:proofErr w:type="gramEnd"/>
      <w:r w:rsidRPr="00593159">
        <w:rPr>
          <w:rFonts w:ascii="Calibri" w:eastAsia="Times New Roman" w:hAnsi="Calibri" w:cs="Calibri"/>
          <w:color w:val="000000"/>
          <w:sz w:val="27"/>
          <w:szCs w:val="27"/>
          <w:lang w:eastAsia="en-GB"/>
        </w:rPr>
        <w:t xml:space="preserve"> and environmental issues in Wales.</w:t>
      </w:r>
    </w:p>
    <w:p w14:paraId="1C585660"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The Department for Education (2024) sets out mandatory standards for learning in early years foundation stage and the framework outlines the standers for learning and the development and care for children in </w:t>
      </w:r>
      <w:proofErr w:type="spellStart"/>
      <w:proofErr w:type="gramStart"/>
      <w:r w:rsidRPr="00593159">
        <w:rPr>
          <w:rFonts w:ascii="Calibri" w:eastAsia="Times New Roman" w:hAnsi="Calibri" w:cs="Calibri"/>
          <w:color w:val="000000"/>
          <w:sz w:val="27"/>
          <w:szCs w:val="27"/>
          <w:lang w:eastAsia="en-GB"/>
        </w:rPr>
        <w:t>a</w:t>
      </w:r>
      <w:proofErr w:type="spellEnd"/>
      <w:proofErr w:type="gramEnd"/>
      <w:r w:rsidRPr="00593159">
        <w:rPr>
          <w:rFonts w:ascii="Calibri" w:eastAsia="Times New Roman" w:hAnsi="Calibri" w:cs="Calibri"/>
          <w:color w:val="000000"/>
          <w:sz w:val="27"/>
          <w:szCs w:val="27"/>
          <w:lang w:eastAsia="en-GB"/>
        </w:rPr>
        <w:t xml:space="preserve"> early years setting. These frameworks </w:t>
      </w:r>
      <w:proofErr w:type="gramStart"/>
      <w:r w:rsidRPr="00593159">
        <w:rPr>
          <w:rFonts w:ascii="Calibri" w:eastAsia="Times New Roman" w:hAnsi="Calibri" w:cs="Calibri"/>
          <w:color w:val="000000"/>
          <w:sz w:val="27"/>
          <w:szCs w:val="27"/>
          <w:lang w:eastAsia="en-GB"/>
        </w:rPr>
        <w:t>emphasises</w:t>
      </w:r>
      <w:proofErr w:type="gramEnd"/>
      <w:r w:rsidRPr="00593159">
        <w:rPr>
          <w:rFonts w:ascii="Calibri" w:eastAsia="Times New Roman" w:hAnsi="Calibri" w:cs="Calibri"/>
          <w:color w:val="000000"/>
          <w:sz w:val="27"/>
          <w:szCs w:val="27"/>
          <w:lang w:eastAsia="en-GB"/>
        </w:rPr>
        <w:t xml:space="preserve"> the importance of supporting children’s physical development, emotional well-being and healthy lifestyles.</w:t>
      </w:r>
    </w:p>
    <w:p w14:paraId="03F66FDA"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Buckley (2026) state that Public Health Wales provides guidance and resources to promote healthy eating and physical activity for children and families. Public Health Wales (2024) states that these frameworks are to encourage balanced diets and regular exercise to encourage a healthy weight management and for the development of healthy habits. This guidance is also supported in early years settings by following programmes created by the government. </w:t>
      </w:r>
    </w:p>
    <w:p w14:paraId="202DC2E8"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Welsh Government (2025) state that health and well-being are embedded in early years curriculum as they follow the “ECPLC” which is the early childhood play, learning </w:t>
      </w:r>
      <w:proofErr w:type="gramStart"/>
      <w:r w:rsidRPr="00593159">
        <w:rPr>
          <w:rFonts w:ascii="Calibri" w:eastAsia="Times New Roman" w:hAnsi="Calibri" w:cs="Calibri"/>
          <w:color w:val="000000"/>
          <w:sz w:val="27"/>
          <w:szCs w:val="27"/>
          <w:lang w:eastAsia="en-GB"/>
        </w:rPr>
        <w:t>care  children</w:t>
      </w:r>
      <w:proofErr w:type="gramEnd"/>
      <w:r w:rsidRPr="00593159">
        <w:rPr>
          <w:rFonts w:ascii="Calibri" w:eastAsia="Times New Roman" w:hAnsi="Calibri" w:cs="Calibri"/>
          <w:color w:val="000000"/>
          <w:sz w:val="27"/>
          <w:szCs w:val="27"/>
          <w:lang w:eastAsia="en-GB"/>
        </w:rPr>
        <w:t xml:space="preserve">  develop healthy habits through having this access and have access to Physical activity lessons going outdoors to play learning how to cook with practioners learning about </w:t>
      </w:r>
      <w:proofErr w:type="spellStart"/>
      <w:r w:rsidRPr="00593159">
        <w:rPr>
          <w:rFonts w:ascii="Calibri" w:eastAsia="Times New Roman" w:hAnsi="Calibri" w:cs="Calibri"/>
          <w:color w:val="000000"/>
          <w:sz w:val="27"/>
          <w:szCs w:val="27"/>
          <w:lang w:eastAsia="en-GB"/>
        </w:rPr>
        <w:t>self care</w:t>
      </w:r>
      <w:proofErr w:type="spellEnd"/>
      <w:r w:rsidRPr="00593159">
        <w:rPr>
          <w:rFonts w:ascii="Calibri" w:eastAsia="Times New Roman" w:hAnsi="Calibri" w:cs="Calibri"/>
          <w:color w:val="000000"/>
          <w:sz w:val="27"/>
          <w:szCs w:val="27"/>
          <w:lang w:eastAsia="en-GB"/>
        </w:rPr>
        <w:t>. School doesn’t just teach children about healthy habits but encourages them to create relationships with other children and learn through experiences.</w:t>
      </w:r>
    </w:p>
    <w:p w14:paraId="169B076A"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w:t>
      </w:r>
    </w:p>
    <w:p w14:paraId="54782BC6" w14:textId="77777777" w:rsidR="00593159" w:rsidRPr="00593159" w:rsidRDefault="001F488F"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noProof/>
          <w:color w:val="000000"/>
          <w:sz w:val="27"/>
          <w:szCs w:val="27"/>
          <w:lang w:eastAsia="en-GB"/>
        </w:rPr>
        <w:pict w14:anchorId="7F5FEE10">
          <v:rect id="_x0000_i1031" alt="" style="width:451.3pt;height:.05pt;mso-width-percent:0;mso-height-percent:0;mso-width-percent:0;mso-height-percent:0" o:hralign="center" o:hrstd="t" o:hr="t" fillcolor="#a0a0a0" stroked="f"/>
        </w:pict>
      </w:r>
    </w:p>
    <w:p w14:paraId="21342299"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Section 7: Role of Early Years Practitioners (300–350 words)</w:t>
      </w:r>
    </w:p>
    <w:p w14:paraId="68200EFD"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Early years practioners play a vital role in helping children’s health through planning and supporting to create positive experiences to contribute to children’s emotional and physical development. Practioners build nurturing relationship with each child that they look after the make sure that each child is safe and feel valued. As they are the ones who understand the child the best they can </w:t>
      </w:r>
      <w:r w:rsidRPr="00593159">
        <w:rPr>
          <w:rFonts w:ascii="Calibri" w:eastAsia="Times New Roman" w:hAnsi="Calibri" w:cs="Calibri"/>
          <w:color w:val="000000"/>
          <w:sz w:val="27"/>
          <w:szCs w:val="27"/>
          <w:lang w:eastAsia="en-GB"/>
        </w:rPr>
        <w:lastRenderedPageBreak/>
        <w:t xml:space="preserve">recognise and understand the way the child </w:t>
      </w:r>
      <w:proofErr w:type="gramStart"/>
      <w:r w:rsidRPr="00593159">
        <w:rPr>
          <w:rFonts w:ascii="Calibri" w:eastAsia="Times New Roman" w:hAnsi="Calibri" w:cs="Calibri"/>
          <w:color w:val="000000"/>
          <w:sz w:val="27"/>
          <w:szCs w:val="27"/>
          <w:lang w:eastAsia="en-GB"/>
        </w:rPr>
        <w:t>express</w:t>
      </w:r>
      <w:proofErr w:type="gramEnd"/>
      <w:r w:rsidRPr="00593159">
        <w:rPr>
          <w:rFonts w:ascii="Calibri" w:eastAsia="Times New Roman" w:hAnsi="Calibri" w:cs="Calibri"/>
          <w:color w:val="000000"/>
          <w:sz w:val="27"/>
          <w:szCs w:val="27"/>
          <w:lang w:eastAsia="en-GB"/>
        </w:rPr>
        <w:t xml:space="preserve"> their feelings. It is important that there is a relationship with the children’s families so that practioners can share progress about the child. As well as practioners sharing information it is vital for families to share information about children this could be how they have slept how they </w:t>
      </w:r>
      <w:proofErr w:type="gramStart"/>
      <w:r w:rsidRPr="00593159">
        <w:rPr>
          <w:rFonts w:ascii="Calibri" w:eastAsia="Times New Roman" w:hAnsi="Calibri" w:cs="Calibri"/>
          <w:color w:val="000000"/>
          <w:sz w:val="27"/>
          <w:szCs w:val="27"/>
          <w:lang w:eastAsia="en-GB"/>
        </w:rPr>
        <w:t>ate  as</w:t>
      </w:r>
      <w:proofErr w:type="gramEnd"/>
      <w:r w:rsidRPr="00593159">
        <w:rPr>
          <w:rFonts w:ascii="Calibri" w:eastAsia="Times New Roman" w:hAnsi="Calibri" w:cs="Calibri"/>
          <w:color w:val="000000"/>
          <w:sz w:val="27"/>
          <w:szCs w:val="27"/>
          <w:lang w:eastAsia="en-GB"/>
        </w:rPr>
        <w:t xml:space="preserve"> this can effect a child’s day to day ability to concentrate. Practioners should make sure that they can adapt any task quickly and into different environments.</w:t>
      </w:r>
    </w:p>
    <w:p w14:paraId="30EBDDB9" w14:textId="77777777" w:rsidR="00593159" w:rsidRPr="00593159" w:rsidRDefault="001F488F" w:rsidP="00593159">
      <w:pPr>
        <w:jc w:val="center"/>
        <w:rPr>
          <w:rFonts w:ascii="Calibri" w:eastAsia="Times New Roman" w:hAnsi="Calibri" w:cs="Calibri"/>
          <w:color w:val="000000"/>
          <w:sz w:val="27"/>
          <w:szCs w:val="27"/>
          <w:lang w:eastAsia="en-GB"/>
        </w:rPr>
      </w:pPr>
      <w:r w:rsidRPr="00593159">
        <w:rPr>
          <w:rFonts w:ascii="Calibri" w:eastAsia="Times New Roman" w:hAnsi="Calibri" w:cs="Calibri"/>
          <w:noProof/>
          <w:color w:val="000000"/>
          <w:sz w:val="27"/>
          <w:szCs w:val="27"/>
          <w:lang w:eastAsia="en-GB"/>
        </w:rPr>
        <w:pict w14:anchorId="1E3CEA67">
          <v:rect id="_x0000_i1030" alt="" style="width:451.3pt;height:.05pt;mso-width-percent:0;mso-height-percent:0;mso-width-percent:0;mso-height-percent:0" o:hralign="center" o:hrstd="t" o:hr="t" fillcolor="#a0a0a0" stroked="f"/>
        </w:pict>
      </w:r>
    </w:p>
    <w:p w14:paraId="63A5C591"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b/>
          <w:bCs/>
          <w:color w:val="000000"/>
          <w:sz w:val="27"/>
          <w:szCs w:val="27"/>
          <w:lang w:eastAsia="en-GB"/>
        </w:rPr>
        <w:t>Conclusion (150–200 words)</w:t>
      </w:r>
    </w:p>
    <w:p w14:paraId="699930D4"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In conclusion health, well-being and lifestyle are interconnected concepts that influence a child’s development and their future outcomes. Good health is not just important during a </w:t>
      </w:r>
      <w:proofErr w:type="spellStart"/>
      <w:r w:rsidRPr="00593159">
        <w:rPr>
          <w:rFonts w:ascii="Calibri" w:eastAsia="Times New Roman" w:hAnsi="Calibri" w:cs="Calibri"/>
          <w:color w:val="000000"/>
          <w:sz w:val="27"/>
          <w:szCs w:val="27"/>
          <w:lang w:eastAsia="en-GB"/>
        </w:rPr>
        <w:t>childs</w:t>
      </w:r>
      <w:proofErr w:type="spellEnd"/>
      <w:r w:rsidRPr="00593159">
        <w:rPr>
          <w:rFonts w:ascii="Calibri" w:eastAsia="Times New Roman" w:hAnsi="Calibri" w:cs="Calibri"/>
          <w:color w:val="000000"/>
          <w:sz w:val="27"/>
          <w:szCs w:val="27"/>
          <w:lang w:eastAsia="en-GB"/>
        </w:rPr>
        <w:t xml:space="preserve"> development but </w:t>
      </w:r>
      <w:proofErr w:type="spellStart"/>
      <w:r w:rsidRPr="00593159">
        <w:rPr>
          <w:rFonts w:ascii="Calibri" w:eastAsia="Times New Roman" w:hAnsi="Calibri" w:cs="Calibri"/>
          <w:color w:val="000000"/>
          <w:sz w:val="27"/>
          <w:szCs w:val="27"/>
          <w:lang w:eastAsia="en-GB"/>
        </w:rPr>
        <w:t>throught</w:t>
      </w:r>
      <w:proofErr w:type="spellEnd"/>
      <w:r w:rsidRPr="00593159">
        <w:rPr>
          <w:rFonts w:ascii="Calibri" w:eastAsia="Times New Roman" w:hAnsi="Calibri" w:cs="Calibri"/>
          <w:color w:val="000000"/>
          <w:sz w:val="27"/>
          <w:szCs w:val="27"/>
          <w:lang w:eastAsia="en-GB"/>
        </w:rPr>
        <w:t xml:space="preserve"> their life this can shape a child’s whole life. Children’s experiences are influenced by a range of things such as community, </w:t>
      </w:r>
      <w:proofErr w:type="gramStart"/>
      <w:r w:rsidRPr="00593159">
        <w:rPr>
          <w:rFonts w:ascii="Calibri" w:eastAsia="Times New Roman" w:hAnsi="Calibri" w:cs="Calibri"/>
          <w:color w:val="000000"/>
          <w:sz w:val="27"/>
          <w:szCs w:val="27"/>
          <w:lang w:eastAsia="en-GB"/>
        </w:rPr>
        <w:t>families</w:t>
      </w:r>
      <w:proofErr w:type="gramEnd"/>
      <w:r w:rsidRPr="00593159">
        <w:rPr>
          <w:rFonts w:ascii="Calibri" w:eastAsia="Times New Roman" w:hAnsi="Calibri" w:cs="Calibri"/>
          <w:color w:val="000000"/>
          <w:sz w:val="27"/>
          <w:szCs w:val="27"/>
          <w:lang w:eastAsia="en-GB"/>
        </w:rPr>
        <w:t xml:space="preserve"> and economy.</w:t>
      </w:r>
    </w:p>
    <w:p w14:paraId="34F31719" w14:textId="77777777" w:rsidR="00593159" w:rsidRPr="00593159" w:rsidRDefault="00593159" w:rsidP="00593159">
      <w:pPr>
        <w:rPr>
          <w:rFonts w:ascii="Times New Roman" w:eastAsia="Times New Roman" w:hAnsi="Times New Roman" w:cs="Times New Roman"/>
          <w:color w:val="000000"/>
          <w:sz w:val="27"/>
          <w:szCs w:val="27"/>
          <w:lang w:eastAsia="en-GB"/>
        </w:rPr>
      </w:pPr>
      <w:r w:rsidRPr="00593159">
        <w:rPr>
          <w:rFonts w:ascii="Calibri" w:eastAsia="Times New Roman" w:hAnsi="Calibri" w:cs="Calibri"/>
          <w:color w:val="000000"/>
          <w:sz w:val="27"/>
          <w:szCs w:val="27"/>
          <w:lang w:eastAsia="en-GB"/>
        </w:rPr>
        <w:t xml:space="preserve">Childhood obesity is a big thing REFERNCE that needs to be looked at as the importance of a balanced diet and regular activity can </w:t>
      </w:r>
      <w:proofErr w:type="gramStart"/>
      <w:r w:rsidRPr="00593159">
        <w:rPr>
          <w:rFonts w:ascii="Calibri" w:eastAsia="Times New Roman" w:hAnsi="Calibri" w:cs="Calibri"/>
          <w:color w:val="000000"/>
          <w:sz w:val="27"/>
          <w:szCs w:val="27"/>
          <w:lang w:eastAsia="en-GB"/>
        </w:rPr>
        <w:t>effect</w:t>
      </w:r>
      <w:proofErr w:type="gramEnd"/>
      <w:r w:rsidRPr="00593159">
        <w:rPr>
          <w:rFonts w:ascii="Calibri" w:eastAsia="Times New Roman" w:hAnsi="Calibri" w:cs="Calibri"/>
          <w:color w:val="000000"/>
          <w:sz w:val="27"/>
          <w:szCs w:val="27"/>
          <w:lang w:eastAsia="en-GB"/>
        </w:rPr>
        <w:t xml:space="preserve"> adulthood not only that but can </w:t>
      </w:r>
      <w:proofErr w:type="spellStart"/>
      <w:r w:rsidRPr="00593159">
        <w:rPr>
          <w:rFonts w:ascii="Calibri" w:eastAsia="Times New Roman" w:hAnsi="Calibri" w:cs="Calibri"/>
          <w:color w:val="000000"/>
          <w:sz w:val="27"/>
          <w:szCs w:val="27"/>
          <w:lang w:eastAsia="en-GB"/>
        </w:rPr>
        <w:t>effect</w:t>
      </w:r>
      <w:proofErr w:type="spellEnd"/>
      <w:r w:rsidRPr="00593159">
        <w:rPr>
          <w:rFonts w:ascii="Calibri" w:eastAsia="Times New Roman" w:hAnsi="Calibri" w:cs="Calibri"/>
          <w:color w:val="000000"/>
          <w:sz w:val="27"/>
          <w:szCs w:val="27"/>
          <w:lang w:eastAsia="en-GB"/>
        </w:rPr>
        <w:t xml:space="preserve"> the child emotionally. Legislation and curriculum frameworks provide important foundations to promote healthy development in schools and in children’s lives Early practioners play a vital role in ensuring that these principles are met by creating inclusive and safe environment for children as well as having positive relationships with families.</w:t>
      </w:r>
    </w:p>
    <w:p w14:paraId="6D03C4B6" w14:textId="77777777" w:rsidR="00593159" w:rsidRDefault="00593159"/>
    <w:sectPr w:rsidR="00593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9"/>
    <w:rsid w:val="001F488F"/>
    <w:rsid w:val="00593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CF75E"/>
  <w15:chartTrackingRefBased/>
  <w15:docId w15:val="{1C5C0C18-40B0-4847-99B8-2326D8D7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01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2377</Words>
  <Characters>13555</Characters>
  <Application>Microsoft Office Word</Application>
  <DocSecurity>0</DocSecurity>
  <Lines>112</Lines>
  <Paragraphs>31</Paragraphs>
  <ScaleCrop>false</ScaleCrop>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1</cp:revision>
  <dcterms:created xsi:type="dcterms:W3CDTF">2026-06-13T16:11:00Z</dcterms:created>
  <dcterms:modified xsi:type="dcterms:W3CDTF">2026-06-13T16:12:00Z</dcterms:modified>
</cp:coreProperties>
</file>