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17B83E" w14:textId="77777777" w:rsidR="00BE1EFD" w:rsidRPr="00E01D79" w:rsidRDefault="00E01D79" w:rsidP="00E01D79">
      <w:pPr>
        <w:spacing w:line="480" w:lineRule="auto"/>
        <w:jc w:val="center"/>
        <w:rPr>
          <w:rFonts w:ascii="Arial" w:eastAsia="Times New Roman" w:hAnsi="Arial" w:cs="Arial"/>
          <w:b/>
          <w:sz w:val="24"/>
          <w:szCs w:val="24"/>
          <w:u w:val="single"/>
        </w:rPr>
      </w:pPr>
      <w:bookmarkStart w:id="0" w:name="_Toc231340198"/>
      <w:r w:rsidRPr="00E01D79">
        <w:rPr>
          <w:rFonts w:ascii="Arial" w:eastAsia="Cambria" w:hAnsi="Arial" w:cs="Arial"/>
          <w:b/>
          <w:sz w:val="24"/>
          <w:szCs w:val="24"/>
          <w:u w:val="single"/>
        </w:rPr>
        <w:t>Programme: BA (Hons) Leadership and Management Skills for the Workplace</w:t>
      </w:r>
    </w:p>
    <w:p w14:paraId="2603F1A6" w14:textId="77777777" w:rsidR="00BE1EFD" w:rsidRPr="00E01D79" w:rsidRDefault="00BE1EFD" w:rsidP="00E01D79">
      <w:pPr>
        <w:spacing w:line="480" w:lineRule="auto"/>
        <w:rPr>
          <w:rFonts w:ascii="Arial" w:eastAsia="Times New Roman" w:hAnsi="Arial" w:cs="Arial"/>
          <w:b/>
          <w:sz w:val="24"/>
          <w:szCs w:val="24"/>
        </w:rPr>
      </w:pPr>
    </w:p>
    <w:p w14:paraId="005A3FF4" w14:textId="77777777" w:rsidR="00BE1EFD" w:rsidRPr="00E01D79" w:rsidRDefault="00E01D79" w:rsidP="00E01D79">
      <w:pPr>
        <w:spacing w:line="480" w:lineRule="auto"/>
        <w:jc w:val="center"/>
        <w:rPr>
          <w:rFonts w:ascii="Arial" w:eastAsia="Times New Roman" w:hAnsi="Arial" w:cs="Arial"/>
          <w:b/>
          <w:sz w:val="24"/>
          <w:szCs w:val="24"/>
        </w:rPr>
      </w:pPr>
      <w:r w:rsidRPr="00E01D79">
        <w:rPr>
          <w:rFonts w:ascii="Arial" w:eastAsia="Cambria" w:hAnsi="Arial" w:cs="Arial"/>
          <w:b/>
          <w:sz w:val="24"/>
          <w:szCs w:val="24"/>
        </w:rPr>
        <w:t>Module: Strategic Management for Business</w:t>
      </w:r>
    </w:p>
    <w:p w14:paraId="21543488" w14:textId="77777777" w:rsidR="00BE1EFD" w:rsidRPr="00E01D79" w:rsidRDefault="00BE1EFD" w:rsidP="00E01D79">
      <w:pPr>
        <w:spacing w:line="480" w:lineRule="auto"/>
        <w:rPr>
          <w:rFonts w:ascii="Arial" w:eastAsia="Times New Roman" w:hAnsi="Arial" w:cs="Arial"/>
          <w:b/>
          <w:sz w:val="24"/>
          <w:szCs w:val="24"/>
        </w:rPr>
      </w:pPr>
    </w:p>
    <w:p w14:paraId="3670046C" w14:textId="77777777" w:rsidR="00BE1EFD" w:rsidRPr="00E01D79" w:rsidRDefault="00E01D79" w:rsidP="00E01D79">
      <w:pPr>
        <w:spacing w:line="480" w:lineRule="auto"/>
        <w:jc w:val="center"/>
        <w:rPr>
          <w:rFonts w:ascii="Arial" w:eastAsia="Cambria" w:hAnsi="Arial" w:cs="Arial"/>
          <w:b/>
          <w:sz w:val="24"/>
          <w:szCs w:val="24"/>
        </w:rPr>
      </w:pPr>
      <w:r w:rsidRPr="00E01D79">
        <w:rPr>
          <w:rFonts w:ascii="Arial" w:eastAsia="Cambria" w:hAnsi="Arial" w:cs="Arial"/>
          <w:b/>
          <w:sz w:val="24"/>
          <w:szCs w:val="24"/>
        </w:rPr>
        <w:t>Module code: LCLM 6001</w:t>
      </w:r>
    </w:p>
    <w:p w14:paraId="0266823F" w14:textId="77777777" w:rsidR="00E01D79" w:rsidRPr="00E01D79" w:rsidRDefault="00E01D79" w:rsidP="00E01D79">
      <w:pPr>
        <w:spacing w:line="480" w:lineRule="auto"/>
        <w:jc w:val="center"/>
        <w:rPr>
          <w:rFonts w:ascii="Arial" w:eastAsia="Cambria" w:hAnsi="Arial" w:cs="Arial"/>
          <w:b/>
          <w:sz w:val="24"/>
          <w:szCs w:val="24"/>
        </w:rPr>
      </w:pPr>
    </w:p>
    <w:p w14:paraId="319F6AA7" w14:textId="77777777" w:rsidR="00E01D79" w:rsidRPr="00E01D79" w:rsidRDefault="00E01D79" w:rsidP="00E01D79">
      <w:pPr>
        <w:spacing w:line="480" w:lineRule="auto"/>
        <w:jc w:val="center"/>
        <w:rPr>
          <w:rFonts w:ascii="Arial" w:eastAsia="Cambria" w:hAnsi="Arial" w:cs="Arial"/>
          <w:b/>
          <w:sz w:val="24"/>
          <w:szCs w:val="24"/>
        </w:rPr>
      </w:pPr>
    </w:p>
    <w:p w14:paraId="4BCB5240" w14:textId="77777777" w:rsidR="00E01D79" w:rsidRPr="00E01D79" w:rsidRDefault="00E01D79" w:rsidP="00E01D79">
      <w:pPr>
        <w:spacing w:line="480" w:lineRule="auto"/>
        <w:jc w:val="center"/>
        <w:rPr>
          <w:rFonts w:ascii="Arial" w:eastAsia="Cambria" w:hAnsi="Arial" w:cs="Arial"/>
          <w:b/>
          <w:sz w:val="24"/>
          <w:szCs w:val="24"/>
        </w:rPr>
      </w:pPr>
    </w:p>
    <w:p w14:paraId="521F39F7" w14:textId="77777777" w:rsidR="00E01D79" w:rsidRPr="00E01D79" w:rsidRDefault="00E01D79" w:rsidP="00E01D79">
      <w:pPr>
        <w:spacing w:line="480" w:lineRule="auto"/>
        <w:rPr>
          <w:rFonts w:ascii="Arial" w:eastAsia="Cambria" w:hAnsi="Arial" w:cs="Arial"/>
          <w:b/>
          <w:sz w:val="24"/>
          <w:szCs w:val="24"/>
        </w:rPr>
      </w:pPr>
    </w:p>
    <w:p w14:paraId="12FF94F8" w14:textId="77777777" w:rsidR="00BE1EFD" w:rsidRPr="00E01D79" w:rsidRDefault="00BE1EFD" w:rsidP="00E01D79">
      <w:pPr>
        <w:spacing w:line="480" w:lineRule="auto"/>
        <w:rPr>
          <w:rFonts w:ascii="Arial" w:eastAsia="Times New Roman" w:hAnsi="Arial" w:cs="Arial"/>
          <w:b/>
          <w:sz w:val="24"/>
          <w:szCs w:val="24"/>
        </w:rPr>
      </w:pPr>
    </w:p>
    <w:p w14:paraId="7202B892" w14:textId="159D29C4" w:rsidR="00571DBD" w:rsidRPr="00571DBD" w:rsidRDefault="00BE1EFD" w:rsidP="00571DBD">
      <w:pPr>
        <w:spacing w:line="480" w:lineRule="auto"/>
        <w:rPr>
          <w:rFonts w:ascii="Arial" w:eastAsia="Times New Roman" w:hAnsi="Arial" w:cs="Arial"/>
          <w:b/>
          <w:sz w:val="24"/>
          <w:szCs w:val="24"/>
          <w:lang w:val="en-GB"/>
        </w:rPr>
      </w:pPr>
      <w:r w:rsidRPr="00E01D79">
        <w:rPr>
          <w:rFonts w:ascii="Arial" w:eastAsia="Times New Roman" w:hAnsi="Arial" w:cs="Arial"/>
          <w:b/>
          <w:sz w:val="24"/>
          <w:szCs w:val="24"/>
        </w:rPr>
        <w:t>Student Name</w:t>
      </w:r>
      <w:proofErr w:type="gramStart"/>
      <w:r w:rsidRPr="00E01D79">
        <w:rPr>
          <w:rFonts w:ascii="Arial" w:eastAsia="Times New Roman" w:hAnsi="Arial" w:cs="Arial"/>
          <w:b/>
          <w:sz w:val="24"/>
          <w:szCs w:val="24"/>
        </w:rPr>
        <w:t>:</w:t>
      </w:r>
      <w:r w:rsidR="00571DBD" w:rsidRPr="00571DBD">
        <w:rPr>
          <w:rFonts w:ascii="Arial" w:eastAsia="Times New Roman" w:hAnsi="Arial" w:cs="Arial"/>
          <w:b/>
          <w:sz w:val="24"/>
          <w:szCs w:val="24"/>
          <w:lang w:val="en-GB" w:eastAsia="en-GB"/>
        </w:rPr>
        <w:t xml:space="preserve"> </w:t>
      </w:r>
      <w:r w:rsidR="00571DBD" w:rsidRPr="00571DBD">
        <w:rPr>
          <w:rFonts w:ascii="Arial" w:eastAsia="Times New Roman" w:hAnsi="Arial" w:cs="Arial"/>
          <w:b/>
          <w:sz w:val="24"/>
          <w:szCs w:val="24"/>
          <w:lang w:val="en-GB"/>
        </w:rPr>
        <w:t xml:space="preserve"> Bogdan</w:t>
      </w:r>
      <w:proofErr w:type="gramEnd"/>
      <w:r w:rsidR="00571DBD" w:rsidRPr="00571DBD">
        <w:rPr>
          <w:rFonts w:ascii="Arial" w:eastAsia="Times New Roman" w:hAnsi="Arial" w:cs="Arial"/>
          <w:b/>
          <w:sz w:val="24"/>
          <w:szCs w:val="24"/>
          <w:lang w:val="en-GB"/>
        </w:rPr>
        <w:t xml:space="preserve"> Constantin Voinea</w:t>
      </w:r>
    </w:p>
    <w:p w14:paraId="6D6FA801" w14:textId="281ACCBF" w:rsidR="00571DBD" w:rsidRPr="00571DBD" w:rsidRDefault="00571DBD" w:rsidP="00571DBD">
      <w:pPr>
        <w:spacing w:line="480" w:lineRule="auto"/>
        <w:rPr>
          <w:rFonts w:ascii="Arial" w:eastAsia="Times New Roman" w:hAnsi="Arial" w:cs="Arial"/>
          <w:b/>
          <w:sz w:val="24"/>
          <w:szCs w:val="24"/>
          <w:lang w:val="en-GB"/>
        </w:rPr>
      </w:pPr>
      <w:r w:rsidRPr="00571DBD">
        <w:rPr>
          <w:rFonts w:ascii="Arial" w:eastAsia="Times New Roman" w:hAnsi="Arial" w:cs="Arial"/>
          <w:b/>
          <w:sz w:val="24"/>
          <w:szCs w:val="24"/>
          <w:lang w:val="en-GB"/>
        </w:rPr>
        <w:t>Student ID: 2242568</w:t>
      </w:r>
    </w:p>
    <w:p w14:paraId="6F8D2F03" w14:textId="77777777" w:rsidR="00BE1EFD" w:rsidRPr="00E01D79" w:rsidRDefault="00BE1EFD" w:rsidP="00E01D79">
      <w:pPr>
        <w:spacing w:line="480" w:lineRule="auto"/>
        <w:rPr>
          <w:rFonts w:ascii="Arial" w:eastAsia="Times New Roman" w:hAnsi="Arial" w:cs="Arial"/>
          <w:b/>
          <w:sz w:val="24"/>
          <w:szCs w:val="24"/>
        </w:rPr>
      </w:pPr>
      <w:r w:rsidRPr="00E01D79">
        <w:rPr>
          <w:rFonts w:ascii="Arial" w:eastAsia="Times New Roman" w:hAnsi="Arial" w:cs="Arial"/>
          <w:b/>
          <w:sz w:val="24"/>
          <w:szCs w:val="24"/>
        </w:rPr>
        <w:t>Submission Date</w:t>
      </w:r>
      <w:r w:rsidR="00571DBD" w:rsidRPr="00E01D79">
        <w:rPr>
          <w:rFonts w:ascii="Arial" w:eastAsia="Times New Roman" w:hAnsi="Arial" w:cs="Arial"/>
          <w:b/>
          <w:sz w:val="24"/>
          <w:szCs w:val="24"/>
        </w:rPr>
        <w:t>: 13</w:t>
      </w:r>
      <w:r w:rsidR="00E01D79" w:rsidRPr="00E01D79">
        <w:rPr>
          <w:rFonts w:ascii="Arial" w:eastAsia="Times New Roman" w:hAnsi="Arial" w:cs="Arial"/>
          <w:b/>
          <w:sz w:val="24"/>
          <w:szCs w:val="24"/>
        </w:rPr>
        <w:t>-07-2026</w:t>
      </w:r>
    </w:p>
    <w:p w14:paraId="165181A6" w14:textId="77777777" w:rsidR="00BE1EFD" w:rsidRPr="00BE1EFD" w:rsidRDefault="00BE1EFD" w:rsidP="00571DBD">
      <w:pPr>
        <w:spacing w:line="480" w:lineRule="auto"/>
        <w:rPr>
          <w:rFonts w:ascii="Arial" w:eastAsia="Times New Roman" w:hAnsi="Arial" w:cs="Arial"/>
          <w:b/>
          <w:sz w:val="24"/>
          <w:szCs w:val="24"/>
        </w:rPr>
      </w:pPr>
      <w:r w:rsidRPr="00E01D79">
        <w:rPr>
          <w:rFonts w:ascii="Arial" w:eastAsia="Times New Roman" w:hAnsi="Arial" w:cs="Arial"/>
          <w:b/>
          <w:sz w:val="24"/>
          <w:szCs w:val="24"/>
        </w:rPr>
        <w:br w:type="page"/>
      </w:r>
    </w:p>
    <w:p w14:paraId="4FE78503" w14:textId="77777777" w:rsidR="00F007FD" w:rsidRPr="00571DBD" w:rsidRDefault="001D2DB9" w:rsidP="00BE1EFD">
      <w:pPr>
        <w:pStyle w:val="Heading2"/>
        <w:jc w:val="center"/>
        <w:rPr>
          <w:rFonts w:ascii="Arial" w:eastAsia="Times New Roman" w:hAnsi="Arial" w:cs="Arial"/>
          <w:b/>
          <w:color w:val="auto"/>
          <w:sz w:val="24"/>
          <w:szCs w:val="24"/>
          <w:u w:val="single"/>
        </w:rPr>
      </w:pPr>
      <w:r w:rsidRPr="00571DBD">
        <w:rPr>
          <w:rFonts w:ascii="Arial" w:eastAsia="Times New Roman" w:hAnsi="Arial" w:cs="Arial"/>
          <w:b/>
          <w:color w:val="auto"/>
          <w:sz w:val="24"/>
          <w:szCs w:val="24"/>
          <w:u w:val="single"/>
        </w:rPr>
        <w:lastRenderedPageBreak/>
        <w:t>Strategic Growth Report for VodafoneThree UK</w:t>
      </w:r>
      <w:bookmarkEnd w:id="0"/>
    </w:p>
    <w:p w14:paraId="7FE69768" w14:textId="77777777" w:rsidR="001D2DB9" w:rsidRPr="00BE1EFD" w:rsidRDefault="00912EC1" w:rsidP="00BE1EFD">
      <w:pPr>
        <w:pStyle w:val="Heading2"/>
        <w:rPr>
          <w:rFonts w:ascii="Arial" w:eastAsia="Times New Roman" w:hAnsi="Arial" w:cs="Arial"/>
          <w:b/>
          <w:color w:val="auto"/>
          <w:sz w:val="24"/>
          <w:szCs w:val="24"/>
        </w:rPr>
      </w:pPr>
      <w:bookmarkStart w:id="1" w:name="_Toc231340199"/>
      <w:r w:rsidRPr="00BE1EFD">
        <w:rPr>
          <w:rFonts w:ascii="Arial" w:eastAsia="Times New Roman" w:hAnsi="Arial" w:cs="Arial"/>
          <w:b/>
          <w:color w:val="auto"/>
          <w:sz w:val="24"/>
          <w:szCs w:val="24"/>
        </w:rPr>
        <w:t>1. Executive</w:t>
      </w:r>
      <w:r w:rsidR="001D2DB9" w:rsidRPr="00BE1EFD">
        <w:rPr>
          <w:rFonts w:ascii="Arial" w:eastAsia="Times New Roman" w:hAnsi="Arial" w:cs="Arial"/>
          <w:b/>
          <w:color w:val="auto"/>
          <w:sz w:val="24"/>
          <w:szCs w:val="24"/>
        </w:rPr>
        <w:t xml:space="preserve"> Summary</w:t>
      </w:r>
      <w:bookmarkEnd w:id="1"/>
    </w:p>
    <w:p w14:paraId="4C4B7062" w14:textId="77777777" w:rsidR="00BE1E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This report addresses and analyses the strategic position of VodafoneThree UK as Three UK has merged with Vodafone UK in 2025. In the terms of the UK telecom industry, the merger is one of the biggest that has occurred in recent years, forming the UK’s largest mobile network operator (MNO) with around 27 million customers and spending £11 billion on virtual network infrastructure (VNI) (Vodafone Group, 2025). The strategic significance of the merger goes beyond the idea of consolidating markets – it will give VodafoneThree better economies of scale, more spectrum, more network coverage and more innovation in the development of new digital technologies. The report has been followed up by applying various strategic management frameworks including SWOT analysis, PESTEL analysis, Porter’s 5 Forces analysis, Porter’s Generic Strategies, the Ansoff matrix and the Suitability, Feasibility, and Acceptability (SFA) framework in assessing the internal resources and external environment of VodafoneThree. Data reveals that the company has significant strengths in terms of network infrastructure, technological expertise and representativeness, but still faces difficulties relating to regulatory engagement, integration, capital costs and speed of the introduction of technology and the dominant competitive pressures from BT/EE and Virgin Media O2 (Ofcom, 2025).The analysis suggests an orientation for a Digital Ecosystem Leadership Strategy with a view on the growth of 5G standalone services, Artificial Intelligence applications, Internet of Things (IoT) solutions, Cybersecurity services and Smart city infrastructure. The strategic direction complies with Vodafone’s corporate purpose ‘connecting people and businesses for a better future’, and details how innovation and differentiation’s potential to create sustainable competitive advantages is realised (Vodafone Group, 2025). The report states that writing the necessary parts into the proposed strategy will help VodafoneThree’s position as a market leader and boost their profitability in the long run and help significantly toward the UK digital economy.</w:t>
      </w:r>
    </w:p>
    <w:p w14:paraId="05234655" w14:textId="77777777" w:rsidR="00BE1EFD" w:rsidRPr="00BE1EFD" w:rsidRDefault="00BE1EFD" w:rsidP="00BE1EFD">
      <w:pPr>
        <w:rPr>
          <w:rFonts w:ascii="Arial" w:hAnsi="Arial" w:cs="Arial"/>
          <w:sz w:val="24"/>
          <w:szCs w:val="24"/>
        </w:rPr>
      </w:pPr>
      <w:r w:rsidRPr="00BE1EFD">
        <w:rPr>
          <w:rFonts w:ascii="Arial" w:hAnsi="Arial" w:cs="Arial"/>
          <w:sz w:val="24"/>
          <w:szCs w:val="24"/>
        </w:rPr>
        <w:br w:type="page"/>
      </w:r>
    </w:p>
    <w:p w14:paraId="354DDF7B" w14:textId="77777777" w:rsidR="00BE1EFD" w:rsidRPr="00BE1EFD" w:rsidRDefault="00BE1EFD">
      <w:pPr>
        <w:rPr>
          <w:rFonts w:ascii="Arial" w:eastAsia="Times New Roman" w:hAnsi="Arial" w:cs="Arial"/>
          <w:sz w:val="24"/>
          <w:szCs w:val="24"/>
        </w:rPr>
      </w:pPr>
    </w:p>
    <w:sdt>
      <w:sdtPr>
        <w:rPr>
          <w:rFonts w:ascii="Arial" w:eastAsiaTheme="minorHAnsi" w:hAnsi="Arial" w:cs="Arial"/>
          <w:color w:val="auto"/>
          <w:sz w:val="24"/>
          <w:szCs w:val="24"/>
        </w:rPr>
        <w:id w:val="208924380"/>
        <w:docPartObj>
          <w:docPartGallery w:val="Table of Contents"/>
          <w:docPartUnique/>
        </w:docPartObj>
      </w:sdtPr>
      <w:sdtEndPr>
        <w:rPr>
          <w:b/>
          <w:bCs/>
          <w:noProof/>
        </w:rPr>
      </w:sdtEndPr>
      <w:sdtContent>
        <w:p w14:paraId="078338CB" w14:textId="77777777" w:rsidR="00BE1EFD" w:rsidRPr="00BE1EFD" w:rsidRDefault="00BE1EFD" w:rsidP="00BE1EFD">
          <w:pPr>
            <w:pStyle w:val="TOCHeading"/>
            <w:spacing w:line="360" w:lineRule="auto"/>
            <w:jc w:val="center"/>
            <w:rPr>
              <w:rFonts w:ascii="Arial" w:hAnsi="Arial" w:cs="Arial"/>
              <w:b/>
              <w:color w:val="auto"/>
              <w:sz w:val="24"/>
              <w:szCs w:val="24"/>
            </w:rPr>
          </w:pPr>
          <w:r w:rsidRPr="00BE1EFD">
            <w:rPr>
              <w:rFonts w:ascii="Arial" w:hAnsi="Arial" w:cs="Arial"/>
              <w:b/>
              <w:color w:val="auto"/>
              <w:sz w:val="24"/>
              <w:szCs w:val="24"/>
            </w:rPr>
            <w:t>Table of Contents</w:t>
          </w:r>
        </w:p>
        <w:p w14:paraId="502685AF" w14:textId="77777777" w:rsidR="00BE1EFD" w:rsidRPr="00BE1EFD" w:rsidRDefault="00BE1EFD" w:rsidP="00BE1EFD">
          <w:pPr>
            <w:pStyle w:val="TOC2"/>
            <w:tabs>
              <w:tab w:val="right" w:leader="dot" w:pos="9350"/>
            </w:tabs>
            <w:spacing w:line="360" w:lineRule="auto"/>
            <w:rPr>
              <w:rFonts w:ascii="Arial" w:hAnsi="Arial" w:cs="Arial"/>
              <w:noProof/>
              <w:sz w:val="24"/>
              <w:szCs w:val="24"/>
            </w:rPr>
          </w:pPr>
          <w:r w:rsidRPr="00BE1EFD">
            <w:rPr>
              <w:rFonts w:ascii="Arial" w:hAnsi="Arial" w:cs="Arial"/>
              <w:sz w:val="24"/>
              <w:szCs w:val="24"/>
            </w:rPr>
            <w:fldChar w:fldCharType="begin"/>
          </w:r>
          <w:r w:rsidRPr="00BE1EFD">
            <w:rPr>
              <w:rFonts w:ascii="Arial" w:hAnsi="Arial" w:cs="Arial"/>
              <w:sz w:val="24"/>
              <w:szCs w:val="24"/>
            </w:rPr>
            <w:instrText xml:space="preserve"> TOC \o "1-3" \h \z \u </w:instrText>
          </w:r>
          <w:r w:rsidRPr="00BE1EFD">
            <w:rPr>
              <w:rFonts w:ascii="Arial" w:hAnsi="Arial" w:cs="Arial"/>
              <w:sz w:val="24"/>
              <w:szCs w:val="24"/>
            </w:rPr>
            <w:fldChar w:fldCharType="separate"/>
          </w:r>
          <w:hyperlink w:anchor="_Toc231340198" w:history="1">
            <w:r w:rsidRPr="00BE1EFD">
              <w:rPr>
                <w:rStyle w:val="Hyperlink"/>
                <w:rFonts w:ascii="Arial" w:eastAsia="Times New Roman" w:hAnsi="Arial" w:cs="Arial"/>
                <w:noProof/>
                <w:sz w:val="24"/>
                <w:szCs w:val="24"/>
                <w:u w:val="none"/>
              </w:rPr>
              <w:t>Strategic Growth Report for VodafoneThree UK</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_Toc231340198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1</w:t>
            </w:r>
            <w:r w:rsidRPr="00BE1EFD">
              <w:rPr>
                <w:rFonts w:ascii="Arial" w:hAnsi="Arial" w:cs="Arial"/>
                <w:noProof/>
                <w:webHidden/>
                <w:sz w:val="24"/>
                <w:szCs w:val="24"/>
              </w:rPr>
              <w:fldChar w:fldCharType="end"/>
            </w:r>
          </w:hyperlink>
        </w:p>
        <w:p w14:paraId="70E35E6B"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199" w:history="1">
            <w:r w:rsidRPr="00BE1EFD">
              <w:rPr>
                <w:rStyle w:val="Hyperlink"/>
                <w:rFonts w:ascii="Arial" w:eastAsia="Times New Roman" w:hAnsi="Arial" w:cs="Arial"/>
                <w:noProof/>
                <w:sz w:val="24"/>
                <w:szCs w:val="24"/>
                <w:u w:val="none"/>
              </w:rPr>
              <w:t>1. Executive Summary</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_Toc231340199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1</w:t>
            </w:r>
            <w:r w:rsidRPr="00BE1EFD">
              <w:rPr>
                <w:rFonts w:ascii="Arial" w:hAnsi="Arial" w:cs="Arial"/>
                <w:noProof/>
                <w:webHidden/>
                <w:sz w:val="24"/>
                <w:szCs w:val="24"/>
              </w:rPr>
              <w:fldChar w:fldCharType="end"/>
            </w:r>
          </w:hyperlink>
        </w:p>
        <w:p w14:paraId="5DAA1286"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00" w:history="1">
            <w:r w:rsidRPr="00BE1EFD">
              <w:rPr>
                <w:rStyle w:val="Hyperlink"/>
                <w:rFonts w:ascii="Arial" w:eastAsia="Times New Roman" w:hAnsi="Arial" w:cs="Arial"/>
                <w:bCs/>
                <w:noProof/>
                <w:sz w:val="24"/>
                <w:szCs w:val="24"/>
                <w:u w:val="none"/>
              </w:rPr>
              <w:t>2. Introduction to VodafoneThree</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_Toc231340200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4</w:t>
            </w:r>
            <w:r w:rsidRPr="00BE1EFD">
              <w:rPr>
                <w:rFonts w:ascii="Arial" w:hAnsi="Arial" w:cs="Arial"/>
                <w:noProof/>
                <w:webHidden/>
                <w:sz w:val="24"/>
                <w:szCs w:val="24"/>
              </w:rPr>
              <w:fldChar w:fldCharType="end"/>
            </w:r>
          </w:hyperlink>
        </w:p>
        <w:p w14:paraId="60958EFF"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01" w:history="1">
            <w:r w:rsidRPr="00BE1EFD">
              <w:rPr>
                <w:rStyle w:val="Hyperlink"/>
                <w:rFonts w:ascii="Arial" w:eastAsia="Times New Roman" w:hAnsi="Arial" w:cs="Arial"/>
                <w:bCs/>
                <w:noProof/>
                <w:sz w:val="24"/>
                <w:szCs w:val="24"/>
                <w:u w:val="none"/>
              </w:rPr>
              <w:t>3. Evaluation of Current Market Situation</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_Toc231340201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5</w:t>
            </w:r>
            <w:r w:rsidRPr="00BE1EFD">
              <w:rPr>
                <w:rFonts w:ascii="Arial" w:hAnsi="Arial" w:cs="Arial"/>
                <w:noProof/>
                <w:webHidden/>
                <w:sz w:val="24"/>
                <w:szCs w:val="24"/>
              </w:rPr>
              <w:fldChar w:fldCharType="end"/>
            </w:r>
          </w:hyperlink>
        </w:p>
        <w:p w14:paraId="649BB130"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02" w:history="1">
            <w:r w:rsidRPr="00BE1EFD">
              <w:rPr>
                <w:rStyle w:val="Hyperlink"/>
                <w:rFonts w:ascii="Arial" w:eastAsia="Times New Roman" w:hAnsi="Arial" w:cs="Arial"/>
                <w:bCs/>
                <w:noProof/>
                <w:sz w:val="24"/>
                <w:szCs w:val="24"/>
                <w:u w:val="none"/>
              </w:rPr>
              <w:t>3.1 Industry Structure and Competitive Landscape</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_Toc231340202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5</w:t>
            </w:r>
            <w:r w:rsidRPr="00BE1EFD">
              <w:rPr>
                <w:rFonts w:ascii="Arial" w:hAnsi="Arial" w:cs="Arial"/>
                <w:noProof/>
                <w:webHidden/>
                <w:sz w:val="24"/>
                <w:szCs w:val="24"/>
              </w:rPr>
              <w:fldChar w:fldCharType="end"/>
            </w:r>
          </w:hyperlink>
        </w:p>
        <w:p w14:paraId="43E97580"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03" w:history="1">
            <w:r w:rsidRPr="00BE1EFD">
              <w:rPr>
                <w:rStyle w:val="Hyperlink"/>
                <w:rFonts w:ascii="Arial" w:eastAsia="Times New Roman" w:hAnsi="Arial" w:cs="Arial"/>
                <w:noProof/>
                <w:sz w:val="24"/>
                <w:szCs w:val="24"/>
                <w:u w:val="none"/>
              </w:rPr>
              <w:t>3.2 PESTEL Analysis</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_Toc231340203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6</w:t>
            </w:r>
            <w:r w:rsidRPr="00BE1EFD">
              <w:rPr>
                <w:rFonts w:ascii="Arial" w:hAnsi="Arial" w:cs="Arial"/>
                <w:noProof/>
                <w:webHidden/>
                <w:sz w:val="24"/>
                <w:szCs w:val="24"/>
              </w:rPr>
              <w:fldChar w:fldCharType="end"/>
            </w:r>
          </w:hyperlink>
        </w:p>
        <w:p w14:paraId="6E4D7B06"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11" w:history="1">
            <w:r w:rsidRPr="00BE1EFD">
              <w:rPr>
                <w:rStyle w:val="Hyperlink"/>
                <w:rFonts w:ascii="Arial" w:eastAsia="Times New Roman" w:hAnsi="Arial" w:cs="Arial"/>
                <w:noProof/>
                <w:sz w:val="24"/>
                <w:szCs w:val="24"/>
                <w:u w:val="none"/>
              </w:rPr>
              <w:t>3.3 SWOT Analysis</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_Toc231340211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9</w:t>
            </w:r>
            <w:r w:rsidRPr="00BE1EFD">
              <w:rPr>
                <w:rFonts w:ascii="Arial" w:hAnsi="Arial" w:cs="Arial"/>
                <w:noProof/>
                <w:webHidden/>
                <w:sz w:val="24"/>
                <w:szCs w:val="24"/>
              </w:rPr>
              <w:fldChar w:fldCharType="end"/>
            </w:r>
          </w:hyperlink>
        </w:p>
        <w:p w14:paraId="2D7598FB"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14" w:history="1">
            <w:r w:rsidRPr="00BE1EFD">
              <w:rPr>
                <w:rStyle w:val="Hyperlink"/>
                <w:rFonts w:ascii="Arial" w:eastAsia="Times New Roman" w:hAnsi="Arial" w:cs="Arial"/>
                <w:noProof/>
                <w:sz w:val="24"/>
                <w:szCs w:val="24"/>
                <w:u w:val="none"/>
              </w:rPr>
              <w:t>3.4 Porter’s Five Forces Analysis</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_Toc231340214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11</w:t>
            </w:r>
            <w:r w:rsidRPr="00BE1EFD">
              <w:rPr>
                <w:rFonts w:ascii="Arial" w:hAnsi="Arial" w:cs="Arial"/>
                <w:noProof/>
                <w:webHidden/>
                <w:sz w:val="24"/>
                <w:szCs w:val="24"/>
              </w:rPr>
              <w:fldChar w:fldCharType="end"/>
            </w:r>
          </w:hyperlink>
        </w:p>
        <w:p w14:paraId="137A9C25"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17" w:history="1">
            <w:r w:rsidRPr="00BE1EFD">
              <w:rPr>
                <w:rStyle w:val="Hyperlink"/>
                <w:rFonts w:ascii="Arial" w:eastAsia="Times New Roman" w:hAnsi="Arial" w:cs="Arial"/>
                <w:noProof/>
                <w:sz w:val="24"/>
                <w:szCs w:val="24"/>
                <w:u w:val="none"/>
              </w:rPr>
              <w:t>4. Strategic Growth Options and Proposed Strategy</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_Toc231340217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14</w:t>
            </w:r>
            <w:r w:rsidRPr="00BE1EFD">
              <w:rPr>
                <w:rFonts w:ascii="Arial" w:hAnsi="Arial" w:cs="Arial"/>
                <w:noProof/>
                <w:webHidden/>
                <w:sz w:val="24"/>
                <w:szCs w:val="24"/>
              </w:rPr>
              <w:fldChar w:fldCharType="end"/>
            </w:r>
          </w:hyperlink>
        </w:p>
        <w:p w14:paraId="61C4EB71"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21" w:history="1">
            <w:r w:rsidRPr="00BE1EFD">
              <w:rPr>
                <w:rStyle w:val="Hyperlink"/>
                <w:rFonts w:ascii="Arial" w:eastAsia="Times New Roman" w:hAnsi="Arial" w:cs="Arial"/>
                <w:noProof/>
                <w:sz w:val="24"/>
                <w:szCs w:val="24"/>
                <w:u w:val="none"/>
              </w:rPr>
              <w:t>5. Strategy Evaluation</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_Toc231340221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17</w:t>
            </w:r>
            <w:r w:rsidRPr="00BE1EFD">
              <w:rPr>
                <w:rFonts w:ascii="Arial" w:hAnsi="Arial" w:cs="Arial"/>
                <w:noProof/>
                <w:webHidden/>
                <w:sz w:val="24"/>
                <w:szCs w:val="24"/>
              </w:rPr>
              <w:fldChar w:fldCharType="end"/>
            </w:r>
          </w:hyperlink>
        </w:p>
        <w:p w14:paraId="5A892A23"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24" w:history="1">
            <w:r w:rsidRPr="00BE1EFD">
              <w:rPr>
                <w:rStyle w:val="Hyperlink"/>
                <w:rFonts w:ascii="Arial" w:eastAsia="Times New Roman" w:hAnsi="Arial" w:cs="Arial"/>
                <w:noProof/>
                <w:sz w:val="24"/>
                <w:szCs w:val="24"/>
                <w:u w:val="none"/>
              </w:rPr>
              <w:t>6. Stakeholder Analysis</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_Toc231340224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20</w:t>
            </w:r>
            <w:r w:rsidRPr="00BE1EFD">
              <w:rPr>
                <w:rFonts w:ascii="Arial" w:hAnsi="Arial" w:cs="Arial"/>
                <w:noProof/>
                <w:webHidden/>
                <w:sz w:val="24"/>
                <w:szCs w:val="24"/>
              </w:rPr>
              <w:fldChar w:fldCharType="end"/>
            </w:r>
          </w:hyperlink>
        </w:p>
        <w:p w14:paraId="5B22639E"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25" w:history="1">
            <w:r w:rsidRPr="00BE1EFD">
              <w:rPr>
                <w:rStyle w:val="Hyperlink"/>
                <w:rFonts w:ascii="Arial" w:eastAsia="Times New Roman" w:hAnsi="Arial" w:cs="Arial"/>
                <w:noProof/>
                <w:sz w:val="24"/>
                <w:szCs w:val="24"/>
                <w:u w:val="none"/>
              </w:rPr>
              <w:t>7. Implementation and Monitoring</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_Toc231340225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22</w:t>
            </w:r>
            <w:r w:rsidRPr="00BE1EFD">
              <w:rPr>
                <w:rFonts w:ascii="Arial" w:hAnsi="Arial" w:cs="Arial"/>
                <w:noProof/>
                <w:webHidden/>
                <w:sz w:val="24"/>
                <w:szCs w:val="24"/>
              </w:rPr>
              <w:fldChar w:fldCharType="end"/>
            </w:r>
          </w:hyperlink>
        </w:p>
        <w:p w14:paraId="51549B9C"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26" w:history="1">
            <w:r w:rsidRPr="00BE1EFD">
              <w:rPr>
                <w:rStyle w:val="Hyperlink"/>
                <w:rFonts w:ascii="Arial" w:eastAsia="Times New Roman" w:hAnsi="Arial" w:cs="Arial"/>
                <w:noProof/>
                <w:sz w:val="24"/>
                <w:szCs w:val="24"/>
                <w:u w:val="none"/>
              </w:rPr>
              <w:t>8. Conclusion</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_Toc231340226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23</w:t>
            </w:r>
            <w:r w:rsidRPr="00BE1EFD">
              <w:rPr>
                <w:rFonts w:ascii="Arial" w:hAnsi="Arial" w:cs="Arial"/>
                <w:noProof/>
                <w:webHidden/>
                <w:sz w:val="24"/>
                <w:szCs w:val="24"/>
              </w:rPr>
              <w:fldChar w:fldCharType="end"/>
            </w:r>
          </w:hyperlink>
        </w:p>
        <w:p w14:paraId="35E28923" w14:textId="77777777" w:rsidR="00BE1EFD" w:rsidRPr="00BE1EFD" w:rsidRDefault="00BE1EFD" w:rsidP="00BE1EFD">
          <w:pPr>
            <w:pStyle w:val="TOC2"/>
            <w:tabs>
              <w:tab w:val="right" w:leader="dot" w:pos="9350"/>
            </w:tabs>
            <w:spacing w:line="360" w:lineRule="auto"/>
            <w:rPr>
              <w:rFonts w:ascii="Arial" w:hAnsi="Arial" w:cs="Arial"/>
              <w:noProof/>
              <w:sz w:val="24"/>
              <w:szCs w:val="24"/>
            </w:rPr>
          </w:pPr>
          <w:hyperlink w:anchor="_Toc231340227" w:history="1">
            <w:r w:rsidRPr="00BE1EFD">
              <w:rPr>
                <w:rStyle w:val="Hyperlink"/>
                <w:rFonts w:ascii="Arial" w:eastAsia="Times New Roman" w:hAnsi="Arial" w:cs="Arial"/>
                <w:noProof/>
                <w:sz w:val="24"/>
                <w:szCs w:val="24"/>
                <w:u w:val="none"/>
              </w:rPr>
              <w:t>9. References</w:t>
            </w:r>
            <w:r w:rsidRPr="00BE1EFD">
              <w:rPr>
                <w:rFonts w:ascii="Arial" w:hAnsi="Arial" w:cs="Arial"/>
                <w:noProof/>
                <w:webHidden/>
                <w:sz w:val="24"/>
                <w:szCs w:val="24"/>
              </w:rPr>
              <w:tab/>
            </w:r>
            <w:r w:rsidRPr="00BE1EFD">
              <w:rPr>
                <w:rFonts w:ascii="Arial" w:hAnsi="Arial" w:cs="Arial"/>
                <w:noProof/>
                <w:webHidden/>
                <w:sz w:val="24"/>
                <w:szCs w:val="24"/>
              </w:rPr>
              <w:fldChar w:fldCharType="begin"/>
            </w:r>
            <w:r w:rsidRPr="00BE1EFD">
              <w:rPr>
                <w:rFonts w:ascii="Arial" w:hAnsi="Arial" w:cs="Arial"/>
                <w:noProof/>
                <w:webHidden/>
                <w:sz w:val="24"/>
                <w:szCs w:val="24"/>
              </w:rPr>
              <w:instrText xml:space="preserve"> PAGEREF _Toc231340227 \h </w:instrText>
            </w:r>
            <w:r w:rsidRPr="00BE1EFD">
              <w:rPr>
                <w:rFonts w:ascii="Arial" w:hAnsi="Arial" w:cs="Arial"/>
                <w:noProof/>
                <w:webHidden/>
                <w:sz w:val="24"/>
                <w:szCs w:val="24"/>
              </w:rPr>
            </w:r>
            <w:r w:rsidRPr="00BE1EFD">
              <w:rPr>
                <w:rFonts w:ascii="Arial" w:hAnsi="Arial" w:cs="Arial"/>
                <w:noProof/>
                <w:webHidden/>
                <w:sz w:val="24"/>
                <w:szCs w:val="24"/>
              </w:rPr>
              <w:fldChar w:fldCharType="separate"/>
            </w:r>
            <w:r w:rsidRPr="00BE1EFD">
              <w:rPr>
                <w:rFonts w:ascii="Arial" w:hAnsi="Arial" w:cs="Arial"/>
                <w:noProof/>
                <w:webHidden/>
                <w:sz w:val="24"/>
                <w:szCs w:val="24"/>
              </w:rPr>
              <w:t>24</w:t>
            </w:r>
            <w:r w:rsidRPr="00BE1EFD">
              <w:rPr>
                <w:rFonts w:ascii="Arial" w:hAnsi="Arial" w:cs="Arial"/>
                <w:noProof/>
                <w:webHidden/>
                <w:sz w:val="24"/>
                <w:szCs w:val="24"/>
              </w:rPr>
              <w:fldChar w:fldCharType="end"/>
            </w:r>
          </w:hyperlink>
        </w:p>
        <w:p w14:paraId="4EB3D8E8" w14:textId="77777777" w:rsidR="00BE1EFD" w:rsidRPr="00BE1EFD" w:rsidRDefault="00BE1EFD" w:rsidP="00BE1EFD">
          <w:pPr>
            <w:spacing w:line="360" w:lineRule="auto"/>
            <w:rPr>
              <w:rFonts w:ascii="Arial" w:hAnsi="Arial" w:cs="Arial"/>
              <w:sz w:val="24"/>
              <w:szCs w:val="24"/>
            </w:rPr>
          </w:pPr>
          <w:r w:rsidRPr="00BE1EFD">
            <w:rPr>
              <w:rFonts w:ascii="Arial" w:hAnsi="Arial" w:cs="Arial"/>
              <w:bCs/>
              <w:noProof/>
              <w:sz w:val="24"/>
              <w:szCs w:val="24"/>
            </w:rPr>
            <w:fldChar w:fldCharType="end"/>
          </w:r>
        </w:p>
      </w:sdtContent>
    </w:sdt>
    <w:p w14:paraId="64952A46" w14:textId="77777777" w:rsidR="00D25211" w:rsidRPr="00BE1EFD" w:rsidRDefault="00D25211" w:rsidP="00BE1EFD">
      <w:pPr>
        <w:spacing w:before="240" w:after="0" w:line="360" w:lineRule="auto"/>
        <w:jc w:val="both"/>
        <w:rPr>
          <w:rFonts w:ascii="Arial" w:eastAsia="Times New Roman" w:hAnsi="Arial" w:cs="Arial"/>
          <w:sz w:val="24"/>
          <w:szCs w:val="24"/>
        </w:rPr>
      </w:pPr>
    </w:p>
    <w:p w14:paraId="4983B225" w14:textId="77777777" w:rsidR="00F007FD" w:rsidRPr="00BE1EFD" w:rsidRDefault="00D25211" w:rsidP="00BE1EFD">
      <w:pPr>
        <w:spacing w:line="360" w:lineRule="auto"/>
        <w:rPr>
          <w:rFonts w:ascii="Arial" w:eastAsia="Times New Roman" w:hAnsi="Arial" w:cs="Arial"/>
          <w:sz w:val="24"/>
          <w:szCs w:val="24"/>
        </w:rPr>
      </w:pPr>
      <w:r w:rsidRPr="00BE1EFD">
        <w:rPr>
          <w:rFonts w:ascii="Arial" w:eastAsia="Times New Roman" w:hAnsi="Arial" w:cs="Arial"/>
          <w:sz w:val="24"/>
          <w:szCs w:val="24"/>
        </w:rPr>
        <w:br w:type="page"/>
      </w:r>
    </w:p>
    <w:p w14:paraId="5C5612CD" w14:textId="77777777" w:rsidR="00F007FD" w:rsidRPr="00BE1EFD" w:rsidRDefault="00F007FD" w:rsidP="00BE1EFD">
      <w:pPr>
        <w:pStyle w:val="Heading2"/>
        <w:rPr>
          <w:rFonts w:ascii="Arial" w:eastAsia="Times New Roman" w:hAnsi="Arial" w:cs="Arial"/>
          <w:b/>
          <w:bCs/>
          <w:color w:val="auto"/>
          <w:sz w:val="24"/>
          <w:szCs w:val="24"/>
        </w:rPr>
      </w:pPr>
      <w:bookmarkStart w:id="2" w:name="_Toc231340200"/>
      <w:r w:rsidRPr="00BE1EFD">
        <w:rPr>
          <w:rFonts w:ascii="Arial" w:eastAsia="Times New Roman" w:hAnsi="Arial" w:cs="Arial"/>
          <w:b/>
          <w:bCs/>
          <w:color w:val="auto"/>
          <w:sz w:val="24"/>
          <w:szCs w:val="24"/>
        </w:rPr>
        <w:lastRenderedPageBreak/>
        <w:t>2. Introduction to VodafoneThree</w:t>
      </w:r>
      <w:bookmarkEnd w:id="2"/>
    </w:p>
    <w:p w14:paraId="6D1C28BF" w14:textId="77777777" w:rsidR="00C51BC6" w:rsidRPr="00BE1EFD" w:rsidRDefault="00F007FD" w:rsidP="00BE1EFD">
      <w:pPr>
        <w:spacing w:after="100" w:afterAutospacing="1" w:line="360" w:lineRule="auto"/>
        <w:jc w:val="both"/>
        <w:rPr>
          <w:rFonts w:ascii="Arial" w:eastAsia="Times New Roman" w:hAnsi="Arial" w:cs="Arial"/>
          <w:sz w:val="24"/>
          <w:szCs w:val="24"/>
        </w:rPr>
      </w:pPr>
      <w:r w:rsidRPr="00BE1EFD">
        <w:rPr>
          <w:rFonts w:ascii="Arial" w:eastAsia="Times New Roman" w:hAnsi="Arial" w:cs="Arial"/>
          <w:sz w:val="24"/>
          <w:szCs w:val="24"/>
        </w:rPr>
        <w:t>Vodafone Group Plc is the one of the world’s biggest telecom operators providing mobile communications, broadband services, enterprise connectivity, cloud solutions, Internet of Things (IoT) platforms and digital services in Europe and Africa. With hundreds of millions of consumers and business users, it is one of the world’s largest providers of digital infrastructure both in the consumer and business space (Vodafone Group, 2025). With its mission statement ‘We Connect for a Better Future’, the company aims to contribute to sustainable economic development, better productivity and social wellbeing by inclusively connecting digital. By connecting people, communities and businesses with innovative telecom solutions, Vodafone’s goal is to create a sustainable digital society. They believe that purpose driven firms achieve a sustainable competitive advantage by fulfilling multiple interests of stakeholders with a long-term strategy, which is a natural fit with Vodafone’s purpose. Vodafone’s key priorities are: Customer satisfaction, network leadership, operational excellence, digital transformation and sustainability. The company is still ramping up its investment in AI, machine learning, and cloud co</w:t>
      </w:r>
      <w:r w:rsidR="00C51BC6" w:rsidRPr="00BE1EFD">
        <w:rPr>
          <w:rFonts w:ascii="Arial" w:eastAsia="Times New Roman" w:hAnsi="Arial" w:cs="Arial"/>
          <w:sz w:val="24"/>
          <w:szCs w:val="24"/>
        </w:rPr>
        <w:t xml:space="preserve">mputing and 5 G </w:t>
      </w:r>
      <w:r w:rsidR="00D25211" w:rsidRPr="00BE1EFD">
        <w:rPr>
          <w:rFonts w:ascii="Arial" w:eastAsia="Times New Roman" w:hAnsi="Arial" w:cs="Arial"/>
          <w:sz w:val="24"/>
          <w:szCs w:val="24"/>
        </w:rPr>
        <w:t>infrastructure. These</w:t>
      </w:r>
      <w:r w:rsidRPr="00BE1EFD">
        <w:rPr>
          <w:rFonts w:ascii="Arial" w:eastAsia="Times New Roman" w:hAnsi="Arial" w:cs="Arial"/>
          <w:sz w:val="24"/>
          <w:szCs w:val="24"/>
        </w:rPr>
        <w:t xml:space="preserve"> coincide with Grant’s 2022 Resource Based View of the Firm that emphasises the competitive advantage of valuable and hard-to-imitate capabilities. In 2025, it was widely recognized that a transformational move in mobile was under way with the merger of Vodafone UK and Three UK which became VodafoneThree. The transaction is valued at £16.5bn, and resulted in complementary assets and capabilities (Vodafone Group, 2025) becoming the UK’s largest mobile network operator with approximately 27 million customers. The firm has pledged £11 billion in investments in the coming decade for a national network of ‘standalone’ 5G technology that will help drive digital growth in the country. The combination is part of broader trends of telecom industry consolidation to realize economies of scale, better market access and infrastructure efficiencies. According to Hill et al. (2024), mergers value creation relates to synergies and asset integration and a significant amount of post-merger annual operating synergies of £700 mil have been identified as the key benefit of the proposed merger by VodafoneThree. The UK telecom sector is competitive and rapidly evolving, with UK major competition and huge investment in the sector, in particular in networks and digital services, from BT/EE and Virgin Media O2 (Ofcom, 2025). Consequently, </w:t>
      </w:r>
      <w:r w:rsidRPr="00BE1EFD">
        <w:rPr>
          <w:rFonts w:ascii="Arial" w:eastAsia="Times New Roman" w:hAnsi="Arial" w:cs="Arial"/>
          <w:sz w:val="24"/>
          <w:szCs w:val="24"/>
        </w:rPr>
        <w:lastRenderedPageBreak/>
        <w:t>VodafoneThree needs to adopt a clear growth programme which would enable or emphasize maximum benefits from the mergers while sustaining competitive advantages in the highly competitive market landscape. In this report, VodafoneThree’s strategic position is analysed using accepted frameworks, growth options are considered and recommendations are made to help the company's strategic direction deliver better value and-stakeholder outcomes in the longer term.</w:t>
      </w:r>
    </w:p>
    <w:p w14:paraId="6C542544" w14:textId="77777777" w:rsidR="00C51BC6" w:rsidRPr="00BE1EFD" w:rsidRDefault="00C51BC6" w:rsidP="00BE1EFD">
      <w:pPr>
        <w:spacing w:after="100" w:afterAutospacing="1" w:line="360" w:lineRule="auto"/>
        <w:jc w:val="center"/>
        <w:rPr>
          <w:rFonts w:ascii="Arial" w:eastAsia="Times New Roman" w:hAnsi="Arial" w:cs="Arial"/>
          <w:sz w:val="24"/>
          <w:szCs w:val="24"/>
        </w:rPr>
      </w:pPr>
      <w:r w:rsidRPr="00BE1EFD">
        <w:rPr>
          <w:rFonts w:ascii="Arial" w:hAnsi="Arial" w:cs="Arial"/>
          <w:noProof/>
          <w:sz w:val="24"/>
          <w:szCs w:val="24"/>
        </w:rPr>
        <w:drawing>
          <wp:inline distT="0" distB="0" distL="0" distR="0" wp14:anchorId="5C721FDF" wp14:editId="51BAA442">
            <wp:extent cx="4539615" cy="2876550"/>
            <wp:effectExtent l="76200" t="76200" r="127635" b="133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40051" cy="28768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268189" w14:textId="77777777" w:rsidR="00C51BC6" w:rsidRPr="00BE1EFD" w:rsidRDefault="00D25211" w:rsidP="00BE1EFD">
      <w:pPr>
        <w:spacing w:after="100" w:afterAutospacing="1" w:line="360" w:lineRule="auto"/>
        <w:jc w:val="center"/>
        <w:rPr>
          <w:rFonts w:ascii="Arial" w:eastAsia="Times New Roman" w:hAnsi="Arial" w:cs="Arial"/>
          <w:b/>
          <w:i/>
          <w:sz w:val="24"/>
          <w:szCs w:val="24"/>
        </w:rPr>
      </w:pPr>
      <w:r w:rsidRPr="00BE1EFD">
        <w:rPr>
          <w:rFonts w:ascii="Arial" w:eastAsia="Times New Roman" w:hAnsi="Arial" w:cs="Arial"/>
          <w:b/>
          <w:i/>
          <w:sz w:val="24"/>
          <w:szCs w:val="24"/>
        </w:rPr>
        <w:t>Figure: Vodafone Group Plc</w:t>
      </w:r>
    </w:p>
    <w:p w14:paraId="27444AE6" w14:textId="77777777" w:rsidR="00C51BC6" w:rsidRPr="00BE1EFD" w:rsidRDefault="00D25211" w:rsidP="00BE1EFD">
      <w:pPr>
        <w:spacing w:after="100" w:afterAutospacing="1" w:line="360" w:lineRule="auto"/>
        <w:jc w:val="center"/>
        <w:rPr>
          <w:rFonts w:ascii="Arial" w:eastAsia="Times New Roman" w:hAnsi="Arial" w:cs="Arial"/>
          <w:b/>
          <w:i/>
          <w:sz w:val="24"/>
          <w:szCs w:val="24"/>
        </w:rPr>
      </w:pPr>
      <w:r w:rsidRPr="00BE1EFD">
        <w:rPr>
          <w:rFonts w:ascii="Arial" w:eastAsia="Times New Roman" w:hAnsi="Arial" w:cs="Arial"/>
          <w:b/>
          <w:i/>
          <w:sz w:val="24"/>
          <w:szCs w:val="24"/>
        </w:rPr>
        <w:t>Source:</w:t>
      </w:r>
      <w:sdt>
        <w:sdtPr>
          <w:rPr>
            <w:rFonts w:ascii="Arial" w:eastAsia="Times New Roman" w:hAnsi="Arial" w:cs="Arial"/>
            <w:b/>
            <w:i/>
            <w:sz w:val="24"/>
            <w:szCs w:val="24"/>
          </w:rPr>
          <w:id w:val="1741753044"/>
          <w:citation/>
        </w:sdtPr>
        <w:sdtContent>
          <w:r w:rsidRPr="00BE1EFD">
            <w:rPr>
              <w:rFonts w:ascii="Arial" w:eastAsia="Times New Roman" w:hAnsi="Arial" w:cs="Arial"/>
              <w:b/>
              <w:i/>
              <w:sz w:val="24"/>
              <w:szCs w:val="24"/>
            </w:rPr>
            <w:fldChar w:fldCharType="begin"/>
          </w:r>
          <w:r w:rsidRPr="00BE1EFD">
            <w:rPr>
              <w:rFonts w:ascii="Arial" w:eastAsia="Times New Roman" w:hAnsi="Arial" w:cs="Arial"/>
              <w:b/>
              <w:i/>
              <w:sz w:val="24"/>
              <w:szCs w:val="24"/>
            </w:rPr>
            <w:instrText xml:space="preserve"> CITATION daS21 \l 1033 </w:instrText>
          </w:r>
          <w:r w:rsidRPr="00BE1EFD">
            <w:rPr>
              <w:rFonts w:ascii="Arial" w:eastAsia="Times New Roman" w:hAnsi="Arial" w:cs="Arial"/>
              <w:b/>
              <w:i/>
              <w:sz w:val="24"/>
              <w:szCs w:val="24"/>
            </w:rPr>
            <w:fldChar w:fldCharType="separate"/>
          </w:r>
          <w:r w:rsidRPr="00BE1EFD">
            <w:rPr>
              <w:rFonts w:ascii="Arial" w:eastAsia="Times New Roman" w:hAnsi="Arial" w:cs="Arial"/>
              <w:b/>
              <w:i/>
              <w:noProof/>
              <w:sz w:val="24"/>
              <w:szCs w:val="24"/>
            </w:rPr>
            <w:t xml:space="preserve"> (da Silva Coutinho, 2021)</w:t>
          </w:r>
          <w:r w:rsidRPr="00BE1EFD">
            <w:rPr>
              <w:rFonts w:ascii="Arial" w:eastAsia="Times New Roman" w:hAnsi="Arial" w:cs="Arial"/>
              <w:b/>
              <w:i/>
              <w:sz w:val="24"/>
              <w:szCs w:val="24"/>
            </w:rPr>
            <w:fldChar w:fldCharType="end"/>
          </w:r>
        </w:sdtContent>
      </w:sdt>
    </w:p>
    <w:p w14:paraId="01FA2337" w14:textId="77777777" w:rsidR="00C51BC6" w:rsidRPr="00BE1EFD" w:rsidRDefault="00C51BC6" w:rsidP="00BE1EFD">
      <w:pPr>
        <w:pStyle w:val="Heading2"/>
        <w:rPr>
          <w:rFonts w:ascii="Arial" w:eastAsia="Times New Roman" w:hAnsi="Arial" w:cs="Arial"/>
          <w:b/>
          <w:color w:val="auto"/>
          <w:sz w:val="24"/>
          <w:szCs w:val="24"/>
        </w:rPr>
      </w:pPr>
    </w:p>
    <w:p w14:paraId="7425974B" w14:textId="77777777" w:rsidR="00F007FD" w:rsidRPr="00BE1EFD" w:rsidRDefault="00F007FD" w:rsidP="00BE1EFD">
      <w:pPr>
        <w:pStyle w:val="Heading2"/>
        <w:rPr>
          <w:rFonts w:ascii="Arial" w:eastAsia="Times New Roman" w:hAnsi="Arial" w:cs="Arial"/>
          <w:b/>
          <w:bCs/>
          <w:color w:val="auto"/>
          <w:sz w:val="24"/>
          <w:szCs w:val="24"/>
        </w:rPr>
      </w:pPr>
      <w:bookmarkStart w:id="3" w:name="_Toc231340201"/>
      <w:r w:rsidRPr="00BE1EFD">
        <w:rPr>
          <w:rFonts w:ascii="Arial" w:eastAsia="Times New Roman" w:hAnsi="Arial" w:cs="Arial"/>
          <w:b/>
          <w:bCs/>
          <w:color w:val="auto"/>
          <w:sz w:val="24"/>
          <w:szCs w:val="24"/>
        </w:rPr>
        <w:t>3. Evaluation of Current Market Situation</w:t>
      </w:r>
      <w:bookmarkEnd w:id="3"/>
    </w:p>
    <w:p w14:paraId="612A1FCB" w14:textId="77777777" w:rsidR="00F007FD" w:rsidRPr="00BE1EFD" w:rsidRDefault="00F007FD" w:rsidP="00BE1EFD">
      <w:pPr>
        <w:pStyle w:val="Heading2"/>
        <w:rPr>
          <w:rFonts w:ascii="Arial" w:eastAsia="Times New Roman" w:hAnsi="Arial" w:cs="Arial"/>
          <w:b/>
          <w:bCs/>
          <w:color w:val="auto"/>
          <w:sz w:val="24"/>
          <w:szCs w:val="24"/>
        </w:rPr>
      </w:pPr>
      <w:bookmarkStart w:id="4" w:name="_Toc231340202"/>
      <w:r w:rsidRPr="00BE1EFD">
        <w:rPr>
          <w:rFonts w:ascii="Arial" w:eastAsia="Times New Roman" w:hAnsi="Arial" w:cs="Arial"/>
          <w:b/>
          <w:bCs/>
          <w:color w:val="auto"/>
          <w:sz w:val="24"/>
          <w:szCs w:val="24"/>
        </w:rPr>
        <w:t>3.1 Industry Structure and Competitive Landscape</w:t>
      </w:r>
      <w:bookmarkEnd w:id="4"/>
    </w:p>
    <w:p w14:paraId="28128FC8"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Telecommunications in the UK is a very oligopolistic market, with three dominant companies, namely, VodafoneThree, BT/EE and Virgin Media O2. It comes as part of the convergence of the whole global telecom industry, which has been hastening the horizontal mergers and acquisitions (Bourreau et al., 2023) by rising investment required to remain competitive and decreasing consumer profitability. Objective from an industrial </w:t>
      </w:r>
      <w:r w:rsidRPr="00BE1EFD">
        <w:rPr>
          <w:rFonts w:ascii="Arial" w:eastAsia="Times New Roman" w:hAnsi="Arial" w:cs="Arial"/>
          <w:sz w:val="24"/>
          <w:szCs w:val="24"/>
        </w:rPr>
        <w:lastRenderedPageBreak/>
        <w:t>organisation view point, the market is both differentiated and price competitive in enterprise segments and competitive in consumer segments respectively. But, the overall profitability continues to be limited because of high switching rates and commoditisation of mobile data services.</w:t>
      </w:r>
    </w:p>
    <w:p w14:paraId="6B22A7BF" w14:textId="77777777" w:rsidR="00F007FD" w:rsidRPr="00BE1EFD" w:rsidRDefault="00F007FD" w:rsidP="00BE1EFD">
      <w:pPr>
        <w:pStyle w:val="Heading2"/>
        <w:rPr>
          <w:rFonts w:ascii="Arial" w:eastAsia="Times New Roman" w:hAnsi="Arial" w:cs="Arial"/>
          <w:b/>
          <w:color w:val="auto"/>
          <w:sz w:val="24"/>
          <w:szCs w:val="24"/>
        </w:rPr>
      </w:pPr>
      <w:bookmarkStart w:id="5" w:name="_Toc231340203"/>
      <w:r w:rsidRPr="00BE1EFD">
        <w:rPr>
          <w:rFonts w:ascii="Arial" w:eastAsia="Times New Roman" w:hAnsi="Arial" w:cs="Arial"/>
          <w:b/>
          <w:color w:val="auto"/>
          <w:sz w:val="24"/>
          <w:szCs w:val="24"/>
        </w:rPr>
        <w:t>3.2 PESTEL Analysis</w:t>
      </w:r>
      <w:bookmarkEnd w:id="5"/>
    </w:p>
    <w:p w14:paraId="2B8A3E27" w14:textId="77777777" w:rsidR="003C267F" w:rsidRPr="00BE1EFD" w:rsidRDefault="003C267F" w:rsidP="00BE1EFD">
      <w:pPr>
        <w:spacing w:before="240" w:after="0" w:line="360" w:lineRule="auto"/>
        <w:jc w:val="both"/>
        <w:outlineLvl w:val="1"/>
        <w:rPr>
          <w:rFonts w:ascii="Arial" w:eastAsia="Times New Roman" w:hAnsi="Arial" w:cs="Arial"/>
          <w:b/>
          <w:bCs/>
          <w:sz w:val="24"/>
          <w:szCs w:val="24"/>
        </w:rPr>
      </w:pPr>
    </w:p>
    <w:p w14:paraId="717F2A11" w14:textId="77777777" w:rsidR="003C267F" w:rsidRPr="00BE1EFD" w:rsidRDefault="003C267F" w:rsidP="00BE1EFD">
      <w:pPr>
        <w:spacing w:before="240" w:after="0" w:line="360" w:lineRule="auto"/>
        <w:jc w:val="center"/>
        <w:outlineLvl w:val="1"/>
        <w:rPr>
          <w:rFonts w:ascii="Arial" w:eastAsia="Times New Roman" w:hAnsi="Arial" w:cs="Arial"/>
          <w:b/>
          <w:bCs/>
          <w:sz w:val="24"/>
          <w:szCs w:val="24"/>
        </w:rPr>
      </w:pPr>
      <w:bookmarkStart w:id="6" w:name="_Toc231340204"/>
      <w:r w:rsidRPr="00BE1EFD">
        <w:rPr>
          <w:rFonts w:ascii="Arial" w:hAnsi="Arial" w:cs="Arial"/>
          <w:noProof/>
          <w:sz w:val="24"/>
          <w:szCs w:val="24"/>
        </w:rPr>
        <w:drawing>
          <wp:inline distT="0" distB="0" distL="0" distR="0" wp14:anchorId="54AF02E6" wp14:editId="535D0DD5">
            <wp:extent cx="2762250" cy="2476500"/>
            <wp:effectExtent l="76200" t="76200" r="133350"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62250" cy="2476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bookmarkEnd w:id="6"/>
    </w:p>
    <w:p w14:paraId="367DCE74" w14:textId="77777777" w:rsidR="003C267F" w:rsidRPr="00BE1EFD" w:rsidRDefault="00D25211" w:rsidP="00BE1EFD">
      <w:pPr>
        <w:spacing w:before="240" w:after="0" w:line="360" w:lineRule="auto"/>
        <w:jc w:val="center"/>
        <w:outlineLvl w:val="1"/>
        <w:rPr>
          <w:rFonts w:ascii="Arial" w:eastAsia="Times New Roman" w:hAnsi="Arial" w:cs="Arial"/>
          <w:b/>
          <w:bCs/>
          <w:i/>
          <w:sz w:val="24"/>
          <w:szCs w:val="24"/>
        </w:rPr>
      </w:pPr>
      <w:bookmarkStart w:id="7" w:name="_Toc231340205"/>
      <w:r w:rsidRPr="00BE1EFD">
        <w:rPr>
          <w:rFonts w:ascii="Arial" w:eastAsia="Times New Roman" w:hAnsi="Arial" w:cs="Arial"/>
          <w:b/>
          <w:bCs/>
          <w:i/>
          <w:sz w:val="24"/>
          <w:szCs w:val="24"/>
        </w:rPr>
        <w:t>Figure: Pestle Analysis</w:t>
      </w:r>
      <w:bookmarkEnd w:id="7"/>
    </w:p>
    <w:p w14:paraId="136610C9" w14:textId="77777777" w:rsidR="00D25211" w:rsidRPr="00BE1EFD" w:rsidRDefault="00D25211" w:rsidP="00BE1EFD">
      <w:pPr>
        <w:spacing w:before="240" w:after="0" w:line="360" w:lineRule="auto"/>
        <w:jc w:val="center"/>
        <w:outlineLvl w:val="1"/>
        <w:rPr>
          <w:rFonts w:ascii="Arial" w:eastAsia="Times New Roman" w:hAnsi="Arial" w:cs="Arial"/>
          <w:b/>
          <w:bCs/>
          <w:i/>
          <w:sz w:val="24"/>
          <w:szCs w:val="24"/>
        </w:rPr>
      </w:pPr>
      <w:bookmarkStart w:id="8" w:name="_Toc231340206"/>
      <w:r w:rsidRPr="00BE1EFD">
        <w:rPr>
          <w:rFonts w:ascii="Arial" w:eastAsia="Times New Roman" w:hAnsi="Arial" w:cs="Arial"/>
          <w:b/>
          <w:bCs/>
          <w:i/>
          <w:sz w:val="24"/>
          <w:szCs w:val="24"/>
        </w:rPr>
        <w:t>Source:</w:t>
      </w:r>
      <w:sdt>
        <w:sdtPr>
          <w:rPr>
            <w:rFonts w:ascii="Arial" w:eastAsia="Times New Roman" w:hAnsi="Arial" w:cs="Arial"/>
            <w:b/>
            <w:bCs/>
            <w:i/>
            <w:sz w:val="24"/>
            <w:szCs w:val="24"/>
          </w:rPr>
          <w:id w:val="479428984"/>
          <w:citation/>
        </w:sdtPr>
        <w:sdtContent>
          <w:r w:rsidRPr="00BE1EFD">
            <w:rPr>
              <w:rFonts w:ascii="Arial" w:eastAsia="Times New Roman" w:hAnsi="Arial" w:cs="Arial"/>
              <w:b/>
              <w:bCs/>
              <w:i/>
              <w:sz w:val="24"/>
              <w:szCs w:val="24"/>
            </w:rPr>
            <w:fldChar w:fldCharType="begin"/>
          </w:r>
          <w:r w:rsidRPr="00BE1EFD">
            <w:rPr>
              <w:rFonts w:ascii="Arial" w:eastAsia="Times New Roman" w:hAnsi="Arial" w:cs="Arial"/>
              <w:b/>
              <w:bCs/>
              <w:i/>
              <w:sz w:val="24"/>
              <w:szCs w:val="24"/>
            </w:rPr>
            <w:instrText xml:space="preserve"> CITATION ΡΩΜ22 \l 1033 </w:instrText>
          </w:r>
          <w:r w:rsidRPr="00BE1EFD">
            <w:rPr>
              <w:rFonts w:ascii="Arial" w:eastAsia="Times New Roman" w:hAnsi="Arial" w:cs="Arial"/>
              <w:b/>
              <w:bCs/>
              <w:i/>
              <w:sz w:val="24"/>
              <w:szCs w:val="24"/>
            </w:rPr>
            <w:fldChar w:fldCharType="separate"/>
          </w:r>
          <w:r w:rsidRPr="00BE1EFD">
            <w:rPr>
              <w:rFonts w:ascii="Arial" w:eastAsia="Times New Roman" w:hAnsi="Arial" w:cs="Arial"/>
              <w:b/>
              <w:bCs/>
              <w:i/>
              <w:noProof/>
              <w:sz w:val="24"/>
              <w:szCs w:val="24"/>
            </w:rPr>
            <w:t xml:space="preserve"> </w:t>
          </w:r>
          <w:r w:rsidRPr="00BE1EFD">
            <w:rPr>
              <w:rFonts w:ascii="Arial" w:eastAsia="Times New Roman" w:hAnsi="Arial" w:cs="Arial"/>
              <w:b/>
              <w:i/>
              <w:noProof/>
              <w:sz w:val="24"/>
              <w:szCs w:val="24"/>
            </w:rPr>
            <w:t>(ΡΩΜΑΝΟΠΟΥΛΟΥ, 2022)</w:t>
          </w:r>
          <w:r w:rsidRPr="00BE1EFD">
            <w:rPr>
              <w:rFonts w:ascii="Arial" w:eastAsia="Times New Roman" w:hAnsi="Arial" w:cs="Arial"/>
              <w:b/>
              <w:bCs/>
              <w:i/>
              <w:sz w:val="24"/>
              <w:szCs w:val="24"/>
            </w:rPr>
            <w:fldChar w:fldCharType="end"/>
          </w:r>
        </w:sdtContent>
      </w:sdt>
      <w:bookmarkEnd w:id="8"/>
    </w:p>
    <w:p w14:paraId="4D9E9DED" w14:textId="77777777" w:rsidR="003C267F" w:rsidRPr="00BE1EFD" w:rsidRDefault="003C267F" w:rsidP="00BE1EFD">
      <w:pPr>
        <w:spacing w:before="240" w:after="0" w:line="360" w:lineRule="auto"/>
        <w:jc w:val="center"/>
        <w:outlineLvl w:val="1"/>
        <w:rPr>
          <w:rFonts w:ascii="Arial" w:eastAsia="Times New Roman" w:hAnsi="Arial" w:cs="Arial"/>
          <w:b/>
          <w:bCs/>
          <w:i/>
          <w:sz w:val="24"/>
          <w:szCs w:val="24"/>
        </w:rPr>
      </w:pPr>
    </w:p>
    <w:p w14:paraId="591D5BB2" w14:textId="77777777" w:rsidR="00F007FD" w:rsidRPr="00BE1EFD" w:rsidRDefault="00F007FD" w:rsidP="00BE1EFD">
      <w:pPr>
        <w:spacing w:before="240" w:after="0" w:line="360" w:lineRule="auto"/>
        <w:jc w:val="both"/>
        <w:outlineLvl w:val="2"/>
        <w:rPr>
          <w:rFonts w:ascii="Arial" w:eastAsia="Times New Roman" w:hAnsi="Arial" w:cs="Arial"/>
          <w:b/>
          <w:bCs/>
          <w:sz w:val="24"/>
          <w:szCs w:val="24"/>
        </w:rPr>
      </w:pPr>
      <w:bookmarkStart w:id="9" w:name="_Toc231340207"/>
      <w:r w:rsidRPr="00BE1EFD">
        <w:rPr>
          <w:rFonts w:ascii="Arial" w:eastAsia="Times New Roman" w:hAnsi="Arial" w:cs="Arial"/>
          <w:b/>
          <w:bCs/>
          <w:sz w:val="24"/>
          <w:szCs w:val="24"/>
        </w:rPr>
        <w:t>Political and Regulatory Environment</w:t>
      </w:r>
      <w:bookmarkEnd w:id="9"/>
    </w:p>
    <w:p w14:paraId="5653AA42"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VodafoneThree’s strategic path is one of the most influenced factors when it comes to political and regulatory circumstances. This CMA approval process and Ofcom’s oversight, however, are typical of a body where considerations for both competition and national infrastructure objectives evolve. Approval subject to behavioural remedies: Pricing safeguards, Access to the wholesale market and Long-term 5G infrastructure investment commitments (CMA 2025). This regulatory stance fits with the new “innovation-oriented competition policy” model, which argues that more and more </w:t>
      </w:r>
      <w:r w:rsidRPr="00BE1EFD">
        <w:rPr>
          <w:rFonts w:ascii="Arial" w:eastAsia="Times New Roman" w:hAnsi="Arial" w:cs="Arial"/>
          <w:sz w:val="24"/>
          <w:szCs w:val="24"/>
        </w:rPr>
        <w:lastRenderedPageBreak/>
        <w:t>regulators will find it acceptable to allow market concentration as long as the consumers are provided with better infra investments and long-term consumer welfare benefits (Petit et al 2023). But the reverse is also true, as compliance is becoming more complicated—and also confines the ability to price more flexibly in the short term for VodafoneThree.</w:t>
      </w:r>
    </w:p>
    <w:p w14:paraId="62B783B6" w14:textId="77777777" w:rsidR="00F007FD" w:rsidRPr="00BE1EFD" w:rsidRDefault="00F007FD" w:rsidP="00BE1EFD">
      <w:pPr>
        <w:spacing w:before="240" w:after="0" w:line="360" w:lineRule="auto"/>
        <w:jc w:val="both"/>
        <w:outlineLvl w:val="2"/>
        <w:rPr>
          <w:rFonts w:ascii="Arial" w:eastAsia="Times New Roman" w:hAnsi="Arial" w:cs="Arial"/>
          <w:b/>
          <w:bCs/>
          <w:sz w:val="24"/>
          <w:szCs w:val="24"/>
        </w:rPr>
      </w:pPr>
      <w:bookmarkStart w:id="10" w:name="_Toc231340208"/>
      <w:r w:rsidRPr="00BE1EFD">
        <w:rPr>
          <w:rFonts w:ascii="Arial" w:eastAsia="Times New Roman" w:hAnsi="Arial" w:cs="Arial"/>
          <w:b/>
          <w:bCs/>
          <w:sz w:val="24"/>
          <w:szCs w:val="24"/>
        </w:rPr>
        <w:t>Economic Environment</w:t>
      </w:r>
      <w:bookmarkEnd w:id="10"/>
    </w:p>
    <w:p w14:paraId="3544BFE0"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VodafoneThree have a sausage and onion element of structure that complicate the overall UK macroeconomic environment as well as potential strategic opportunities. As a result of pressures of inflation and higher interest rates, financing of large-scale investments in 5G infrastructure has risen in costs, directly affecting the cost of capital. Unfortunately, consumer Average Revenue per User (ARPU) is also stagnating at the same time, which is slowing down organic consumer revenue growth for traditional mobile services. But it’s a huge offsetting opportunity as we extend the UK digital economy. The digital economy now plays a role in topping the UK’s GDP with an impact of over £150 billion in every year and the industry is growing with a larger share of cloud computing, artificial intelligence and enterprise digital transformation projects (HM Treasury, 2025). In terms of revenue growth, McKinsey (2024) suggests that enterprise ICT service revenue will be the major driver over the next decade, for instance through the use of 5G-based private networks and IoT connectivity and via cloud-based communication infrastructure.</w:t>
      </w:r>
    </w:p>
    <w:p w14:paraId="2981B74A"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Social Environment</w:t>
      </w:r>
    </w:p>
    <w:p w14:paraId="70614D39"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Demand is changing for telecom products due to social trends. Today’s situation of more and more people working remotely, eating entertainment via digital devices and living smartphone-first, has dramatically changed consumer expectations. It is no longer about making connectivity an ‘optional extras' but a digital ‘necessity to participate’ of wider economic and social life (Deloitte, 2025).This is a shift corresponding with the “digital dependency” of people and institutions, who need non-stop high-speed 24/7 access to connectivity, services and communication for productivity. This has led to a dramatic rise in the demand for high-quality network performance, low latency, seamless network </w:t>
      </w:r>
      <w:r w:rsidRPr="00BE1EFD">
        <w:rPr>
          <w:rFonts w:ascii="Arial" w:eastAsia="Times New Roman" w:hAnsi="Arial" w:cs="Arial"/>
          <w:sz w:val="24"/>
          <w:szCs w:val="24"/>
        </w:rPr>
        <w:lastRenderedPageBreak/>
        <w:t>coverage, etc. This further adds pressure to VodafoneThree to keep the network robust for competition, and to improve network infrastructure skills.</w:t>
      </w:r>
    </w:p>
    <w:p w14:paraId="5FDC7E83"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Technological Environment</w:t>
      </w:r>
    </w:p>
    <w:p w14:paraId="28EE5CB4"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Technological change is the greatest influence in the telecom sector. Transitioning to 5G standalone network architecture, bringing artificial intelligence, edge computing and IoT into the mix are fundamentally changing telecom business models. GSMA (2025) states almost 30 percent of operational expenses can be saved with AI-powered telecom networks, and that these systems help to improve network efficiency, predictive maintenance and customer experience. VodafoneThree’s ability, therefore, to incorporate AI into the infrastructure of its network will become a major factor in how competitive it is – especially in enterprise markets, where reliability and latency become significant performance factors.</w:t>
      </w:r>
    </w:p>
    <w:p w14:paraId="5B673B8F"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Environmental Environment</w:t>
      </w:r>
    </w:p>
    <w:p w14:paraId="2264B272"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Telecom operators are now under regulatory pressure and investor expectations that these companies place a strategic focus on environmental sustainability. Rising carbon emissions in the telecommunications industry are due to the expansion of data centres, growth in network infrastructure, and growth in data usage. VodafoneThree’s targets and timelines for net zero emissions are in line with other recent examples of Environmental, Social and Governance (ESG) investment trend and stakeholder expectations of a speedier reach for Net Zero (Eccles et al., 2023). Capital allocation decisions are guided by ESG while investors prefer capital invested in firms with credible sustainability agenda. Sustainable network design, energy efficient infrastructure and circular economy are thus a growing part of their telecom strategy. This ranges from promoting the use of renewable energy sources, optimizing energy usage over the network’s lifecycle to minimizing e-waste over its life cycle.</w:t>
      </w:r>
    </w:p>
    <w:p w14:paraId="0C1E7C8F" w14:textId="77777777" w:rsidR="00F007FD" w:rsidRPr="00BE1EFD" w:rsidRDefault="00F007FD" w:rsidP="00BE1EFD">
      <w:pPr>
        <w:spacing w:before="240" w:after="0" w:line="360" w:lineRule="auto"/>
        <w:jc w:val="both"/>
        <w:outlineLvl w:val="2"/>
        <w:rPr>
          <w:rFonts w:ascii="Arial" w:eastAsia="Times New Roman" w:hAnsi="Arial" w:cs="Arial"/>
          <w:sz w:val="24"/>
          <w:szCs w:val="24"/>
        </w:rPr>
      </w:pPr>
      <w:bookmarkStart w:id="11" w:name="_Toc231340209"/>
      <w:r w:rsidRPr="00BE1EFD">
        <w:rPr>
          <w:rFonts w:ascii="Arial" w:eastAsia="Times New Roman" w:hAnsi="Arial" w:cs="Arial"/>
          <w:b/>
          <w:bCs/>
          <w:sz w:val="24"/>
          <w:szCs w:val="24"/>
        </w:rPr>
        <w:t>Legal Environment</w:t>
      </w:r>
      <w:bookmarkEnd w:id="11"/>
      <w:r w:rsidRPr="00BE1EFD">
        <w:rPr>
          <w:rFonts w:ascii="Arial" w:eastAsia="Times New Roman" w:hAnsi="Arial" w:cs="Arial"/>
          <w:sz w:val="24"/>
          <w:szCs w:val="24"/>
        </w:rPr>
        <w:t xml:space="preserve"> </w:t>
      </w:r>
    </w:p>
    <w:p w14:paraId="089D35D2" w14:textId="77777777" w:rsidR="00F007FD" w:rsidRPr="00BE1EFD" w:rsidRDefault="00F007FD" w:rsidP="00BE1EFD">
      <w:pPr>
        <w:spacing w:before="240" w:after="0" w:line="360" w:lineRule="auto"/>
        <w:jc w:val="both"/>
        <w:outlineLvl w:val="2"/>
        <w:rPr>
          <w:rFonts w:ascii="Arial" w:eastAsia="Times New Roman" w:hAnsi="Arial" w:cs="Arial"/>
          <w:b/>
          <w:bCs/>
          <w:sz w:val="24"/>
          <w:szCs w:val="24"/>
        </w:rPr>
      </w:pPr>
      <w:bookmarkStart w:id="12" w:name="_Toc231340210"/>
      <w:r w:rsidRPr="00BE1EFD">
        <w:rPr>
          <w:rFonts w:ascii="Arial" w:eastAsia="Times New Roman" w:hAnsi="Arial" w:cs="Arial"/>
          <w:sz w:val="24"/>
          <w:szCs w:val="24"/>
        </w:rPr>
        <w:t xml:space="preserve">VodafoneThree’s core regulations are characterized by strong data protection, competition and up-and-coming artificial intelligence laws. The UK GDPR has strict </w:t>
      </w:r>
      <w:r w:rsidRPr="00BE1EFD">
        <w:rPr>
          <w:rFonts w:ascii="Arial" w:eastAsia="Times New Roman" w:hAnsi="Arial" w:cs="Arial"/>
          <w:sz w:val="24"/>
          <w:szCs w:val="24"/>
        </w:rPr>
        <w:lastRenderedPageBreak/>
        <w:t>requirements around data privacy, consent and transparency of data handling relating to your customers. Bearing this in mind, these requirements bear prominent direct relationships to how more and more telecom operator’s focus on implementing AI applications for data analytics and personalised services. Also, new AI governance frameworks are being adopted in the UK and OECD, which effect new compliance obligations for algorithmic transparency, ethical use and risk management in algorithmic automated decision making (OECD, 2024). Therefore, these legal developments have a profound impact on VodafoneThree’s ability to scale services enabled by AI without the risk of fines. Further strategic flexibility is limited by the spectrum licensing rules as well as competition law, especially with regards to pricing and markets behaviour and sharing of the infrastructure. This means that VodafoneThree has to work in a highly regulated environment where decisions to be taken are closely scrutinised by the public authorities.</w:t>
      </w:r>
      <w:bookmarkEnd w:id="12"/>
    </w:p>
    <w:p w14:paraId="122671CA" w14:textId="77777777" w:rsidR="00F007FD" w:rsidRPr="00BE1EFD" w:rsidRDefault="00F007FD" w:rsidP="00BE1EFD">
      <w:pPr>
        <w:pStyle w:val="Heading2"/>
        <w:rPr>
          <w:rFonts w:ascii="Arial" w:eastAsia="Times New Roman" w:hAnsi="Arial" w:cs="Arial"/>
          <w:b/>
          <w:color w:val="auto"/>
          <w:sz w:val="24"/>
          <w:szCs w:val="24"/>
        </w:rPr>
      </w:pPr>
      <w:bookmarkStart w:id="13" w:name="_Toc231340211"/>
      <w:r w:rsidRPr="00BE1EFD">
        <w:rPr>
          <w:rFonts w:ascii="Arial" w:eastAsia="Times New Roman" w:hAnsi="Arial" w:cs="Arial"/>
          <w:b/>
          <w:color w:val="auto"/>
          <w:sz w:val="24"/>
          <w:szCs w:val="24"/>
        </w:rPr>
        <w:t>3.3 SWOT Analysis</w:t>
      </w:r>
      <w:bookmarkEnd w:id="13"/>
    </w:p>
    <w:p w14:paraId="67E80435" w14:textId="77777777" w:rsidR="00F007FD" w:rsidRPr="00BE1EFD" w:rsidRDefault="00F007FD" w:rsidP="00BE1EFD">
      <w:pPr>
        <w:spacing w:before="240" w:after="0" w:line="360" w:lineRule="auto"/>
        <w:jc w:val="both"/>
        <w:outlineLvl w:val="2"/>
        <w:rPr>
          <w:rFonts w:ascii="Arial" w:eastAsia="Times New Roman" w:hAnsi="Arial" w:cs="Arial"/>
          <w:b/>
          <w:bCs/>
          <w:sz w:val="24"/>
          <w:szCs w:val="24"/>
        </w:rPr>
      </w:pPr>
      <w:bookmarkStart w:id="14" w:name="_Toc231340212"/>
      <w:r w:rsidRPr="00BE1EFD">
        <w:rPr>
          <w:rFonts w:ascii="Arial" w:eastAsia="Times New Roman" w:hAnsi="Arial" w:cs="Arial"/>
          <w:b/>
          <w:bCs/>
          <w:sz w:val="24"/>
          <w:szCs w:val="24"/>
        </w:rPr>
        <w:t>Strengths</w:t>
      </w:r>
      <w:bookmarkEnd w:id="14"/>
    </w:p>
    <w:p w14:paraId="4AF65D70"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There are a few things that make Vodafone unique from other power players; its enhanced position in the market after the VodafoneThree merger is one of them. The merger allows for the two companies to be the UK’s largest mobile network operator with extensive customer bases and sizeable finances. Sustainable competitive advantage is derived from valuable, rare, inimitable and organisationally embedded resources (Barney, 1991) is the argument of Resource Based View (RBV) theory. Vodafone’s vast spectrum capabilities, its network infrastructure, and global know-how are among their strategic strengths that, perhaps, will not be easily replicable by Vodafone’s rivals. In addition, Vodafone has revealed that, in key markets, customer satisfaction has also been enhanced with its best-ever customer experience scores amongst its UK customers in FY25 (Vodafone Group, 2025</w:t>
      </w:r>
      <w:proofErr w:type="gramStart"/>
      <w:r w:rsidRPr="00BE1EFD">
        <w:rPr>
          <w:rFonts w:ascii="Arial" w:eastAsia="Times New Roman" w:hAnsi="Arial" w:cs="Arial"/>
          <w:sz w:val="24"/>
          <w:szCs w:val="24"/>
        </w:rPr>
        <w:t>).Also</w:t>
      </w:r>
      <w:proofErr w:type="gramEnd"/>
      <w:r w:rsidRPr="00BE1EFD">
        <w:rPr>
          <w:rFonts w:ascii="Arial" w:eastAsia="Times New Roman" w:hAnsi="Arial" w:cs="Arial"/>
          <w:sz w:val="24"/>
          <w:szCs w:val="24"/>
        </w:rPr>
        <w:t xml:space="preserve"> impressive is VodafoneThree’s plans for an investment of £11 billion into standalone 5G infrastructure. Differentiation in terms of the quality of services offered and technological competence are one of the ways in which competitive advantage can be attained, according to Porter (1985). Vodafone has a wide-ranging network investment plan that will enhance connectivity, capacity and complement new technologies like on-board AI, connected mobility and smart cities. The progress </w:t>
      </w:r>
      <w:r w:rsidRPr="00BE1EFD">
        <w:rPr>
          <w:rFonts w:ascii="Arial" w:eastAsia="Times New Roman" w:hAnsi="Arial" w:cs="Arial"/>
          <w:sz w:val="24"/>
          <w:szCs w:val="24"/>
        </w:rPr>
        <w:lastRenderedPageBreak/>
        <w:t>further adds to Vodafone’s arsenal to help differentiate itself among rivals such as BT/EE and Virgin Media O2.</w:t>
      </w:r>
    </w:p>
    <w:p w14:paraId="686B7903"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Weaknesses</w:t>
      </w:r>
    </w:p>
    <w:p w14:paraId="7E0E546F"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The strengths of the merger are still considered to be advantages, as integration is still a major organisational vulnerability. However, the research of Cartwright and Schoenberg (2022) shows that, when mergers take place, a lack of cultural understanding, business complexities and employee resistance often offset the positive gains envisioned. Vodafone will need to merge together various systems, business processes and organisational cultures, all while keeping the quality of service and maintaining customer satisfaction. If integration is not done properly, it can have a detrimental impact on the performance and customer </w:t>
      </w:r>
      <w:r w:rsidR="003C267F" w:rsidRPr="00BE1EFD">
        <w:rPr>
          <w:rFonts w:ascii="Arial" w:eastAsia="Times New Roman" w:hAnsi="Arial" w:cs="Arial"/>
          <w:sz w:val="24"/>
          <w:szCs w:val="24"/>
        </w:rPr>
        <w:t>loyalty. Moreover</w:t>
      </w:r>
      <w:r w:rsidRPr="00BE1EFD">
        <w:rPr>
          <w:rFonts w:ascii="Arial" w:eastAsia="Times New Roman" w:hAnsi="Arial" w:cs="Arial"/>
          <w:sz w:val="24"/>
          <w:szCs w:val="24"/>
        </w:rPr>
        <w:t>, the telecom sector needs significant outlays on infrastructure for sustaining and improving their facilities. The company may have to sacrifice its financial resources to invest in a far-flung network, especially if the synergies they’ve hoped for are not realised. In capital-intensive industries, companies may be struggling with the challenge of balancing investments with the repayment needs of shareholders, Grant (2022) writes.</w:t>
      </w:r>
    </w:p>
    <w:p w14:paraId="06CA1931"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Opportunities</w:t>
      </w:r>
    </w:p>
    <w:p w14:paraId="123531D0"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5G Technology, Artificial intelligence, Cloud computing, Internet of Things all are shaping up to be exciting growth areas for Vodafone. As businesses around the world start to embrace a digital transformation agenda, the volume of IoT connections is set to continue growing across the globe (Statista, 2025). Vodafone already has one of the world’s biggest IoT platforms, offering them an opportunity to grow into more than just a telecom company with enterprise solutions. Additionally, the UK can look forward to an increase of £102 billion to the economy between 2025 and 2035 through VodafoneThree’s network expansion programme, plus sustaining around 13,000 jobs. This will provide an opportunity for a public-private partnership, smart city solutions, and infrastructure to support the government’s digital transformation goals.</w:t>
      </w:r>
    </w:p>
    <w:p w14:paraId="1DC4B734" w14:textId="77777777" w:rsidR="00F007FD" w:rsidRPr="00BE1EFD" w:rsidRDefault="00F007FD" w:rsidP="00BE1EFD">
      <w:pPr>
        <w:spacing w:before="240" w:after="0" w:line="360" w:lineRule="auto"/>
        <w:jc w:val="both"/>
        <w:outlineLvl w:val="2"/>
        <w:rPr>
          <w:rFonts w:ascii="Arial" w:eastAsia="Times New Roman" w:hAnsi="Arial" w:cs="Arial"/>
          <w:b/>
          <w:bCs/>
          <w:sz w:val="24"/>
          <w:szCs w:val="24"/>
        </w:rPr>
      </w:pPr>
      <w:bookmarkStart w:id="15" w:name="_Toc231340213"/>
      <w:r w:rsidRPr="00BE1EFD">
        <w:rPr>
          <w:rFonts w:ascii="Arial" w:eastAsia="Times New Roman" w:hAnsi="Arial" w:cs="Arial"/>
          <w:b/>
          <w:bCs/>
          <w:sz w:val="24"/>
          <w:szCs w:val="24"/>
        </w:rPr>
        <w:t>Threats</w:t>
      </w:r>
      <w:bookmarkEnd w:id="15"/>
    </w:p>
    <w:p w14:paraId="1EB51A0A"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lastRenderedPageBreak/>
        <w:t>The UK telecom sector is still very competitive. Porter (1980) says that strong competition can also lead to less profitability in the form of price competition and a higher budget of marketing. BT/EE and Virgin Media O2 are also strong competitors that are pushing the envelope when it comes to getting chops and people onboard their product. Other challenges include technological disruption and cyber security threats. The World Economic Forum (2025) highlights cyberattacks as one of the most serious threats facing to the digital infrastructure providers. When Vodafone builds its digital ecosystem and enterprise services, it is crucial to establish trust with the customer through strengthening their cyber security.</w:t>
      </w:r>
    </w:p>
    <w:p w14:paraId="24B4A470" w14:textId="77777777" w:rsidR="003C267F" w:rsidRPr="00BE1EFD" w:rsidRDefault="003C267F" w:rsidP="00BE1EFD">
      <w:pPr>
        <w:spacing w:before="240" w:after="0" w:line="360" w:lineRule="auto"/>
        <w:jc w:val="center"/>
        <w:rPr>
          <w:rFonts w:ascii="Arial" w:eastAsia="Times New Roman" w:hAnsi="Arial" w:cs="Arial"/>
          <w:sz w:val="24"/>
          <w:szCs w:val="24"/>
        </w:rPr>
      </w:pPr>
      <w:r w:rsidRPr="00BE1EFD">
        <w:rPr>
          <w:rFonts w:ascii="Arial" w:hAnsi="Arial" w:cs="Arial"/>
          <w:noProof/>
          <w:sz w:val="24"/>
          <w:szCs w:val="24"/>
        </w:rPr>
        <w:drawing>
          <wp:inline distT="0" distB="0" distL="0" distR="0" wp14:anchorId="61B9BE11" wp14:editId="3F1E3091">
            <wp:extent cx="3514725" cy="2367807"/>
            <wp:effectExtent l="76200" t="76200" r="123825" b="128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25084" cy="23747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151602" w14:textId="77777777" w:rsidR="00D25211" w:rsidRPr="00BE1EFD" w:rsidRDefault="00D25211" w:rsidP="00BE1EFD">
      <w:pPr>
        <w:spacing w:before="240" w:after="0" w:line="360" w:lineRule="auto"/>
        <w:jc w:val="center"/>
        <w:rPr>
          <w:rFonts w:ascii="Arial" w:eastAsia="Times New Roman" w:hAnsi="Arial" w:cs="Arial"/>
          <w:b/>
          <w:i/>
          <w:sz w:val="24"/>
          <w:szCs w:val="24"/>
        </w:rPr>
      </w:pPr>
      <w:r w:rsidRPr="00BE1EFD">
        <w:rPr>
          <w:rFonts w:ascii="Arial" w:eastAsia="Times New Roman" w:hAnsi="Arial" w:cs="Arial"/>
          <w:b/>
          <w:i/>
          <w:sz w:val="24"/>
          <w:szCs w:val="24"/>
        </w:rPr>
        <w:t>Figure: SWOT Analysis of Vodafone</w:t>
      </w:r>
    </w:p>
    <w:p w14:paraId="60FA22D7" w14:textId="77777777" w:rsidR="00D25211" w:rsidRPr="00BE1EFD" w:rsidRDefault="00D25211" w:rsidP="00BE1EFD">
      <w:pPr>
        <w:spacing w:before="240" w:after="0" w:line="360" w:lineRule="auto"/>
        <w:jc w:val="center"/>
        <w:rPr>
          <w:rFonts w:ascii="Arial" w:eastAsia="Times New Roman" w:hAnsi="Arial" w:cs="Arial"/>
          <w:sz w:val="24"/>
          <w:szCs w:val="24"/>
        </w:rPr>
      </w:pPr>
      <w:r w:rsidRPr="00BE1EFD">
        <w:rPr>
          <w:rFonts w:ascii="Arial" w:eastAsia="Times New Roman" w:hAnsi="Arial" w:cs="Arial"/>
          <w:b/>
          <w:i/>
          <w:sz w:val="24"/>
          <w:szCs w:val="24"/>
        </w:rPr>
        <w:t>Source:</w:t>
      </w:r>
      <w:sdt>
        <w:sdtPr>
          <w:rPr>
            <w:rFonts w:ascii="Arial" w:eastAsia="Times New Roman" w:hAnsi="Arial" w:cs="Arial"/>
            <w:b/>
            <w:i/>
            <w:sz w:val="24"/>
            <w:szCs w:val="24"/>
          </w:rPr>
          <w:id w:val="1910569103"/>
          <w:citation/>
        </w:sdtPr>
        <w:sdtContent>
          <w:r w:rsidRPr="00BE1EFD">
            <w:rPr>
              <w:rFonts w:ascii="Arial" w:eastAsia="Times New Roman" w:hAnsi="Arial" w:cs="Arial"/>
              <w:b/>
              <w:i/>
              <w:sz w:val="24"/>
              <w:szCs w:val="24"/>
            </w:rPr>
            <w:fldChar w:fldCharType="begin"/>
          </w:r>
          <w:r w:rsidRPr="00BE1EFD">
            <w:rPr>
              <w:rFonts w:ascii="Arial" w:eastAsia="Times New Roman" w:hAnsi="Arial" w:cs="Arial"/>
              <w:b/>
              <w:i/>
              <w:sz w:val="24"/>
              <w:szCs w:val="24"/>
            </w:rPr>
            <w:instrText xml:space="preserve"> CITATION Sim241 \l 1033 </w:instrText>
          </w:r>
          <w:r w:rsidRPr="00BE1EFD">
            <w:rPr>
              <w:rFonts w:ascii="Arial" w:eastAsia="Times New Roman" w:hAnsi="Arial" w:cs="Arial"/>
              <w:b/>
              <w:i/>
              <w:sz w:val="24"/>
              <w:szCs w:val="24"/>
            </w:rPr>
            <w:fldChar w:fldCharType="separate"/>
          </w:r>
          <w:r w:rsidRPr="00BE1EFD">
            <w:rPr>
              <w:rFonts w:ascii="Arial" w:eastAsia="Times New Roman" w:hAnsi="Arial" w:cs="Arial"/>
              <w:b/>
              <w:i/>
              <w:noProof/>
              <w:sz w:val="24"/>
              <w:szCs w:val="24"/>
            </w:rPr>
            <w:t xml:space="preserve"> (Simões, 2024)</w:t>
          </w:r>
          <w:r w:rsidRPr="00BE1EFD">
            <w:rPr>
              <w:rFonts w:ascii="Arial" w:eastAsia="Times New Roman" w:hAnsi="Arial" w:cs="Arial"/>
              <w:b/>
              <w:i/>
              <w:sz w:val="24"/>
              <w:szCs w:val="24"/>
            </w:rPr>
            <w:fldChar w:fldCharType="end"/>
          </w:r>
        </w:sdtContent>
      </w:sdt>
    </w:p>
    <w:p w14:paraId="77178352" w14:textId="77777777" w:rsidR="00F007FD" w:rsidRPr="00BE1EFD" w:rsidRDefault="00F007FD" w:rsidP="00BE1EFD">
      <w:pPr>
        <w:pStyle w:val="Heading2"/>
        <w:rPr>
          <w:rFonts w:ascii="Arial" w:eastAsia="Times New Roman" w:hAnsi="Arial" w:cs="Arial"/>
          <w:b/>
          <w:color w:val="auto"/>
          <w:sz w:val="24"/>
          <w:szCs w:val="24"/>
        </w:rPr>
      </w:pPr>
      <w:bookmarkStart w:id="16" w:name="_Toc231340214"/>
      <w:r w:rsidRPr="00BE1EFD">
        <w:rPr>
          <w:rFonts w:ascii="Arial" w:eastAsia="Times New Roman" w:hAnsi="Arial" w:cs="Arial"/>
          <w:b/>
          <w:color w:val="auto"/>
          <w:sz w:val="24"/>
          <w:szCs w:val="24"/>
        </w:rPr>
        <w:t>3.4 Porter’s Five Forces Analysis</w:t>
      </w:r>
      <w:bookmarkEnd w:id="16"/>
    </w:p>
    <w:p w14:paraId="5C15CC3C" w14:textId="77777777" w:rsidR="00F007FD" w:rsidRPr="00BE1EFD" w:rsidRDefault="00F007FD" w:rsidP="00BE1EFD">
      <w:pPr>
        <w:spacing w:before="240" w:after="0" w:line="360" w:lineRule="auto"/>
        <w:jc w:val="both"/>
        <w:outlineLvl w:val="1"/>
        <w:rPr>
          <w:rFonts w:ascii="Arial" w:eastAsia="Times New Roman" w:hAnsi="Arial" w:cs="Arial"/>
          <w:b/>
          <w:bCs/>
          <w:sz w:val="24"/>
          <w:szCs w:val="24"/>
        </w:rPr>
      </w:pPr>
      <w:bookmarkStart w:id="17" w:name="_Toc231340215"/>
      <w:r w:rsidRPr="00BE1EFD">
        <w:rPr>
          <w:rFonts w:ascii="Arial" w:eastAsia="Times New Roman" w:hAnsi="Arial" w:cs="Arial"/>
          <w:b/>
          <w:bCs/>
          <w:sz w:val="24"/>
          <w:szCs w:val="24"/>
        </w:rPr>
        <w:t>Competitive Rivalry in the UK Telecommunications Industry</w:t>
      </w:r>
      <w:bookmarkEnd w:id="17"/>
    </w:p>
    <w:p w14:paraId="4B4905EB"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Driven by the situation of structural saturation, the high fixed costs and lack of organic growth in the consumer markets, the competition is very strong in the UK Telecommunications sector. Today’s deal between the merger of Vodafone UK and Three UK has turned the market into an oligopoly of three companies: VodafoneThree, EE/ BT and Virgin Media O2. Even as competition has been reduced in theory, there is empirical </w:t>
      </w:r>
      <w:r w:rsidRPr="00BE1EFD">
        <w:rPr>
          <w:rFonts w:ascii="Arial" w:eastAsia="Times New Roman" w:hAnsi="Arial" w:cs="Arial"/>
          <w:sz w:val="24"/>
          <w:szCs w:val="24"/>
        </w:rPr>
        <w:lastRenderedPageBreak/>
        <w:t xml:space="preserve">evidence indicating that </w:t>
      </w:r>
      <w:r w:rsidR="003C267F" w:rsidRPr="00BE1EFD">
        <w:rPr>
          <w:rFonts w:ascii="Arial" w:eastAsia="Times New Roman" w:hAnsi="Arial" w:cs="Arial"/>
          <w:sz w:val="24"/>
          <w:szCs w:val="24"/>
        </w:rPr>
        <w:t>telecom</w:t>
      </w:r>
      <w:r w:rsidRPr="00BE1EFD">
        <w:rPr>
          <w:rFonts w:ascii="Arial" w:eastAsia="Times New Roman" w:hAnsi="Arial" w:cs="Arial"/>
          <w:sz w:val="24"/>
          <w:szCs w:val="24"/>
        </w:rPr>
        <w:t xml:space="preserve"> oligopolies are still subject to vigorous competition with regards to a price sensitive subscriber base and the very low switching costs for owners of an in-home terminal (Oftcom, 2025).Industrial organisation theory implies that in more evolved markets in telecom it is not only price competition that occurs, but it is more and more competition based on the quality of service, geographical scope of service and additional offerings in digital services. But when mobile data services are commoditized, they are not that different anymore from each other, and margin pressure is still on (Bourreau et al., 2023). Within a consolidated market, companies will have to engage in price-cutting cycles to boost short-term profits, which ultimately hinders them from achieving long-term gains.</w:t>
      </w:r>
    </w:p>
    <w:p w14:paraId="4B74E655"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Threats of New Entrants</w:t>
      </w:r>
    </w:p>
    <w:p w14:paraId="5EB51C2D"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There are still strong structural and regulatory barriers which are all but blocking new entrants from the UK telecom sector. Access to spectrum licences, substantial investment in network infrastructure and regulatory permission (from the Competition and Markets Authority and Ofcom) are required for entry. Economies of scale is one of the barriers that further reinforce the advantages of incumbent operators, as they enjoy lower average costs per user from having rolled out a lot of infrastructure (GSMA, 2025).Recently published academic research also identifies the existence of “natural oligopoly characteristics” of telecom markets which occurs where the provision of equipment services can be economically unfeasible to duplicate based on the presence of “network switching costs” (Li and Whalley, 2024). This has led to two distinct types of providers being able to enter the market, niche Mobile Virtual Network Operators (MVNOs), who have infrastructure leasing contracts. This strengthens the VodafoneThree's structural advantage after the merger.</w:t>
      </w:r>
    </w:p>
    <w:p w14:paraId="6506C742" w14:textId="77777777" w:rsidR="00F007FD" w:rsidRPr="00BE1EFD" w:rsidRDefault="00F007FD" w:rsidP="00BE1EFD">
      <w:pPr>
        <w:spacing w:before="240" w:after="0" w:line="360" w:lineRule="auto"/>
        <w:jc w:val="both"/>
        <w:outlineLvl w:val="1"/>
        <w:rPr>
          <w:rFonts w:ascii="Arial" w:eastAsia="Times New Roman" w:hAnsi="Arial" w:cs="Arial"/>
          <w:b/>
          <w:bCs/>
          <w:sz w:val="24"/>
          <w:szCs w:val="24"/>
        </w:rPr>
      </w:pPr>
      <w:bookmarkStart w:id="18" w:name="_Toc231340216"/>
      <w:r w:rsidRPr="00BE1EFD">
        <w:rPr>
          <w:rFonts w:ascii="Arial" w:eastAsia="Times New Roman" w:hAnsi="Arial" w:cs="Arial"/>
          <w:b/>
          <w:bCs/>
          <w:sz w:val="24"/>
          <w:szCs w:val="24"/>
        </w:rPr>
        <w:t>Bargaining Power of Suppliers</w:t>
      </w:r>
      <w:bookmarkEnd w:id="18"/>
    </w:p>
    <w:p w14:paraId="501711CE"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Supplier power in the telecom industry is from moderate to strategic level. VodafoneThree’s world-class infrastructure includes core networks, networks access solutions and systems for deploying 5G infrastructure, with a smaller number of vendors supplying these solutions globally. This concentration in a limited number of suppliers </w:t>
      </w:r>
      <w:r w:rsidRPr="00BE1EFD">
        <w:rPr>
          <w:rFonts w:ascii="Arial" w:eastAsia="Times New Roman" w:hAnsi="Arial" w:cs="Arial"/>
          <w:sz w:val="24"/>
          <w:szCs w:val="24"/>
        </w:rPr>
        <w:lastRenderedPageBreak/>
        <w:t>also poses a dependency risk and restricts the negotiation freedom. Based on the latest industry studies, however, power providers are getting away from vendor lock-in and embracing multi-vendor strategies and open RAN architectures – as these approaches can deliver more cost-efficiency and greater flexibility (Feldmann et al., 2023). This nevertheless leaves supplier switching costs at a medium level, as integration is complex and there is risk of interoperability issues.</w:t>
      </w:r>
    </w:p>
    <w:p w14:paraId="2012FC15"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 xml:space="preserve">Bargaining power of buyers </w:t>
      </w:r>
    </w:p>
    <w:p w14:paraId="135D68DB"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Although the number of telecom subscribers in the UK remains considerable, buyer power is still strong with low switching costs, high availability of SIM-only plans and high price transparency. Tariff comparisons have become commonplace for consumers and operators see more and more competition for price. Furthermore, large volumes of business contracts and purchase-centric buying practices gives powerful bargaining power to the enterprise segment’s corporate buyers. But price sensitivity is also limited for enterprise clients, who, in addition, require high reliability, low latency and advanced service </w:t>
      </w:r>
      <w:r w:rsidR="00D25211" w:rsidRPr="00BE1EFD">
        <w:rPr>
          <w:rFonts w:ascii="Arial" w:eastAsia="Times New Roman" w:hAnsi="Arial" w:cs="Arial"/>
          <w:sz w:val="24"/>
          <w:szCs w:val="24"/>
        </w:rPr>
        <w:t>capabilities. While</w:t>
      </w:r>
      <w:r w:rsidRPr="00BE1EFD">
        <w:rPr>
          <w:rFonts w:ascii="Arial" w:eastAsia="Times New Roman" w:hAnsi="Arial" w:cs="Arial"/>
          <w:sz w:val="24"/>
          <w:szCs w:val="24"/>
        </w:rPr>
        <w:t xml:space="preserve"> new bundled digital services, from cloud storage to streaming to cyber security products, are making the buying process easier, there are challenges with switching, as well, slightly tipping the scales in favor of sellers.</w:t>
      </w:r>
    </w:p>
    <w:p w14:paraId="018C4805"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Threat of Substitutes</w:t>
      </w:r>
    </w:p>
    <w:p w14:paraId="7DB38C9A"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Technological convergence and disruption of platforms are making substitutes something to be increasingly feared. Many use cases have already been addressed by over-the-top (OTT) communication platforms like Microsoft Teams, Zoom and WhatsApp for replacing the traditional SMS and voice services. Most important of all, Starlink (as well as other satellite internet services) can be used as a substitute for traditional mobile and broadband technology. These technologies overcome network </w:t>
      </w:r>
      <w:r w:rsidR="00D25211" w:rsidRPr="00BE1EFD">
        <w:rPr>
          <w:rFonts w:ascii="Arial" w:eastAsia="Times New Roman" w:hAnsi="Arial" w:cs="Arial"/>
          <w:sz w:val="24"/>
          <w:szCs w:val="24"/>
        </w:rPr>
        <w:t>capabilities</w:t>
      </w:r>
      <w:r w:rsidRPr="00BE1EFD">
        <w:rPr>
          <w:rFonts w:ascii="Arial" w:eastAsia="Times New Roman" w:hAnsi="Arial" w:cs="Arial"/>
          <w:sz w:val="24"/>
          <w:szCs w:val="24"/>
        </w:rPr>
        <w:t xml:space="preserve"> in a terrestrial network, and bring a number of new competitive challenges to front runners. Studies indicate that the threat that telecom is being substituted is no longer isolated and local, but indeed systematic, and have been stimulated by the convergence of communication technologies and digital platforms (Cusumano et al. 2023).</w:t>
      </w:r>
    </w:p>
    <w:p w14:paraId="6C25F744"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lastRenderedPageBreak/>
        <w:t>Overall Industry Implication</w:t>
      </w:r>
    </w:p>
    <w:p w14:paraId="078BD2BC" w14:textId="77777777" w:rsidR="003C267F"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Overall, Porter Five Forces analysis has shown that the UK telecom industry is still structurally limited in profitability even after the consolidation. VodafoneThree has significant scale and infrastructure benefits, but will need to utilize its strategic diversification into enterprise and platform-based digital services to look after the longer-term bottom line. It is also in line with recent studies indicating that telecom players need to evolve from business model 1 (connectivity) to model 2 (digital ecosystem orchestration), if they want to keep their competitive edge (GSMA, 2025).</w:t>
      </w:r>
    </w:p>
    <w:p w14:paraId="1A20207C" w14:textId="77777777" w:rsidR="003C267F" w:rsidRPr="00BE1EFD" w:rsidRDefault="003C267F" w:rsidP="00BE1EFD">
      <w:pPr>
        <w:spacing w:before="240" w:after="0" w:line="360" w:lineRule="auto"/>
        <w:jc w:val="center"/>
        <w:rPr>
          <w:rFonts w:ascii="Arial" w:eastAsia="Times New Roman" w:hAnsi="Arial" w:cs="Arial"/>
          <w:sz w:val="24"/>
          <w:szCs w:val="24"/>
        </w:rPr>
      </w:pPr>
      <w:r w:rsidRPr="00BE1EFD">
        <w:rPr>
          <w:rFonts w:ascii="Arial" w:hAnsi="Arial" w:cs="Arial"/>
          <w:noProof/>
          <w:sz w:val="24"/>
          <w:szCs w:val="24"/>
        </w:rPr>
        <w:drawing>
          <wp:inline distT="0" distB="0" distL="0" distR="0" wp14:anchorId="418890FA" wp14:editId="67C837C6">
            <wp:extent cx="2371725" cy="2086783"/>
            <wp:effectExtent l="76200" t="76200" r="123825" b="142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79391" cy="20935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8AF2A3" w14:textId="77777777" w:rsidR="003C267F" w:rsidRPr="00BE1EFD" w:rsidRDefault="00907696" w:rsidP="00BE1EFD">
      <w:pPr>
        <w:spacing w:before="240" w:after="0" w:line="360" w:lineRule="auto"/>
        <w:jc w:val="center"/>
        <w:rPr>
          <w:rFonts w:ascii="Arial" w:eastAsia="Times New Roman" w:hAnsi="Arial" w:cs="Arial"/>
          <w:b/>
          <w:i/>
          <w:sz w:val="24"/>
          <w:szCs w:val="24"/>
        </w:rPr>
      </w:pPr>
      <w:r w:rsidRPr="00BE1EFD">
        <w:rPr>
          <w:rFonts w:ascii="Arial" w:eastAsia="Times New Roman" w:hAnsi="Arial" w:cs="Arial"/>
          <w:b/>
          <w:i/>
          <w:sz w:val="24"/>
          <w:szCs w:val="24"/>
        </w:rPr>
        <w:t>Figure: Porter</w:t>
      </w:r>
      <w:r w:rsidR="00D25211" w:rsidRPr="00BE1EFD">
        <w:rPr>
          <w:rFonts w:ascii="Arial" w:eastAsia="Times New Roman" w:hAnsi="Arial" w:cs="Arial"/>
          <w:b/>
          <w:i/>
          <w:sz w:val="24"/>
          <w:szCs w:val="24"/>
        </w:rPr>
        <w:t xml:space="preserve"> five forces Analysis of Vodafone Group Plc</w:t>
      </w:r>
    </w:p>
    <w:p w14:paraId="368B3CE5" w14:textId="77777777" w:rsidR="00D25211" w:rsidRPr="00BE1EFD" w:rsidRDefault="00D25211" w:rsidP="00BE1EFD">
      <w:pPr>
        <w:spacing w:before="240" w:after="0" w:line="360" w:lineRule="auto"/>
        <w:jc w:val="center"/>
        <w:rPr>
          <w:rFonts w:ascii="Arial" w:eastAsia="Times New Roman" w:hAnsi="Arial" w:cs="Arial"/>
          <w:b/>
          <w:i/>
          <w:sz w:val="24"/>
          <w:szCs w:val="24"/>
        </w:rPr>
      </w:pPr>
      <w:r w:rsidRPr="00BE1EFD">
        <w:rPr>
          <w:rFonts w:ascii="Arial" w:eastAsia="Times New Roman" w:hAnsi="Arial" w:cs="Arial"/>
          <w:b/>
          <w:i/>
          <w:sz w:val="24"/>
          <w:szCs w:val="24"/>
        </w:rPr>
        <w:t>Source:</w:t>
      </w:r>
      <w:sdt>
        <w:sdtPr>
          <w:rPr>
            <w:rFonts w:ascii="Arial" w:eastAsia="Times New Roman" w:hAnsi="Arial" w:cs="Arial"/>
            <w:b/>
            <w:i/>
            <w:sz w:val="24"/>
            <w:szCs w:val="24"/>
          </w:rPr>
          <w:id w:val="-131250031"/>
          <w:citation/>
        </w:sdtPr>
        <w:sdtContent>
          <w:r w:rsidR="00907696" w:rsidRPr="00BE1EFD">
            <w:rPr>
              <w:rFonts w:ascii="Arial" w:eastAsia="Times New Roman" w:hAnsi="Arial" w:cs="Arial"/>
              <w:b/>
              <w:i/>
              <w:sz w:val="24"/>
              <w:szCs w:val="24"/>
            </w:rPr>
            <w:fldChar w:fldCharType="begin"/>
          </w:r>
          <w:r w:rsidR="00907696" w:rsidRPr="00BE1EFD">
            <w:rPr>
              <w:rFonts w:ascii="Arial" w:eastAsia="Times New Roman" w:hAnsi="Arial" w:cs="Arial"/>
              <w:b/>
              <w:i/>
              <w:sz w:val="24"/>
              <w:szCs w:val="24"/>
            </w:rPr>
            <w:instrText xml:space="preserve"> CITATION Noo231 \l 1033 </w:instrText>
          </w:r>
          <w:r w:rsidR="00907696" w:rsidRPr="00BE1EFD">
            <w:rPr>
              <w:rFonts w:ascii="Arial" w:eastAsia="Times New Roman" w:hAnsi="Arial" w:cs="Arial"/>
              <w:b/>
              <w:i/>
              <w:sz w:val="24"/>
              <w:szCs w:val="24"/>
            </w:rPr>
            <w:fldChar w:fldCharType="separate"/>
          </w:r>
          <w:r w:rsidR="00907696" w:rsidRPr="00BE1EFD">
            <w:rPr>
              <w:rFonts w:ascii="Arial" w:eastAsia="Times New Roman" w:hAnsi="Arial" w:cs="Arial"/>
              <w:b/>
              <w:i/>
              <w:noProof/>
              <w:sz w:val="24"/>
              <w:szCs w:val="24"/>
            </w:rPr>
            <w:t xml:space="preserve"> (Noor, 2023)</w:t>
          </w:r>
          <w:r w:rsidR="00907696" w:rsidRPr="00BE1EFD">
            <w:rPr>
              <w:rFonts w:ascii="Arial" w:eastAsia="Times New Roman" w:hAnsi="Arial" w:cs="Arial"/>
              <w:b/>
              <w:i/>
              <w:sz w:val="24"/>
              <w:szCs w:val="24"/>
            </w:rPr>
            <w:fldChar w:fldCharType="end"/>
          </w:r>
        </w:sdtContent>
      </w:sdt>
    </w:p>
    <w:p w14:paraId="16ABE354" w14:textId="77777777" w:rsidR="00F007FD" w:rsidRPr="00BE1EFD" w:rsidRDefault="00F007FD" w:rsidP="00BE1EFD">
      <w:pPr>
        <w:pStyle w:val="Heading2"/>
        <w:rPr>
          <w:rFonts w:ascii="Arial" w:eastAsia="Times New Roman" w:hAnsi="Arial" w:cs="Arial"/>
          <w:b/>
          <w:color w:val="auto"/>
          <w:sz w:val="24"/>
          <w:szCs w:val="24"/>
        </w:rPr>
      </w:pPr>
      <w:bookmarkStart w:id="19" w:name="_Toc231340217"/>
      <w:r w:rsidRPr="00BE1EFD">
        <w:rPr>
          <w:rFonts w:ascii="Arial" w:eastAsia="Times New Roman" w:hAnsi="Arial" w:cs="Arial"/>
          <w:b/>
          <w:color w:val="auto"/>
          <w:sz w:val="24"/>
          <w:szCs w:val="24"/>
        </w:rPr>
        <w:t>4. Strategic Growth Options and Proposed Strategy</w:t>
      </w:r>
      <w:bookmarkEnd w:id="19"/>
    </w:p>
    <w:p w14:paraId="5B3CC197" w14:textId="77777777" w:rsidR="00F007FD" w:rsidRPr="00BE1EFD" w:rsidRDefault="00F007FD" w:rsidP="00BE1EFD">
      <w:pPr>
        <w:spacing w:before="240" w:after="0" w:line="360" w:lineRule="auto"/>
        <w:jc w:val="both"/>
        <w:outlineLvl w:val="1"/>
        <w:rPr>
          <w:rFonts w:ascii="Arial" w:eastAsia="Times New Roman" w:hAnsi="Arial" w:cs="Arial"/>
          <w:b/>
          <w:bCs/>
          <w:sz w:val="24"/>
          <w:szCs w:val="24"/>
        </w:rPr>
      </w:pPr>
      <w:bookmarkStart w:id="20" w:name="_Toc231340218"/>
      <w:r w:rsidRPr="00BE1EFD">
        <w:rPr>
          <w:rFonts w:ascii="Arial" w:eastAsia="Times New Roman" w:hAnsi="Arial" w:cs="Arial"/>
          <w:b/>
          <w:bCs/>
          <w:sz w:val="24"/>
          <w:szCs w:val="24"/>
        </w:rPr>
        <w:t>Strategic Growth Pathways</w:t>
      </w:r>
      <w:bookmarkEnd w:id="20"/>
    </w:p>
    <w:p w14:paraId="44DBA0E9"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The Relationship between the Ansoff Matrix and VodafoneThree Following the merger: VodafoneThree has several strategic growth options, and the impact of these on the business can be systematically analysed using the Ansoff Matrix. Strategies for market penetration involve leveraging or reinforcing the existing market share of consumers by offering additional services as bundles, optimising the prices and upgrading the network quality. However, the mobile market is saturated in the UK so this may not have a sustainable future for long term growth. Product development has more opportunities </w:t>
      </w:r>
      <w:r w:rsidRPr="00BE1EFD">
        <w:rPr>
          <w:rFonts w:ascii="Arial" w:eastAsia="Times New Roman" w:hAnsi="Arial" w:cs="Arial"/>
          <w:sz w:val="24"/>
          <w:szCs w:val="24"/>
        </w:rPr>
        <w:lastRenderedPageBreak/>
        <w:t>especially with AI-driven services, improving 5G and incorporating digital solutions into products. There are opportunities available for market development through Government procurement and markets in regions not being well served. But creating value over time starts with diversifying into enterprise digital ecosystems, namely into cloud services, Internet of Things (IoT) and smart infrastructure solutions (McKinsey, 2024).</w:t>
      </w:r>
    </w:p>
    <w:p w14:paraId="38B8E96E" w14:textId="77777777" w:rsidR="00F007FD" w:rsidRPr="00BE1EFD" w:rsidRDefault="00F007FD" w:rsidP="00BE1EFD">
      <w:pPr>
        <w:spacing w:before="240" w:after="0" w:line="360" w:lineRule="auto"/>
        <w:jc w:val="both"/>
        <w:outlineLvl w:val="1"/>
        <w:rPr>
          <w:rFonts w:ascii="Arial" w:eastAsia="Times New Roman" w:hAnsi="Arial" w:cs="Arial"/>
          <w:b/>
          <w:bCs/>
          <w:sz w:val="24"/>
          <w:szCs w:val="24"/>
        </w:rPr>
      </w:pPr>
      <w:bookmarkStart w:id="21" w:name="_Toc231340219"/>
      <w:r w:rsidRPr="00BE1EFD">
        <w:rPr>
          <w:rFonts w:ascii="Arial" w:eastAsia="Times New Roman" w:hAnsi="Arial" w:cs="Arial"/>
          <w:b/>
          <w:bCs/>
          <w:sz w:val="24"/>
          <w:szCs w:val="24"/>
        </w:rPr>
        <w:t>Strategic Direction Using Porter’s Generic Strategies</w:t>
      </w:r>
      <w:bookmarkEnd w:id="21"/>
    </w:p>
    <w:p w14:paraId="28DFF22F" w14:textId="77777777" w:rsidR="0083514F"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On the other hand, from the Porter’s framework of Generic Strategies it is suggested that VodafoneThree should not go with the approach of cost leadership because of organizational competitiveness of its prices and the non-profitability of its consumer market. A race to the bottom in terms of cost would lead to more price wars and to lower profits. Instead, it’s time for a differentiation strategy based on enhanced network performance, AI-powered services and enterprise-grade digital solutions. VodafoneThree may avoid losing the battle to consumers with this approach and rebrand itself as a premium digital infrastructure player. Supported by recent strategy literature of the telecoms sector, which has grown in momentum that the differentiation in connectivity markets is more important because of ecosystem integration than about price competition (Li and Whalley, 2024).</w:t>
      </w:r>
    </w:p>
    <w:p w14:paraId="325ACB05" w14:textId="77777777" w:rsidR="0083514F" w:rsidRPr="00BE1EFD" w:rsidRDefault="0083514F" w:rsidP="00BE1EFD">
      <w:pPr>
        <w:spacing w:before="240" w:after="0" w:line="360" w:lineRule="auto"/>
        <w:jc w:val="center"/>
        <w:rPr>
          <w:rFonts w:ascii="Arial" w:eastAsia="Times New Roman" w:hAnsi="Arial" w:cs="Arial"/>
          <w:sz w:val="24"/>
          <w:szCs w:val="24"/>
        </w:rPr>
      </w:pPr>
      <w:r w:rsidRPr="00BE1EFD">
        <w:rPr>
          <w:rFonts w:ascii="Arial" w:eastAsia="Times New Roman" w:hAnsi="Arial" w:cs="Arial"/>
          <w:noProof/>
          <w:sz w:val="24"/>
          <w:szCs w:val="24"/>
        </w:rPr>
        <w:drawing>
          <wp:inline distT="0" distB="0" distL="0" distR="0" wp14:anchorId="7D6774FB" wp14:editId="04FFC0A4">
            <wp:extent cx="2659362" cy="2228850"/>
            <wp:effectExtent l="76200" t="76200" r="141605" b="133350"/>
            <wp:docPr id="8" name="Picture 8" descr="C:\Users\LENOVO\Desktop\images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esktop\images (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88709" cy="22534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2B3F67" w14:textId="77777777" w:rsidR="00907696" w:rsidRPr="00BE1EFD" w:rsidRDefault="00D25211" w:rsidP="00BE1EFD">
      <w:pPr>
        <w:spacing w:before="240" w:after="0" w:line="360" w:lineRule="auto"/>
        <w:jc w:val="center"/>
        <w:rPr>
          <w:rFonts w:ascii="Arial" w:eastAsia="Times New Roman" w:hAnsi="Arial" w:cs="Arial"/>
          <w:b/>
          <w:bCs/>
          <w:i/>
          <w:sz w:val="24"/>
          <w:szCs w:val="24"/>
        </w:rPr>
      </w:pPr>
      <w:r w:rsidRPr="00BE1EFD">
        <w:rPr>
          <w:rFonts w:ascii="Arial" w:eastAsia="Times New Roman" w:hAnsi="Arial" w:cs="Arial"/>
          <w:b/>
          <w:i/>
          <w:sz w:val="24"/>
          <w:szCs w:val="24"/>
        </w:rPr>
        <w:t>Figure:</w:t>
      </w:r>
      <w:r w:rsidR="00907696" w:rsidRPr="00BE1EFD">
        <w:rPr>
          <w:rFonts w:ascii="Arial" w:eastAsia="Times New Roman" w:hAnsi="Arial" w:cs="Arial"/>
          <w:b/>
          <w:bCs/>
          <w:i/>
          <w:sz w:val="24"/>
          <w:szCs w:val="24"/>
        </w:rPr>
        <w:t xml:space="preserve"> Porter’s Generic Strategies of Vodafone Group Plc</w:t>
      </w:r>
    </w:p>
    <w:p w14:paraId="762C4248" w14:textId="77777777" w:rsidR="00F007FD" w:rsidRPr="00BE1EFD" w:rsidRDefault="00907696" w:rsidP="00BE1EFD">
      <w:pPr>
        <w:spacing w:before="240" w:after="0" w:line="360" w:lineRule="auto"/>
        <w:jc w:val="center"/>
        <w:rPr>
          <w:rFonts w:ascii="Arial" w:eastAsia="Times New Roman" w:hAnsi="Arial" w:cs="Arial"/>
          <w:b/>
          <w:i/>
          <w:sz w:val="24"/>
          <w:szCs w:val="24"/>
        </w:rPr>
      </w:pPr>
      <w:r w:rsidRPr="00BE1EFD">
        <w:rPr>
          <w:rFonts w:ascii="Arial" w:eastAsia="Times New Roman" w:hAnsi="Arial" w:cs="Arial"/>
          <w:b/>
          <w:i/>
          <w:sz w:val="24"/>
          <w:szCs w:val="24"/>
        </w:rPr>
        <w:t>Source:</w:t>
      </w:r>
      <w:sdt>
        <w:sdtPr>
          <w:rPr>
            <w:rFonts w:ascii="Arial" w:eastAsia="Times New Roman" w:hAnsi="Arial" w:cs="Arial"/>
            <w:b/>
            <w:i/>
            <w:sz w:val="24"/>
            <w:szCs w:val="24"/>
          </w:rPr>
          <w:id w:val="250629123"/>
          <w:citation/>
        </w:sdtPr>
        <w:sdtContent>
          <w:r w:rsidRPr="00BE1EFD">
            <w:rPr>
              <w:rFonts w:ascii="Arial" w:eastAsia="Times New Roman" w:hAnsi="Arial" w:cs="Arial"/>
              <w:b/>
              <w:i/>
              <w:sz w:val="24"/>
              <w:szCs w:val="24"/>
            </w:rPr>
            <w:fldChar w:fldCharType="begin"/>
          </w:r>
          <w:r w:rsidRPr="00BE1EFD">
            <w:rPr>
              <w:rFonts w:ascii="Arial" w:eastAsia="Times New Roman" w:hAnsi="Arial" w:cs="Arial"/>
              <w:b/>
              <w:i/>
              <w:sz w:val="24"/>
              <w:szCs w:val="24"/>
            </w:rPr>
            <w:instrText xml:space="preserve"> CITATION MUS23 \l 1033 </w:instrText>
          </w:r>
          <w:r w:rsidRPr="00BE1EFD">
            <w:rPr>
              <w:rFonts w:ascii="Arial" w:eastAsia="Times New Roman" w:hAnsi="Arial" w:cs="Arial"/>
              <w:b/>
              <w:i/>
              <w:sz w:val="24"/>
              <w:szCs w:val="24"/>
            </w:rPr>
            <w:fldChar w:fldCharType="separate"/>
          </w:r>
          <w:r w:rsidRPr="00BE1EFD">
            <w:rPr>
              <w:rFonts w:ascii="Arial" w:eastAsia="Times New Roman" w:hAnsi="Arial" w:cs="Arial"/>
              <w:b/>
              <w:i/>
              <w:noProof/>
              <w:sz w:val="24"/>
              <w:szCs w:val="24"/>
            </w:rPr>
            <w:t xml:space="preserve"> (MUSYOKA, 2023)</w:t>
          </w:r>
          <w:r w:rsidRPr="00BE1EFD">
            <w:rPr>
              <w:rFonts w:ascii="Arial" w:eastAsia="Times New Roman" w:hAnsi="Arial" w:cs="Arial"/>
              <w:b/>
              <w:i/>
              <w:sz w:val="24"/>
              <w:szCs w:val="24"/>
            </w:rPr>
            <w:fldChar w:fldCharType="end"/>
          </w:r>
        </w:sdtContent>
      </w:sdt>
    </w:p>
    <w:p w14:paraId="1AF7CBA1" w14:textId="77777777" w:rsidR="00F007FD" w:rsidRPr="00BE1EFD" w:rsidRDefault="00F007FD" w:rsidP="00BE1EFD">
      <w:pPr>
        <w:spacing w:before="240" w:after="0" w:line="360" w:lineRule="auto"/>
        <w:jc w:val="both"/>
        <w:outlineLvl w:val="1"/>
        <w:rPr>
          <w:rFonts w:ascii="Arial" w:eastAsia="Times New Roman" w:hAnsi="Arial" w:cs="Arial"/>
          <w:b/>
          <w:bCs/>
          <w:sz w:val="24"/>
          <w:szCs w:val="24"/>
        </w:rPr>
      </w:pPr>
      <w:bookmarkStart w:id="22" w:name="_Toc231340220"/>
      <w:r w:rsidRPr="00BE1EFD">
        <w:rPr>
          <w:rFonts w:ascii="Arial" w:eastAsia="Times New Roman" w:hAnsi="Arial" w:cs="Arial"/>
          <w:b/>
          <w:bCs/>
          <w:sz w:val="24"/>
          <w:szCs w:val="24"/>
        </w:rPr>
        <w:lastRenderedPageBreak/>
        <w:t>Proposed Strategy: AI-Enabled 5G Digital Ecosystem Transformation</w:t>
      </w:r>
      <w:bookmarkEnd w:id="22"/>
    </w:p>
    <w:p w14:paraId="2F4BA28D"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The recommended approach is to create an ecological response strategy for the development of an artificial intelligence enabled 5G digital infrastructure and 5G enterprise ecosystem. That means shifting VodafoneThree from being a connectivity business to one that becomes a digital platform integrator that combines connectivity, cloud computing, IoT services, and artificial intelligence-powered analytics. The move is a strategic turn around which resonates well with the Resource Based View, as VodafoneThree has resources which are difficult to copy and/or difficult to replicate, like tagging the various resources in the huge infrastructure or the integration of their customer base. When implemented correctly, these resources can help deliver a lasting competitive edge (Barney, 1991; Teece, 2022).Moreover, Dynamic Capabilities Theory highlights the necessity of a developing approach for adaptation of organisations to technological disruption. In order to identify new digital opportunities, VodafoneThree needs to develop its sensing capabilities, and to invest in new enterprise solutions, it must transform its capabilities to include legacy systems and organisational cultures (Teece, 2022).The strategic call supports this further with the network effects in play and the value of participating in ecosystem in today’s telecom markets – Platform Ecosystems Theory. When companies successfully construct the platform ecosystems, they can have better long-term growth and customer lock-in effects (Cusumano et al., 2023).</w:t>
      </w:r>
    </w:p>
    <w:p w14:paraId="03A7C482" w14:textId="77777777" w:rsidR="00F007FD" w:rsidRPr="00BE1EFD" w:rsidRDefault="00F007FD" w:rsidP="00BE1EFD">
      <w:pPr>
        <w:pStyle w:val="Heading2"/>
        <w:rPr>
          <w:rFonts w:ascii="Arial" w:eastAsia="Times New Roman" w:hAnsi="Arial" w:cs="Arial"/>
          <w:b/>
          <w:color w:val="auto"/>
          <w:sz w:val="24"/>
          <w:szCs w:val="24"/>
        </w:rPr>
      </w:pPr>
      <w:bookmarkStart w:id="23" w:name="_Toc231340221"/>
      <w:r w:rsidRPr="00BE1EFD">
        <w:rPr>
          <w:rFonts w:ascii="Arial" w:eastAsia="Times New Roman" w:hAnsi="Arial" w:cs="Arial"/>
          <w:b/>
          <w:color w:val="auto"/>
          <w:sz w:val="24"/>
          <w:szCs w:val="24"/>
        </w:rPr>
        <w:t>5. Strategy Evaluation</w:t>
      </w:r>
      <w:bookmarkEnd w:id="23"/>
    </w:p>
    <w:p w14:paraId="562A5510" w14:textId="77777777" w:rsidR="00F007FD" w:rsidRPr="00BE1EFD" w:rsidRDefault="00F007FD" w:rsidP="00BE1EFD">
      <w:pPr>
        <w:spacing w:before="240" w:after="0" w:line="360" w:lineRule="auto"/>
        <w:jc w:val="both"/>
        <w:outlineLvl w:val="2"/>
        <w:rPr>
          <w:rFonts w:ascii="Arial" w:eastAsia="Times New Roman" w:hAnsi="Arial" w:cs="Arial"/>
          <w:b/>
          <w:bCs/>
          <w:sz w:val="24"/>
          <w:szCs w:val="24"/>
        </w:rPr>
      </w:pPr>
      <w:bookmarkStart w:id="24" w:name="_Toc231340222"/>
      <w:r w:rsidRPr="00BE1EFD">
        <w:rPr>
          <w:rFonts w:ascii="Arial" w:eastAsia="Times New Roman" w:hAnsi="Arial" w:cs="Arial"/>
          <w:b/>
          <w:bCs/>
          <w:sz w:val="24"/>
          <w:szCs w:val="24"/>
        </w:rPr>
        <w:t>SAF Framework</w:t>
      </w:r>
      <w:bookmarkEnd w:id="24"/>
    </w:p>
    <w:p w14:paraId="310E3C9A" w14:textId="77777777" w:rsidR="003C267F"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The success of Vodafone Three’s proposed AI-driven 5G digital ecosystem strategy will be determined by applying a strategic management tool called Suitability, Acceptability and Feasibility (SAF), which is commonly used to evaluate the suitability of a strategy, its acceptance by stakeholders and its feasibility. The SAF model has been found to be useful in merger situations where being able to assess a strategic fit with the external context, the stakeholder expectation and the organisation’s capabilities is structured is relevant (Johnson, Scholes and Whittington, 2020).Suitability examines how the strategy suits the external environment and the organisation’s goals and is normally gathered by a device like PESTEL and recording the external environment. Acceptability is measured </w:t>
      </w:r>
      <w:r w:rsidRPr="00BE1EFD">
        <w:rPr>
          <w:rFonts w:ascii="Arial" w:eastAsia="Times New Roman" w:hAnsi="Arial" w:cs="Arial"/>
          <w:sz w:val="24"/>
          <w:szCs w:val="24"/>
        </w:rPr>
        <w:lastRenderedPageBreak/>
        <w:t>in terms of stakeholder acceptance, taking into account risk, return and political/regulatory impact. Feasibility is related to financial, technological and managerial resources available to the organisation to adopt the strategy effectively (Johnson et al., 2020). This structure is essential for Vodafone Three as a complex and integrated deal is imminent when the companies will be merged in 2025.</w:t>
      </w:r>
    </w:p>
    <w:p w14:paraId="0A37A81B" w14:textId="77777777" w:rsidR="003C267F" w:rsidRPr="00BE1EFD" w:rsidRDefault="003C267F" w:rsidP="00BE1EFD">
      <w:pPr>
        <w:spacing w:before="240" w:after="0" w:line="360" w:lineRule="auto"/>
        <w:jc w:val="center"/>
        <w:rPr>
          <w:rFonts w:ascii="Arial" w:eastAsia="Times New Roman" w:hAnsi="Arial" w:cs="Arial"/>
          <w:sz w:val="24"/>
          <w:szCs w:val="24"/>
        </w:rPr>
      </w:pPr>
      <w:r w:rsidRPr="00BE1EFD">
        <w:rPr>
          <w:rFonts w:ascii="Arial" w:hAnsi="Arial" w:cs="Arial"/>
          <w:noProof/>
          <w:sz w:val="24"/>
          <w:szCs w:val="24"/>
        </w:rPr>
        <w:drawing>
          <wp:inline distT="0" distB="0" distL="0" distR="0" wp14:anchorId="1FF67730" wp14:editId="77B227F5">
            <wp:extent cx="2314575" cy="2238375"/>
            <wp:effectExtent l="76200" t="76200" r="142875" b="1428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14575" cy="2238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38C437" w14:textId="77777777" w:rsidR="003C267F" w:rsidRPr="00BE1EFD" w:rsidRDefault="00907696" w:rsidP="00BE1EFD">
      <w:pPr>
        <w:spacing w:before="240" w:after="0" w:line="360" w:lineRule="auto"/>
        <w:jc w:val="center"/>
        <w:rPr>
          <w:rFonts w:ascii="Arial" w:eastAsia="Times New Roman" w:hAnsi="Arial" w:cs="Arial"/>
          <w:b/>
          <w:sz w:val="24"/>
          <w:szCs w:val="24"/>
        </w:rPr>
      </w:pPr>
      <w:r w:rsidRPr="00BE1EFD">
        <w:rPr>
          <w:rFonts w:ascii="Arial" w:eastAsia="Times New Roman" w:hAnsi="Arial" w:cs="Arial"/>
          <w:b/>
          <w:sz w:val="24"/>
          <w:szCs w:val="24"/>
        </w:rPr>
        <w:t>Figure</w:t>
      </w:r>
      <w:r w:rsidR="00BE1EFD" w:rsidRPr="00BE1EFD">
        <w:rPr>
          <w:rFonts w:ascii="Arial" w:eastAsia="Times New Roman" w:hAnsi="Arial" w:cs="Arial"/>
          <w:b/>
          <w:sz w:val="24"/>
          <w:szCs w:val="24"/>
        </w:rPr>
        <w:t>: SAF</w:t>
      </w:r>
      <w:r w:rsidRPr="00BE1EFD">
        <w:rPr>
          <w:rFonts w:ascii="Arial" w:eastAsia="Times New Roman" w:hAnsi="Arial" w:cs="Arial"/>
          <w:b/>
          <w:sz w:val="24"/>
          <w:szCs w:val="24"/>
        </w:rPr>
        <w:t xml:space="preserve"> Framework</w:t>
      </w:r>
    </w:p>
    <w:p w14:paraId="60CC327E" w14:textId="77777777" w:rsidR="00907696" w:rsidRPr="00BE1EFD" w:rsidRDefault="00907696" w:rsidP="00BE1EFD">
      <w:pPr>
        <w:spacing w:before="240" w:after="0" w:line="360" w:lineRule="auto"/>
        <w:jc w:val="center"/>
        <w:rPr>
          <w:rFonts w:ascii="Arial" w:eastAsia="Times New Roman" w:hAnsi="Arial" w:cs="Arial"/>
          <w:b/>
          <w:sz w:val="24"/>
          <w:szCs w:val="24"/>
        </w:rPr>
      </w:pPr>
      <w:r w:rsidRPr="00BE1EFD">
        <w:rPr>
          <w:rFonts w:ascii="Arial" w:eastAsia="Times New Roman" w:hAnsi="Arial" w:cs="Arial"/>
          <w:b/>
          <w:sz w:val="24"/>
          <w:szCs w:val="24"/>
        </w:rPr>
        <w:t>Source;</w:t>
      </w:r>
      <w:sdt>
        <w:sdtPr>
          <w:rPr>
            <w:rFonts w:ascii="Arial" w:eastAsia="Times New Roman" w:hAnsi="Arial" w:cs="Arial"/>
            <w:b/>
            <w:sz w:val="24"/>
            <w:szCs w:val="24"/>
          </w:rPr>
          <w:id w:val="946815857"/>
          <w:citation/>
        </w:sdtPr>
        <w:sdtContent>
          <w:r w:rsidRPr="00BE1EFD">
            <w:rPr>
              <w:rFonts w:ascii="Arial" w:eastAsia="Times New Roman" w:hAnsi="Arial" w:cs="Arial"/>
              <w:b/>
              <w:sz w:val="24"/>
              <w:szCs w:val="24"/>
            </w:rPr>
            <w:fldChar w:fldCharType="begin"/>
          </w:r>
          <w:r w:rsidRPr="00BE1EFD">
            <w:rPr>
              <w:rFonts w:ascii="Arial" w:eastAsia="Times New Roman" w:hAnsi="Arial" w:cs="Arial"/>
              <w:b/>
              <w:sz w:val="24"/>
              <w:szCs w:val="24"/>
            </w:rPr>
            <w:instrText xml:space="preserve"> CITATION STA26 \l 1033 </w:instrText>
          </w:r>
          <w:r w:rsidRPr="00BE1EFD">
            <w:rPr>
              <w:rFonts w:ascii="Arial" w:eastAsia="Times New Roman" w:hAnsi="Arial" w:cs="Arial"/>
              <w:b/>
              <w:sz w:val="24"/>
              <w:szCs w:val="24"/>
            </w:rPr>
            <w:fldChar w:fldCharType="separate"/>
          </w:r>
          <w:r w:rsidRPr="00BE1EFD">
            <w:rPr>
              <w:rFonts w:ascii="Arial" w:eastAsia="Times New Roman" w:hAnsi="Arial" w:cs="Arial"/>
              <w:b/>
              <w:noProof/>
              <w:sz w:val="24"/>
              <w:szCs w:val="24"/>
            </w:rPr>
            <w:t xml:space="preserve"> (STAGNARO, 2026)</w:t>
          </w:r>
          <w:r w:rsidRPr="00BE1EFD">
            <w:rPr>
              <w:rFonts w:ascii="Arial" w:eastAsia="Times New Roman" w:hAnsi="Arial" w:cs="Arial"/>
              <w:b/>
              <w:sz w:val="24"/>
              <w:szCs w:val="24"/>
            </w:rPr>
            <w:fldChar w:fldCharType="end"/>
          </w:r>
        </w:sdtContent>
      </w:sdt>
    </w:p>
    <w:p w14:paraId="14B9F4AD"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Suitability</w:t>
      </w:r>
    </w:p>
    <w:p w14:paraId="3CEC4FB7"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This approach is well suited to the existing market place in the UK and is supported by the fast changing market such as transition into AI driven networks, the growth of 5G and the enterprise growth of digital services. According to a Vodafone Group report (2025a), the company’s activity in the United Kingdom produced approximately €7.1 billion in revenue, with the growth of the company’s activity on this operating segment now coming from enterprise and digital services, but not from consumer </w:t>
      </w:r>
      <w:r w:rsidR="003C267F" w:rsidRPr="00BE1EFD">
        <w:rPr>
          <w:rFonts w:ascii="Arial" w:eastAsia="Times New Roman" w:hAnsi="Arial" w:cs="Arial"/>
          <w:sz w:val="24"/>
          <w:szCs w:val="24"/>
        </w:rPr>
        <w:t>markets. This</w:t>
      </w:r>
      <w:r w:rsidRPr="00BE1EFD">
        <w:rPr>
          <w:rFonts w:ascii="Arial" w:eastAsia="Times New Roman" w:hAnsi="Arial" w:cs="Arial"/>
          <w:sz w:val="24"/>
          <w:szCs w:val="24"/>
        </w:rPr>
        <w:t xml:space="preserve"> also reinforces this trend as part of the merger that will produce VodafoneThree, the nation’s biggest operator, with approximately 28.8 million customers, as well as providing significant infrastructure efficiencies (Vodafone Group 2026). Mobile demand for data continues to grow and the importance of digital connectivity is growing over the long term, as evidenced by industry data, (Ofcom, 2025).The platforms endeavour to facilitate more </w:t>
      </w:r>
      <w:r w:rsidRPr="00BE1EFD">
        <w:rPr>
          <w:rFonts w:ascii="Arial" w:eastAsia="Times New Roman" w:hAnsi="Arial" w:cs="Arial"/>
          <w:sz w:val="24"/>
          <w:szCs w:val="24"/>
        </w:rPr>
        <w:lastRenderedPageBreak/>
        <w:t xml:space="preserve">effective networking and collaboration, thereby supplying a framework that encourages the firms to innovate and understand how to leverage evolving technology more efficiently across company and industry </w:t>
      </w:r>
      <w:r w:rsidR="003C267F" w:rsidRPr="00BE1EFD">
        <w:rPr>
          <w:rFonts w:ascii="Arial" w:eastAsia="Times New Roman" w:hAnsi="Arial" w:cs="Arial"/>
          <w:sz w:val="24"/>
          <w:szCs w:val="24"/>
        </w:rPr>
        <w:t>boundaries. The</w:t>
      </w:r>
      <w:r w:rsidRPr="00BE1EFD">
        <w:rPr>
          <w:rFonts w:ascii="Arial" w:eastAsia="Times New Roman" w:hAnsi="Arial" w:cs="Arial"/>
          <w:sz w:val="24"/>
          <w:szCs w:val="24"/>
        </w:rPr>
        <w:t xml:space="preserve"> platforms attempt to optimise networking and collaboration processes and provide structures that stimulate the companies to innovate and to learn how to make use of new technology in a more effective way across business and company boundaries.</w:t>
      </w:r>
    </w:p>
    <w:p w14:paraId="50BAE22A"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Acceptability</w:t>
      </w:r>
    </w:p>
    <w:p w14:paraId="2C83586D"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The approach is acceptable to moderate and highly acceptable amongst stakeholders. This will be supported by the shareholders because of the synergies to expect of £700 million by the year 2030 and better long term profitability (Vodafone Group, 2025c). Regulators like Ofcom and CMA may stay cautious as a result of minimal marketplace competition as well as this merge, and therefore might impose harsh investing and pricing requirements (CMA, 2025).Consumers will expect better service quality and 5G availability, but there’s expected to be disruption in the near term as 5G is integrated. Changes in structure may generate pressures for restructuring responsibilities to the employees which need to be managed, which should involve robust communication strategies. The overall acceptability is optimistic and requires regulation fulfillment and seamless integration.</w:t>
      </w:r>
    </w:p>
    <w:p w14:paraId="45E4080B" w14:textId="77777777" w:rsidR="00F007FD" w:rsidRPr="00BE1EFD" w:rsidRDefault="00F007FD" w:rsidP="00BE1EFD">
      <w:pPr>
        <w:spacing w:before="240" w:after="0" w:line="360" w:lineRule="auto"/>
        <w:jc w:val="both"/>
        <w:outlineLvl w:val="2"/>
        <w:rPr>
          <w:rFonts w:ascii="Arial" w:eastAsia="Times New Roman" w:hAnsi="Arial" w:cs="Arial"/>
          <w:b/>
          <w:bCs/>
          <w:sz w:val="24"/>
          <w:szCs w:val="24"/>
        </w:rPr>
      </w:pPr>
      <w:bookmarkStart w:id="25" w:name="_Toc231340223"/>
      <w:r w:rsidRPr="00BE1EFD">
        <w:rPr>
          <w:rFonts w:ascii="Arial" w:eastAsia="Times New Roman" w:hAnsi="Arial" w:cs="Arial"/>
          <w:b/>
          <w:bCs/>
          <w:sz w:val="24"/>
          <w:szCs w:val="24"/>
        </w:rPr>
        <w:t>Feasibility</w:t>
      </w:r>
      <w:bookmarkEnd w:id="25"/>
    </w:p>
    <w:p w14:paraId="58155B8C" w14:textId="77777777" w:rsidR="003C267F"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 xml:space="preserve">This strategy is financially and technologically achievable, as the organisation of VodafoneThree continues to be in a strong position after the merger, and because it has a long-term investment programme in its infrastructure valued at £11 billion (Vodafone Group, 2025c). When combined with existing partnerships with key suppliers like Ericsson, Nokia etc., deployment capabilities for advanced 5G and AI applications are further bolstered. The biggest challenge, however, is complexity during the post-merger integration process, especially regarding the alignment of the IT systems and cultural integration. Many studies indicate that integration failure is a leading reason behind telecom companies’ not performing as expected after a merger (Hanelt et al., 2024). </w:t>
      </w:r>
      <w:r w:rsidRPr="00BE1EFD">
        <w:rPr>
          <w:rFonts w:ascii="Arial" w:eastAsia="Times New Roman" w:hAnsi="Arial" w:cs="Arial"/>
          <w:sz w:val="24"/>
          <w:szCs w:val="24"/>
        </w:rPr>
        <w:lastRenderedPageBreak/>
        <w:t>Hence, effective leadership, coordination and building dynamic capabilities (Teece, 2022) is crucial for success.</w:t>
      </w:r>
    </w:p>
    <w:p w14:paraId="4665E3A0" w14:textId="77777777" w:rsidR="003C267F" w:rsidRPr="00BE1EFD" w:rsidRDefault="003C267F" w:rsidP="00BE1EFD">
      <w:pPr>
        <w:spacing w:before="240" w:after="0" w:line="360" w:lineRule="auto"/>
        <w:jc w:val="center"/>
        <w:rPr>
          <w:rFonts w:ascii="Arial" w:eastAsia="Times New Roman" w:hAnsi="Arial" w:cs="Arial"/>
          <w:sz w:val="24"/>
          <w:szCs w:val="24"/>
        </w:rPr>
      </w:pPr>
      <w:r w:rsidRPr="00BE1EFD">
        <w:rPr>
          <w:rFonts w:ascii="Arial" w:hAnsi="Arial" w:cs="Arial"/>
          <w:noProof/>
          <w:sz w:val="24"/>
          <w:szCs w:val="24"/>
        </w:rPr>
        <w:drawing>
          <wp:inline distT="0" distB="0" distL="0" distR="0" wp14:anchorId="319EE027" wp14:editId="3C8B9FFD">
            <wp:extent cx="2749126" cy="2419350"/>
            <wp:effectExtent l="76200" t="76200" r="127635"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51737" cy="24216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DDA3BD4" w14:textId="77777777" w:rsidR="003C267F" w:rsidRPr="00BE1EFD" w:rsidRDefault="00907696" w:rsidP="00BE1EFD">
      <w:pPr>
        <w:spacing w:before="240" w:after="0" w:line="360" w:lineRule="auto"/>
        <w:jc w:val="center"/>
        <w:rPr>
          <w:rFonts w:ascii="Arial" w:eastAsia="Times New Roman" w:hAnsi="Arial" w:cs="Arial"/>
          <w:b/>
          <w:i/>
          <w:sz w:val="24"/>
          <w:szCs w:val="24"/>
        </w:rPr>
      </w:pPr>
      <w:r w:rsidRPr="00BE1EFD">
        <w:rPr>
          <w:rFonts w:ascii="Arial" w:eastAsia="Times New Roman" w:hAnsi="Arial" w:cs="Arial"/>
          <w:b/>
          <w:i/>
          <w:sz w:val="24"/>
          <w:szCs w:val="24"/>
        </w:rPr>
        <w:t>Figure: SAF Criteria to Evaluate Strategic Options</w:t>
      </w:r>
    </w:p>
    <w:p w14:paraId="48361187" w14:textId="77777777" w:rsidR="003C267F" w:rsidRPr="00BE1EFD" w:rsidRDefault="00907696" w:rsidP="00E01D79">
      <w:pPr>
        <w:spacing w:before="240" w:after="0" w:line="360" w:lineRule="auto"/>
        <w:jc w:val="center"/>
        <w:rPr>
          <w:rFonts w:ascii="Arial" w:eastAsia="Times New Roman" w:hAnsi="Arial" w:cs="Arial"/>
          <w:b/>
          <w:i/>
          <w:sz w:val="24"/>
          <w:szCs w:val="24"/>
        </w:rPr>
      </w:pPr>
      <w:r w:rsidRPr="00BE1EFD">
        <w:rPr>
          <w:rFonts w:ascii="Arial" w:eastAsia="Times New Roman" w:hAnsi="Arial" w:cs="Arial"/>
          <w:b/>
          <w:i/>
          <w:sz w:val="24"/>
          <w:szCs w:val="24"/>
        </w:rPr>
        <w:t>Source:</w:t>
      </w:r>
      <w:sdt>
        <w:sdtPr>
          <w:rPr>
            <w:rFonts w:ascii="Arial" w:eastAsia="Times New Roman" w:hAnsi="Arial" w:cs="Arial"/>
            <w:b/>
            <w:i/>
            <w:sz w:val="24"/>
            <w:szCs w:val="24"/>
          </w:rPr>
          <w:id w:val="1068758691"/>
          <w:citation/>
        </w:sdtPr>
        <w:sdtContent>
          <w:r w:rsidRPr="00BE1EFD">
            <w:rPr>
              <w:rFonts w:ascii="Arial" w:eastAsia="Times New Roman" w:hAnsi="Arial" w:cs="Arial"/>
              <w:b/>
              <w:i/>
              <w:sz w:val="24"/>
              <w:szCs w:val="24"/>
            </w:rPr>
            <w:fldChar w:fldCharType="begin"/>
          </w:r>
          <w:r w:rsidRPr="00BE1EFD">
            <w:rPr>
              <w:rFonts w:ascii="Arial" w:eastAsia="Times New Roman" w:hAnsi="Arial" w:cs="Arial"/>
              <w:b/>
              <w:i/>
              <w:sz w:val="24"/>
              <w:szCs w:val="24"/>
            </w:rPr>
            <w:instrText xml:space="preserve"> CITATION MaG25 \l 1033 </w:instrText>
          </w:r>
          <w:r w:rsidRPr="00BE1EFD">
            <w:rPr>
              <w:rFonts w:ascii="Arial" w:eastAsia="Times New Roman" w:hAnsi="Arial" w:cs="Arial"/>
              <w:b/>
              <w:i/>
              <w:sz w:val="24"/>
              <w:szCs w:val="24"/>
            </w:rPr>
            <w:fldChar w:fldCharType="separate"/>
          </w:r>
          <w:r w:rsidRPr="00BE1EFD">
            <w:rPr>
              <w:rFonts w:ascii="Arial" w:eastAsia="Times New Roman" w:hAnsi="Arial" w:cs="Arial"/>
              <w:b/>
              <w:i/>
              <w:noProof/>
              <w:sz w:val="24"/>
              <w:szCs w:val="24"/>
            </w:rPr>
            <w:t xml:space="preserve"> (Ma, 2025)</w:t>
          </w:r>
          <w:r w:rsidRPr="00BE1EFD">
            <w:rPr>
              <w:rFonts w:ascii="Arial" w:eastAsia="Times New Roman" w:hAnsi="Arial" w:cs="Arial"/>
              <w:b/>
              <w:i/>
              <w:sz w:val="24"/>
              <w:szCs w:val="24"/>
            </w:rPr>
            <w:fldChar w:fldCharType="end"/>
          </w:r>
        </w:sdtContent>
      </w:sdt>
    </w:p>
    <w:p w14:paraId="5D4B35E4" w14:textId="77777777" w:rsidR="00F007FD" w:rsidRPr="00BE1EFD" w:rsidRDefault="00F007FD" w:rsidP="00BE1EFD">
      <w:pPr>
        <w:spacing w:before="240" w:after="0" w:line="360" w:lineRule="auto"/>
        <w:jc w:val="both"/>
        <w:rPr>
          <w:rFonts w:ascii="Arial" w:eastAsia="Times New Roman" w:hAnsi="Arial" w:cs="Arial"/>
          <w:b/>
          <w:bCs/>
          <w:sz w:val="24"/>
          <w:szCs w:val="24"/>
        </w:rPr>
      </w:pPr>
      <w:r w:rsidRPr="00BE1EFD">
        <w:rPr>
          <w:rFonts w:ascii="Arial" w:eastAsia="Times New Roman" w:hAnsi="Arial" w:cs="Arial"/>
          <w:b/>
          <w:bCs/>
          <w:sz w:val="24"/>
          <w:szCs w:val="24"/>
        </w:rPr>
        <w:t>Key Assumption</w:t>
      </w:r>
    </w:p>
    <w:p w14:paraId="295F6178"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It is assumed that VodafoneThree will be able to achieve the targets that have been set for synergy and will abide the regulatory conditions without major changes in conditions for the merger during the period of planning.</w:t>
      </w:r>
    </w:p>
    <w:p w14:paraId="4B2AF2D0" w14:textId="77777777" w:rsidR="00F007FD" w:rsidRPr="00BE1EFD" w:rsidRDefault="00F007FD" w:rsidP="00BE1EFD">
      <w:pPr>
        <w:pStyle w:val="Heading2"/>
        <w:rPr>
          <w:rFonts w:ascii="Arial" w:eastAsia="Times New Roman" w:hAnsi="Arial" w:cs="Arial"/>
          <w:b/>
          <w:color w:val="auto"/>
          <w:sz w:val="24"/>
          <w:szCs w:val="24"/>
        </w:rPr>
      </w:pPr>
      <w:bookmarkStart w:id="26" w:name="_Toc231340224"/>
      <w:r w:rsidRPr="00BE1EFD">
        <w:rPr>
          <w:rFonts w:ascii="Arial" w:eastAsia="Times New Roman" w:hAnsi="Arial" w:cs="Arial"/>
          <w:b/>
          <w:color w:val="auto"/>
          <w:sz w:val="24"/>
          <w:szCs w:val="24"/>
        </w:rPr>
        <w:t>6. Stakeholder Analysis</w:t>
      </w:r>
      <w:bookmarkEnd w:id="26"/>
    </w:p>
    <w:p w14:paraId="49B1F492" w14:textId="77777777" w:rsidR="00F007FD" w:rsidRPr="00BE1EFD" w:rsidRDefault="00F007FD" w:rsidP="00BE1EFD">
      <w:pPr>
        <w:spacing w:before="240" w:after="0" w:line="360" w:lineRule="auto"/>
        <w:jc w:val="both"/>
        <w:rPr>
          <w:rFonts w:ascii="Arial" w:hAnsi="Arial" w:cs="Arial"/>
          <w:sz w:val="24"/>
          <w:szCs w:val="24"/>
        </w:rPr>
      </w:pPr>
      <w:r w:rsidRPr="00BE1EFD">
        <w:rPr>
          <w:rFonts w:ascii="Arial" w:hAnsi="Arial" w:cs="Arial"/>
          <w:sz w:val="24"/>
          <w:szCs w:val="24"/>
        </w:rPr>
        <w:t xml:space="preserve">As for the change, Vodafone Three’s AI-powered 5G digital ecosystem strategy impacts many parties as it features an enterprise growth approach and massive transformation in the post-merger scenario. A stakeholder theory comprises financial performance, social responsibility, and operational responsibility to </w:t>
      </w:r>
      <w:r w:rsidR="00BE1EFD" w:rsidRPr="00BE1EFD">
        <w:rPr>
          <w:rFonts w:ascii="Arial" w:hAnsi="Arial" w:cs="Arial"/>
          <w:sz w:val="24"/>
          <w:szCs w:val="24"/>
        </w:rPr>
        <w:t>balance (Freeman, 1984). The</w:t>
      </w:r>
      <w:r w:rsidRPr="00BE1EFD">
        <w:rPr>
          <w:rFonts w:ascii="Arial" w:hAnsi="Arial" w:cs="Arial"/>
          <w:sz w:val="24"/>
          <w:szCs w:val="24"/>
        </w:rPr>
        <w:t xml:space="preserve"> shareholder is anticipated to gain from the business’s long-term value creation due to </w:t>
      </w:r>
      <w:r w:rsidR="00BE1EFD" w:rsidRPr="00BE1EFD">
        <w:rPr>
          <w:rFonts w:ascii="Arial" w:hAnsi="Arial" w:cs="Arial"/>
          <w:sz w:val="24"/>
          <w:szCs w:val="24"/>
        </w:rPr>
        <w:t>it’s</w:t>
      </w:r>
      <w:r w:rsidRPr="00BE1EFD">
        <w:rPr>
          <w:rFonts w:ascii="Arial" w:hAnsi="Arial" w:cs="Arial"/>
          <w:sz w:val="24"/>
          <w:szCs w:val="24"/>
        </w:rPr>
        <w:t xml:space="preserve"> expected to be about €7.1 billion revenue contribution in the UK in FY2025 and its expected merger synergy is projected to be non-negligible at the rate of £700m annually by 2030, which would positively impact the businesses’ profitability and efficiency (Vodafone Group, 2025a; 2025c). But short-term profitability returns might be affected </w:t>
      </w:r>
      <w:r w:rsidRPr="00BE1EFD">
        <w:rPr>
          <w:rFonts w:ascii="Arial" w:hAnsi="Arial" w:cs="Arial"/>
          <w:sz w:val="24"/>
          <w:szCs w:val="24"/>
        </w:rPr>
        <w:lastRenderedPageBreak/>
        <w:t>due to high integration and infrastructure costs. The rise in Vodafone Three’s customer base (currently some 28.8 million) will bring them benefits of higher technology coverage, reliability of networks and better digital services – though there may be a short period of disruption during the integration process (Ofcom, 2025).Restructuring affects employees as does the integration of cultures, thus a robust communication and reskilling programme is necessary, as stipulated in Vodafone’s ESG priorities (Vodafone ESG Report, 2025). The merger conditions, pricing aspects and infrastructure investments requirements of regulators including Ofcom and the CMA continue to have a significant impact (CMA, 2025).Key suppliers in 5G and network rollout with AI technology such as Ericsson and Nokia are also crucial to the success of the efforts, while the societal benefit of this includes enhanced digital inclusion and national connectivity, based on the UK digital economy vision (HM Treasury, 2025).</w:t>
      </w:r>
    </w:p>
    <w:p w14:paraId="4B006B2A"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b/>
          <w:bCs/>
          <w:sz w:val="24"/>
          <w:szCs w:val="24"/>
        </w:rPr>
        <w:t>Mendelow’s Power–Interest Matrix</w:t>
      </w:r>
    </w:p>
    <w:p w14:paraId="6A1C1A33" w14:textId="77777777" w:rsidR="00F007FD" w:rsidRPr="00BE1EFD" w:rsidRDefault="00F007FD" w:rsidP="00BE1EFD">
      <w:pPr>
        <w:spacing w:before="240" w:after="0" w:line="360" w:lineRule="auto"/>
        <w:jc w:val="both"/>
        <w:rPr>
          <w:rFonts w:ascii="Arial" w:hAnsi="Arial" w:cs="Arial"/>
          <w:sz w:val="24"/>
          <w:szCs w:val="24"/>
        </w:rPr>
      </w:pPr>
      <w:r w:rsidRPr="00BE1EFD">
        <w:rPr>
          <w:rFonts w:ascii="Arial" w:hAnsi="Arial" w:cs="Arial"/>
          <w:sz w:val="24"/>
          <w:szCs w:val="24"/>
        </w:rPr>
        <w:t>In this illustrious company, the CMA and Ofcom are found alongside institutional investors and stakeholders – who are all high-power, high-interest organisations. This is because they bring a level of governance that can significantly influence VodafoneThree’s strategy, the compliance rules and regulations as well as the direction of capital investment in the business and, therefore, should be managed through continuous interaction and open communication. The rank-and-file – customers and employees – are in the higher power, but lower interest group</w:t>
      </w:r>
      <w:sdt>
        <w:sdtPr>
          <w:rPr>
            <w:rFonts w:ascii="Arial" w:hAnsi="Arial" w:cs="Arial"/>
            <w:sz w:val="24"/>
            <w:szCs w:val="24"/>
          </w:rPr>
          <w:id w:val="42882830"/>
          <w:citation/>
        </w:sdtPr>
        <w:sdtContent>
          <w:r w:rsidR="00BE1EFD" w:rsidRPr="00BE1EFD">
            <w:rPr>
              <w:rFonts w:ascii="Arial" w:hAnsi="Arial" w:cs="Arial"/>
              <w:sz w:val="24"/>
              <w:szCs w:val="24"/>
            </w:rPr>
            <w:fldChar w:fldCharType="begin"/>
          </w:r>
          <w:r w:rsidR="00BE1EFD" w:rsidRPr="00BE1EFD">
            <w:rPr>
              <w:rFonts w:ascii="Arial" w:hAnsi="Arial" w:cs="Arial"/>
              <w:sz w:val="24"/>
              <w:szCs w:val="24"/>
            </w:rPr>
            <w:instrText xml:space="preserve"> CITATION Yil232 \l 1033 </w:instrText>
          </w:r>
          <w:r w:rsidR="00BE1EFD" w:rsidRPr="00BE1EFD">
            <w:rPr>
              <w:rFonts w:ascii="Arial" w:hAnsi="Arial" w:cs="Arial"/>
              <w:sz w:val="24"/>
              <w:szCs w:val="24"/>
            </w:rPr>
            <w:fldChar w:fldCharType="separate"/>
          </w:r>
          <w:r w:rsidR="00BE1EFD" w:rsidRPr="00BE1EFD">
            <w:rPr>
              <w:rFonts w:ascii="Arial" w:hAnsi="Arial" w:cs="Arial"/>
              <w:noProof/>
              <w:sz w:val="24"/>
              <w:szCs w:val="24"/>
            </w:rPr>
            <w:t xml:space="preserve"> (Yildirim, 2023)</w:t>
          </w:r>
          <w:r w:rsidR="00BE1EFD" w:rsidRPr="00BE1EFD">
            <w:rPr>
              <w:rFonts w:ascii="Arial" w:hAnsi="Arial" w:cs="Arial"/>
              <w:sz w:val="24"/>
              <w:szCs w:val="24"/>
            </w:rPr>
            <w:fldChar w:fldCharType="end"/>
          </w:r>
        </w:sdtContent>
      </w:sdt>
      <w:r w:rsidRPr="00BE1EFD">
        <w:rPr>
          <w:rFonts w:ascii="Arial" w:hAnsi="Arial" w:cs="Arial"/>
          <w:sz w:val="24"/>
          <w:szCs w:val="24"/>
        </w:rPr>
        <w:t>. They may not have a direct impact on decision-making, but they are certainly impacted if service quality, pricing, and organisational changes occur. This means that VodafoneThree will have to remain in constant contact, have a reliable service, and have it managed during the transformation in post-</w:t>
      </w:r>
      <w:r w:rsidR="008B341B" w:rsidRPr="00BE1EFD">
        <w:rPr>
          <w:rFonts w:ascii="Arial" w:hAnsi="Arial" w:cs="Arial"/>
          <w:sz w:val="24"/>
          <w:szCs w:val="24"/>
        </w:rPr>
        <w:t>merge. Thus</w:t>
      </w:r>
      <w:r w:rsidRPr="00BE1EFD">
        <w:rPr>
          <w:rFonts w:ascii="Arial" w:hAnsi="Arial" w:cs="Arial"/>
          <w:sz w:val="24"/>
          <w:szCs w:val="24"/>
        </w:rPr>
        <w:t>, VodafoneThree must maintain all the three, namely trust, reduce the resistance and maintain the stability during the post-merge transformation process.</w:t>
      </w:r>
    </w:p>
    <w:p w14:paraId="5325FE9A" w14:textId="77777777" w:rsidR="00B300E2" w:rsidRPr="00BE1EFD" w:rsidRDefault="00B300E2" w:rsidP="00BE1EFD">
      <w:pPr>
        <w:spacing w:before="240" w:after="0" w:line="360" w:lineRule="auto"/>
        <w:jc w:val="both"/>
        <w:rPr>
          <w:rFonts w:ascii="Arial" w:hAnsi="Arial" w:cs="Arial"/>
          <w:sz w:val="24"/>
          <w:szCs w:val="24"/>
        </w:rPr>
      </w:pPr>
    </w:p>
    <w:p w14:paraId="73A53F3F" w14:textId="77777777" w:rsidR="00B300E2" w:rsidRPr="00BE1EFD" w:rsidRDefault="00B300E2" w:rsidP="00BE1EFD">
      <w:pPr>
        <w:spacing w:before="240" w:after="0" w:line="360" w:lineRule="auto"/>
        <w:jc w:val="center"/>
        <w:rPr>
          <w:rFonts w:ascii="Arial" w:hAnsi="Arial" w:cs="Arial"/>
          <w:sz w:val="24"/>
          <w:szCs w:val="24"/>
        </w:rPr>
      </w:pPr>
      <w:r w:rsidRPr="00BE1EFD">
        <w:rPr>
          <w:rFonts w:ascii="Arial" w:hAnsi="Arial" w:cs="Arial"/>
          <w:noProof/>
          <w:sz w:val="24"/>
          <w:szCs w:val="24"/>
        </w:rPr>
        <w:lastRenderedPageBreak/>
        <w:drawing>
          <wp:inline distT="0" distB="0" distL="0" distR="0" wp14:anchorId="18123E5A" wp14:editId="7B0E16C5">
            <wp:extent cx="3552825" cy="2637990"/>
            <wp:effectExtent l="76200" t="76200" r="123825" b="1244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664" r="11906"/>
                    <a:stretch/>
                  </pic:blipFill>
                  <pic:spPr bwMode="auto">
                    <a:xfrm>
                      <a:off x="0" y="0"/>
                      <a:ext cx="3609801" cy="2680295"/>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57843E8" w14:textId="77777777" w:rsidR="00907696" w:rsidRPr="00BE1EFD" w:rsidRDefault="00907696" w:rsidP="00BE1EFD">
      <w:pPr>
        <w:spacing w:before="240" w:after="0" w:line="360" w:lineRule="auto"/>
        <w:jc w:val="center"/>
        <w:rPr>
          <w:rFonts w:ascii="Arial" w:hAnsi="Arial" w:cs="Arial"/>
          <w:b/>
          <w:bCs/>
          <w:i/>
          <w:sz w:val="24"/>
          <w:szCs w:val="24"/>
        </w:rPr>
      </w:pPr>
      <w:r w:rsidRPr="00BE1EFD">
        <w:rPr>
          <w:rFonts w:ascii="Arial" w:hAnsi="Arial" w:cs="Arial"/>
          <w:b/>
          <w:bCs/>
          <w:i/>
          <w:sz w:val="24"/>
          <w:szCs w:val="24"/>
        </w:rPr>
        <w:t>Figure: Mendelow’s Power–Interest Matrix</w:t>
      </w:r>
    </w:p>
    <w:p w14:paraId="11D1E40A" w14:textId="77777777" w:rsidR="00B300E2" w:rsidRPr="00BE1EFD" w:rsidRDefault="00907696" w:rsidP="00BE1EFD">
      <w:pPr>
        <w:spacing w:before="240" w:after="0" w:line="360" w:lineRule="auto"/>
        <w:jc w:val="center"/>
        <w:rPr>
          <w:rFonts w:ascii="Arial" w:hAnsi="Arial" w:cs="Arial"/>
          <w:b/>
          <w:i/>
          <w:sz w:val="24"/>
          <w:szCs w:val="24"/>
        </w:rPr>
      </w:pPr>
      <w:r w:rsidRPr="00BE1EFD">
        <w:rPr>
          <w:rFonts w:ascii="Arial" w:hAnsi="Arial" w:cs="Arial"/>
          <w:b/>
          <w:bCs/>
          <w:i/>
          <w:sz w:val="24"/>
          <w:szCs w:val="24"/>
        </w:rPr>
        <w:t>Source;</w:t>
      </w:r>
      <w:sdt>
        <w:sdtPr>
          <w:rPr>
            <w:rFonts w:ascii="Arial" w:hAnsi="Arial" w:cs="Arial"/>
            <w:b/>
            <w:bCs/>
            <w:i/>
            <w:sz w:val="24"/>
            <w:szCs w:val="24"/>
          </w:rPr>
          <w:id w:val="703911929"/>
          <w:citation/>
        </w:sdtPr>
        <w:sdtContent>
          <w:r w:rsidRPr="00BE1EFD">
            <w:rPr>
              <w:rFonts w:ascii="Arial" w:hAnsi="Arial" w:cs="Arial"/>
              <w:b/>
              <w:bCs/>
              <w:i/>
              <w:sz w:val="24"/>
              <w:szCs w:val="24"/>
            </w:rPr>
            <w:fldChar w:fldCharType="begin"/>
          </w:r>
          <w:r w:rsidRPr="00BE1EFD">
            <w:rPr>
              <w:rFonts w:ascii="Arial" w:hAnsi="Arial" w:cs="Arial"/>
              <w:b/>
              <w:bCs/>
              <w:i/>
              <w:sz w:val="24"/>
              <w:szCs w:val="24"/>
            </w:rPr>
            <w:instrText xml:space="preserve"> CITATION Yil231 \l 1033 </w:instrText>
          </w:r>
          <w:r w:rsidRPr="00BE1EFD">
            <w:rPr>
              <w:rFonts w:ascii="Arial" w:hAnsi="Arial" w:cs="Arial"/>
              <w:b/>
              <w:bCs/>
              <w:i/>
              <w:sz w:val="24"/>
              <w:szCs w:val="24"/>
            </w:rPr>
            <w:fldChar w:fldCharType="separate"/>
          </w:r>
          <w:r w:rsidRPr="00BE1EFD">
            <w:rPr>
              <w:rFonts w:ascii="Arial" w:hAnsi="Arial" w:cs="Arial"/>
              <w:b/>
              <w:bCs/>
              <w:i/>
              <w:noProof/>
              <w:sz w:val="24"/>
              <w:szCs w:val="24"/>
            </w:rPr>
            <w:t xml:space="preserve"> </w:t>
          </w:r>
          <w:r w:rsidRPr="00BE1EFD">
            <w:rPr>
              <w:rFonts w:ascii="Arial" w:hAnsi="Arial" w:cs="Arial"/>
              <w:b/>
              <w:i/>
              <w:noProof/>
              <w:sz w:val="24"/>
              <w:szCs w:val="24"/>
            </w:rPr>
            <w:t>(Yildirim, 2023)</w:t>
          </w:r>
          <w:r w:rsidRPr="00BE1EFD">
            <w:rPr>
              <w:rFonts w:ascii="Arial" w:hAnsi="Arial" w:cs="Arial"/>
              <w:b/>
              <w:bCs/>
              <w:i/>
              <w:sz w:val="24"/>
              <w:szCs w:val="24"/>
            </w:rPr>
            <w:fldChar w:fldCharType="end"/>
          </w:r>
        </w:sdtContent>
      </w:sdt>
    </w:p>
    <w:p w14:paraId="3C26156C" w14:textId="77777777" w:rsidR="00F007FD" w:rsidRPr="00BE1EFD" w:rsidRDefault="00F007FD" w:rsidP="00BE1EFD">
      <w:pPr>
        <w:pStyle w:val="Heading2"/>
        <w:rPr>
          <w:rFonts w:ascii="Arial" w:eastAsia="Times New Roman" w:hAnsi="Arial" w:cs="Arial"/>
          <w:b/>
          <w:color w:val="auto"/>
          <w:sz w:val="24"/>
          <w:szCs w:val="24"/>
        </w:rPr>
      </w:pPr>
      <w:bookmarkStart w:id="27" w:name="_Toc231340225"/>
      <w:r w:rsidRPr="00BE1EFD">
        <w:rPr>
          <w:rFonts w:ascii="Arial" w:eastAsia="Times New Roman" w:hAnsi="Arial" w:cs="Arial"/>
          <w:b/>
          <w:color w:val="auto"/>
          <w:sz w:val="24"/>
          <w:szCs w:val="24"/>
        </w:rPr>
        <w:t>7. Implementation and Monitoring</w:t>
      </w:r>
      <w:bookmarkEnd w:id="27"/>
    </w:p>
    <w:p w14:paraId="1C109625"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VodafoneThree’s strategy is divided into three phases for implementation. A key element of this first phase is the integration of the network, disambiguation of brands and operations stabilisation. This is an important stage of the service cycle to secure service operation continuity, and also to reduce customer attrition. The second phase includes enterprise’s implementation of AI-enabled network automation, enterprise’s ICT service expansion, and establishing cloud-based partnership. This is the time when IT transformation shifts from consolidation to digital service creation and value. 3</w:t>
      </w:r>
      <w:r w:rsidRPr="00BE1EFD">
        <w:rPr>
          <w:rFonts w:ascii="Arial" w:eastAsia="Times New Roman" w:hAnsi="Arial" w:cs="Arial"/>
          <w:sz w:val="24"/>
          <w:szCs w:val="24"/>
          <w:vertAlign w:val="superscript"/>
        </w:rPr>
        <w:t>rd</w:t>
      </w:r>
      <w:r w:rsidRPr="00BE1EFD">
        <w:rPr>
          <w:rFonts w:ascii="Arial" w:eastAsia="Times New Roman" w:hAnsi="Arial" w:cs="Arial"/>
          <w:sz w:val="24"/>
          <w:szCs w:val="24"/>
        </w:rPr>
        <w:t xml:space="preserve"> Phase involves working on Ecosystem building, IoT monetisation, Smart city infrastructure, and global business expansion. In this stage Vodafone 3 becomes a digital infrastructure platform provider worldwide. Industry metrics for key performance indicators (KPIs) are ARPU growth, enterprise revenue share, customer churn rate, network latency, expansion of 5G, and ESG numbers. A Balanced Scorecard approach will be adopted in documenting the overall performance across financial, customer, internal process and innovation aspects.</w:t>
      </w:r>
    </w:p>
    <w:p w14:paraId="435CCEFA" w14:textId="77777777" w:rsidR="00F007FD" w:rsidRPr="00BE1EFD" w:rsidRDefault="00F007FD" w:rsidP="00BE1EFD">
      <w:pPr>
        <w:pStyle w:val="Heading2"/>
        <w:rPr>
          <w:rFonts w:ascii="Arial" w:eastAsia="Times New Roman" w:hAnsi="Arial" w:cs="Arial"/>
          <w:b/>
          <w:color w:val="auto"/>
          <w:sz w:val="24"/>
          <w:szCs w:val="24"/>
        </w:rPr>
      </w:pPr>
      <w:bookmarkStart w:id="28" w:name="_Toc231340226"/>
      <w:r w:rsidRPr="00BE1EFD">
        <w:rPr>
          <w:rFonts w:ascii="Arial" w:eastAsia="Times New Roman" w:hAnsi="Arial" w:cs="Arial"/>
          <w:b/>
          <w:color w:val="auto"/>
          <w:sz w:val="24"/>
          <w:szCs w:val="24"/>
        </w:rPr>
        <w:lastRenderedPageBreak/>
        <w:t>8. Conclusion</w:t>
      </w:r>
      <w:bookmarkEnd w:id="28"/>
    </w:p>
    <w:p w14:paraId="5A7D15E0" w14:textId="77777777" w:rsidR="00F007FD" w:rsidRPr="00BE1EFD" w:rsidRDefault="00F007FD" w:rsidP="00BE1EFD">
      <w:pPr>
        <w:spacing w:before="240" w:after="0" w:line="360" w:lineRule="auto"/>
        <w:jc w:val="both"/>
        <w:rPr>
          <w:rFonts w:ascii="Arial" w:eastAsia="Times New Roman" w:hAnsi="Arial" w:cs="Arial"/>
          <w:sz w:val="24"/>
          <w:szCs w:val="24"/>
        </w:rPr>
      </w:pPr>
      <w:r w:rsidRPr="00BE1EFD">
        <w:rPr>
          <w:rFonts w:ascii="Arial" w:eastAsia="Times New Roman" w:hAnsi="Arial" w:cs="Arial"/>
          <w:sz w:val="24"/>
          <w:szCs w:val="24"/>
        </w:rPr>
        <w:t>VodafoneThree signals significant restructuring in the UK telecom sector – characterised by digitalisation, centralisation and platform-based competition as is happening all over the world. Given the nature of its resources, the organisation is ideally positioned to transform itself from Telecom Operator to a Digital Infrastructure / Ecosystem player. Academic research, industry experience, and strategic management confirm the importance of the recommended AI-enabled 5G enterprise strategy. Regulatory, integration and stakeholder challenges plateau investors, but on the flipside, successful outcomes will ensure VodafoneThree has long-term competitive edge in the digital economy that’s sweeping the world at large.</w:t>
      </w:r>
    </w:p>
    <w:p w14:paraId="0BBD100A" w14:textId="77777777" w:rsidR="00BE1EFD" w:rsidRPr="00BE1EFD" w:rsidRDefault="00BE1EFD" w:rsidP="00BE1EFD">
      <w:pPr>
        <w:spacing w:line="360" w:lineRule="auto"/>
        <w:rPr>
          <w:rFonts w:ascii="Arial" w:hAnsi="Arial" w:cs="Arial"/>
          <w:sz w:val="24"/>
          <w:szCs w:val="24"/>
        </w:rPr>
      </w:pPr>
      <w:r w:rsidRPr="00BE1EFD">
        <w:rPr>
          <w:rFonts w:ascii="Arial" w:hAnsi="Arial" w:cs="Arial"/>
          <w:sz w:val="24"/>
          <w:szCs w:val="24"/>
        </w:rPr>
        <w:br w:type="page"/>
      </w:r>
    </w:p>
    <w:p w14:paraId="6F1D050E" w14:textId="77777777" w:rsidR="00F007FD" w:rsidRPr="00BE1EFD" w:rsidRDefault="00F007FD" w:rsidP="00BE1EFD">
      <w:pPr>
        <w:spacing w:before="240" w:after="0" w:line="360" w:lineRule="auto"/>
        <w:jc w:val="both"/>
        <w:rPr>
          <w:rFonts w:ascii="Arial" w:hAnsi="Arial" w:cs="Arial"/>
          <w:sz w:val="24"/>
          <w:szCs w:val="24"/>
        </w:rPr>
      </w:pPr>
    </w:p>
    <w:p w14:paraId="4757D77B" w14:textId="77777777" w:rsidR="00214491" w:rsidRPr="00BE1EFD" w:rsidRDefault="00BE1EFD" w:rsidP="00BE1EFD">
      <w:pPr>
        <w:pStyle w:val="Heading2"/>
        <w:rPr>
          <w:rFonts w:ascii="Arial" w:eastAsia="Times New Roman" w:hAnsi="Arial" w:cs="Arial"/>
          <w:b/>
          <w:color w:val="auto"/>
          <w:sz w:val="24"/>
          <w:szCs w:val="24"/>
        </w:rPr>
      </w:pPr>
      <w:bookmarkStart w:id="29" w:name="_Toc231340227"/>
      <w:r w:rsidRPr="00BE1EFD">
        <w:rPr>
          <w:rFonts w:ascii="Arial" w:eastAsia="Times New Roman" w:hAnsi="Arial" w:cs="Arial"/>
          <w:b/>
          <w:color w:val="auto"/>
          <w:sz w:val="24"/>
          <w:szCs w:val="24"/>
        </w:rPr>
        <w:t>9. References</w:t>
      </w:r>
      <w:bookmarkEnd w:id="29"/>
      <w:r w:rsidR="0079293A" w:rsidRPr="00BE1EFD">
        <w:rPr>
          <w:rFonts w:ascii="Arial" w:eastAsia="Times New Roman" w:hAnsi="Arial" w:cs="Arial"/>
          <w:b/>
          <w:color w:val="auto"/>
          <w:sz w:val="24"/>
          <w:szCs w:val="24"/>
        </w:rPr>
        <w:t xml:space="preserve"> </w:t>
      </w:r>
    </w:p>
    <w:p w14:paraId="0FF26B05"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Barney, J. (1991) ‘Firm resources and sustained competitive advantage’, </w:t>
      </w:r>
      <w:r w:rsidRPr="00E01D79">
        <w:rPr>
          <w:rFonts w:ascii="Arial" w:eastAsia="Times New Roman" w:hAnsi="Arial" w:cs="Arial"/>
          <w:iCs/>
          <w:sz w:val="24"/>
          <w:szCs w:val="24"/>
        </w:rPr>
        <w:t>Journal of Management</w:t>
      </w:r>
      <w:r w:rsidRPr="00E01D79">
        <w:rPr>
          <w:rFonts w:ascii="Arial" w:eastAsia="Times New Roman" w:hAnsi="Arial" w:cs="Arial"/>
          <w:sz w:val="24"/>
          <w:szCs w:val="24"/>
        </w:rPr>
        <w:t>, 17(1), pp. 99–120.</w:t>
      </w:r>
    </w:p>
    <w:p w14:paraId="6200506B"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Bourreau, M., Feasey, R. and Hoernig, S. (2023) ‘Competition and investment in telecommunications markets’, </w:t>
      </w:r>
      <w:r w:rsidRPr="00E01D79">
        <w:rPr>
          <w:rFonts w:ascii="Arial" w:eastAsia="Times New Roman" w:hAnsi="Arial" w:cs="Arial"/>
          <w:iCs/>
          <w:sz w:val="24"/>
          <w:szCs w:val="24"/>
        </w:rPr>
        <w:t>Telecommunications Policy</w:t>
      </w:r>
      <w:r w:rsidRPr="00E01D79">
        <w:rPr>
          <w:rFonts w:ascii="Arial" w:eastAsia="Times New Roman" w:hAnsi="Arial" w:cs="Arial"/>
          <w:sz w:val="24"/>
          <w:szCs w:val="24"/>
        </w:rPr>
        <w:t>, 47(3), pp. 1–15.</w:t>
      </w:r>
    </w:p>
    <w:p w14:paraId="4119FC27"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Cartwright, S. and Schoenberg, R. (2022) ‘Thirty years of mergers and acquisitions research: Recent advances and future opportunities’, </w:t>
      </w:r>
      <w:r w:rsidRPr="00E01D79">
        <w:rPr>
          <w:rFonts w:ascii="Arial" w:eastAsia="Times New Roman" w:hAnsi="Arial" w:cs="Arial"/>
          <w:iCs/>
          <w:sz w:val="24"/>
          <w:szCs w:val="24"/>
        </w:rPr>
        <w:t>British Journal of Management</w:t>
      </w:r>
      <w:r w:rsidRPr="00E01D79">
        <w:rPr>
          <w:rFonts w:ascii="Arial" w:eastAsia="Times New Roman" w:hAnsi="Arial" w:cs="Arial"/>
          <w:sz w:val="24"/>
          <w:szCs w:val="24"/>
        </w:rPr>
        <w:t>, 33(2), pp. 433–455.</w:t>
      </w:r>
    </w:p>
    <w:p w14:paraId="1CEB317F"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Competition and Markets Authority (CMA) (2025) </w:t>
      </w:r>
      <w:r w:rsidRPr="00E01D79">
        <w:rPr>
          <w:rFonts w:ascii="Arial" w:eastAsia="Times New Roman" w:hAnsi="Arial" w:cs="Arial"/>
          <w:iCs/>
          <w:sz w:val="24"/>
          <w:szCs w:val="24"/>
        </w:rPr>
        <w:t>Vodafone and Three UK merger decision report</w:t>
      </w:r>
      <w:r w:rsidRPr="00E01D79">
        <w:rPr>
          <w:rFonts w:ascii="Arial" w:eastAsia="Times New Roman" w:hAnsi="Arial" w:cs="Arial"/>
          <w:sz w:val="24"/>
          <w:szCs w:val="24"/>
        </w:rPr>
        <w:t>. London: CMA.</w:t>
      </w:r>
    </w:p>
    <w:p w14:paraId="05D69A00"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Cusumano, M.A., Gawer, A. and Yoffie, D.B. (2023).</w:t>
      </w:r>
      <w:r w:rsidRPr="00E01D79">
        <w:rPr>
          <w:rFonts w:ascii="Arial" w:eastAsia="Times New Roman" w:hAnsi="Arial" w:cs="Arial"/>
          <w:iCs/>
          <w:sz w:val="24"/>
          <w:szCs w:val="24"/>
        </w:rPr>
        <w:t>The Business of Platforms: Strategy in the Age of Digital Competition, Innovation, and Power</w:t>
      </w:r>
      <w:r w:rsidRPr="00E01D79">
        <w:rPr>
          <w:rFonts w:ascii="Arial" w:eastAsia="Times New Roman" w:hAnsi="Arial" w:cs="Arial"/>
          <w:sz w:val="24"/>
          <w:szCs w:val="24"/>
        </w:rPr>
        <w:t>. New York: Harper Business.</w:t>
      </w:r>
    </w:p>
    <w:p w14:paraId="14DEA2B5"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Da Silva Coutinho, M. (2021) </w:t>
      </w:r>
      <w:r w:rsidRPr="00E01D79">
        <w:rPr>
          <w:rFonts w:ascii="Arial" w:eastAsia="Times New Roman" w:hAnsi="Arial" w:cs="Arial"/>
          <w:iCs/>
          <w:sz w:val="24"/>
          <w:szCs w:val="24"/>
        </w:rPr>
        <w:t>Vodafone Group PLC: Telecommunications</w:t>
      </w:r>
      <w:r w:rsidRPr="00E01D79">
        <w:rPr>
          <w:rFonts w:ascii="Arial" w:eastAsia="Times New Roman" w:hAnsi="Arial" w:cs="Arial"/>
          <w:sz w:val="24"/>
          <w:szCs w:val="24"/>
        </w:rPr>
        <w:t>. Master’s thesis. Universidade NOVA de Lisboa.</w:t>
      </w:r>
    </w:p>
    <w:p w14:paraId="3C14AFC7"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Deloitte (2025) </w:t>
      </w:r>
      <w:r w:rsidRPr="00E01D79">
        <w:rPr>
          <w:rFonts w:ascii="Arial" w:eastAsia="Times New Roman" w:hAnsi="Arial" w:cs="Arial"/>
          <w:iCs/>
          <w:sz w:val="24"/>
          <w:szCs w:val="24"/>
        </w:rPr>
        <w:t>UK Digital Consumer Trends Report 2025</w:t>
      </w:r>
      <w:r w:rsidRPr="00E01D79">
        <w:rPr>
          <w:rFonts w:ascii="Arial" w:eastAsia="Times New Roman" w:hAnsi="Arial" w:cs="Arial"/>
          <w:sz w:val="24"/>
          <w:szCs w:val="24"/>
        </w:rPr>
        <w:t>. London: Deloitte Insights.</w:t>
      </w:r>
    </w:p>
    <w:p w14:paraId="00A83DB6"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Eccles, R.G., Ioannou, I. and Serafeim, G. (2023) ‘The impact of ESG on firm value’, </w:t>
      </w:r>
      <w:r w:rsidRPr="00E01D79">
        <w:rPr>
          <w:rFonts w:ascii="Arial" w:eastAsia="Times New Roman" w:hAnsi="Arial" w:cs="Arial"/>
          <w:iCs/>
          <w:sz w:val="24"/>
          <w:szCs w:val="24"/>
        </w:rPr>
        <w:t>Journal of Applied Corporate Finance</w:t>
      </w:r>
      <w:r w:rsidRPr="00E01D79">
        <w:rPr>
          <w:rFonts w:ascii="Arial" w:eastAsia="Times New Roman" w:hAnsi="Arial" w:cs="Arial"/>
          <w:sz w:val="24"/>
          <w:szCs w:val="24"/>
        </w:rPr>
        <w:t>, 35(1), pp. 25–39.</w:t>
      </w:r>
    </w:p>
    <w:p w14:paraId="51542F7B"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Feldmann, A., Chown, T. and Johnson, P. (2023) ‘Open RAN and telecom network evolution’, </w:t>
      </w:r>
      <w:r w:rsidRPr="00E01D79">
        <w:rPr>
          <w:rFonts w:ascii="Arial" w:eastAsia="Times New Roman" w:hAnsi="Arial" w:cs="Arial"/>
          <w:iCs/>
          <w:sz w:val="24"/>
          <w:szCs w:val="24"/>
        </w:rPr>
        <w:t>IEEE Communications Magazine</w:t>
      </w:r>
      <w:r w:rsidRPr="00E01D79">
        <w:rPr>
          <w:rFonts w:ascii="Arial" w:eastAsia="Times New Roman" w:hAnsi="Arial" w:cs="Arial"/>
          <w:sz w:val="24"/>
          <w:szCs w:val="24"/>
        </w:rPr>
        <w:t>, 61(5), pp. 45–52.</w:t>
      </w:r>
    </w:p>
    <w:p w14:paraId="25AE5CA6"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Freeman, R.E. (1984) </w:t>
      </w:r>
      <w:r w:rsidRPr="00E01D79">
        <w:rPr>
          <w:rFonts w:ascii="Arial" w:eastAsia="Times New Roman" w:hAnsi="Arial" w:cs="Arial"/>
          <w:iCs/>
          <w:sz w:val="24"/>
          <w:szCs w:val="24"/>
        </w:rPr>
        <w:t>Strategic Management: A Stakeholder Approach</w:t>
      </w:r>
      <w:r w:rsidRPr="00E01D79">
        <w:rPr>
          <w:rFonts w:ascii="Arial" w:eastAsia="Times New Roman" w:hAnsi="Arial" w:cs="Arial"/>
          <w:sz w:val="24"/>
          <w:szCs w:val="24"/>
        </w:rPr>
        <w:t>. Boston: Pitman.</w:t>
      </w:r>
    </w:p>
    <w:p w14:paraId="2D251EE1"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Grant, R.M. (2022) </w:t>
      </w:r>
      <w:r w:rsidRPr="00E01D79">
        <w:rPr>
          <w:rFonts w:ascii="Arial" w:eastAsia="Times New Roman" w:hAnsi="Arial" w:cs="Arial"/>
          <w:iCs/>
          <w:sz w:val="24"/>
          <w:szCs w:val="24"/>
        </w:rPr>
        <w:t>Contemporary Strategy Analysis</w:t>
      </w:r>
      <w:r w:rsidRPr="00E01D79">
        <w:rPr>
          <w:rFonts w:ascii="Arial" w:eastAsia="Times New Roman" w:hAnsi="Arial" w:cs="Arial"/>
          <w:sz w:val="24"/>
          <w:szCs w:val="24"/>
        </w:rPr>
        <w:t>. 11th edn. Hoboken, NJ: Wiley.</w:t>
      </w:r>
    </w:p>
    <w:p w14:paraId="041E57A9"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GSMA (2025).</w:t>
      </w:r>
      <w:r w:rsidRPr="00E01D79">
        <w:rPr>
          <w:rFonts w:ascii="Arial" w:eastAsia="Times New Roman" w:hAnsi="Arial" w:cs="Arial"/>
          <w:iCs/>
          <w:sz w:val="24"/>
          <w:szCs w:val="24"/>
        </w:rPr>
        <w:t>The Mobile Economy 2025</w:t>
      </w:r>
      <w:r w:rsidRPr="00E01D79">
        <w:rPr>
          <w:rFonts w:ascii="Arial" w:eastAsia="Times New Roman" w:hAnsi="Arial" w:cs="Arial"/>
          <w:sz w:val="24"/>
          <w:szCs w:val="24"/>
        </w:rPr>
        <w:t>. London: GSMA.</w:t>
      </w:r>
    </w:p>
    <w:p w14:paraId="1B15B188"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lastRenderedPageBreak/>
        <w:t xml:space="preserve">Hanelt, A., Bohnsack, R. and Marz, D. (2024) ‘Digital transformation and post-merger integration in telecom firms’, </w:t>
      </w:r>
      <w:r w:rsidRPr="00E01D79">
        <w:rPr>
          <w:rFonts w:ascii="Arial" w:eastAsia="Times New Roman" w:hAnsi="Arial" w:cs="Arial"/>
          <w:iCs/>
          <w:sz w:val="24"/>
          <w:szCs w:val="24"/>
        </w:rPr>
        <w:t>Journal of Strategic Information Systems</w:t>
      </w:r>
      <w:r w:rsidRPr="00E01D79">
        <w:rPr>
          <w:rFonts w:ascii="Arial" w:eastAsia="Times New Roman" w:hAnsi="Arial" w:cs="Arial"/>
          <w:sz w:val="24"/>
          <w:szCs w:val="24"/>
        </w:rPr>
        <w:t>, 33(1), pp. 101–118.</w:t>
      </w:r>
    </w:p>
    <w:p w14:paraId="2A487EA8"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HM Treasury (2025) </w:t>
      </w:r>
      <w:r w:rsidRPr="00E01D79">
        <w:rPr>
          <w:rFonts w:ascii="Arial" w:eastAsia="Times New Roman" w:hAnsi="Arial" w:cs="Arial"/>
          <w:iCs/>
          <w:sz w:val="24"/>
          <w:szCs w:val="24"/>
        </w:rPr>
        <w:t>UK Digital Economy Outlook Report</w:t>
      </w:r>
      <w:r w:rsidRPr="00E01D79">
        <w:rPr>
          <w:rFonts w:ascii="Arial" w:eastAsia="Times New Roman" w:hAnsi="Arial" w:cs="Arial"/>
          <w:sz w:val="24"/>
          <w:szCs w:val="24"/>
        </w:rPr>
        <w:t>. London: HM Government.</w:t>
      </w:r>
    </w:p>
    <w:p w14:paraId="3A2FBB1D"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Johnson, G., Scholes, K. and Whittington, R. (2020) </w:t>
      </w:r>
      <w:r w:rsidRPr="00E01D79">
        <w:rPr>
          <w:rFonts w:ascii="Arial" w:eastAsia="Times New Roman" w:hAnsi="Arial" w:cs="Arial"/>
          <w:iCs/>
          <w:sz w:val="24"/>
          <w:szCs w:val="24"/>
        </w:rPr>
        <w:t>Exploring Strategy</w:t>
      </w:r>
      <w:r w:rsidRPr="00E01D79">
        <w:rPr>
          <w:rFonts w:ascii="Arial" w:eastAsia="Times New Roman" w:hAnsi="Arial" w:cs="Arial"/>
          <w:sz w:val="24"/>
          <w:szCs w:val="24"/>
        </w:rPr>
        <w:t>. 12th edn. Harlow: Pearson.</w:t>
      </w:r>
    </w:p>
    <w:p w14:paraId="542A1755"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Johnson, G., Whittington, R. and Regnér, P. (2023) </w:t>
      </w:r>
      <w:r w:rsidRPr="00E01D79">
        <w:rPr>
          <w:rFonts w:ascii="Arial" w:eastAsia="Times New Roman" w:hAnsi="Arial" w:cs="Arial"/>
          <w:iCs/>
          <w:sz w:val="24"/>
          <w:szCs w:val="24"/>
        </w:rPr>
        <w:t>Exploring Strategy</w:t>
      </w:r>
      <w:r w:rsidRPr="00E01D79">
        <w:rPr>
          <w:rFonts w:ascii="Arial" w:eastAsia="Times New Roman" w:hAnsi="Arial" w:cs="Arial"/>
          <w:sz w:val="24"/>
          <w:szCs w:val="24"/>
        </w:rPr>
        <w:t>. 13th edn. Harlow: Pearson.</w:t>
      </w:r>
    </w:p>
    <w:p w14:paraId="6DCE02E0"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Li, F. and Whalley, J. (2024) ‘Market structure and competition in telecom industries’, </w:t>
      </w:r>
      <w:r w:rsidRPr="00E01D79">
        <w:rPr>
          <w:rFonts w:ascii="Arial" w:eastAsia="Times New Roman" w:hAnsi="Arial" w:cs="Arial"/>
          <w:iCs/>
          <w:sz w:val="24"/>
          <w:szCs w:val="24"/>
        </w:rPr>
        <w:t>Information Economics and Policy</w:t>
      </w:r>
      <w:r w:rsidRPr="00E01D79">
        <w:rPr>
          <w:rFonts w:ascii="Arial" w:eastAsia="Times New Roman" w:hAnsi="Arial" w:cs="Arial"/>
          <w:sz w:val="24"/>
          <w:szCs w:val="24"/>
        </w:rPr>
        <w:t>, 62, pp. 100–112.</w:t>
      </w:r>
    </w:p>
    <w:p w14:paraId="135133E7"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Ma, G. (2025) ‘AI strategic transformation ideas and application practice direction of telecom operators’, in </w:t>
      </w:r>
      <w:r w:rsidRPr="00E01D79">
        <w:rPr>
          <w:rFonts w:ascii="Arial" w:eastAsia="Times New Roman" w:hAnsi="Arial" w:cs="Arial"/>
          <w:iCs/>
          <w:sz w:val="24"/>
          <w:szCs w:val="24"/>
        </w:rPr>
        <w:t>Proceedings of the 5th International Conference on Internet, Education and Information Technology (IEIT 2025)</w:t>
      </w:r>
      <w:r w:rsidRPr="00E01D79">
        <w:rPr>
          <w:rFonts w:ascii="Arial" w:eastAsia="Times New Roman" w:hAnsi="Arial" w:cs="Arial"/>
          <w:sz w:val="24"/>
          <w:szCs w:val="24"/>
        </w:rPr>
        <w:t>. Singapore: Springer Nature, p. 56.</w:t>
      </w:r>
    </w:p>
    <w:p w14:paraId="2D40E761"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McKinsey &amp; Company (2024).</w:t>
      </w:r>
      <w:r w:rsidRPr="00E01D79">
        <w:rPr>
          <w:rFonts w:ascii="Arial" w:eastAsia="Times New Roman" w:hAnsi="Arial" w:cs="Arial"/>
          <w:iCs/>
          <w:sz w:val="24"/>
          <w:szCs w:val="24"/>
        </w:rPr>
        <w:t>The Future of Telecom Enterprise Services</w:t>
      </w:r>
      <w:r w:rsidRPr="00E01D79">
        <w:rPr>
          <w:rFonts w:ascii="Arial" w:eastAsia="Times New Roman" w:hAnsi="Arial" w:cs="Arial"/>
          <w:sz w:val="24"/>
          <w:szCs w:val="24"/>
        </w:rPr>
        <w:t>. London: McKinsey Global Institute.</w:t>
      </w:r>
    </w:p>
    <w:p w14:paraId="2DF95280"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Musyoka, M. (2023) </w:t>
      </w:r>
      <w:r w:rsidRPr="00E01D79">
        <w:rPr>
          <w:rFonts w:ascii="Arial" w:eastAsia="Times New Roman" w:hAnsi="Arial" w:cs="Arial"/>
          <w:iCs/>
          <w:sz w:val="24"/>
          <w:szCs w:val="24"/>
        </w:rPr>
        <w:t>Porter’s Generic Competitive Strategies, Alliance Partnerships and Performance of Mobile Telephone Network Service Providers in Kenya</w:t>
      </w:r>
      <w:r w:rsidRPr="00E01D79">
        <w:rPr>
          <w:rFonts w:ascii="Arial" w:eastAsia="Times New Roman" w:hAnsi="Arial" w:cs="Arial"/>
          <w:sz w:val="24"/>
          <w:szCs w:val="24"/>
        </w:rPr>
        <w:t>. Doctoral dissertation. Machakos University.</w:t>
      </w:r>
    </w:p>
    <w:p w14:paraId="50DEBF4E"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Noor, F.G.O.M.P. and A.A. (2023) </w:t>
      </w:r>
      <w:r w:rsidRPr="00E01D79">
        <w:rPr>
          <w:rFonts w:ascii="Arial" w:eastAsia="Times New Roman" w:hAnsi="Arial" w:cs="Arial"/>
          <w:iCs/>
          <w:sz w:val="24"/>
          <w:szCs w:val="24"/>
        </w:rPr>
        <w:t>Issues in Business Environment</w:t>
      </w:r>
      <w:r w:rsidRPr="00E01D79">
        <w:rPr>
          <w:rFonts w:ascii="Arial" w:eastAsia="Times New Roman" w:hAnsi="Arial" w:cs="Arial"/>
          <w:sz w:val="24"/>
          <w:szCs w:val="24"/>
        </w:rPr>
        <w:t>.</w:t>
      </w:r>
    </w:p>
    <w:p w14:paraId="0C5E0621"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OECD (2024) </w:t>
      </w:r>
      <w:r w:rsidRPr="00E01D79">
        <w:rPr>
          <w:rFonts w:ascii="Arial" w:eastAsia="Times New Roman" w:hAnsi="Arial" w:cs="Arial"/>
          <w:iCs/>
          <w:sz w:val="24"/>
          <w:szCs w:val="24"/>
        </w:rPr>
        <w:t>Artificial Intelligence Governance Principles and Regulatory Frameworks</w:t>
      </w:r>
      <w:r w:rsidRPr="00E01D79">
        <w:rPr>
          <w:rFonts w:ascii="Arial" w:eastAsia="Times New Roman" w:hAnsi="Arial" w:cs="Arial"/>
          <w:sz w:val="24"/>
          <w:szCs w:val="24"/>
        </w:rPr>
        <w:t>. Paris: OECD Publishing.</w:t>
      </w:r>
    </w:p>
    <w:p w14:paraId="0E1DDDF5"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Ofcom (2025) </w:t>
      </w:r>
      <w:r w:rsidRPr="00E01D79">
        <w:rPr>
          <w:rFonts w:ascii="Arial" w:eastAsia="Times New Roman" w:hAnsi="Arial" w:cs="Arial"/>
          <w:iCs/>
          <w:sz w:val="24"/>
          <w:szCs w:val="24"/>
        </w:rPr>
        <w:t>Telecommunications Market Review 2025</w:t>
      </w:r>
      <w:r w:rsidRPr="00E01D79">
        <w:rPr>
          <w:rFonts w:ascii="Arial" w:eastAsia="Times New Roman" w:hAnsi="Arial" w:cs="Arial"/>
          <w:sz w:val="24"/>
          <w:szCs w:val="24"/>
        </w:rPr>
        <w:t>. London: Ofcom.</w:t>
      </w:r>
    </w:p>
    <w:p w14:paraId="2AD8BBCC"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Petit, N. and van den Bergh, R. (2023) ‘Competition policy in digital infrastructure markets’, </w:t>
      </w:r>
      <w:r w:rsidRPr="00E01D79">
        <w:rPr>
          <w:rFonts w:ascii="Arial" w:eastAsia="Times New Roman" w:hAnsi="Arial" w:cs="Arial"/>
          <w:iCs/>
          <w:sz w:val="24"/>
          <w:szCs w:val="24"/>
        </w:rPr>
        <w:t>World Competition</w:t>
      </w:r>
      <w:r w:rsidRPr="00E01D79">
        <w:rPr>
          <w:rFonts w:ascii="Arial" w:eastAsia="Times New Roman" w:hAnsi="Arial" w:cs="Arial"/>
          <w:sz w:val="24"/>
          <w:szCs w:val="24"/>
        </w:rPr>
        <w:t>, 46(2), pp. 189–210.</w:t>
      </w:r>
    </w:p>
    <w:p w14:paraId="57A95900"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lastRenderedPageBreak/>
        <w:t xml:space="preserve">Porter, M.E. (1980) </w:t>
      </w:r>
      <w:r w:rsidRPr="00E01D79">
        <w:rPr>
          <w:rFonts w:ascii="Arial" w:eastAsia="Times New Roman" w:hAnsi="Arial" w:cs="Arial"/>
          <w:iCs/>
          <w:sz w:val="24"/>
          <w:szCs w:val="24"/>
        </w:rPr>
        <w:t>Competitive Strategy: Techniques for Analyzing Industries and Competitors</w:t>
      </w:r>
      <w:r w:rsidRPr="00E01D79">
        <w:rPr>
          <w:rFonts w:ascii="Arial" w:eastAsia="Times New Roman" w:hAnsi="Arial" w:cs="Arial"/>
          <w:sz w:val="24"/>
          <w:szCs w:val="24"/>
        </w:rPr>
        <w:t>. New York: Free Press.</w:t>
      </w:r>
    </w:p>
    <w:p w14:paraId="16C83151"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Porter, M.E. (1985) </w:t>
      </w:r>
      <w:r w:rsidRPr="00E01D79">
        <w:rPr>
          <w:rFonts w:ascii="Arial" w:eastAsia="Times New Roman" w:hAnsi="Arial" w:cs="Arial"/>
          <w:iCs/>
          <w:sz w:val="24"/>
          <w:szCs w:val="24"/>
        </w:rPr>
        <w:t>Competitive Advantage: Creating and Sustaining Superior Performance</w:t>
      </w:r>
      <w:r w:rsidRPr="00E01D79">
        <w:rPr>
          <w:rFonts w:ascii="Arial" w:eastAsia="Times New Roman" w:hAnsi="Arial" w:cs="Arial"/>
          <w:sz w:val="24"/>
          <w:szCs w:val="24"/>
        </w:rPr>
        <w:t>. New York: Free Press.</w:t>
      </w:r>
    </w:p>
    <w:p w14:paraId="19189B83"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Simões, J. (2024) </w:t>
      </w:r>
      <w:r w:rsidRPr="00E01D79">
        <w:rPr>
          <w:rFonts w:ascii="Arial" w:eastAsia="Times New Roman" w:hAnsi="Arial" w:cs="Arial"/>
          <w:iCs/>
          <w:sz w:val="24"/>
          <w:szCs w:val="24"/>
        </w:rPr>
        <w:t>Equity Research of Vodafone Group PLC</w:t>
      </w:r>
      <w:r w:rsidRPr="00E01D79">
        <w:rPr>
          <w:rFonts w:ascii="Arial" w:eastAsia="Times New Roman" w:hAnsi="Arial" w:cs="Arial"/>
          <w:sz w:val="24"/>
          <w:szCs w:val="24"/>
        </w:rPr>
        <w:t>. Master’s thesis. Universidade do Porto.</w:t>
      </w:r>
    </w:p>
    <w:p w14:paraId="6012B513"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Stagnaro, C. (2026) </w:t>
      </w:r>
      <w:r w:rsidRPr="00E01D79">
        <w:rPr>
          <w:rFonts w:ascii="Arial" w:eastAsia="Times New Roman" w:hAnsi="Arial" w:cs="Arial"/>
          <w:iCs/>
          <w:sz w:val="24"/>
          <w:szCs w:val="24"/>
        </w:rPr>
        <w:t>Europe’s Energy Markets: How Liberal Ideas Can Orchestrate Europe’s Economic Revolution</w:t>
      </w:r>
      <w:r w:rsidRPr="00E01D79">
        <w:rPr>
          <w:rFonts w:ascii="Arial" w:eastAsia="Times New Roman" w:hAnsi="Arial" w:cs="Arial"/>
          <w:sz w:val="24"/>
          <w:szCs w:val="24"/>
        </w:rPr>
        <w:t>. Brussels: European Liberal Forum.</w:t>
      </w:r>
    </w:p>
    <w:p w14:paraId="48B9747E"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Statista (2025) </w:t>
      </w:r>
      <w:r w:rsidRPr="00E01D79">
        <w:rPr>
          <w:rFonts w:ascii="Arial" w:eastAsia="Times New Roman" w:hAnsi="Arial" w:cs="Arial"/>
          <w:iCs/>
          <w:sz w:val="24"/>
          <w:szCs w:val="24"/>
        </w:rPr>
        <w:t>Internet of Things (IoT) Market Forecast UK and Global</w:t>
      </w:r>
      <w:r w:rsidRPr="00E01D79">
        <w:rPr>
          <w:rFonts w:ascii="Arial" w:eastAsia="Times New Roman" w:hAnsi="Arial" w:cs="Arial"/>
          <w:sz w:val="24"/>
          <w:szCs w:val="24"/>
        </w:rPr>
        <w:t xml:space="preserve">. Available at: </w:t>
      </w:r>
      <w:hyperlink r:id="rId14" w:history="1">
        <w:r w:rsidRPr="00E01D79">
          <w:rPr>
            <w:rFonts w:ascii="Arial" w:eastAsia="Times New Roman" w:hAnsi="Arial" w:cs="Arial"/>
            <w:color w:val="0000FF"/>
            <w:sz w:val="24"/>
            <w:szCs w:val="24"/>
          </w:rPr>
          <w:t>https://www.statista.com</w:t>
        </w:r>
      </w:hyperlink>
      <w:r w:rsidRPr="00E01D79">
        <w:rPr>
          <w:rFonts w:ascii="Arial" w:eastAsia="Times New Roman" w:hAnsi="Arial" w:cs="Arial"/>
          <w:sz w:val="24"/>
          <w:szCs w:val="24"/>
        </w:rPr>
        <w:t xml:space="preserve"> (Accessed: 1 June 2026).</w:t>
      </w:r>
    </w:p>
    <w:p w14:paraId="0DB6D068"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Teece, D.J. (2022) ‘Dynamic capabilities and strategic management in digital transformation’, </w:t>
      </w:r>
      <w:r w:rsidRPr="00E01D79">
        <w:rPr>
          <w:rFonts w:ascii="Arial" w:eastAsia="Times New Roman" w:hAnsi="Arial" w:cs="Arial"/>
          <w:iCs/>
          <w:sz w:val="24"/>
          <w:szCs w:val="24"/>
        </w:rPr>
        <w:t>Strategic Management Journal</w:t>
      </w:r>
      <w:r w:rsidRPr="00E01D79">
        <w:rPr>
          <w:rFonts w:ascii="Arial" w:eastAsia="Times New Roman" w:hAnsi="Arial" w:cs="Arial"/>
          <w:sz w:val="24"/>
          <w:szCs w:val="24"/>
        </w:rPr>
        <w:t>, 43(8), pp. 1447–1476.</w:t>
      </w:r>
    </w:p>
    <w:p w14:paraId="3965D5F6"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Vodafone Group Plc (2025) </w:t>
      </w:r>
      <w:r w:rsidRPr="00E01D79">
        <w:rPr>
          <w:rFonts w:ascii="Arial" w:eastAsia="Times New Roman" w:hAnsi="Arial" w:cs="Arial"/>
          <w:iCs/>
          <w:sz w:val="24"/>
          <w:szCs w:val="24"/>
        </w:rPr>
        <w:t>Annual Report 2025</w:t>
      </w:r>
      <w:r w:rsidRPr="00E01D79">
        <w:rPr>
          <w:rFonts w:ascii="Arial" w:eastAsia="Times New Roman" w:hAnsi="Arial" w:cs="Arial"/>
          <w:sz w:val="24"/>
          <w:szCs w:val="24"/>
        </w:rPr>
        <w:t>. London: Vodafone Group Plc.</w:t>
      </w:r>
    </w:p>
    <w:p w14:paraId="12CE1058"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Vodafone Group Plc (2025a) </w:t>
      </w:r>
      <w:r w:rsidRPr="00E01D79">
        <w:rPr>
          <w:rFonts w:ascii="Arial" w:eastAsia="Times New Roman" w:hAnsi="Arial" w:cs="Arial"/>
          <w:iCs/>
          <w:sz w:val="24"/>
          <w:szCs w:val="24"/>
        </w:rPr>
        <w:t>UK Operations Financial Performance Report FY25</w:t>
      </w:r>
      <w:r w:rsidRPr="00E01D79">
        <w:rPr>
          <w:rFonts w:ascii="Arial" w:eastAsia="Times New Roman" w:hAnsi="Arial" w:cs="Arial"/>
          <w:sz w:val="24"/>
          <w:szCs w:val="24"/>
        </w:rPr>
        <w:t>. London: Vodafone Group Plc.</w:t>
      </w:r>
    </w:p>
    <w:p w14:paraId="0655A882"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Vodafone Group Plc (2025b) </w:t>
      </w:r>
      <w:r w:rsidRPr="00E01D79">
        <w:rPr>
          <w:rFonts w:ascii="Arial" w:eastAsia="Times New Roman" w:hAnsi="Arial" w:cs="Arial"/>
          <w:iCs/>
          <w:sz w:val="24"/>
          <w:szCs w:val="24"/>
        </w:rPr>
        <w:t>VodafoneThree Merger Synergy and Integration Outlook</w:t>
      </w:r>
      <w:r w:rsidRPr="00E01D79">
        <w:rPr>
          <w:rFonts w:ascii="Arial" w:eastAsia="Times New Roman" w:hAnsi="Arial" w:cs="Arial"/>
          <w:sz w:val="24"/>
          <w:szCs w:val="24"/>
        </w:rPr>
        <w:t>. London: Vodafone Group Plc.</w:t>
      </w:r>
    </w:p>
    <w:p w14:paraId="1F2E40F8"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Vodafone Group Plc (2025c) </w:t>
      </w:r>
      <w:r w:rsidRPr="00E01D79">
        <w:rPr>
          <w:rFonts w:ascii="Arial" w:eastAsia="Times New Roman" w:hAnsi="Arial" w:cs="Arial"/>
          <w:iCs/>
          <w:sz w:val="24"/>
          <w:szCs w:val="24"/>
        </w:rPr>
        <w:t>Environmental, Social and Governance Report 2025</w:t>
      </w:r>
      <w:r w:rsidRPr="00E01D79">
        <w:rPr>
          <w:rFonts w:ascii="Arial" w:eastAsia="Times New Roman" w:hAnsi="Arial" w:cs="Arial"/>
          <w:sz w:val="24"/>
          <w:szCs w:val="24"/>
        </w:rPr>
        <w:t>. London: Vodafone Group Plc.</w:t>
      </w:r>
    </w:p>
    <w:p w14:paraId="4C7F3758"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World Economic Forum (2025) </w:t>
      </w:r>
      <w:r w:rsidRPr="00E01D79">
        <w:rPr>
          <w:rFonts w:ascii="Arial" w:eastAsia="Times New Roman" w:hAnsi="Arial" w:cs="Arial"/>
          <w:iCs/>
          <w:sz w:val="24"/>
          <w:szCs w:val="24"/>
        </w:rPr>
        <w:t>Global Risks Report 2025</w:t>
      </w:r>
      <w:r w:rsidRPr="00E01D79">
        <w:rPr>
          <w:rFonts w:ascii="Arial" w:eastAsia="Times New Roman" w:hAnsi="Arial" w:cs="Arial"/>
          <w:sz w:val="24"/>
          <w:szCs w:val="24"/>
        </w:rPr>
        <w:t>. Geneva: World Economic Forum.</w:t>
      </w:r>
    </w:p>
    <w:p w14:paraId="477B0F39"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r w:rsidRPr="00E01D79">
        <w:rPr>
          <w:rFonts w:ascii="Arial" w:eastAsia="Times New Roman" w:hAnsi="Arial" w:cs="Arial"/>
          <w:sz w:val="24"/>
          <w:szCs w:val="24"/>
        </w:rPr>
        <w:t xml:space="preserve">Yildirim, H. and Yildirim, H. (2023) </w:t>
      </w:r>
      <w:r w:rsidRPr="00E01D79">
        <w:rPr>
          <w:rFonts w:ascii="Arial" w:eastAsia="Times New Roman" w:hAnsi="Arial" w:cs="Arial"/>
          <w:iCs/>
          <w:sz w:val="24"/>
          <w:szCs w:val="24"/>
        </w:rPr>
        <w:t>Building a Stakeholders’ Map of Research and Innovation in Europe</w:t>
      </w:r>
      <w:r w:rsidRPr="00E01D79">
        <w:rPr>
          <w:rFonts w:ascii="Arial" w:eastAsia="Times New Roman" w:hAnsi="Arial" w:cs="Arial"/>
          <w:sz w:val="24"/>
          <w:szCs w:val="24"/>
        </w:rPr>
        <w:t>.</w:t>
      </w:r>
    </w:p>
    <w:p w14:paraId="5703D8E5" w14:textId="77777777" w:rsidR="00BE1EFD" w:rsidRPr="00E01D79" w:rsidRDefault="00BE1EFD" w:rsidP="00E01D79">
      <w:pPr>
        <w:spacing w:before="100" w:beforeAutospacing="1" w:after="100" w:afterAutospacing="1" w:line="360" w:lineRule="auto"/>
        <w:jc w:val="both"/>
        <w:rPr>
          <w:rFonts w:ascii="Arial" w:eastAsia="Times New Roman" w:hAnsi="Arial" w:cs="Arial"/>
          <w:sz w:val="24"/>
          <w:szCs w:val="24"/>
        </w:rPr>
      </w:pPr>
      <w:proofErr w:type="spellStart"/>
      <w:r w:rsidRPr="00E01D79">
        <w:rPr>
          <w:rFonts w:ascii="Arial" w:eastAsia="Times New Roman" w:hAnsi="Arial" w:cs="Arial"/>
          <w:sz w:val="24"/>
          <w:szCs w:val="24"/>
        </w:rPr>
        <w:lastRenderedPageBreak/>
        <w:t>Ρωμ</w:t>
      </w:r>
      <w:proofErr w:type="spellEnd"/>
      <w:r w:rsidRPr="00E01D79">
        <w:rPr>
          <w:rFonts w:ascii="Arial" w:eastAsia="Times New Roman" w:hAnsi="Arial" w:cs="Arial"/>
          <w:sz w:val="24"/>
          <w:szCs w:val="24"/>
        </w:rPr>
        <w:t xml:space="preserve">ανοπούλου, Α. (2022) </w:t>
      </w:r>
      <w:r w:rsidRPr="00E01D79">
        <w:rPr>
          <w:rFonts w:ascii="Arial" w:eastAsia="Times New Roman" w:hAnsi="Arial" w:cs="Arial"/>
          <w:iCs/>
          <w:sz w:val="24"/>
          <w:szCs w:val="24"/>
        </w:rPr>
        <w:t>Strategic Management in the Telecommunications Industry and How It Affects the Profitability of the Firm</w:t>
      </w:r>
      <w:r w:rsidRPr="00E01D79">
        <w:rPr>
          <w:rFonts w:ascii="Arial" w:eastAsia="Times New Roman" w:hAnsi="Arial" w:cs="Arial"/>
          <w:sz w:val="24"/>
          <w:szCs w:val="24"/>
        </w:rPr>
        <w:t>. Master’s thesis.</w:t>
      </w:r>
    </w:p>
    <w:p w14:paraId="49A4A534" w14:textId="77777777" w:rsidR="00BE1EFD" w:rsidRPr="00E01D79" w:rsidRDefault="00BE1EFD" w:rsidP="00E01D79">
      <w:pPr>
        <w:spacing w:before="100" w:beforeAutospacing="1" w:after="100" w:afterAutospacing="1" w:line="240" w:lineRule="auto"/>
        <w:jc w:val="both"/>
        <w:outlineLvl w:val="1"/>
        <w:rPr>
          <w:rFonts w:ascii="Times New Roman" w:eastAsia="Times New Roman" w:hAnsi="Times New Roman" w:cs="Times New Roman"/>
          <w:b/>
          <w:bCs/>
          <w:sz w:val="36"/>
          <w:szCs w:val="36"/>
        </w:rPr>
      </w:pPr>
    </w:p>
    <w:p w14:paraId="4C6297D4" w14:textId="77777777" w:rsidR="009912EB" w:rsidRPr="00E01D79" w:rsidRDefault="009912EB" w:rsidP="00E01D79">
      <w:pPr>
        <w:jc w:val="both"/>
      </w:pPr>
    </w:p>
    <w:sectPr w:rsidR="009912EB" w:rsidRPr="00E01D7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47A60"/>
    <w:multiLevelType w:val="multilevel"/>
    <w:tmpl w:val="23C20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26004"/>
    <w:multiLevelType w:val="multilevel"/>
    <w:tmpl w:val="8FFC2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67808"/>
    <w:multiLevelType w:val="multilevel"/>
    <w:tmpl w:val="38AE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5761F4"/>
    <w:multiLevelType w:val="multilevel"/>
    <w:tmpl w:val="1E0E6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8A74EF"/>
    <w:multiLevelType w:val="multilevel"/>
    <w:tmpl w:val="7CE02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8D0327"/>
    <w:multiLevelType w:val="multilevel"/>
    <w:tmpl w:val="396A0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2516FF"/>
    <w:multiLevelType w:val="multilevel"/>
    <w:tmpl w:val="E2AA1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F76370"/>
    <w:multiLevelType w:val="multilevel"/>
    <w:tmpl w:val="F3EC5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4516A8"/>
    <w:multiLevelType w:val="multilevel"/>
    <w:tmpl w:val="DA325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882265"/>
    <w:multiLevelType w:val="multilevel"/>
    <w:tmpl w:val="543E3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1B6FEC"/>
    <w:multiLevelType w:val="multilevel"/>
    <w:tmpl w:val="E4227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2E4A3A"/>
    <w:multiLevelType w:val="multilevel"/>
    <w:tmpl w:val="C79C6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8B4606"/>
    <w:multiLevelType w:val="multilevel"/>
    <w:tmpl w:val="36C0E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43206D"/>
    <w:multiLevelType w:val="multilevel"/>
    <w:tmpl w:val="39F84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8F2DF0"/>
    <w:multiLevelType w:val="multilevel"/>
    <w:tmpl w:val="16787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4124C3"/>
    <w:multiLevelType w:val="multilevel"/>
    <w:tmpl w:val="ED7C5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661E3E"/>
    <w:multiLevelType w:val="multilevel"/>
    <w:tmpl w:val="CDB4F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5E6550"/>
    <w:multiLevelType w:val="multilevel"/>
    <w:tmpl w:val="E4E82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235CC3"/>
    <w:multiLevelType w:val="multilevel"/>
    <w:tmpl w:val="FBFA5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A00406"/>
    <w:multiLevelType w:val="multilevel"/>
    <w:tmpl w:val="23643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2A0434"/>
    <w:multiLevelType w:val="multilevel"/>
    <w:tmpl w:val="DFC0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6600DF"/>
    <w:multiLevelType w:val="multilevel"/>
    <w:tmpl w:val="27A2D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1305AD"/>
    <w:multiLevelType w:val="multilevel"/>
    <w:tmpl w:val="C0B2F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6C933F1"/>
    <w:multiLevelType w:val="multilevel"/>
    <w:tmpl w:val="A70E7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032367"/>
    <w:multiLevelType w:val="multilevel"/>
    <w:tmpl w:val="9BD82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61267B"/>
    <w:multiLevelType w:val="multilevel"/>
    <w:tmpl w:val="D18EC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636121"/>
    <w:multiLevelType w:val="multilevel"/>
    <w:tmpl w:val="D682D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911023"/>
    <w:multiLevelType w:val="multilevel"/>
    <w:tmpl w:val="66B6E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CC48D1"/>
    <w:multiLevelType w:val="multilevel"/>
    <w:tmpl w:val="72DE4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F769C6"/>
    <w:multiLevelType w:val="multilevel"/>
    <w:tmpl w:val="33FCD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3B7F0D"/>
    <w:multiLevelType w:val="multilevel"/>
    <w:tmpl w:val="CFAA6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9C3962"/>
    <w:multiLevelType w:val="multilevel"/>
    <w:tmpl w:val="349CA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DB4053"/>
    <w:multiLevelType w:val="multilevel"/>
    <w:tmpl w:val="EE5C0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9518582">
    <w:abstractNumId w:val="4"/>
  </w:num>
  <w:num w:numId="2" w16cid:durableId="841362481">
    <w:abstractNumId w:val="28"/>
  </w:num>
  <w:num w:numId="3" w16cid:durableId="1944339681">
    <w:abstractNumId w:val="19"/>
  </w:num>
  <w:num w:numId="4" w16cid:durableId="125392708">
    <w:abstractNumId w:val="25"/>
  </w:num>
  <w:num w:numId="5" w16cid:durableId="1736466454">
    <w:abstractNumId w:val="22"/>
  </w:num>
  <w:num w:numId="6" w16cid:durableId="724915055">
    <w:abstractNumId w:val="26"/>
  </w:num>
  <w:num w:numId="7" w16cid:durableId="1584726301">
    <w:abstractNumId w:val="2"/>
  </w:num>
  <w:num w:numId="8" w16cid:durableId="2051220588">
    <w:abstractNumId w:val="32"/>
  </w:num>
  <w:num w:numId="9" w16cid:durableId="723287610">
    <w:abstractNumId w:val="13"/>
  </w:num>
  <w:num w:numId="10" w16cid:durableId="1255280347">
    <w:abstractNumId w:val="11"/>
  </w:num>
  <w:num w:numId="11" w16cid:durableId="1229144761">
    <w:abstractNumId w:val="6"/>
  </w:num>
  <w:num w:numId="12" w16cid:durableId="1246574381">
    <w:abstractNumId w:val="10"/>
  </w:num>
  <w:num w:numId="13" w16cid:durableId="369646258">
    <w:abstractNumId w:val="30"/>
  </w:num>
  <w:num w:numId="14" w16cid:durableId="1787507053">
    <w:abstractNumId w:val="17"/>
  </w:num>
  <w:num w:numId="15" w16cid:durableId="1320694192">
    <w:abstractNumId w:val="0"/>
  </w:num>
  <w:num w:numId="16" w16cid:durableId="716778808">
    <w:abstractNumId w:val="31"/>
  </w:num>
  <w:num w:numId="17" w16cid:durableId="438986657">
    <w:abstractNumId w:val="24"/>
  </w:num>
  <w:num w:numId="18" w16cid:durableId="988241907">
    <w:abstractNumId w:val="12"/>
  </w:num>
  <w:num w:numId="19" w16cid:durableId="843398656">
    <w:abstractNumId w:val="20"/>
  </w:num>
  <w:num w:numId="20" w16cid:durableId="997419510">
    <w:abstractNumId w:val="15"/>
  </w:num>
  <w:num w:numId="21" w16cid:durableId="1805729649">
    <w:abstractNumId w:val="29"/>
  </w:num>
  <w:num w:numId="22" w16cid:durableId="1431705170">
    <w:abstractNumId w:val="23"/>
  </w:num>
  <w:num w:numId="23" w16cid:durableId="2025015346">
    <w:abstractNumId w:val="18"/>
  </w:num>
  <w:num w:numId="24" w16cid:durableId="185291477">
    <w:abstractNumId w:val="21"/>
  </w:num>
  <w:num w:numId="25" w16cid:durableId="1586647077">
    <w:abstractNumId w:val="14"/>
  </w:num>
  <w:num w:numId="26" w16cid:durableId="876430065">
    <w:abstractNumId w:val="5"/>
  </w:num>
  <w:num w:numId="27" w16cid:durableId="991182567">
    <w:abstractNumId w:val="16"/>
  </w:num>
  <w:num w:numId="28" w16cid:durableId="434398345">
    <w:abstractNumId w:val="9"/>
  </w:num>
  <w:num w:numId="29" w16cid:durableId="676423589">
    <w:abstractNumId w:val="27"/>
  </w:num>
  <w:num w:numId="30" w16cid:durableId="1374618797">
    <w:abstractNumId w:val="7"/>
  </w:num>
  <w:num w:numId="31" w16cid:durableId="1259362530">
    <w:abstractNumId w:val="8"/>
  </w:num>
  <w:num w:numId="32" w16cid:durableId="1271277012">
    <w:abstractNumId w:val="3"/>
  </w:num>
  <w:num w:numId="33" w16cid:durableId="5913996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557"/>
    <w:rsid w:val="001D2DB9"/>
    <w:rsid w:val="00214491"/>
    <w:rsid w:val="003C267F"/>
    <w:rsid w:val="00571DBD"/>
    <w:rsid w:val="007861A6"/>
    <w:rsid w:val="0079293A"/>
    <w:rsid w:val="00827074"/>
    <w:rsid w:val="0083514F"/>
    <w:rsid w:val="00850557"/>
    <w:rsid w:val="008B341B"/>
    <w:rsid w:val="00907696"/>
    <w:rsid w:val="00912EC1"/>
    <w:rsid w:val="009912EB"/>
    <w:rsid w:val="00B300E2"/>
    <w:rsid w:val="00B44F42"/>
    <w:rsid w:val="00B52C1F"/>
    <w:rsid w:val="00BE1EFD"/>
    <w:rsid w:val="00C51BC6"/>
    <w:rsid w:val="00D25211"/>
    <w:rsid w:val="00D63FD1"/>
    <w:rsid w:val="00DE5EE9"/>
    <w:rsid w:val="00E01D79"/>
    <w:rsid w:val="00F007FD"/>
    <w:rsid w:val="00FB5A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3EC1D"/>
  <w15:chartTrackingRefBased/>
  <w15:docId w15:val="{65DA5FB0-E96D-4758-A029-0EC76663F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1EF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E1EF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2707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27074"/>
    <w:rPr>
      <w:b/>
      <w:bCs/>
    </w:rPr>
  </w:style>
  <w:style w:type="character" w:styleId="Emphasis">
    <w:name w:val="Emphasis"/>
    <w:basedOn w:val="DefaultParagraphFont"/>
    <w:uiPriority w:val="20"/>
    <w:qFormat/>
    <w:rsid w:val="00B52C1F"/>
    <w:rPr>
      <w:i/>
      <w:iCs/>
    </w:rPr>
  </w:style>
  <w:style w:type="character" w:styleId="Hyperlink">
    <w:name w:val="Hyperlink"/>
    <w:basedOn w:val="DefaultParagraphFont"/>
    <w:uiPriority w:val="99"/>
    <w:unhideWhenUsed/>
    <w:rsid w:val="00B52C1F"/>
    <w:rPr>
      <w:color w:val="0000FF"/>
      <w:u w:val="single"/>
    </w:rPr>
  </w:style>
  <w:style w:type="paragraph" w:styleId="ListParagraph">
    <w:name w:val="List Paragraph"/>
    <w:basedOn w:val="Normal"/>
    <w:uiPriority w:val="34"/>
    <w:qFormat/>
    <w:rsid w:val="00F007FD"/>
    <w:pPr>
      <w:ind w:left="720"/>
      <w:contextualSpacing/>
    </w:pPr>
  </w:style>
  <w:style w:type="paragraph" w:styleId="Bibliography">
    <w:name w:val="Bibliography"/>
    <w:basedOn w:val="Normal"/>
    <w:next w:val="Normal"/>
    <w:uiPriority w:val="37"/>
    <w:unhideWhenUsed/>
    <w:rsid w:val="00BE1EFD"/>
  </w:style>
  <w:style w:type="character" w:customStyle="1" w:styleId="Heading2Char">
    <w:name w:val="Heading 2 Char"/>
    <w:basedOn w:val="DefaultParagraphFont"/>
    <w:link w:val="Heading2"/>
    <w:uiPriority w:val="9"/>
    <w:rsid w:val="00BE1EFD"/>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BE1EF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E1EFD"/>
    <w:pPr>
      <w:outlineLvl w:val="9"/>
    </w:pPr>
  </w:style>
  <w:style w:type="paragraph" w:styleId="TOC2">
    <w:name w:val="toc 2"/>
    <w:basedOn w:val="Normal"/>
    <w:next w:val="Normal"/>
    <w:autoRedefine/>
    <w:uiPriority w:val="39"/>
    <w:unhideWhenUsed/>
    <w:rsid w:val="00BE1EFD"/>
    <w:pPr>
      <w:spacing w:after="100"/>
      <w:ind w:left="220"/>
    </w:pPr>
  </w:style>
  <w:style w:type="paragraph" w:styleId="TOC3">
    <w:name w:val="toc 3"/>
    <w:basedOn w:val="Normal"/>
    <w:next w:val="Normal"/>
    <w:autoRedefine/>
    <w:uiPriority w:val="39"/>
    <w:unhideWhenUsed/>
    <w:rsid w:val="00BE1EF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91916">
      <w:bodyDiv w:val="1"/>
      <w:marLeft w:val="0"/>
      <w:marRight w:val="0"/>
      <w:marTop w:val="0"/>
      <w:marBottom w:val="0"/>
      <w:divBdr>
        <w:top w:val="none" w:sz="0" w:space="0" w:color="auto"/>
        <w:left w:val="none" w:sz="0" w:space="0" w:color="auto"/>
        <w:bottom w:val="none" w:sz="0" w:space="0" w:color="auto"/>
        <w:right w:val="none" w:sz="0" w:space="0" w:color="auto"/>
      </w:divBdr>
    </w:div>
    <w:div w:id="380906329">
      <w:bodyDiv w:val="1"/>
      <w:marLeft w:val="0"/>
      <w:marRight w:val="0"/>
      <w:marTop w:val="0"/>
      <w:marBottom w:val="0"/>
      <w:divBdr>
        <w:top w:val="none" w:sz="0" w:space="0" w:color="auto"/>
        <w:left w:val="none" w:sz="0" w:space="0" w:color="auto"/>
        <w:bottom w:val="none" w:sz="0" w:space="0" w:color="auto"/>
        <w:right w:val="none" w:sz="0" w:space="0" w:color="auto"/>
      </w:divBdr>
    </w:div>
    <w:div w:id="424155280">
      <w:bodyDiv w:val="1"/>
      <w:marLeft w:val="0"/>
      <w:marRight w:val="0"/>
      <w:marTop w:val="0"/>
      <w:marBottom w:val="0"/>
      <w:divBdr>
        <w:top w:val="none" w:sz="0" w:space="0" w:color="auto"/>
        <w:left w:val="none" w:sz="0" w:space="0" w:color="auto"/>
        <w:bottom w:val="none" w:sz="0" w:space="0" w:color="auto"/>
        <w:right w:val="none" w:sz="0" w:space="0" w:color="auto"/>
      </w:divBdr>
    </w:div>
    <w:div w:id="447940776">
      <w:bodyDiv w:val="1"/>
      <w:marLeft w:val="0"/>
      <w:marRight w:val="0"/>
      <w:marTop w:val="0"/>
      <w:marBottom w:val="0"/>
      <w:divBdr>
        <w:top w:val="none" w:sz="0" w:space="0" w:color="auto"/>
        <w:left w:val="none" w:sz="0" w:space="0" w:color="auto"/>
        <w:bottom w:val="none" w:sz="0" w:space="0" w:color="auto"/>
        <w:right w:val="none" w:sz="0" w:space="0" w:color="auto"/>
      </w:divBdr>
      <w:divsChild>
        <w:div w:id="1568370620">
          <w:marLeft w:val="0"/>
          <w:marRight w:val="0"/>
          <w:marTop w:val="0"/>
          <w:marBottom w:val="0"/>
          <w:divBdr>
            <w:top w:val="none" w:sz="0" w:space="0" w:color="auto"/>
            <w:left w:val="none" w:sz="0" w:space="0" w:color="auto"/>
            <w:bottom w:val="none" w:sz="0" w:space="0" w:color="auto"/>
            <w:right w:val="none" w:sz="0" w:space="0" w:color="auto"/>
          </w:divBdr>
          <w:divsChild>
            <w:div w:id="1245800147">
              <w:marLeft w:val="0"/>
              <w:marRight w:val="0"/>
              <w:marTop w:val="0"/>
              <w:marBottom w:val="0"/>
              <w:divBdr>
                <w:top w:val="none" w:sz="0" w:space="0" w:color="auto"/>
                <w:left w:val="none" w:sz="0" w:space="0" w:color="auto"/>
                <w:bottom w:val="none" w:sz="0" w:space="0" w:color="auto"/>
                <w:right w:val="none" w:sz="0" w:space="0" w:color="auto"/>
              </w:divBdr>
              <w:divsChild>
                <w:div w:id="1580366438">
                  <w:marLeft w:val="0"/>
                  <w:marRight w:val="0"/>
                  <w:marTop w:val="0"/>
                  <w:marBottom w:val="0"/>
                  <w:divBdr>
                    <w:top w:val="none" w:sz="0" w:space="0" w:color="auto"/>
                    <w:left w:val="none" w:sz="0" w:space="0" w:color="auto"/>
                    <w:bottom w:val="none" w:sz="0" w:space="0" w:color="auto"/>
                    <w:right w:val="none" w:sz="0" w:space="0" w:color="auto"/>
                  </w:divBdr>
                  <w:divsChild>
                    <w:div w:id="1435202007">
                      <w:marLeft w:val="0"/>
                      <w:marRight w:val="0"/>
                      <w:marTop w:val="0"/>
                      <w:marBottom w:val="0"/>
                      <w:divBdr>
                        <w:top w:val="none" w:sz="0" w:space="0" w:color="auto"/>
                        <w:left w:val="none" w:sz="0" w:space="0" w:color="auto"/>
                        <w:bottom w:val="none" w:sz="0" w:space="0" w:color="auto"/>
                        <w:right w:val="none" w:sz="0" w:space="0" w:color="auto"/>
                      </w:divBdr>
                      <w:divsChild>
                        <w:div w:id="390227010">
                          <w:marLeft w:val="0"/>
                          <w:marRight w:val="0"/>
                          <w:marTop w:val="0"/>
                          <w:marBottom w:val="0"/>
                          <w:divBdr>
                            <w:top w:val="none" w:sz="0" w:space="0" w:color="auto"/>
                            <w:left w:val="none" w:sz="0" w:space="0" w:color="auto"/>
                            <w:bottom w:val="none" w:sz="0" w:space="0" w:color="auto"/>
                            <w:right w:val="none" w:sz="0" w:space="0" w:color="auto"/>
                          </w:divBdr>
                          <w:divsChild>
                            <w:div w:id="1297491851">
                              <w:marLeft w:val="0"/>
                              <w:marRight w:val="0"/>
                              <w:marTop w:val="0"/>
                              <w:marBottom w:val="0"/>
                              <w:divBdr>
                                <w:top w:val="none" w:sz="0" w:space="0" w:color="auto"/>
                                <w:left w:val="none" w:sz="0" w:space="0" w:color="auto"/>
                                <w:bottom w:val="none" w:sz="0" w:space="0" w:color="auto"/>
                                <w:right w:val="none" w:sz="0" w:space="0" w:color="auto"/>
                              </w:divBdr>
                              <w:divsChild>
                                <w:div w:id="1207639518">
                                  <w:marLeft w:val="0"/>
                                  <w:marRight w:val="0"/>
                                  <w:marTop w:val="0"/>
                                  <w:marBottom w:val="0"/>
                                  <w:divBdr>
                                    <w:top w:val="none" w:sz="0" w:space="0" w:color="auto"/>
                                    <w:left w:val="none" w:sz="0" w:space="0" w:color="auto"/>
                                    <w:bottom w:val="none" w:sz="0" w:space="0" w:color="auto"/>
                                    <w:right w:val="none" w:sz="0" w:space="0" w:color="auto"/>
                                  </w:divBdr>
                                  <w:divsChild>
                                    <w:div w:id="104248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2332374">
      <w:bodyDiv w:val="1"/>
      <w:marLeft w:val="0"/>
      <w:marRight w:val="0"/>
      <w:marTop w:val="0"/>
      <w:marBottom w:val="0"/>
      <w:divBdr>
        <w:top w:val="none" w:sz="0" w:space="0" w:color="auto"/>
        <w:left w:val="none" w:sz="0" w:space="0" w:color="auto"/>
        <w:bottom w:val="none" w:sz="0" w:space="0" w:color="auto"/>
        <w:right w:val="none" w:sz="0" w:space="0" w:color="auto"/>
      </w:divBdr>
      <w:divsChild>
        <w:div w:id="1694964485">
          <w:marLeft w:val="0"/>
          <w:marRight w:val="0"/>
          <w:marTop w:val="0"/>
          <w:marBottom w:val="0"/>
          <w:divBdr>
            <w:top w:val="none" w:sz="0" w:space="0" w:color="auto"/>
            <w:left w:val="none" w:sz="0" w:space="0" w:color="auto"/>
            <w:bottom w:val="none" w:sz="0" w:space="0" w:color="auto"/>
            <w:right w:val="none" w:sz="0" w:space="0" w:color="auto"/>
          </w:divBdr>
          <w:divsChild>
            <w:div w:id="2146384386">
              <w:marLeft w:val="0"/>
              <w:marRight w:val="0"/>
              <w:marTop w:val="0"/>
              <w:marBottom w:val="0"/>
              <w:divBdr>
                <w:top w:val="none" w:sz="0" w:space="0" w:color="auto"/>
                <w:left w:val="none" w:sz="0" w:space="0" w:color="auto"/>
                <w:bottom w:val="none" w:sz="0" w:space="0" w:color="auto"/>
                <w:right w:val="none" w:sz="0" w:space="0" w:color="auto"/>
              </w:divBdr>
              <w:divsChild>
                <w:div w:id="94521449">
                  <w:marLeft w:val="0"/>
                  <w:marRight w:val="0"/>
                  <w:marTop w:val="0"/>
                  <w:marBottom w:val="0"/>
                  <w:divBdr>
                    <w:top w:val="none" w:sz="0" w:space="0" w:color="auto"/>
                    <w:left w:val="none" w:sz="0" w:space="0" w:color="auto"/>
                    <w:bottom w:val="none" w:sz="0" w:space="0" w:color="auto"/>
                    <w:right w:val="none" w:sz="0" w:space="0" w:color="auto"/>
                  </w:divBdr>
                  <w:divsChild>
                    <w:div w:id="635640904">
                      <w:marLeft w:val="0"/>
                      <w:marRight w:val="0"/>
                      <w:marTop w:val="0"/>
                      <w:marBottom w:val="0"/>
                      <w:divBdr>
                        <w:top w:val="none" w:sz="0" w:space="0" w:color="auto"/>
                        <w:left w:val="none" w:sz="0" w:space="0" w:color="auto"/>
                        <w:bottom w:val="none" w:sz="0" w:space="0" w:color="auto"/>
                        <w:right w:val="none" w:sz="0" w:space="0" w:color="auto"/>
                      </w:divBdr>
                      <w:divsChild>
                        <w:div w:id="507714556">
                          <w:marLeft w:val="0"/>
                          <w:marRight w:val="0"/>
                          <w:marTop w:val="0"/>
                          <w:marBottom w:val="0"/>
                          <w:divBdr>
                            <w:top w:val="none" w:sz="0" w:space="0" w:color="auto"/>
                            <w:left w:val="none" w:sz="0" w:space="0" w:color="auto"/>
                            <w:bottom w:val="none" w:sz="0" w:space="0" w:color="auto"/>
                            <w:right w:val="none" w:sz="0" w:space="0" w:color="auto"/>
                          </w:divBdr>
                          <w:divsChild>
                            <w:div w:id="776801759">
                              <w:marLeft w:val="0"/>
                              <w:marRight w:val="0"/>
                              <w:marTop w:val="0"/>
                              <w:marBottom w:val="0"/>
                              <w:divBdr>
                                <w:top w:val="none" w:sz="0" w:space="0" w:color="auto"/>
                                <w:left w:val="none" w:sz="0" w:space="0" w:color="auto"/>
                                <w:bottom w:val="none" w:sz="0" w:space="0" w:color="auto"/>
                                <w:right w:val="none" w:sz="0" w:space="0" w:color="auto"/>
                              </w:divBdr>
                              <w:divsChild>
                                <w:div w:id="193134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9848420">
      <w:bodyDiv w:val="1"/>
      <w:marLeft w:val="0"/>
      <w:marRight w:val="0"/>
      <w:marTop w:val="0"/>
      <w:marBottom w:val="0"/>
      <w:divBdr>
        <w:top w:val="none" w:sz="0" w:space="0" w:color="auto"/>
        <w:left w:val="none" w:sz="0" w:space="0" w:color="auto"/>
        <w:bottom w:val="none" w:sz="0" w:space="0" w:color="auto"/>
        <w:right w:val="none" w:sz="0" w:space="0" w:color="auto"/>
      </w:divBdr>
    </w:div>
    <w:div w:id="574240478">
      <w:bodyDiv w:val="1"/>
      <w:marLeft w:val="0"/>
      <w:marRight w:val="0"/>
      <w:marTop w:val="0"/>
      <w:marBottom w:val="0"/>
      <w:divBdr>
        <w:top w:val="none" w:sz="0" w:space="0" w:color="auto"/>
        <w:left w:val="none" w:sz="0" w:space="0" w:color="auto"/>
        <w:bottom w:val="none" w:sz="0" w:space="0" w:color="auto"/>
        <w:right w:val="none" w:sz="0" w:space="0" w:color="auto"/>
      </w:divBdr>
    </w:div>
    <w:div w:id="586691200">
      <w:bodyDiv w:val="1"/>
      <w:marLeft w:val="0"/>
      <w:marRight w:val="0"/>
      <w:marTop w:val="0"/>
      <w:marBottom w:val="0"/>
      <w:divBdr>
        <w:top w:val="none" w:sz="0" w:space="0" w:color="auto"/>
        <w:left w:val="none" w:sz="0" w:space="0" w:color="auto"/>
        <w:bottom w:val="none" w:sz="0" w:space="0" w:color="auto"/>
        <w:right w:val="none" w:sz="0" w:space="0" w:color="auto"/>
      </w:divBdr>
    </w:div>
    <w:div w:id="598412971">
      <w:bodyDiv w:val="1"/>
      <w:marLeft w:val="0"/>
      <w:marRight w:val="0"/>
      <w:marTop w:val="0"/>
      <w:marBottom w:val="0"/>
      <w:divBdr>
        <w:top w:val="none" w:sz="0" w:space="0" w:color="auto"/>
        <w:left w:val="none" w:sz="0" w:space="0" w:color="auto"/>
        <w:bottom w:val="none" w:sz="0" w:space="0" w:color="auto"/>
        <w:right w:val="none" w:sz="0" w:space="0" w:color="auto"/>
      </w:divBdr>
    </w:div>
    <w:div w:id="615675886">
      <w:bodyDiv w:val="1"/>
      <w:marLeft w:val="0"/>
      <w:marRight w:val="0"/>
      <w:marTop w:val="0"/>
      <w:marBottom w:val="0"/>
      <w:divBdr>
        <w:top w:val="none" w:sz="0" w:space="0" w:color="auto"/>
        <w:left w:val="none" w:sz="0" w:space="0" w:color="auto"/>
        <w:bottom w:val="none" w:sz="0" w:space="0" w:color="auto"/>
        <w:right w:val="none" w:sz="0" w:space="0" w:color="auto"/>
      </w:divBdr>
    </w:div>
    <w:div w:id="682050904">
      <w:bodyDiv w:val="1"/>
      <w:marLeft w:val="0"/>
      <w:marRight w:val="0"/>
      <w:marTop w:val="0"/>
      <w:marBottom w:val="0"/>
      <w:divBdr>
        <w:top w:val="none" w:sz="0" w:space="0" w:color="auto"/>
        <w:left w:val="none" w:sz="0" w:space="0" w:color="auto"/>
        <w:bottom w:val="none" w:sz="0" w:space="0" w:color="auto"/>
        <w:right w:val="none" w:sz="0" w:space="0" w:color="auto"/>
      </w:divBdr>
    </w:div>
    <w:div w:id="791289627">
      <w:bodyDiv w:val="1"/>
      <w:marLeft w:val="0"/>
      <w:marRight w:val="0"/>
      <w:marTop w:val="0"/>
      <w:marBottom w:val="0"/>
      <w:divBdr>
        <w:top w:val="none" w:sz="0" w:space="0" w:color="auto"/>
        <w:left w:val="none" w:sz="0" w:space="0" w:color="auto"/>
        <w:bottom w:val="none" w:sz="0" w:space="0" w:color="auto"/>
        <w:right w:val="none" w:sz="0" w:space="0" w:color="auto"/>
      </w:divBdr>
      <w:divsChild>
        <w:div w:id="1536036876">
          <w:marLeft w:val="0"/>
          <w:marRight w:val="0"/>
          <w:marTop w:val="0"/>
          <w:marBottom w:val="0"/>
          <w:divBdr>
            <w:top w:val="none" w:sz="0" w:space="0" w:color="auto"/>
            <w:left w:val="none" w:sz="0" w:space="0" w:color="auto"/>
            <w:bottom w:val="none" w:sz="0" w:space="0" w:color="auto"/>
            <w:right w:val="none" w:sz="0" w:space="0" w:color="auto"/>
          </w:divBdr>
          <w:divsChild>
            <w:div w:id="1991640961">
              <w:marLeft w:val="0"/>
              <w:marRight w:val="0"/>
              <w:marTop w:val="0"/>
              <w:marBottom w:val="0"/>
              <w:divBdr>
                <w:top w:val="none" w:sz="0" w:space="0" w:color="auto"/>
                <w:left w:val="none" w:sz="0" w:space="0" w:color="auto"/>
                <w:bottom w:val="none" w:sz="0" w:space="0" w:color="auto"/>
                <w:right w:val="none" w:sz="0" w:space="0" w:color="auto"/>
              </w:divBdr>
              <w:divsChild>
                <w:div w:id="970596601">
                  <w:marLeft w:val="0"/>
                  <w:marRight w:val="0"/>
                  <w:marTop w:val="0"/>
                  <w:marBottom w:val="0"/>
                  <w:divBdr>
                    <w:top w:val="none" w:sz="0" w:space="0" w:color="auto"/>
                    <w:left w:val="none" w:sz="0" w:space="0" w:color="auto"/>
                    <w:bottom w:val="none" w:sz="0" w:space="0" w:color="auto"/>
                    <w:right w:val="none" w:sz="0" w:space="0" w:color="auto"/>
                  </w:divBdr>
                  <w:divsChild>
                    <w:div w:id="1287390440">
                      <w:marLeft w:val="0"/>
                      <w:marRight w:val="0"/>
                      <w:marTop w:val="0"/>
                      <w:marBottom w:val="0"/>
                      <w:divBdr>
                        <w:top w:val="none" w:sz="0" w:space="0" w:color="auto"/>
                        <w:left w:val="none" w:sz="0" w:space="0" w:color="auto"/>
                        <w:bottom w:val="none" w:sz="0" w:space="0" w:color="auto"/>
                        <w:right w:val="none" w:sz="0" w:space="0" w:color="auto"/>
                      </w:divBdr>
                      <w:divsChild>
                        <w:div w:id="1177577725">
                          <w:marLeft w:val="0"/>
                          <w:marRight w:val="0"/>
                          <w:marTop w:val="0"/>
                          <w:marBottom w:val="0"/>
                          <w:divBdr>
                            <w:top w:val="none" w:sz="0" w:space="0" w:color="auto"/>
                            <w:left w:val="none" w:sz="0" w:space="0" w:color="auto"/>
                            <w:bottom w:val="none" w:sz="0" w:space="0" w:color="auto"/>
                            <w:right w:val="none" w:sz="0" w:space="0" w:color="auto"/>
                          </w:divBdr>
                          <w:divsChild>
                            <w:div w:id="188227835">
                              <w:marLeft w:val="0"/>
                              <w:marRight w:val="0"/>
                              <w:marTop w:val="0"/>
                              <w:marBottom w:val="0"/>
                              <w:divBdr>
                                <w:top w:val="none" w:sz="0" w:space="0" w:color="auto"/>
                                <w:left w:val="none" w:sz="0" w:space="0" w:color="auto"/>
                                <w:bottom w:val="none" w:sz="0" w:space="0" w:color="auto"/>
                                <w:right w:val="none" w:sz="0" w:space="0" w:color="auto"/>
                              </w:divBdr>
                              <w:divsChild>
                                <w:div w:id="209029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1724091">
      <w:bodyDiv w:val="1"/>
      <w:marLeft w:val="0"/>
      <w:marRight w:val="0"/>
      <w:marTop w:val="0"/>
      <w:marBottom w:val="0"/>
      <w:divBdr>
        <w:top w:val="none" w:sz="0" w:space="0" w:color="auto"/>
        <w:left w:val="none" w:sz="0" w:space="0" w:color="auto"/>
        <w:bottom w:val="none" w:sz="0" w:space="0" w:color="auto"/>
        <w:right w:val="none" w:sz="0" w:space="0" w:color="auto"/>
      </w:divBdr>
    </w:div>
    <w:div w:id="1069965523">
      <w:bodyDiv w:val="1"/>
      <w:marLeft w:val="0"/>
      <w:marRight w:val="0"/>
      <w:marTop w:val="0"/>
      <w:marBottom w:val="0"/>
      <w:divBdr>
        <w:top w:val="none" w:sz="0" w:space="0" w:color="auto"/>
        <w:left w:val="none" w:sz="0" w:space="0" w:color="auto"/>
        <w:bottom w:val="none" w:sz="0" w:space="0" w:color="auto"/>
        <w:right w:val="none" w:sz="0" w:space="0" w:color="auto"/>
      </w:divBdr>
    </w:div>
    <w:div w:id="1237547964">
      <w:bodyDiv w:val="1"/>
      <w:marLeft w:val="0"/>
      <w:marRight w:val="0"/>
      <w:marTop w:val="0"/>
      <w:marBottom w:val="0"/>
      <w:divBdr>
        <w:top w:val="none" w:sz="0" w:space="0" w:color="auto"/>
        <w:left w:val="none" w:sz="0" w:space="0" w:color="auto"/>
        <w:bottom w:val="none" w:sz="0" w:space="0" w:color="auto"/>
        <w:right w:val="none" w:sz="0" w:space="0" w:color="auto"/>
      </w:divBdr>
    </w:div>
    <w:div w:id="1291395036">
      <w:bodyDiv w:val="1"/>
      <w:marLeft w:val="0"/>
      <w:marRight w:val="0"/>
      <w:marTop w:val="0"/>
      <w:marBottom w:val="0"/>
      <w:divBdr>
        <w:top w:val="none" w:sz="0" w:space="0" w:color="auto"/>
        <w:left w:val="none" w:sz="0" w:space="0" w:color="auto"/>
        <w:bottom w:val="none" w:sz="0" w:space="0" w:color="auto"/>
        <w:right w:val="none" w:sz="0" w:space="0" w:color="auto"/>
      </w:divBdr>
    </w:div>
    <w:div w:id="1321232457">
      <w:bodyDiv w:val="1"/>
      <w:marLeft w:val="0"/>
      <w:marRight w:val="0"/>
      <w:marTop w:val="0"/>
      <w:marBottom w:val="0"/>
      <w:divBdr>
        <w:top w:val="none" w:sz="0" w:space="0" w:color="auto"/>
        <w:left w:val="none" w:sz="0" w:space="0" w:color="auto"/>
        <w:bottom w:val="none" w:sz="0" w:space="0" w:color="auto"/>
        <w:right w:val="none" w:sz="0" w:space="0" w:color="auto"/>
      </w:divBdr>
    </w:div>
    <w:div w:id="1593855521">
      <w:bodyDiv w:val="1"/>
      <w:marLeft w:val="0"/>
      <w:marRight w:val="0"/>
      <w:marTop w:val="0"/>
      <w:marBottom w:val="0"/>
      <w:divBdr>
        <w:top w:val="none" w:sz="0" w:space="0" w:color="auto"/>
        <w:left w:val="none" w:sz="0" w:space="0" w:color="auto"/>
        <w:bottom w:val="none" w:sz="0" w:space="0" w:color="auto"/>
        <w:right w:val="none" w:sz="0" w:space="0" w:color="auto"/>
      </w:divBdr>
    </w:div>
    <w:div w:id="1809740929">
      <w:bodyDiv w:val="1"/>
      <w:marLeft w:val="0"/>
      <w:marRight w:val="0"/>
      <w:marTop w:val="0"/>
      <w:marBottom w:val="0"/>
      <w:divBdr>
        <w:top w:val="none" w:sz="0" w:space="0" w:color="auto"/>
        <w:left w:val="none" w:sz="0" w:space="0" w:color="auto"/>
        <w:bottom w:val="none" w:sz="0" w:space="0" w:color="auto"/>
        <w:right w:val="none" w:sz="0" w:space="0" w:color="auto"/>
      </w:divBdr>
      <w:divsChild>
        <w:div w:id="9185657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3293916">
      <w:bodyDiv w:val="1"/>
      <w:marLeft w:val="0"/>
      <w:marRight w:val="0"/>
      <w:marTop w:val="0"/>
      <w:marBottom w:val="0"/>
      <w:divBdr>
        <w:top w:val="none" w:sz="0" w:space="0" w:color="auto"/>
        <w:left w:val="none" w:sz="0" w:space="0" w:color="auto"/>
        <w:bottom w:val="none" w:sz="0" w:space="0" w:color="auto"/>
        <w:right w:val="none" w:sz="0" w:space="0" w:color="auto"/>
      </w:divBdr>
    </w:div>
    <w:div w:id="1983348616">
      <w:bodyDiv w:val="1"/>
      <w:marLeft w:val="0"/>
      <w:marRight w:val="0"/>
      <w:marTop w:val="0"/>
      <w:marBottom w:val="0"/>
      <w:divBdr>
        <w:top w:val="none" w:sz="0" w:space="0" w:color="auto"/>
        <w:left w:val="none" w:sz="0" w:space="0" w:color="auto"/>
        <w:bottom w:val="none" w:sz="0" w:space="0" w:color="auto"/>
        <w:right w:val="none" w:sz="0" w:space="0" w:color="auto"/>
      </w:divBdr>
    </w:div>
    <w:div w:id="2010056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daS21</b:Tag>
    <b:SourceType>JournalArticle</b:SourceType>
    <b:Guid>{62BECFC3-DEF2-4B30-8632-DEE3B9B3F23F}</b:Guid>
    <b:Author>
      <b:Author>
        <b:NameList>
          <b:Person>
            <b:Last>da Silva Coutinho</b:Last>
            <b:First>M.G.F</b:First>
          </b:Person>
        </b:NameList>
      </b:Author>
    </b:Author>
    <b:Title>Vodafone Group PLC: Telecommunications (Master's thesis, Universidade NOVA de Lisboa (Portugal)).</b:Title>
    <b:Year>2021</b:Year>
    <b:RefOrder>1</b:RefOrder>
  </b:Source>
  <b:Source>
    <b:Tag>ΡΩΜ22</b:Tag>
    <b:SourceType>JournalArticle</b:SourceType>
    <b:Guid>{5CDFB980-19BE-4C44-B262-D4784CD72B9C}</b:Guid>
    <b:Author>
      <b:Author>
        <b:NameList>
          <b:Person>
            <b:Last>ΡΩΜΑΝΟΠΟΥΛΟΥ</b:Last>
            <b:First>Α</b:First>
          </b:Person>
        </b:NameList>
      </b:Author>
    </b:Author>
    <b:Title>Strategic management in the telecommunications industry and how it affects the profitability of the firm.</b:Title>
    <b:Year>2022</b:Year>
    <b:RefOrder>2</b:RefOrder>
  </b:Source>
  <b:Source>
    <b:Tag>Sim241</b:Tag>
    <b:SourceType>JournalArticle</b:SourceType>
    <b:Guid>{D80AD76B-B9A2-434E-97D8-14C9030D739E}</b:Guid>
    <b:Author>
      <b:Author>
        <b:NameList>
          <b:Person>
            <b:Last>Simões</b:Last>
            <b:First>J.S.</b:First>
          </b:Person>
        </b:NameList>
      </b:Author>
    </b:Author>
    <b:Title>Equity Research of Vodafone Group PLC (Master's thesis, Universidade do Porto (Portugal)).</b:Title>
    <b:Year>2024</b:Year>
    <b:RefOrder>3</b:RefOrder>
  </b:Source>
  <b:Source>
    <b:Tag>MUS23</b:Tag>
    <b:SourceType>JournalArticle</b:SourceType>
    <b:Guid>{2AD46D5B-791E-48F5-B0BA-067451CBAD94}</b:Guid>
    <b:Author>
      <b:Author>
        <b:NameList>
          <b:Person>
            <b:Last>MUSYOKA</b:Last>
            <b:First>M.N.,</b:First>
          </b:Person>
        </b:NameList>
      </b:Author>
    </b:Author>
    <b:Title>PORTER’S GENERIC COMPETITIVE STRATEGIES, ALLIANCE PARTNERSHIPS AND PERFORMANCE OF MOBILE TELEPHONE NETWORK SERVICE PROVIDERS IN KENYA (Doctoral dissertation, MksU Press).</b:Title>
    <b:Year>2023</b:Year>
    <b:RefOrder>5</b:RefOrder>
  </b:Source>
  <b:Source>
    <b:Tag>Noo231</b:Tag>
    <b:SourceType>JournalArticle</b:SourceType>
    <b:Guid>{7E1C52CE-57DD-4D6A-A95B-CC628B953695}</b:Guid>
    <b:Author>
      <b:Author>
        <b:NameList>
          <b:Person>
            <b:Last>Noor</b:Last>
            <b:First>F.A.,</b:First>
            <b:Middle>Gitahi, O.K., Mugo, P. and Alzoubi, A.</b:Middle>
          </b:Person>
        </b:NameList>
      </b:Author>
    </b:Author>
    <b:Title>Issues in Business Environment.</b:Title>
    <b:Year>2023</b:Year>
    <b:RefOrder>4</b:RefOrder>
  </b:Source>
  <b:Source>
    <b:Tag>STA26</b:Tag>
    <b:SourceType>JournalArticle</b:SourceType>
    <b:Guid>{6E8B3405-C7D9-42F5-872D-5496EC80FBCC}</b:Guid>
    <b:Author>
      <b:Author>
        <b:NameList>
          <b:Person>
            <b:Last>STAGNARO</b:Last>
            <b:First>C</b:First>
          </b:Person>
        </b:NameList>
      </b:Author>
    </b:Author>
    <b:Title> Europe’s Energy Markets. How Liberal Ideas Can Orchestrate Europe's Economic Revolution, p.128.</b:Title>
    <b:Year>2026</b:Year>
    <b:RefOrder>6</b:RefOrder>
  </b:Source>
  <b:Source>
    <b:Tag>MaG25</b:Tag>
    <b:SourceType>JournalArticle</b:SourceType>
    <b:Guid>{4DE199FF-5DAE-40D1-864B-27BFE8C3B5DA}</b:Guid>
    <b:Author>
      <b:Author>
        <b:NameList>
          <b:Person>
            <b:Last>Ma</b:Last>
            <b:First>G.,</b:First>
          </b:Person>
        </b:NameList>
      </b:Author>
    </b:Author>
    <b:Title>AI Strategic Transformation Ideas and Application Practice Direction of Telecom Operators. In Proceedings of the 5th International Conference on Internet, Education and Information Technology (IEIT 2025) (Vol. 40, p. 56). Springer Nature.</b:Title>
    <b:Year>2025</b:Year>
    <b:RefOrder>7</b:RefOrder>
  </b:Source>
  <b:Source>
    <b:Tag>Yil231</b:Tag>
    <b:SourceType>JournalArticle</b:SourceType>
    <b:Guid>{D8081012-A64C-44BA-B65B-39D634DE6EBD}</b:Guid>
    <b:Author>
      <b:Author>
        <b:NameList>
          <b:Person>
            <b:Last>Yildirim</b:Last>
            <b:First>H.</b:First>
            <b:Middle>and Yildirim, H.</b:Middle>
          </b:Person>
        </b:NameList>
      </b:Author>
    </b:Author>
    <b:Title>Building a Stakeholders’ Map of R&amp;I in Europe.</b:Title>
    <b:Year>2023</b:Year>
    <b:RefOrder>9</b:RefOrder>
  </b:Source>
  <b:Source>
    <b:Tag>Yil232</b:Tag>
    <b:SourceType>JournalArticle</b:SourceType>
    <b:Guid>{1FC5D659-A507-462C-8A10-B07FA529272C}</b:Guid>
    <b:Author>
      <b:Author>
        <b:NameList>
          <b:Person>
            <b:Last>Yildirim</b:Last>
            <b:First>H.</b:First>
            <b:Middle>and Yildirim, H.,</b:Middle>
          </b:Person>
        </b:NameList>
      </b:Author>
    </b:Author>
    <b:Title>Building a Stakeholders’ Map of R&amp;I in Europe.</b:Title>
    <b:Year>2023</b:Year>
    <b:RefOrder>8</b:RefOrder>
  </b:Source>
</b:Sources>
</file>

<file path=customXml/itemProps1.xml><?xml version="1.0" encoding="utf-8"?>
<ds:datastoreItem xmlns:ds="http://schemas.openxmlformats.org/officeDocument/2006/customXml" ds:itemID="{67A06434-6282-48A8-9D5D-6D0088007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6246</Words>
  <Characters>35607</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Bogdan Constantin Voinea (2242568)</cp:lastModifiedBy>
  <cp:revision>4</cp:revision>
  <dcterms:created xsi:type="dcterms:W3CDTF">2026-06-04T11:35:00Z</dcterms:created>
  <dcterms:modified xsi:type="dcterms:W3CDTF">2026-07-06T14:43:00Z</dcterms:modified>
</cp:coreProperties>
</file>