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B7284" w14:textId="4C5F575C" w:rsidR="00F36FEB" w:rsidRDefault="0044414C" w:rsidP="0044414C">
      <w:pPr>
        <w:jc w:val="center"/>
        <w:rPr>
          <w:b/>
          <w:bCs/>
        </w:rPr>
      </w:pPr>
      <w:r>
        <w:rPr>
          <w:b/>
          <w:bCs/>
        </w:rPr>
        <w:t>How and why do Timotheus and Simonides use history in their poems?</w:t>
      </w:r>
    </w:p>
    <w:p w14:paraId="00A74A1B" w14:textId="2CD28D94" w:rsidR="0044414C" w:rsidRDefault="0044414C" w:rsidP="0044414C">
      <w:pPr>
        <w:jc w:val="center"/>
        <w:rPr>
          <w:b/>
          <w:bCs/>
        </w:rPr>
      </w:pPr>
    </w:p>
    <w:p w14:paraId="746DDE54" w14:textId="77777777" w:rsidR="0044414C" w:rsidRPr="0044414C" w:rsidRDefault="0044414C" w:rsidP="0044414C">
      <w:proofErr w:type="spellStart"/>
      <w:r>
        <w:t>Aloni</w:t>
      </w:r>
      <w:proofErr w:type="spellEnd"/>
      <w:r>
        <w:t xml:space="preserve">, A. (2010), ‘Elegy: Forms, Functions and Communication’, in Budelmann, F. (ed.) (2010), </w:t>
      </w:r>
      <w:r>
        <w:rPr>
          <w:i/>
          <w:iCs/>
        </w:rPr>
        <w:t>The Cambridge Companion to Greek Lyric</w:t>
      </w:r>
      <w:r>
        <w:t xml:space="preserve"> (Cambridge): 168-88</w:t>
      </w:r>
      <w:r>
        <w:br/>
      </w:r>
      <w:proofErr w:type="spellStart"/>
      <w:r>
        <w:t>Pelliccia</w:t>
      </w:r>
      <w:proofErr w:type="spellEnd"/>
      <w:r>
        <w:t>, H. (2010), ‘Simonides, Pindar and Bacchylides’, in Budelmann, F. (2010): 240-62</w:t>
      </w:r>
      <w:r>
        <w:br/>
      </w:r>
      <w:proofErr w:type="spellStart"/>
      <w:r>
        <w:t>Csapo</w:t>
      </w:r>
      <w:proofErr w:type="spellEnd"/>
      <w:r>
        <w:t>, E. &amp; Wilson, P. (2010), ‘Timotheus the New Musician’, in Budelmann, F. (2010): 277-94</w:t>
      </w:r>
    </w:p>
    <w:p w14:paraId="35F7275D" w14:textId="77777777" w:rsidR="0044414C" w:rsidRPr="0044414C" w:rsidRDefault="0044414C" w:rsidP="0044414C">
      <w:r>
        <w:t xml:space="preserve">Bowie, E. (2016), ‘Cultic contexts for elegiac performances’, in Swift, L. &amp; Carey, C. (eds.) (2016), </w:t>
      </w:r>
      <w:r>
        <w:rPr>
          <w:i/>
          <w:iCs/>
        </w:rPr>
        <w:t>Iambus and Elegy</w:t>
      </w:r>
      <w:r>
        <w:t xml:space="preserve">: </w:t>
      </w:r>
      <w:r>
        <w:rPr>
          <w:i/>
          <w:iCs/>
        </w:rPr>
        <w:t>New Approaches</w:t>
      </w:r>
      <w:r>
        <w:t xml:space="preserve"> (Oxford; New York): 15-32</w:t>
      </w:r>
    </w:p>
    <w:p w14:paraId="65ADF585" w14:textId="77777777" w:rsidR="0044414C" w:rsidRDefault="0044414C" w:rsidP="0044414C">
      <w:r>
        <w:t xml:space="preserve">Budelmann, F. &amp; </w:t>
      </w:r>
      <w:proofErr w:type="spellStart"/>
      <w:r>
        <w:t>LeVen</w:t>
      </w:r>
      <w:proofErr w:type="spellEnd"/>
      <w:r>
        <w:t xml:space="preserve">, P. A. (2014), ‘Timotheus’ poetics of blending: a cognitive approach to the language of the New Music’, </w:t>
      </w:r>
      <w:r>
        <w:rPr>
          <w:i/>
          <w:iCs/>
        </w:rPr>
        <w:t>Classical Philology</w:t>
      </w:r>
      <w:r>
        <w:t xml:space="preserve"> 108: 191-210</w:t>
      </w:r>
    </w:p>
    <w:p w14:paraId="5DB0EE3E" w14:textId="77777777" w:rsidR="0044414C" w:rsidRDefault="0044414C" w:rsidP="0044414C">
      <w:r>
        <w:t xml:space="preserve">Flower, M. A. (2000), ‘From Simonides to Isocrates: The Fifth-Century Origins of Fourth-Century Panhellenism’, </w:t>
      </w:r>
      <w:r>
        <w:rPr>
          <w:i/>
          <w:iCs/>
        </w:rPr>
        <w:t>Classical Antiquity</w:t>
      </w:r>
      <w:r>
        <w:t xml:space="preserve"> 19: 65-101</w:t>
      </w:r>
    </w:p>
    <w:p w14:paraId="67B0B52F" w14:textId="77777777" w:rsidR="0044414C" w:rsidRDefault="0044414C" w:rsidP="0044414C">
      <w:r>
        <w:t xml:space="preserve">Hutchinson, G. O. (2018), ‘“Modernism”, “Postmodernism”, and the death of the stanza’, </w:t>
      </w:r>
      <w:r>
        <w:rPr>
          <w:i/>
          <w:iCs/>
        </w:rPr>
        <w:t>Aitia</w:t>
      </w:r>
      <w:r>
        <w:t xml:space="preserve"> 8.1: </w:t>
      </w:r>
      <w:hyperlink r:id="rId4" w:history="1">
        <w:r>
          <w:rPr>
            <w:rStyle w:val="Hyperlink"/>
          </w:rPr>
          <w:t>https://doi.org/10.4000/aitia.2002</w:t>
        </w:r>
      </w:hyperlink>
    </w:p>
    <w:p w14:paraId="0123C52A" w14:textId="77777777" w:rsidR="0044414C" w:rsidRDefault="0044414C" w:rsidP="0044414C">
      <w:r>
        <w:t xml:space="preserve">Nobili, C. (2011), ‘Threnodic elegy in Sparta’, </w:t>
      </w:r>
      <w:r>
        <w:rPr>
          <w:i/>
          <w:iCs/>
        </w:rPr>
        <w:t>Greek, Roman and Byzantine Studies</w:t>
      </w:r>
      <w:r>
        <w:t xml:space="preserve"> 51: 26-48</w:t>
      </w:r>
    </w:p>
    <w:p w14:paraId="544F7DC0" w14:textId="77777777" w:rsidR="0044414C" w:rsidRPr="0044414C" w:rsidRDefault="0044414C" w:rsidP="0044414C">
      <w:proofErr w:type="spellStart"/>
      <w:r>
        <w:t>Panegyres</w:t>
      </w:r>
      <w:proofErr w:type="spellEnd"/>
      <w:r>
        <w:t xml:space="preserve">, K. (2017), ‘A drowning Asiatic: Timotheus </w:t>
      </w:r>
      <w:proofErr w:type="spellStart"/>
      <w:r>
        <w:rPr>
          <w:i/>
          <w:iCs/>
        </w:rPr>
        <w:t>Persae</w:t>
      </w:r>
      <w:proofErr w:type="spellEnd"/>
      <w:r>
        <w:t xml:space="preserve"> 70’, </w:t>
      </w:r>
      <w:r>
        <w:rPr>
          <w:i/>
          <w:iCs/>
        </w:rPr>
        <w:t>Mnemosyne</w:t>
      </w:r>
      <w:r>
        <w:t xml:space="preserve"> 70: 1046-50</w:t>
      </w:r>
    </w:p>
    <w:sectPr w:rsidR="0044414C" w:rsidRPr="00444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14C"/>
    <w:rsid w:val="00251EE8"/>
    <w:rsid w:val="003D0A06"/>
    <w:rsid w:val="0044414C"/>
    <w:rsid w:val="00F3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FDD2E"/>
  <w15:chartTrackingRefBased/>
  <w15:docId w15:val="{2F6FB08C-1126-4BDC-AC5D-DD038406D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4414C"/>
    <w:rPr>
      <w:color w:val="0000FF"/>
      <w:u w:val="single"/>
    </w:rPr>
  </w:style>
  <w:style w:type="character" w:customStyle="1" w:styleId="highlight">
    <w:name w:val="highlight"/>
    <w:basedOn w:val="DefaultParagraphFont"/>
    <w:rsid w:val="0044414C"/>
  </w:style>
  <w:style w:type="character" w:styleId="Emphasis">
    <w:name w:val="Emphasis"/>
    <w:basedOn w:val="DefaultParagraphFont"/>
    <w:uiPriority w:val="20"/>
    <w:qFormat/>
    <w:rsid w:val="0044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4000/aitia.2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Oakley</dc:creator>
  <cp:keywords/>
  <dc:description/>
  <cp:lastModifiedBy>James Oakley</cp:lastModifiedBy>
  <cp:revision>2</cp:revision>
  <dcterms:created xsi:type="dcterms:W3CDTF">2022-11-16T18:39:00Z</dcterms:created>
  <dcterms:modified xsi:type="dcterms:W3CDTF">2022-11-16T18:39:00Z</dcterms:modified>
</cp:coreProperties>
</file>