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A36DEC" w14:textId="77777777" w:rsidR="00EA2518" w:rsidRDefault="00EA2518">
      <w:pPr>
        <w:pStyle w:val="normal0"/>
        <w:rPr>
          <w:rFonts w:ascii="Times New Roman" w:eastAsia="Times New Roman" w:hAnsi="Times New Roman" w:cs="Times New Roman"/>
          <w:sz w:val="24"/>
          <w:szCs w:val="24"/>
        </w:rPr>
      </w:pPr>
    </w:p>
    <w:p w14:paraId="78BCE2DA" w14:textId="77777777" w:rsidR="00EA2518" w:rsidRDefault="00EA2518">
      <w:pPr>
        <w:pStyle w:val="normal0"/>
        <w:rPr>
          <w:rFonts w:ascii="Times New Roman" w:eastAsia="Times New Roman" w:hAnsi="Times New Roman" w:cs="Times New Roman"/>
          <w:sz w:val="24"/>
          <w:szCs w:val="24"/>
        </w:rPr>
      </w:pPr>
    </w:p>
    <w:p w14:paraId="0157C986" w14:textId="77777777" w:rsidR="00EA2518" w:rsidRDefault="00EA2518">
      <w:pPr>
        <w:pStyle w:val="normal0"/>
        <w:rPr>
          <w:rFonts w:ascii="Times New Roman" w:eastAsia="Times New Roman" w:hAnsi="Times New Roman" w:cs="Times New Roman"/>
          <w:sz w:val="24"/>
          <w:szCs w:val="24"/>
        </w:rPr>
      </w:pPr>
    </w:p>
    <w:p w14:paraId="1FDAC4C4" w14:textId="77777777" w:rsidR="00EA2518" w:rsidRDefault="00471E2D">
      <w:pPr>
        <w:pStyle w:val="normal0"/>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5E01B27E" wp14:editId="02296E9C">
            <wp:extent cx="5943600" cy="233680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943600" cy="2336800"/>
                    </a:xfrm>
                    <a:prstGeom prst="rect">
                      <a:avLst/>
                    </a:prstGeom>
                    <a:ln/>
                  </pic:spPr>
                </pic:pic>
              </a:graphicData>
            </a:graphic>
          </wp:inline>
        </w:drawing>
      </w:r>
    </w:p>
    <w:p w14:paraId="26BB57B1" w14:textId="77777777" w:rsidR="00EA2518" w:rsidRDefault="00EA2518">
      <w:pPr>
        <w:pStyle w:val="normal0"/>
        <w:jc w:val="center"/>
        <w:rPr>
          <w:rFonts w:ascii="Times New Roman" w:eastAsia="Times New Roman" w:hAnsi="Times New Roman" w:cs="Times New Roman"/>
          <w:b/>
          <w:sz w:val="36"/>
          <w:szCs w:val="36"/>
        </w:rPr>
      </w:pPr>
    </w:p>
    <w:p w14:paraId="7C1FE106" w14:textId="77777777" w:rsidR="00EA2518" w:rsidRDefault="00EA2518">
      <w:pPr>
        <w:pStyle w:val="normal0"/>
        <w:jc w:val="center"/>
        <w:rPr>
          <w:rFonts w:ascii="Times New Roman" w:eastAsia="Times New Roman" w:hAnsi="Times New Roman" w:cs="Times New Roman"/>
          <w:b/>
          <w:sz w:val="36"/>
          <w:szCs w:val="36"/>
        </w:rPr>
      </w:pPr>
    </w:p>
    <w:p w14:paraId="6E08A2D1" w14:textId="77777777" w:rsidR="00EA2518" w:rsidRDefault="00471E2D">
      <w:pPr>
        <w:pStyle w:val="normal0"/>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MBA Research Proposal </w:t>
      </w:r>
    </w:p>
    <w:p w14:paraId="5C5B2948" w14:textId="77777777" w:rsidR="00EA2518" w:rsidRDefault="00EA2518">
      <w:pPr>
        <w:pStyle w:val="normal0"/>
        <w:jc w:val="center"/>
        <w:rPr>
          <w:rFonts w:ascii="Times New Roman" w:eastAsia="Times New Roman" w:hAnsi="Times New Roman" w:cs="Times New Roman"/>
          <w:b/>
          <w:sz w:val="36"/>
          <w:szCs w:val="36"/>
        </w:rPr>
      </w:pPr>
    </w:p>
    <w:p w14:paraId="304B84A7" w14:textId="77777777" w:rsidR="00EA2518" w:rsidRDefault="00EA2518">
      <w:pPr>
        <w:pStyle w:val="normal0"/>
        <w:jc w:val="center"/>
        <w:rPr>
          <w:rFonts w:ascii="Times New Roman" w:eastAsia="Times New Roman" w:hAnsi="Times New Roman" w:cs="Times New Roman"/>
          <w:b/>
          <w:sz w:val="28"/>
          <w:szCs w:val="28"/>
        </w:rPr>
      </w:pPr>
    </w:p>
    <w:p w14:paraId="5C2CB7CF" w14:textId="77777777" w:rsidR="00EA2518" w:rsidRDefault="00EA2518">
      <w:pPr>
        <w:pStyle w:val="normal0"/>
        <w:jc w:val="center"/>
        <w:rPr>
          <w:rFonts w:ascii="Times New Roman" w:eastAsia="Times New Roman" w:hAnsi="Times New Roman" w:cs="Times New Roman"/>
          <w:sz w:val="28"/>
          <w:szCs w:val="28"/>
        </w:rPr>
      </w:pPr>
    </w:p>
    <w:p w14:paraId="3A94626E" w14:textId="77777777" w:rsidR="00EA2518" w:rsidRDefault="00471E2D">
      <w:pPr>
        <w:pStyle w:val="norm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Diversity and Inclusion at Crossroads: </w:t>
      </w:r>
    </w:p>
    <w:p w14:paraId="6990F4D1" w14:textId="77777777" w:rsidR="00EA2518" w:rsidRDefault="00471E2D">
      <w:pPr>
        <w:pStyle w:val="norm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Intersectional Economic Justice in the New Gilded Age</w:t>
      </w:r>
    </w:p>
    <w:p w14:paraId="790CF47A" w14:textId="77777777" w:rsidR="00EA2518" w:rsidRDefault="00EA2518">
      <w:pPr>
        <w:pStyle w:val="normal0"/>
        <w:jc w:val="center"/>
        <w:rPr>
          <w:rFonts w:ascii="Times New Roman" w:eastAsia="Times New Roman" w:hAnsi="Times New Roman" w:cs="Times New Roman"/>
          <w:sz w:val="28"/>
          <w:szCs w:val="28"/>
        </w:rPr>
      </w:pPr>
    </w:p>
    <w:p w14:paraId="010BE482" w14:textId="77777777" w:rsidR="00EA2518" w:rsidRDefault="00EA2518">
      <w:pPr>
        <w:pStyle w:val="normal0"/>
        <w:jc w:val="center"/>
        <w:rPr>
          <w:rFonts w:ascii="Times New Roman" w:eastAsia="Times New Roman" w:hAnsi="Times New Roman" w:cs="Times New Roman"/>
          <w:sz w:val="28"/>
          <w:szCs w:val="28"/>
        </w:rPr>
      </w:pPr>
    </w:p>
    <w:p w14:paraId="404A1031" w14:textId="77777777" w:rsidR="00EA2518" w:rsidRDefault="00EA2518">
      <w:pPr>
        <w:pStyle w:val="normal0"/>
        <w:jc w:val="center"/>
        <w:rPr>
          <w:rFonts w:ascii="Times New Roman" w:eastAsia="Times New Roman" w:hAnsi="Times New Roman" w:cs="Times New Roman"/>
          <w:sz w:val="28"/>
          <w:szCs w:val="28"/>
        </w:rPr>
      </w:pPr>
    </w:p>
    <w:p w14:paraId="745BEDC8" w14:textId="77777777" w:rsidR="00EA2518" w:rsidRDefault="00EA2518">
      <w:pPr>
        <w:pStyle w:val="normal0"/>
        <w:jc w:val="center"/>
        <w:rPr>
          <w:rFonts w:ascii="Times New Roman" w:eastAsia="Times New Roman" w:hAnsi="Times New Roman" w:cs="Times New Roman"/>
          <w:sz w:val="28"/>
          <w:szCs w:val="28"/>
        </w:rPr>
      </w:pPr>
    </w:p>
    <w:p w14:paraId="05BE0FFD" w14:textId="77777777" w:rsidR="00EA2518" w:rsidRDefault="00EA2518">
      <w:pPr>
        <w:pStyle w:val="normal0"/>
        <w:jc w:val="center"/>
        <w:rPr>
          <w:rFonts w:ascii="Times New Roman" w:eastAsia="Times New Roman" w:hAnsi="Times New Roman" w:cs="Times New Roman"/>
          <w:sz w:val="28"/>
          <w:szCs w:val="28"/>
        </w:rPr>
      </w:pPr>
    </w:p>
    <w:p w14:paraId="677819FA" w14:textId="77777777" w:rsidR="00EA2518" w:rsidRDefault="00471E2D">
      <w:pPr>
        <w:pStyle w:val="norm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Justin Fernando (Student ID Number: 1705758)</w:t>
      </w:r>
    </w:p>
    <w:p w14:paraId="05896716" w14:textId="77777777" w:rsidR="00EA2518" w:rsidRDefault="00471E2D">
      <w:pPr>
        <w:pStyle w:val="normal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Supervisor: Dr. Alex Bell</w:t>
      </w:r>
    </w:p>
    <w:p w14:paraId="0344739D" w14:textId="77777777" w:rsidR="00EA2518" w:rsidRDefault="00EA2518">
      <w:pPr>
        <w:pStyle w:val="normal0"/>
        <w:rPr>
          <w:rFonts w:ascii="Times New Roman" w:eastAsia="Times New Roman" w:hAnsi="Times New Roman" w:cs="Times New Roman"/>
          <w:sz w:val="24"/>
          <w:szCs w:val="24"/>
        </w:rPr>
      </w:pPr>
    </w:p>
    <w:p w14:paraId="7413FF7C" w14:textId="77777777" w:rsidR="00EA2518" w:rsidRDefault="00EA2518">
      <w:pPr>
        <w:pStyle w:val="normal0"/>
        <w:rPr>
          <w:rFonts w:ascii="Times New Roman" w:eastAsia="Times New Roman" w:hAnsi="Times New Roman" w:cs="Times New Roman"/>
          <w:sz w:val="24"/>
          <w:szCs w:val="24"/>
        </w:rPr>
      </w:pPr>
    </w:p>
    <w:p w14:paraId="3E3D33C2" w14:textId="77777777" w:rsidR="00EA2518" w:rsidRDefault="00EA2518">
      <w:pPr>
        <w:pStyle w:val="normal0"/>
        <w:rPr>
          <w:rFonts w:ascii="Times New Roman" w:eastAsia="Times New Roman" w:hAnsi="Times New Roman" w:cs="Times New Roman"/>
          <w:sz w:val="24"/>
          <w:szCs w:val="24"/>
        </w:rPr>
      </w:pPr>
    </w:p>
    <w:p w14:paraId="4CF75FAF" w14:textId="77777777" w:rsidR="00EA2518" w:rsidRDefault="00EA2518">
      <w:pPr>
        <w:pStyle w:val="normal0"/>
        <w:rPr>
          <w:rFonts w:ascii="Times New Roman" w:eastAsia="Times New Roman" w:hAnsi="Times New Roman" w:cs="Times New Roman"/>
          <w:sz w:val="24"/>
          <w:szCs w:val="24"/>
        </w:rPr>
      </w:pPr>
    </w:p>
    <w:p w14:paraId="491E9DFB" w14:textId="77777777" w:rsidR="00EA2518" w:rsidRDefault="00EA2518">
      <w:pPr>
        <w:pStyle w:val="normal0"/>
        <w:rPr>
          <w:rFonts w:ascii="Times New Roman" w:eastAsia="Times New Roman" w:hAnsi="Times New Roman" w:cs="Times New Roman"/>
          <w:sz w:val="24"/>
          <w:szCs w:val="24"/>
        </w:rPr>
      </w:pPr>
    </w:p>
    <w:p w14:paraId="369F851E" w14:textId="77777777" w:rsidR="00471E2D" w:rsidRDefault="00471E2D">
      <w:pPr>
        <w:pStyle w:val="normal0"/>
        <w:rPr>
          <w:rFonts w:ascii="Times New Roman" w:eastAsia="Times New Roman" w:hAnsi="Times New Roman" w:cs="Times New Roman"/>
          <w:sz w:val="24"/>
          <w:szCs w:val="24"/>
        </w:rPr>
      </w:pPr>
    </w:p>
    <w:p w14:paraId="20C2AF0F" w14:textId="77777777" w:rsidR="00471E2D" w:rsidRDefault="00471E2D">
      <w:pPr>
        <w:pStyle w:val="normal0"/>
        <w:rPr>
          <w:rFonts w:ascii="Times New Roman" w:eastAsia="Times New Roman" w:hAnsi="Times New Roman" w:cs="Times New Roman"/>
          <w:sz w:val="24"/>
          <w:szCs w:val="24"/>
        </w:rPr>
      </w:pPr>
    </w:p>
    <w:p w14:paraId="67C2A026" w14:textId="77777777" w:rsidR="00EA2518" w:rsidRDefault="00471E2D">
      <w:pPr>
        <w:pStyle w:val="normal0"/>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Academic Focus and Research Rationale</w:t>
      </w:r>
    </w:p>
    <w:p w14:paraId="3086B982" w14:textId="77777777" w:rsidR="00EA2518" w:rsidRDefault="00EA2518">
      <w:pPr>
        <w:pStyle w:val="normal0"/>
        <w:ind w:left="720"/>
        <w:rPr>
          <w:rFonts w:ascii="Times New Roman" w:eastAsia="Times New Roman" w:hAnsi="Times New Roman" w:cs="Times New Roman"/>
          <w:sz w:val="24"/>
          <w:szCs w:val="24"/>
        </w:rPr>
      </w:pPr>
    </w:p>
    <w:p w14:paraId="3B8772B0"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and Inclusion professionals have primarily focused on gender and racial diversity, both of which are unfinished and continuous commitments. There have been recent expansions to include queer and trans populations and neurodiversity. Despite this </w:t>
      </w:r>
      <w:r>
        <w:rPr>
          <w:rFonts w:ascii="Times New Roman" w:eastAsia="Times New Roman" w:hAnsi="Times New Roman" w:cs="Times New Roman"/>
          <w:sz w:val="24"/>
          <w:szCs w:val="24"/>
        </w:rPr>
        <w:t>historic and newfound commitments, however, diversity and inclusion professionals have often relied on amplifying the "diversity and inclusion business case" (McKinsey &amp; Company, 2018; Dobbin &amp; Kalev, 2007; Dobbs, 1996; Trompenaars &amp; Turner, 1997) in order</w:t>
      </w:r>
      <w:r>
        <w:rPr>
          <w:rFonts w:ascii="Times New Roman" w:eastAsia="Times New Roman" w:hAnsi="Times New Roman" w:cs="Times New Roman"/>
          <w:sz w:val="24"/>
          <w:szCs w:val="24"/>
        </w:rPr>
        <w:t xml:space="preserve"> to assert their legitimacy and clout internally in their organizations and in their sectors, most of which are driven by maximizing profit or subscribe to tenets of laissez-faire economics of minimal government intervention in the market (Piketty, 2017). </w:t>
      </w:r>
      <w:r>
        <w:rPr>
          <w:rFonts w:ascii="Times New Roman" w:eastAsia="Times New Roman" w:hAnsi="Times New Roman" w:cs="Times New Roman"/>
          <w:sz w:val="24"/>
          <w:szCs w:val="24"/>
        </w:rPr>
        <w:t>For diversity and inclusion, this use of the diversity and inclusion business case has been a double-edged sword: The business case has maximized diversity and inclusion's legitimacy in the organization and obtained the ear of senior executives in the c-su</w:t>
      </w:r>
      <w:r>
        <w:rPr>
          <w:rFonts w:ascii="Times New Roman" w:eastAsia="Times New Roman" w:hAnsi="Times New Roman" w:cs="Times New Roman"/>
          <w:sz w:val="24"/>
          <w:szCs w:val="24"/>
        </w:rPr>
        <w:t xml:space="preserve">ite (Morley, 2018). Concurrently, this approach of centering organizational priorities, that of which is increased profit, compromises and at times capitulates on certain elements of diversity and inclusion commitments that the same c-suite executives may </w:t>
      </w:r>
      <w:r>
        <w:rPr>
          <w:rFonts w:ascii="Times New Roman" w:eastAsia="Times New Roman" w:hAnsi="Times New Roman" w:cs="Times New Roman"/>
          <w:sz w:val="24"/>
          <w:szCs w:val="24"/>
        </w:rPr>
        <w:t>not have the appetite for (Leca &amp; Vranceanu, 2014; Velasco &amp; Sansone, 2019), namely inclusive and structural economic justice both internally in the organization and in the greater public. By taking on diversity and inclusion through the lens of intersecti</w:t>
      </w:r>
      <w:r>
        <w:rPr>
          <w:rFonts w:ascii="Times New Roman" w:eastAsia="Times New Roman" w:hAnsi="Times New Roman" w:cs="Times New Roman"/>
          <w:sz w:val="24"/>
          <w:szCs w:val="24"/>
        </w:rPr>
        <w:t xml:space="preserve">onality with the social mission objectives of social entrepreneurship, this paper examines and envisions how diversity and inclusion functions and professionals could serve as catalysts of social change towards transformative economic justice in a time of </w:t>
      </w:r>
      <w:r>
        <w:rPr>
          <w:rFonts w:ascii="Times New Roman" w:eastAsia="Times New Roman" w:hAnsi="Times New Roman" w:cs="Times New Roman"/>
          <w:sz w:val="24"/>
          <w:szCs w:val="24"/>
        </w:rPr>
        <w:t>massive income and wealth inequality and declining standards of living.</w:t>
      </w:r>
    </w:p>
    <w:p w14:paraId="5647A832" w14:textId="77777777" w:rsidR="00EA2518" w:rsidRDefault="00EA2518">
      <w:pPr>
        <w:pStyle w:val="normal0"/>
        <w:spacing w:line="360" w:lineRule="auto"/>
        <w:rPr>
          <w:rFonts w:ascii="Times New Roman" w:eastAsia="Times New Roman" w:hAnsi="Times New Roman" w:cs="Times New Roman"/>
          <w:sz w:val="24"/>
          <w:szCs w:val="24"/>
        </w:rPr>
      </w:pPr>
    </w:p>
    <w:p w14:paraId="160C7356"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theories that my dissertation draws upon are the terms “intersectionality” (Crenshaw, 1991; McCall, 2005; Hooks, 1982; Collins, 1995) and “the New Gilded Age” (Krugman, 2014; Gonzalez Stokas, 2015; Wagner, 2013; Grusky &amp; Kricheli-Katz, 2012). I</w:t>
      </w:r>
      <w:r>
        <w:rPr>
          <w:rFonts w:ascii="Times New Roman" w:eastAsia="Times New Roman" w:hAnsi="Times New Roman" w:cs="Times New Roman"/>
          <w:sz w:val="24"/>
          <w:szCs w:val="24"/>
        </w:rPr>
        <w:t>ntersectionality is the complex and cumulative manner in which the effects of multiple forms of discrimination, such as racism, sexism, and classism, combine, overlap, or intersect, especially in the experiences of marginalized individuals or groups (Crens</w:t>
      </w:r>
      <w:r>
        <w:rPr>
          <w:rFonts w:ascii="Times New Roman" w:eastAsia="Times New Roman" w:hAnsi="Times New Roman" w:cs="Times New Roman"/>
          <w:sz w:val="24"/>
          <w:szCs w:val="24"/>
        </w:rPr>
        <w:t>haw, 1991). I would like to examine how these overlapping forms of discrimination overlap in the context of the workplace and organizations, and how diversity and inclusion professionals can leverage this methodology in their work to enhance their diversit</w:t>
      </w:r>
      <w:r>
        <w:rPr>
          <w:rFonts w:ascii="Times New Roman" w:eastAsia="Times New Roman" w:hAnsi="Times New Roman" w:cs="Times New Roman"/>
          <w:sz w:val="24"/>
          <w:szCs w:val="24"/>
        </w:rPr>
        <w:t xml:space="preserve">y and inclusion organizational plans and social impact. I will </w:t>
      </w:r>
      <w:r>
        <w:rPr>
          <w:rFonts w:ascii="Times New Roman" w:eastAsia="Times New Roman" w:hAnsi="Times New Roman" w:cs="Times New Roman"/>
          <w:sz w:val="24"/>
          <w:szCs w:val="24"/>
        </w:rPr>
        <w:lastRenderedPageBreak/>
        <w:t xml:space="preserve">contextualize my analysis in the present time period of what scholars refer to as “the New Gilded Age,” (Temin, 2017) borrowing from “the Gilded Age” era in the United States, which was a time </w:t>
      </w:r>
      <w:r>
        <w:rPr>
          <w:rFonts w:ascii="Times New Roman" w:eastAsia="Times New Roman" w:hAnsi="Times New Roman" w:cs="Times New Roman"/>
          <w:sz w:val="24"/>
          <w:szCs w:val="24"/>
        </w:rPr>
        <w:t>characterized by disruptive innovation (Frey &amp; Osborne, 2017), business deregulation (Keller &amp; Kelly, 2015; Milkman, 2013), low wealth redistribution (Hanna, 2019), high income inequality (Sawaya, 2008), and frail public social programs (Di Muzio, 2015; Sc</w:t>
      </w:r>
      <w:r>
        <w:rPr>
          <w:rFonts w:ascii="Times New Roman" w:eastAsia="Times New Roman" w:hAnsi="Times New Roman" w:cs="Times New Roman"/>
          <w:sz w:val="24"/>
          <w:szCs w:val="24"/>
        </w:rPr>
        <w:t>hrecker, 2017). This “New Gilded Age” as context would insert intersectional socioeconomic considerations in my analysis as potential social impact opportunities that diversity and inclusion professionals could pursue through the use of intersectionality t</w:t>
      </w:r>
      <w:r>
        <w:rPr>
          <w:rFonts w:ascii="Times New Roman" w:eastAsia="Times New Roman" w:hAnsi="Times New Roman" w:cs="Times New Roman"/>
          <w:sz w:val="24"/>
          <w:szCs w:val="24"/>
        </w:rPr>
        <w:t>o approach their diversity and inclusion practice.</w:t>
      </w:r>
    </w:p>
    <w:p w14:paraId="76B176AB" w14:textId="77777777" w:rsidR="00EA2518" w:rsidRDefault="00EA2518">
      <w:pPr>
        <w:pStyle w:val="normal0"/>
        <w:spacing w:line="360" w:lineRule="auto"/>
        <w:rPr>
          <w:rFonts w:ascii="Times New Roman" w:eastAsia="Times New Roman" w:hAnsi="Times New Roman" w:cs="Times New Roman"/>
          <w:sz w:val="24"/>
          <w:szCs w:val="24"/>
        </w:rPr>
      </w:pPr>
    </w:p>
    <w:p w14:paraId="11226274" w14:textId="77777777" w:rsidR="00EA2518" w:rsidRDefault="00471E2D">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questions</w:t>
      </w:r>
    </w:p>
    <w:p w14:paraId="6F27B801" w14:textId="77777777" w:rsidR="00EA2518" w:rsidRDefault="00EA2518">
      <w:pPr>
        <w:pStyle w:val="normal0"/>
        <w:spacing w:line="360" w:lineRule="auto"/>
        <w:rPr>
          <w:rFonts w:ascii="Times New Roman" w:eastAsia="Times New Roman" w:hAnsi="Times New Roman" w:cs="Times New Roman"/>
          <w:b/>
          <w:sz w:val="24"/>
          <w:szCs w:val="24"/>
        </w:rPr>
      </w:pPr>
    </w:p>
    <w:p w14:paraId="61CB0396" w14:textId="77777777" w:rsidR="00EA2518" w:rsidRDefault="00471E2D">
      <w:pPr>
        <w:pStyle w:val="normal0"/>
        <w:numPr>
          <w:ilvl w:val="1"/>
          <w:numId w:val="1"/>
        </w:num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What organizational challenges exist as obstacles in centering socioeconomic justice in diversity and inclusion plans?</w:t>
      </w:r>
    </w:p>
    <w:p w14:paraId="445569D5" w14:textId="77777777" w:rsidR="00EA2518" w:rsidRDefault="00471E2D">
      <w:pPr>
        <w:pStyle w:val="normal0"/>
        <w:numPr>
          <w:ilvl w:val="1"/>
          <w:numId w:val="1"/>
        </w:num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When applying intersectionality as a methodological approach in t</w:t>
      </w:r>
      <w:r>
        <w:rPr>
          <w:rFonts w:ascii="Times New Roman" w:eastAsia="Times New Roman" w:hAnsi="Times New Roman" w:cs="Times New Roman"/>
          <w:sz w:val="24"/>
          <w:szCs w:val="24"/>
        </w:rPr>
        <w:t>heir work, how can diversity and inclusion professionals gear intersectionality to strengthen their objectives and scale their social impact at the organizational and societal levels?</w:t>
      </w:r>
    </w:p>
    <w:p w14:paraId="1BC9F024" w14:textId="77777777" w:rsidR="00EA2518" w:rsidRDefault="00471E2D">
      <w:pPr>
        <w:pStyle w:val="normal0"/>
        <w:numPr>
          <w:ilvl w:val="1"/>
          <w:numId w:val="1"/>
        </w:num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ways can organizations leverage intersectionality in order to stay </w:t>
      </w:r>
      <w:r>
        <w:rPr>
          <w:rFonts w:ascii="Times New Roman" w:eastAsia="Times New Roman" w:hAnsi="Times New Roman" w:cs="Times New Roman"/>
          <w:sz w:val="24"/>
          <w:szCs w:val="24"/>
        </w:rPr>
        <w:t>ahead of trends and innovations?</w:t>
      </w:r>
    </w:p>
    <w:p w14:paraId="2D0E4DCD" w14:textId="77777777" w:rsidR="00EA2518" w:rsidRDefault="00EA2518">
      <w:pPr>
        <w:pStyle w:val="normal0"/>
        <w:spacing w:line="360" w:lineRule="auto"/>
        <w:ind w:left="1440"/>
        <w:rPr>
          <w:rFonts w:ascii="Times New Roman" w:eastAsia="Times New Roman" w:hAnsi="Times New Roman" w:cs="Times New Roman"/>
          <w:sz w:val="24"/>
          <w:szCs w:val="24"/>
        </w:rPr>
      </w:pPr>
    </w:p>
    <w:p w14:paraId="18CB7835" w14:textId="77777777" w:rsidR="00EA2518" w:rsidRDefault="00EA2518">
      <w:pPr>
        <w:pStyle w:val="normal0"/>
        <w:spacing w:line="360" w:lineRule="auto"/>
        <w:ind w:left="1440"/>
        <w:rPr>
          <w:rFonts w:ascii="Times New Roman" w:eastAsia="Times New Roman" w:hAnsi="Times New Roman" w:cs="Times New Roman"/>
          <w:sz w:val="24"/>
          <w:szCs w:val="24"/>
        </w:rPr>
      </w:pPr>
    </w:p>
    <w:p w14:paraId="50CF4EB6" w14:textId="77777777" w:rsidR="00EA2518" w:rsidRDefault="00471E2D">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Paradigm and Method</w:t>
      </w:r>
    </w:p>
    <w:p w14:paraId="3C0B8491" w14:textId="77777777" w:rsidR="00EA2518" w:rsidRDefault="00EA2518">
      <w:pPr>
        <w:pStyle w:val="normal0"/>
        <w:spacing w:line="360" w:lineRule="auto"/>
        <w:rPr>
          <w:rFonts w:ascii="Times New Roman" w:eastAsia="Times New Roman" w:hAnsi="Times New Roman" w:cs="Times New Roman"/>
          <w:b/>
          <w:sz w:val="24"/>
          <w:szCs w:val="24"/>
        </w:rPr>
      </w:pPr>
    </w:p>
    <w:p w14:paraId="20E99076"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Having conducted a preliminary research review, there is a scarcity of research on the nexus between diversity and inclusion operating in a political, economic, and societal context undergirded by the New Gilded Age. While some diversity and inclusion lite</w:t>
      </w:r>
      <w:r>
        <w:rPr>
          <w:rFonts w:ascii="Times New Roman" w:eastAsia="Times New Roman" w:hAnsi="Times New Roman" w:cs="Times New Roman"/>
          <w:sz w:val="24"/>
          <w:szCs w:val="24"/>
        </w:rPr>
        <w:t xml:space="preserve">rature describe symptoms of economic inequality (Gantz &amp; Sanders, 2017), no research has been created that showcases the role that intersectionality could take in tackling the deleterious effects of the New Gilded Age. </w:t>
      </w:r>
    </w:p>
    <w:p w14:paraId="3B57B3EB" w14:textId="77777777" w:rsidR="00EA2518" w:rsidRDefault="00EA2518">
      <w:pPr>
        <w:pStyle w:val="normal0"/>
        <w:spacing w:line="360" w:lineRule="auto"/>
        <w:rPr>
          <w:rFonts w:ascii="Times New Roman" w:eastAsia="Times New Roman" w:hAnsi="Times New Roman" w:cs="Times New Roman"/>
          <w:sz w:val="24"/>
          <w:szCs w:val="24"/>
        </w:rPr>
      </w:pPr>
    </w:p>
    <w:p w14:paraId="2E9E08ED"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approaching this analysis, I wil</w:t>
      </w:r>
      <w:r>
        <w:rPr>
          <w:rFonts w:ascii="Times New Roman" w:eastAsia="Times New Roman" w:hAnsi="Times New Roman" w:cs="Times New Roman"/>
          <w:sz w:val="24"/>
          <w:szCs w:val="24"/>
        </w:rPr>
        <w:t>l use documents through qualitative analysis and leverage document analysis as my methodological approach. Documents serve as “social facts” that are “produced, shared, and utilized in socially organized ways” (Coffey &amp; Atkinson, 1996). Examples of documen</w:t>
      </w:r>
      <w:r>
        <w:rPr>
          <w:rFonts w:ascii="Times New Roman" w:eastAsia="Times New Roman" w:hAnsi="Times New Roman" w:cs="Times New Roman"/>
          <w:sz w:val="24"/>
          <w:szCs w:val="24"/>
        </w:rPr>
        <w:t>ts that I will review include public records, such as diversity and inclusion annual reports, strategic plans, video communications, government policy records, governmental departments and agency reports, laws, newspaper and magazine articles, LinkedIn pos</w:t>
      </w:r>
      <w:r>
        <w:rPr>
          <w:rFonts w:ascii="Times New Roman" w:eastAsia="Times New Roman" w:hAnsi="Times New Roman" w:cs="Times New Roman"/>
          <w:sz w:val="24"/>
          <w:szCs w:val="24"/>
        </w:rPr>
        <w:t>ts from Diversity and Inclusion professionals, and Diversity and Inclusion conference memoranda, press releases, facilitator application forms, and conference agendas. Through these wide array of documents, I hope to illuminate constellations of themes tha</w:t>
      </w:r>
      <w:r>
        <w:rPr>
          <w:rFonts w:ascii="Times New Roman" w:eastAsia="Times New Roman" w:hAnsi="Times New Roman" w:cs="Times New Roman"/>
          <w:sz w:val="24"/>
          <w:szCs w:val="24"/>
        </w:rPr>
        <w:t xml:space="preserve">t illustrate the allure, potency, and ubiquity of the for-profit centricity of the diversity and inclusion business case approach and how the same for-profit bottom line logic has come at the expense of structural economic justice (Sanyal et al., 2015) in </w:t>
      </w:r>
      <w:r>
        <w:rPr>
          <w:rFonts w:ascii="Times New Roman" w:eastAsia="Times New Roman" w:hAnsi="Times New Roman" w:cs="Times New Roman"/>
          <w:sz w:val="24"/>
          <w:szCs w:val="24"/>
        </w:rPr>
        <w:t>diversity and inclusion work.</w:t>
      </w:r>
    </w:p>
    <w:p w14:paraId="7FC93BAB" w14:textId="77777777" w:rsidR="00EA2518" w:rsidRDefault="00EA2518">
      <w:pPr>
        <w:pStyle w:val="normal0"/>
        <w:spacing w:line="360" w:lineRule="auto"/>
        <w:rPr>
          <w:rFonts w:ascii="Times New Roman" w:eastAsia="Times New Roman" w:hAnsi="Times New Roman" w:cs="Times New Roman"/>
          <w:sz w:val="24"/>
          <w:szCs w:val="24"/>
        </w:rPr>
      </w:pPr>
    </w:p>
    <w:p w14:paraId="66030B93"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Potential concerns in leveraging document analysis include the fact that documents will not provide all the necessary information required to answer a researcher’s research questions as some documents may only provide a small</w:t>
      </w:r>
      <w:r>
        <w:rPr>
          <w:rFonts w:ascii="Times New Roman" w:eastAsia="Times New Roman" w:hAnsi="Times New Roman" w:cs="Times New Roman"/>
          <w:sz w:val="24"/>
          <w:szCs w:val="24"/>
        </w:rPr>
        <w:t xml:space="preserve"> amount of useful data or some may offer data that is incomplete. To guard against their shortcomings, it is integral that I plan for the likely scenario that I would encounter gaps in data driven from documents when conducting document analysis.  </w:t>
      </w:r>
    </w:p>
    <w:p w14:paraId="1DDFFB5E" w14:textId="77777777" w:rsidR="00EA2518" w:rsidRDefault="00EA2518">
      <w:pPr>
        <w:pStyle w:val="normal0"/>
        <w:spacing w:line="360" w:lineRule="auto"/>
        <w:rPr>
          <w:rFonts w:ascii="Times New Roman" w:eastAsia="Times New Roman" w:hAnsi="Times New Roman" w:cs="Times New Roman"/>
          <w:sz w:val="24"/>
          <w:szCs w:val="24"/>
        </w:rPr>
      </w:pPr>
    </w:p>
    <w:p w14:paraId="34BB0D61"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Despit</w:t>
      </w:r>
      <w:r>
        <w:rPr>
          <w:rFonts w:ascii="Times New Roman" w:eastAsia="Times New Roman" w:hAnsi="Times New Roman" w:cs="Times New Roman"/>
          <w:sz w:val="24"/>
          <w:szCs w:val="24"/>
        </w:rPr>
        <w:t>e these methodological shortcomings of document analysis, there are many credible benefits that documentary analysis provides as my methodology. The use of multiple documents through documentary analysis provides the researcher the opportunity to demonstra</w:t>
      </w:r>
      <w:r>
        <w:rPr>
          <w:rFonts w:ascii="Times New Roman" w:eastAsia="Times New Roman" w:hAnsi="Times New Roman" w:cs="Times New Roman"/>
          <w:sz w:val="24"/>
          <w:szCs w:val="24"/>
        </w:rPr>
        <w:t>te thematic convergence and validation through two or more different data sources, which is a “triangulation” that breeds credibility of the researcher’s argument (Bowen, 2009). Additionally, documents contain text and images that have been recorded withou</w:t>
      </w:r>
      <w:r>
        <w:rPr>
          <w:rFonts w:ascii="Times New Roman" w:eastAsia="Times New Roman" w:hAnsi="Times New Roman" w:cs="Times New Roman"/>
          <w:sz w:val="24"/>
          <w:szCs w:val="24"/>
        </w:rPr>
        <w:t>t a researcher’s intervention and direct influence in their production, sharing, and utilization (</w:t>
      </w:r>
      <w:r>
        <w:rPr>
          <w:rFonts w:ascii="Times New Roman" w:eastAsia="Times New Roman" w:hAnsi="Times New Roman" w:cs="Times New Roman"/>
          <w:i/>
          <w:sz w:val="24"/>
          <w:szCs w:val="24"/>
        </w:rPr>
        <w:t>ibid</w:t>
      </w:r>
      <w:r>
        <w:rPr>
          <w:rFonts w:ascii="Times New Roman" w:eastAsia="Times New Roman" w:hAnsi="Times New Roman" w:cs="Times New Roman"/>
          <w:sz w:val="24"/>
          <w:szCs w:val="24"/>
        </w:rPr>
        <w:t>). As opposed to participatory action research or survey work, where the research has direct interaction with the subject in question, documentary analysi</w:t>
      </w:r>
      <w:r>
        <w:rPr>
          <w:rFonts w:ascii="Times New Roman" w:eastAsia="Times New Roman" w:hAnsi="Times New Roman" w:cs="Times New Roman"/>
          <w:sz w:val="24"/>
          <w:szCs w:val="24"/>
        </w:rPr>
        <w:t>s allows the researcher to take a more detached, non-directly participatory approach and focus more on the discursive logic permeating throughout the diversity and inclusion field as the multitude of documents reveal. Moreover, given that the scope of this</w:t>
      </w:r>
      <w:r>
        <w:rPr>
          <w:rFonts w:ascii="Times New Roman" w:eastAsia="Times New Roman" w:hAnsi="Times New Roman" w:cs="Times New Roman"/>
          <w:sz w:val="24"/>
          <w:szCs w:val="24"/>
        </w:rPr>
        <w:t xml:space="preserve"> study is cross-disciplinary in nature, document analysis creates the opportunity to </w:t>
      </w:r>
      <w:r>
        <w:rPr>
          <w:rFonts w:ascii="Times New Roman" w:eastAsia="Times New Roman" w:hAnsi="Times New Roman" w:cs="Times New Roman"/>
          <w:sz w:val="24"/>
          <w:szCs w:val="24"/>
        </w:rPr>
        <w:lastRenderedPageBreak/>
        <w:t>different fields of research together and provide the ability to recontextualize the subject being analyzed (</w:t>
      </w:r>
      <w:r>
        <w:rPr>
          <w:rFonts w:ascii="Times New Roman" w:eastAsia="Times New Roman" w:hAnsi="Times New Roman" w:cs="Times New Roman"/>
          <w:i/>
          <w:sz w:val="24"/>
          <w:szCs w:val="24"/>
        </w:rPr>
        <w:t>ibid</w:t>
      </w:r>
      <w:r>
        <w:rPr>
          <w:rFonts w:ascii="Times New Roman" w:eastAsia="Times New Roman" w:hAnsi="Times New Roman" w:cs="Times New Roman"/>
          <w:sz w:val="24"/>
          <w:szCs w:val="24"/>
        </w:rPr>
        <w:t>), in this case contextualizing diversity and inclusion wo</w:t>
      </w:r>
      <w:r>
        <w:rPr>
          <w:rFonts w:ascii="Times New Roman" w:eastAsia="Times New Roman" w:hAnsi="Times New Roman" w:cs="Times New Roman"/>
          <w:sz w:val="24"/>
          <w:szCs w:val="24"/>
        </w:rPr>
        <w:t>rk in the macro environment of the New Gilded Age. As my research aims to showcase the wide-spread appeal of the diversity and inclusion business case that puts profit first, leveraging a diverse array of documents would allow me to demonstrate the specifi</w:t>
      </w:r>
      <w:r>
        <w:rPr>
          <w:rFonts w:ascii="Times New Roman" w:eastAsia="Times New Roman" w:hAnsi="Times New Roman" w:cs="Times New Roman"/>
          <w:sz w:val="24"/>
          <w:szCs w:val="24"/>
        </w:rPr>
        <w:t>c milieus where the business case discourse circulates, whether in conferences, professional social media platforms, YouTube, and other media where the business case for profit centric (Pfeffer, 1998) logic manifests. Reviewing a wide array of document sou</w:t>
      </w:r>
      <w:r>
        <w:rPr>
          <w:rFonts w:ascii="Times New Roman" w:eastAsia="Times New Roman" w:hAnsi="Times New Roman" w:cs="Times New Roman"/>
          <w:sz w:val="24"/>
          <w:szCs w:val="24"/>
        </w:rPr>
        <w:t>rces and secondary literature would also position me to foreground present and future possibilities that center intersectional economic justice in diversity and inclusion work.</w:t>
      </w:r>
    </w:p>
    <w:p w14:paraId="06FD1FFA" w14:textId="77777777" w:rsidR="00EA2518" w:rsidRDefault="00EA2518">
      <w:pPr>
        <w:pStyle w:val="normal0"/>
        <w:spacing w:line="360" w:lineRule="auto"/>
        <w:rPr>
          <w:rFonts w:ascii="Times New Roman" w:eastAsia="Times New Roman" w:hAnsi="Times New Roman" w:cs="Times New Roman"/>
          <w:sz w:val="24"/>
          <w:szCs w:val="24"/>
        </w:rPr>
      </w:pPr>
    </w:p>
    <w:p w14:paraId="37C07637" w14:textId="77777777" w:rsidR="00EA2518" w:rsidRDefault="00EA2518">
      <w:pPr>
        <w:pStyle w:val="normal0"/>
        <w:spacing w:line="360" w:lineRule="auto"/>
        <w:rPr>
          <w:rFonts w:ascii="Times New Roman" w:eastAsia="Times New Roman" w:hAnsi="Times New Roman" w:cs="Times New Roman"/>
          <w:sz w:val="24"/>
          <w:szCs w:val="24"/>
        </w:rPr>
      </w:pPr>
    </w:p>
    <w:p w14:paraId="6D83DEE4" w14:textId="77777777" w:rsidR="00EA2518" w:rsidRDefault="00471E2D">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Data Collection </w:t>
      </w:r>
    </w:p>
    <w:p w14:paraId="770AB288" w14:textId="77777777" w:rsidR="00EA2518" w:rsidRDefault="00EA2518">
      <w:pPr>
        <w:pStyle w:val="normal0"/>
        <w:spacing w:line="360" w:lineRule="auto"/>
        <w:rPr>
          <w:rFonts w:ascii="Times New Roman" w:eastAsia="Times New Roman" w:hAnsi="Times New Roman" w:cs="Times New Roman"/>
          <w:b/>
          <w:sz w:val="24"/>
          <w:szCs w:val="24"/>
        </w:rPr>
      </w:pPr>
    </w:p>
    <w:p w14:paraId="70700636"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 will obtain my primary and secondary sources from books a</w:t>
      </w:r>
      <w:r>
        <w:rPr>
          <w:rFonts w:ascii="Times New Roman" w:eastAsia="Times New Roman" w:hAnsi="Times New Roman" w:cs="Times New Roman"/>
          <w:sz w:val="24"/>
          <w:szCs w:val="24"/>
        </w:rPr>
        <w:t>nd journal databases accessed through UWTSD and University of Massachusetts Amherst libraries. I will also use professional social media content such as Linkedin in order to obtain the insights of diversity and inclusion professionals themselves. I will tu</w:t>
      </w:r>
      <w:r>
        <w:rPr>
          <w:rFonts w:ascii="Times New Roman" w:eastAsia="Times New Roman" w:hAnsi="Times New Roman" w:cs="Times New Roman"/>
          <w:sz w:val="24"/>
          <w:szCs w:val="24"/>
        </w:rPr>
        <w:t>rn to company websites (Vasconcelos, 2017) and YouTube in order to harness the marketing and communications content on diversity and inclusion and the themes (Bowen, 2009) that they highlight.</w:t>
      </w:r>
    </w:p>
    <w:p w14:paraId="14AB3ABC" w14:textId="77777777" w:rsidR="00EA2518" w:rsidRDefault="00EA2518">
      <w:pPr>
        <w:pStyle w:val="normal0"/>
        <w:spacing w:line="360" w:lineRule="auto"/>
        <w:ind w:firstLine="720"/>
        <w:rPr>
          <w:rFonts w:ascii="Times New Roman" w:eastAsia="Times New Roman" w:hAnsi="Times New Roman" w:cs="Times New Roman"/>
          <w:sz w:val="24"/>
          <w:szCs w:val="24"/>
        </w:rPr>
      </w:pPr>
    </w:p>
    <w:p w14:paraId="07F8EE2E"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Taking into account the collection of my findings from these sources, I will then contextualize them with the broader macro environment occurring in the United States, where I plan to use qualitative, quantitative, and mixed methods government department a</w:t>
      </w:r>
      <w:r>
        <w:rPr>
          <w:rFonts w:ascii="Times New Roman" w:eastAsia="Times New Roman" w:hAnsi="Times New Roman" w:cs="Times New Roman"/>
          <w:sz w:val="24"/>
          <w:szCs w:val="24"/>
        </w:rPr>
        <w:t>nd agency literature and cross-disciplinary secondary literature from the fields of economics (Pickety, 2017; IonTuition, 2018; Ravikumar &amp; Lin, 2014), education (Gonzalez Stokas, 2015), sociology (Dhingra &amp; Parker, 2015; Barrett et al., 1996), business (F</w:t>
      </w:r>
      <w:r>
        <w:rPr>
          <w:rFonts w:ascii="Times New Roman" w:eastAsia="Times New Roman" w:hAnsi="Times New Roman" w:cs="Times New Roman"/>
          <w:sz w:val="24"/>
          <w:szCs w:val="24"/>
        </w:rPr>
        <w:t>ront &amp; Kalman, 2016; Turner &amp; Kalman, 2014), demography (Frey, 2018; O’Connor, 2014), history (Fry et al., 2018), politics (Rahman, 2016; Anderson, 2003), and public health (Schrecker, 2017; Carey &amp; Crammond, 2015; Gonzalez, 2015; Crystal, 2016) on the sta</w:t>
      </w:r>
      <w:r>
        <w:rPr>
          <w:rFonts w:ascii="Times New Roman" w:eastAsia="Times New Roman" w:hAnsi="Times New Roman" w:cs="Times New Roman"/>
          <w:sz w:val="24"/>
          <w:szCs w:val="24"/>
        </w:rPr>
        <w:t xml:space="preserve">te of income inequality and frail public social programs that characterizes the New Gilded Age. By curating this study using primary and </w:t>
      </w:r>
      <w:r>
        <w:rPr>
          <w:rFonts w:ascii="Times New Roman" w:eastAsia="Times New Roman" w:hAnsi="Times New Roman" w:cs="Times New Roman"/>
          <w:sz w:val="24"/>
          <w:szCs w:val="24"/>
        </w:rPr>
        <w:lastRenderedPageBreak/>
        <w:t xml:space="preserve">secondary sources that intersects formal academic disciplinary lines, I hope to strengthen the validity, reinforce the </w:t>
      </w:r>
      <w:r>
        <w:rPr>
          <w:rFonts w:ascii="Times New Roman" w:eastAsia="Times New Roman" w:hAnsi="Times New Roman" w:cs="Times New Roman"/>
          <w:sz w:val="24"/>
          <w:szCs w:val="24"/>
        </w:rPr>
        <w:t>reliability, and buttress the contribution of my analysis across all fields from a transdisciplinary perspective, which mirrors the equally transdisciplinary and intersectional way that diversity and inclusion should function in organizations and make impa</w:t>
      </w:r>
      <w:r>
        <w:rPr>
          <w:rFonts w:ascii="Times New Roman" w:eastAsia="Times New Roman" w:hAnsi="Times New Roman" w:cs="Times New Roman"/>
          <w:sz w:val="24"/>
          <w:szCs w:val="24"/>
        </w:rPr>
        <w:t xml:space="preserve">ct in society.  </w:t>
      </w:r>
    </w:p>
    <w:p w14:paraId="73D610CE" w14:textId="77777777" w:rsidR="00EA2518" w:rsidRDefault="00EA2518">
      <w:pPr>
        <w:pStyle w:val="normal0"/>
        <w:spacing w:line="360" w:lineRule="auto"/>
        <w:rPr>
          <w:rFonts w:ascii="Times New Roman" w:eastAsia="Times New Roman" w:hAnsi="Times New Roman" w:cs="Times New Roman"/>
          <w:sz w:val="24"/>
          <w:szCs w:val="24"/>
        </w:rPr>
      </w:pPr>
    </w:p>
    <w:p w14:paraId="764FB494" w14:textId="77777777" w:rsidR="00EA2518" w:rsidRDefault="00471E2D">
      <w:pPr>
        <w:pStyle w:val="normal0"/>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 plan to embed the themes that I extract from these documents with the New Gilded Age as the backdrop in order to elucidate the effect that diversity and inclusion work has not only internally in organizations but, more importantly, on b</w:t>
      </w:r>
      <w:r>
        <w:rPr>
          <w:rFonts w:ascii="Times New Roman" w:eastAsia="Times New Roman" w:hAnsi="Times New Roman" w:cs="Times New Roman"/>
          <w:sz w:val="24"/>
          <w:szCs w:val="24"/>
        </w:rPr>
        <w:t>roader society. Using the New Gilded Age and the rise of the social enterprise (Deloitte, 2017; Deloitte 2018; Dees, 2001; Blumenthal &amp; Bergstrom, 2003; Vallaster et al., 2012; Van Tulder &amp; Van der Zwart, 2005) as the macro environmental context would also</w:t>
      </w:r>
      <w:r>
        <w:rPr>
          <w:rFonts w:ascii="Times New Roman" w:eastAsia="Times New Roman" w:hAnsi="Times New Roman" w:cs="Times New Roman"/>
          <w:sz w:val="24"/>
          <w:szCs w:val="24"/>
        </w:rPr>
        <w:t xml:space="preserve"> lend my analysis the opportunity to shed light on present and future possibilities that diversity and inclusion professionals could explore in order to better advocate for and meet the needs of the public in the New Gilded Age.</w:t>
      </w:r>
    </w:p>
    <w:p w14:paraId="6ACF9ACF" w14:textId="77777777" w:rsidR="00EA2518" w:rsidRDefault="00EA2518">
      <w:pPr>
        <w:pStyle w:val="normal0"/>
        <w:spacing w:line="360" w:lineRule="auto"/>
        <w:rPr>
          <w:rFonts w:ascii="Times New Roman" w:eastAsia="Times New Roman" w:hAnsi="Times New Roman" w:cs="Times New Roman"/>
          <w:sz w:val="24"/>
          <w:szCs w:val="24"/>
        </w:rPr>
      </w:pPr>
    </w:p>
    <w:p w14:paraId="3972D995" w14:textId="77777777" w:rsidR="00EA2518" w:rsidRDefault="00EA2518">
      <w:pPr>
        <w:pStyle w:val="normal0"/>
        <w:spacing w:line="360" w:lineRule="auto"/>
        <w:rPr>
          <w:rFonts w:ascii="Times New Roman" w:eastAsia="Times New Roman" w:hAnsi="Times New Roman" w:cs="Times New Roman"/>
          <w:sz w:val="24"/>
          <w:szCs w:val="24"/>
        </w:rPr>
      </w:pPr>
    </w:p>
    <w:p w14:paraId="0611EFA4" w14:textId="77777777" w:rsidR="00EA2518" w:rsidRDefault="00EA2518">
      <w:pPr>
        <w:pStyle w:val="normal0"/>
        <w:spacing w:line="360" w:lineRule="auto"/>
        <w:rPr>
          <w:rFonts w:ascii="Times New Roman" w:eastAsia="Times New Roman" w:hAnsi="Times New Roman" w:cs="Times New Roman"/>
          <w:sz w:val="24"/>
          <w:szCs w:val="24"/>
        </w:rPr>
      </w:pPr>
    </w:p>
    <w:p w14:paraId="79231721" w14:textId="77777777" w:rsidR="00EA2518" w:rsidRDefault="00EA2518">
      <w:pPr>
        <w:pStyle w:val="normal0"/>
        <w:spacing w:line="360" w:lineRule="auto"/>
        <w:rPr>
          <w:rFonts w:ascii="Times New Roman" w:eastAsia="Times New Roman" w:hAnsi="Times New Roman" w:cs="Times New Roman"/>
          <w:sz w:val="24"/>
          <w:szCs w:val="24"/>
        </w:rPr>
      </w:pPr>
    </w:p>
    <w:p w14:paraId="523B41CD" w14:textId="77777777" w:rsidR="00EA2518" w:rsidRDefault="00EA2518">
      <w:pPr>
        <w:pStyle w:val="normal0"/>
        <w:spacing w:line="360" w:lineRule="auto"/>
        <w:rPr>
          <w:rFonts w:ascii="Times New Roman" w:eastAsia="Times New Roman" w:hAnsi="Times New Roman" w:cs="Times New Roman"/>
          <w:sz w:val="24"/>
          <w:szCs w:val="24"/>
        </w:rPr>
      </w:pPr>
    </w:p>
    <w:p w14:paraId="46583634" w14:textId="77777777" w:rsidR="00EA2518" w:rsidRDefault="00EA2518">
      <w:pPr>
        <w:pStyle w:val="normal0"/>
        <w:spacing w:line="360" w:lineRule="auto"/>
        <w:rPr>
          <w:rFonts w:ascii="Times New Roman" w:eastAsia="Times New Roman" w:hAnsi="Times New Roman" w:cs="Times New Roman"/>
          <w:sz w:val="24"/>
          <w:szCs w:val="24"/>
        </w:rPr>
      </w:pPr>
    </w:p>
    <w:p w14:paraId="412455D6" w14:textId="77777777" w:rsidR="00EA2518" w:rsidRDefault="00EA2518">
      <w:pPr>
        <w:pStyle w:val="normal0"/>
        <w:spacing w:line="360" w:lineRule="auto"/>
        <w:rPr>
          <w:rFonts w:ascii="Times New Roman" w:eastAsia="Times New Roman" w:hAnsi="Times New Roman" w:cs="Times New Roman"/>
          <w:sz w:val="24"/>
          <w:szCs w:val="24"/>
        </w:rPr>
      </w:pPr>
    </w:p>
    <w:p w14:paraId="29FDD0A1" w14:textId="77777777" w:rsidR="00471E2D" w:rsidRDefault="00471E2D">
      <w:pPr>
        <w:pStyle w:val="normal0"/>
        <w:spacing w:line="360" w:lineRule="auto"/>
        <w:rPr>
          <w:rFonts w:ascii="Times New Roman" w:eastAsia="Times New Roman" w:hAnsi="Times New Roman" w:cs="Times New Roman"/>
          <w:sz w:val="24"/>
          <w:szCs w:val="24"/>
        </w:rPr>
      </w:pPr>
    </w:p>
    <w:p w14:paraId="09397AD2" w14:textId="77777777" w:rsidR="00471E2D" w:rsidRDefault="00471E2D">
      <w:pPr>
        <w:pStyle w:val="normal0"/>
        <w:spacing w:line="360" w:lineRule="auto"/>
        <w:rPr>
          <w:rFonts w:ascii="Times New Roman" w:eastAsia="Times New Roman" w:hAnsi="Times New Roman" w:cs="Times New Roman"/>
          <w:sz w:val="24"/>
          <w:szCs w:val="24"/>
        </w:rPr>
      </w:pPr>
    </w:p>
    <w:p w14:paraId="7D2984F4" w14:textId="77777777" w:rsidR="00471E2D" w:rsidRDefault="00471E2D">
      <w:pPr>
        <w:pStyle w:val="normal0"/>
        <w:spacing w:line="360" w:lineRule="auto"/>
        <w:rPr>
          <w:rFonts w:ascii="Times New Roman" w:eastAsia="Times New Roman" w:hAnsi="Times New Roman" w:cs="Times New Roman"/>
          <w:sz w:val="24"/>
          <w:szCs w:val="24"/>
        </w:rPr>
      </w:pPr>
    </w:p>
    <w:p w14:paraId="3CDE8D76" w14:textId="77777777" w:rsidR="00471E2D" w:rsidRDefault="00471E2D">
      <w:pPr>
        <w:pStyle w:val="normal0"/>
        <w:spacing w:line="360" w:lineRule="auto"/>
        <w:rPr>
          <w:rFonts w:ascii="Times New Roman" w:eastAsia="Times New Roman" w:hAnsi="Times New Roman" w:cs="Times New Roman"/>
          <w:sz w:val="24"/>
          <w:szCs w:val="24"/>
        </w:rPr>
      </w:pPr>
    </w:p>
    <w:p w14:paraId="40E5B56B" w14:textId="77777777" w:rsidR="00471E2D" w:rsidRDefault="00471E2D">
      <w:pPr>
        <w:pStyle w:val="normal0"/>
        <w:spacing w:line="360" w:lineRule="auto"/>
        <w:rPr>
          <w:rFonts w:ascii="Times New Roman" w:eastAsia="Times New Roman" w:hAnsi="Times New Roman" w:cs="Times New Roman"/>
          <w:sz w:val="24"/>
          <w:szCs w:val="24"/>
        </w:rPr>
      </w:pPr>
    </w:p>
    <w:p w14:paraId="476DA3A3" w14:textId="77777777" w:rsidR="00471E2D" w:rsidRDefault="00471E2D">
      <w:pPr>
        <w:pStyle w:val="normal0"/>
        <w:spacing w:line="360" w:lineRule="auto"/>
        <w:rPr>
          <w:rFonts w:ascii="Times New Roman" w:eastAsia="Times New Roman" w:hAnsi="Times New Roman" w:cs="Times New Roman"/>
          <w:sz w:val="24"/>
          <w:szCs w:val="24"/>
        </w:rPr>
      </w:pPr>
    </w:p>
    <w:p w14:paraId="542B6EEB" w14:textId="77777777" w:rsidR="00471E2D" w:rsidRDefault="00471E2D">
      <w:pPr>
        <w:pStyle w:val="normal0"/>
        <w:spacing w:line="360" w:lineRule="auto"/>
        <w:rPr>
          <w:rFonts w:ascii="Times New Roman" w:eastAsia="Times New Roman" w:hAnsi="Times New Roman" w:cs="Times New Roman"/>
          <w:sz w:val="24"/>
          <w:szCs w:val="24"/>
        </w:rPr>
      </w:pPr>
    </w:p>
    <w:p w14:paraId="214B0AE2" w14:textId="77777777" w:rsidR="00471E2D" w:rsidRDefault="00471E2D">
      <w:pPr>
        <w:pStyle w:val="normal0"/>
        <w:spacing w:line="360" w:lineRule="auto"/>
        <w:rPr>
          <w:rFonts w:ascii="Times New Roman" w:eastAsia="Times New Roman" w:hAnsi="Times New Roman" w:cs="Times New Roman"/>
          <w:sz w:val="24"/>
          <w:szCs w:val="24"/>
        </w:rPr>
      </w:pPr>
    </w:p>
    <w:p w14:paraId="56ED4DF3" w14:textId="77777777" w:rsidR="00471E2D" w:rsidRDefault="00471E2D">
      <w:pPr>
        <w:pStyle w:val="normal0"/>
        <w:spacing w:line="360" w:lineRule="auto"/>
        <w:rPr>
          <w:rFonts w:ascii="Times New Roman" w:eastAsia="Times New Roman" w:hAnsi="Times New Roman" w:cs="Times New Roman"/>
          <w:sz w:val="24"/>
          <w:szCs w:val="24"/>
        </w:rPr>
      </w:pPr>
    </w:p>
    <w:p w14:paraId="68D458EA" w14:textId="77777777" w:rsidR="00EA2518" w:rsidRDefault="00EA2518">
      <w:pPr>
        <w:pStyle w:val="normal0"/>
        <w:spacing w:line="360" w:lineRule="auto"/>
        <w:rPr>
          <w:rFonts w:ascii="Times New Roman" w:eastAsia="Times New Roman" w:hAnsi="Times New Roman" w:cs="Times New Roman"/>
          <w:sz w:val="24"/>
          <w:szCs w:val="24"/>
        </w:rPr>
      </w:pPr>
    </w:p>
    <w:p w14:paraId="3563E997" w14:textId="77777777" w:rsidR="00EA2518" w:rsidRDefault="00471E2D">
      <w:pPr>
        <w:pStyle w:val="norm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Time Management</w:t>
      </w:r>
    </w:p>
    <w:p w14:paraId="550524DD" w14:textId="77777777" w:rsidR="00EA2518" w:rsidRDefault="00EA2518">
      <w:pPr>
        <w:pStyle w:val="normal0"/>
        <w:spacing w:line="240" w:lineRule="auto"/>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990"/>
      </w:tblGrid>
      <w:tr w:rsidR="00EA2518" w14:paraId="5B518811" w14:textId="77777777">
        <w:tc>
          <w:tcPr>
            <w:tcW w:w="2370" w:type="dxa"/>
            <w:shd w:val="clear" w:color="auto" w:fill="auto"/>
            <w:tcMar>
              <w:top w:w="100" w:type="dxa"/>
              <w:left w:w="100" w:type="dxa"/>
              <w:bottom w:w="100" w:type="dxa"/>
              <w:right w:w="100" w:type="dxa"/>
            </w:tcMar>
          </w:tcPr>
          <w:p w14:paraId="4164186A"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w:t>
            </w:r>
            <w:r>
              <w:rPr>
                <w:rFonts w:ascii="Times New Roman" w:eastAsia="Times New Roman" w:hAnsi="Times New Roman" w:cs="Times New Roman"/>
                <w:b/>
                <w:sz w:val="24"/>
                <w:szCs w:val="24"/>
              </w:rPr>
              <w:t>adline</w:t>
            </w:r>
          </w:p>
        </w:tc>
        <w:tc>
          <w:tcPr>
            <w:tcW w:w="6990" w:type="dxa"/>
            <w:shd w:val="clear" w:color="auto" w:fill="auto"/>
            <w:tcMar>
              <w:top w:w="100" w:type="dxa"/>
              <w:left w:w="100" w:type="dxa"/>
              <w:bottom w:w="100" w:type="dxa"/>
              <w:right w:w="100" w:type="dxa"/>
            </w:tcMar>
          </w:tcPr>
          <w:p w14:paraId="38096417"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Topic</w:t>
            </w:r>
          </w:p>
        </w:tc>
      </w:tr>
      <w:tr w:rsidR="00EA2518" w14:paraId="1F258B4A" w14:textId="77777777">
        <w:tc>
          <w:tcPr>
            <w:tcW w:w="2370" w:type="dxa"/>
            <w:shd w:val="clear" w:color="auto" w:fill="auto"/>
            <w:tcMar>
              <w:top w:w="100" w:type="dxa"/>
              <w:left w:w="100" w:type="dxa"/>
              <w:bottom w:w="100" w:type="dxa"/>
              <w:right w:w="100" w:type="dxa"/>
            </w:tcMar>
          </w:tcPr>
          <w:p w14:paraId="61DDD97A"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October and November 2019</w:t>
            </w:r>
          </w:p>
        </w:tc>
        <w:tc>
          <w:tcPr>
            <w:tcW w:w="6990" w:type="dxa"/>
            <w:shd w:val="clear" w:color="auto" w:fill="auto"/>
            <w:tcMar>
              <w:top w:w="100" w:type="dxa"/>
              <w:left w:w="100" w:type="dxa"/>
              <w:bottom w:w="100" w:type="dxa"/>
              <w:right w:w="100" w:type="dxa"/>
            </w:tcMar>
          </w:tcPr>
          <w:p w14:paraId="16ED0D57"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Supervisor assigned, Proposal Writing, Access &amp; Collect Literature</w:t>
            </w:r>
          </w:p>
        </w:tc>
      </w:tr>
      <w:tr w:rsidR="00EA2518" w14:paraId="2AD49B65" w14:textId="77777777">
        <w:tc>
          <w:tcPr>
            <w:tcW w:w="2370" w:type="dxa"/>
            <w:shd w:val="clear" w:color="auto" w:fill="auto"/>
            <w:tcMar>
              <w:top w:w="100" w:type="dxa"/>
              <w:left w:w="100" w:type="dxa"/>
              <w:bottom w:w="100" w:type="dxa"/>
              <w:right w:w="100" w:type="dxa"/>
            </w:tcMar>
          </w:tcPr>
          <w:p w14:paraId="7E5D50B3"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Early December 2019</w:t>
            </w:r>
          </w:p>
        </w:tc>
        <w:tc>
          <w:tcPr>
            <w:tcW w:w="6990" w:type="dxa"/>
            <w:shd w:val="clear" w:color="auto" w:fill="auto"/>
            <w:tcMar>
              <w:top w:w="100" w:type="dxa"/>
              <w:left w:w="100" w:type="dxa"/>
              <w:bottom w:w="100" w:type="dxa"/>
              <w:right w:w="100" w:type="dxa"/>
            </w:tcMar>
          </w:tcPr>
          <w:p w14:paraId="5CEDD36B"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Consult Supervisor on Proposal</w:t>
            </w:r>
          </w:p>
        </w:tc>
      </w:tr>
      <w:tr w:rsidR="00EA2518" w14:paraId="4B460C02" w14:textId="77777777">
        <w:tc>
          <w:tcPr>
            <w:tcW w:w="2370" w:type="dxa"/>
            <w:shd w:val="clear" w:color="auto" w:fill="auto"/>
            <w:tcMar>
              <w:top w:w="100" w:type="dxa"/>
              <w:left w:w="100" w:type="dxa"/>
              <w:bottom w:w="100" w:type="dxa"/>
              <w:right w:w="100" w:type="dxa"/>
            </w:tcMar>
          </w:tcPr>
          <w:p w14:paraId="395A3E45"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2019</w:t>
            </w:r>
          </w:p>
        </w:tc>
        <w:tc>
          <w:tcPr>
            <w:tcW w:w="6990" w:type="dxa"/>
            <w:shd w:val="clear" w:color="auto" w:fill="auto"/>
            <w:tcMar>
              <w:top w:w="100" w:type="dxa"/>
              <w:left w:w="100" w:type="dxa"/>
              <w:bottom w:w="100" w:type="dxa"/>
              <w:right w:w="100" w:type="dxa"/>
            </w:tcMar>
          </w:tcPr>
          <w:p w14:paraId="5613A8F8"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and Methodology (The New Gilded Age and Social Enterprise)</w:t>
            </w:r>
          </w:p>
        </w:tc>
      </w:tr>
      <w:tr w:rsidR="00EA2518" w14:paraId="15277F79" w14:textId="77777777">
        <w:tc>
          <w:tcPr>
            <w:tcW w:w="2370" w:type="dxa"/>
            <w:shd w:val="clear" w:color="auto" w:fill="auto"/>
            <w:tcMar>
              <w:top w:w="100" w:type="dxa"/>
              <w:left w:w="100" w:type="dxa"/>
              <w:bottom w:w="100" w:type="dxa"/>
              <w:right w:w="100" w:type="dxa"/>
            </w:tcMar>
          </w:tcPr>
          <w:p w14:paraId="5947815E"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January 2020</w:t>
            </w:r>
          </w:p>
        </w:tc>
        <w:tc>
          <w:tcPr>
            <w:tcW w:w="6990" w:type="dxa"/>
            <w:shd w:val="clear" w:color="auto" w:fill="auto"/>
            <w:tcMar>
              <w:top w:w="100" w:type="dxa"/>
              <w:left w:w="100" w:type="dxa"/>
              <w:bottom w:w="100" w:type="dxa"/>
              <w:right w:w="100" w:type="dxa"/>
            </w:tcMar>
          </w:tcPr>
          <w:p w14:paraId="273AC86B"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Theme 1 (Diversity and Inclusion Business Case)</w:t>
            </w:r>
          </w:p>
        </w:tc>
      </w:tr>
      <w:tr w:rsidR="00EA2518" w14:paraId="119C22BE" w14:textId="77777777">
        <w:tc>
          <w:tcPr>
            <w:tcW w:w="2370" w:type="dxa"/>
            <w:shd w:val="clear" w:color="auto" w:fill="auto"/>
            <w:tcMar>
              <w:top w:w="100" w:type="dxa"/>
              <w:left w:w="100" w:type="dxa"/>
              <w:bottom w:w="100" w:type="dxa"/>
              <w:right w:w="100" w:type="dxa"/>
            </w:tcMar>
          </w:tcPr>
          <w:p w14:paraId="27520D31"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End of January 2020</w:t>
            </w:r>
          </w:p>
        </w:tc>
        <w:tc>
          <w:tcPr>
            <w:tcW w:w="6990" w:type="dxa"/>
            <w:shd w:val="clear" w:color="auto" w:fill="auto"/>
            <w:tcMar>
              <w:top w:w="100" w:type="dxa"/>
              <w:left w:w="100" w:type="dxa"/>
              <w:bottom w:w="100" w:type="dxa"/>
              <w:right w:w="100" w:type="dxa"/>
            </w:tcMar>
          </w:tcPr>
          <w:p w14:paraId="11D0C82D"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Consult Supervisor on Introduction &amp; Theme 1</w:t>
            </w:r>
          </w:p>
        </w:tc>
      </w:tr>
      <w:tr w:rsidR="00EA2518" w14:paraId="57C8DCD9" w14:textId="77777777">
        <w:tc>
          <w:tcPr>
            <w:tcW w:w="2370" w:type="dxa"/>
            <w:shd w:val="clear" w:color="auto" w:fill="auto"/>
            <w:tcMar>
              <w:top w:w="100" w:type="dxa"/>
              <w:left w:w="100" w:type="dxa"/>
              <w:bottom w:w="100" w:type="dxa"/>
              <w:right w:w="100" w:type="dxa"/>
            </w:tcMar>
          </w:tcPr>
          <w:p w14:paraId="2DED95F0"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February 2020</w:t>
            </w:r>
          </w:p>
        </w:tc>
        <w:tc>
          <w:tcPr>
            <w:tcW w:w="6990" w:type="dxa"/>
            <w:shd w:val="clear" w:color="auto" w:fill="auto"/>
            <w:tcMar>
              <w:top w:w="100" w:type="dxa"/>
              <w:left w:w="100" w:type="dxa"/>
              <w:bottom w:w="100" w:type="dxa"/>
              <w:right w:w="100" w:type="dxa"/>
            </w:tcMar>
          </w:tcPr>
          <w:p w14:paraId="0E9DD389"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of Theme 2 (Applying Intersectionality to Diversity and Inclusion) and Recommendations</w:t>
            </w:r>
          </w:p>
        </w:tc>
      </w:tr>
      <w:tr w:rsidR="00EA2518" w14:paraId="7E51503A" w14:textId="77777777">
        <w:tc>
          <w:tcPr>
            <w:tcW w:w="2370" w:type="dxa"/>
            <w:shd w:val="clear" w:color="auto" w:fill="auto"/>
            <w:tcMar>
              <w:top w:w="100" w:type="dxa"/>
              <w:left w:w="100" w:type="dxa"/>
              <w:bottom w:w="100" w:type="dxa"/>
              <w:right w:w="100" w:type="dxa"/>
            </w:tcMar>
          </w:tcPr>
          <w:p w14:paraId="4FCD65DF"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End of February 2020</w:t>
            </w:r>
          </w:p>
        </w:tc>
        <w:tc>
          <w:tcPr>
            <w:tcW w:w="6990" w:type="dxa"/>
            <w:shd w:val="clear" w:color="auto" w:fill="auto"/>
            <w:tcMar>
              <w:top w:w="100" w:type="dxa"/>
              <w:left w:w="100" w:type="dxa"/>
              <w:bottom w:w="100" w:type="dxa"/>
              <w:right w:w="100" w:type="dxa"/>
            </w:tcMar>
          </w:tcPr>
          <w:p w14:paraId="15C9EB37"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Consult Supervisor on Theme 2 and Recommendations</w:t>
            </w:r>
          </w:p>
        </w:tc>
      </w:tr>
      <w:tr w:rsidR="00EA2518" w14:paraId="172C2527" w14:textId="77777777">
        <w:tc>
          <w:tcPr>
            <w:tcW w:w="2370" w:type="dxa"/>
            <w:shd w:val="clear" w:color="auto" w:fill="auto"/>
            <w:tcMar>
              <w:top w:w="100" w:type="dxa"/>
              <w:left w:w="100" w:type="dxa"/>
              <w:bottom w:w="100" w:type="dxa"/>
              <w:right w:w="100" w:type="dxa"/>
            </w:tcMar>
          </w:tcPr>
          <w:p w14:paraId="107FCA91"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March 2020</w:t>
            </w:r>
          </w:p>
        </w:tc>
        <w:tc>
          <w:tcPr>
            <w:tcW w:w="6990" w:type="dxa"/>
            <w:shd w:val="clear" w:color="auto" w:fill="auto"/>
            <w:tcMar>
              <w:top w:w="100" w:type="dxa"/>
              <w:left w:w="100" w:type="dxa"/>
              <w:bottom w:w="100" w:type="dxa"/>
              <w:right w:w="100" w:type="dxa"/>
            </w:tcMar>
          </w:tcPr>
          <w:p w14:paraId="118ADC25" w14:textId="77777777" w:rsidR="00EA2518" w:rsidRDefault="00471E2D">
            <w:pPr>
              <w:pStyle w:val="normal0"/>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 and Edits</w:t>
            </w:r>
          </w:p>
        </w:tc>
      </w:tr>
      <w:tr w:rsidR="00EA2518" w14:paraId="314E8A94" w14:textId="77777777">
        <w:tc>
          <w:tcPr>
            <w:tcW w:w="2370" w:type="dxa"/>
            <w:shd w:val="clear" w:color="auto" w:fill="auto"/>
            <w:tcMar>
              <w:top w:w="100" w:type="dxa"/>
              <w:left w:w="100" w:type="dxa"/>
              <w:bottom w:w="100" w:type="dxa"/>
              <w:right w:w="100" w:type="dxa"/>
            </w:tcMar>
          </w:tcPr>
          <w:p w14:paraId="1399F501"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March 2020</w:t>
            </w:r>
          </w:p>
        </w:tc>
        <w:tc>
          <w:tcPr>
            <w:tcW w:w="6990" w:type="dxa"/>
            <w:shd w:val="clear" w:color="auto" w:fill="auto"/>
            <w:tcMar>
              <w:top w:w="100" w:type="dxa"/>
              <w:left w:w="100" w:type="dxa"/>
              <w:bottom w:w="100" w:type="dxa"/>
              <w:right w:w="100" w:type="dxa"/>
            </w:tcMar>
          </w:tcPr>
          <w:p w14:paraId="1458E4CF" w14:textId="77777777" w:rsidR="00EA2518" w:rsidRDefault="00471E2D">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of Dissertation</w:t>
            </w:r>
          </w:p>
        </w:tc>
      </w:tr>
      <w:tr w:rsidR="00EA2518" w14:paraId="5CDB5D4D" w14:textId="77777777">
        <w:tc>
          <w:tcPr>
            <w:tcW w:w="2370" w:type="dxa"/>
            <w:shd w:val="clear" w:color="auto" w:fill="auto"/>
            <w:tcMar>
              <w:top w:w="100" w:type="dxa"/>
              <w:left w:w="100" w:type="dxa"/>
              <w:bottom w:w="100" w:type="dxa"/>
              <w:right w:w="100" w:type="dxa"/>
            </w:tcMar>
          </w:tcPr>
          <w:p w14:paraId="2D271E24" w14:textId="77777777" w:rsidR="00EA2518" w:rsidRDefault="00471E2D">
            <w:pPr>
              <w:pStyle w:val="normal0"/>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July 2020</w:t>
            </w:r>
          </w:p>
        </w:tc>
        <w:tc>
          <w:tcPr>
            <w:tcW w:w="6990" w:type="dxa"/>
            <w:shd w:val="clear" w:color="auto" w:fill="auto"/>
            <w:tcMar>
              <w:top w:w="100" w:type="dxa"/>
              <w:left w:w="100" w:type="dxa"/>
              <w:bottom w:w="100" w:type="dxa"/>
              <w:right w:w="100" w:type="dxa"/>
            </w:tcMar>
          </w:tcPr>
          <w:p w14:paraId="50BC24C4" w14:textId="77777777" w:rsidR="00EA2518" w:rsidRDefault="00471E2D">
            <w:pPr>
              <w:pStyle w:val="normal0"/>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Attend Graduation Ceremony at UWTSD</w:t>
            </w:r>
          </w:p>
        </w:tc>
      </w:tr>
    </w:tbl>
    <w:p w14:paraId="6697349A" w14:textId="77777777" w:rsidR="00EA2518" w:rsidRDefault="00EA2518">
      <w:pPr>
        <w:pStyle w:val="normal0"/>
        <w:spacing w:line="240" w:lineRule="auto"/>
        <w:rPr>
          <w:rFonts w:ascii="Times New Roman" w:eastAsia="Times New Roman" w:hAnsi="Times New Roman" w:cs="Times New Roman"/>
          <w:b/>
          <w:sz w:val="24"/>
          <w:szCs w:val="24"/>
        </w:rPr>
      </w:pPr>
    </w:p>
    <w:p w14:paraId="51C9EBC9" w14:textId="77777777" w:rsidR="00EA2518" w:rsidRDefault="00EA2518">
      <w:pPr>
        <w:pStyle w:val="normal0"/>
        <w:rPr>
          <w:rFonts w:ascii="Times New Roman" w:eastAsia="Times New Roman" w:hAnsi="Times New Roman" w:cs="Times New Roman"/>
          <w:b/>
          <w:sz w:val="24"/>
          <w:szCs w:val="24"/>
        </w:rPr>
      </w:pPr>
    </w:p>
    <w:p w14:paraId="4A6750D1" w14:textId="77777777" w:rsidR="00EA2518" w:rsidRDefault="00EA2518">
      <w:pPr>
        <w:pStyle w:val="normal0"/>
        <w:rPr>
          <w:rFonts w:ascii="Times New Roman" w:eastAsia="Times New Roman" w:hAnsi="Times New Roman" w:cs="Times New Roman"/>
          <w:b/>
          <w:sz w:val="24"/>
          <w:szCs w:val="24"/>
        </w:rPr>
      </w:pPr>
    </w:p>
    <w:p w14:paraId="789430BF" w14:textId="77777777" w:rsidR="00EA2518" w:rsidRDefault="00EA2518">
      <w:pPr>
        <w:pStyle w:val="normal0"/>
        <w:rPr>
          <w:rFonts w:ascii="Times New Roman" w:eastAsia="Times New Roman" w:hAnsi="Times New Roman" w:cs="Times New Roman"/>
          <w:b/>
          <w:sz w:val="24"/>
          <w:szCs w:val="24"/>
        </w:rPr>
      </w:pPr>
    </w:p>
    <w:p w14:paraId="681F12E2" w14:textId="77777777" w:rsidR="00EA2518" w:rsidRDefault="00EA2518">
      <w:pPr>
        <w:pStyle w:val="normal0"/>
        <w:rPr>
          <w:rFonts w:ascii="Times New Roman" w:eastAsia="Times New Roman" w:hAnsi="Times New Roman" w:cs="Times New Roman"/>
          <w:b/>
          <w:sz w:val="24"/>
          <w:szCs w:val="24"/>
        </w:rPr>
      </w:pPr>
    </w:p>
    <w:p w14:paraId="0B245FEA" w14:textId="77777777" w:rsidR="00EA2518" w:rsidRDefault="00EA2518">
      <w:pPr>
        <w:pStyle w:val="normal0"/>
        <w:rPr>
          <w:rFonts w:ascii="Times New Roman" w:eastAsia="Times New Roman" w:hAnsi="Times New Roman" w:cs="Times New Roman"/>
          <w:b/>
          <w:sz w:val="24"/>
          <w:szCs w:val="24"/>
        </w:rPr>
      </w:pPr>
    </w:p>
    <w:p w14:paraId="0D80587F" w14:textId="77777777" w:rsidR="00EA2518" w:rsidRDefault="00EA2518">
      <w:pPr>
        <w:pStyle w:val="normal0"/>
        <w:rPr>
          <w:rFonts w:ascii="Times New Roman" w:eastAsia="Times New Roman" w:hAnsi="Times New Roman" w:cs="Times New Roman"/>
          <w:b/>
          <w:sz w:val="24"/>
          <w:szCs w:val="24"/>
        </w:rPr>
      </w:pPr>
    </w:p>
    <w:p w14:paraId="0FCFB45D" w14:textId="77777777" w:rsidR="00EA2518" w:rsidRDefault="00EA2518">
      <w:pPr>
        <w:pStyle w:val="normal0"/>
        <w:rPr>
          <w:rFonts w:ascii="Times New Roman" w:eastAsia="Times New Roman" w:hAnsi="Times New Roman" w:cs="Times New Roman"/>
          <w:b/>
          <w:sz w:val="24"/>
          <w:szCs w:val="24"/>
        </w:rPr>
      </w:pPr>
    </w:p>
    <w:p w14:paraId="2E471E6A" w14:textId="77777777" w:rsidR="00EA2518" w:rsidRDefault="00EA2518">
      <w:pPr>
        <w:pStyle w:val="normal0"/>
        <w:rPr>
          <w:rFonts w:ascii="Times New Roman" w:eastAsia="Times New Roman" w:hAnsi="Times New Roman" w:cs="Times New Roman"/>
          <w:b/>
          <w:sz w:val="24"/>
          <w:szCs w:val="24"/>
        </w:rPr>
      </w:pPr>
    </w:p>
    <w:p w14:paraId="79669F0C" w14:textId="77777777" w:rsidR="00EA2518" w:rsidRDefault="00EA2518">
      <w:pPr>
        <w:pStyle w:val="normal0"/>
        <w:rPr>
          <w:rFonts w:ascii="Times New Roman" w:eastAsia="Times New Roman" w:hAnsi="Times New Roman" w:cs="Times New Roman"/>
          <w:b/>
          <w:sz w:val="24"/>
          <w:szCs w:val="24"/>
        </w:rPr>
      </w:pPr>
    </w:p>
    <w:p w14:paraId="70F087B1" w14:textId="77777777" w:rsidR="00EA2518" w:rsidRDefault="00EA2518">
      <w:pPr>
        <w:pStyle w:val="normal0"/>
        <w:rPr>
          <w:rFonts w:ascii="Times New Roman" w:eastAsia="Times New Roman" w:hAnsi="Times New Roman" w:cs="Times New Roman"/>
          <w:b/>
          <w:sz w:val="24"/>
          <w:szCs w:val="24"/>
        </w:rPr>
      </w:pPr>
    </w:p>
    <w:p w14:paraId="569286B6" w14:textId="77777777" w:rsidR="00EA2518" w:rsidRDefault="00EA2518">
      <w:pPr>
        <w:pStyle w:val="normal0"/>
        <w:rPr>
          <w:rFonts w:ascii="Times New Roman" w:eastAsia="Times New Roman" w:hAnsi="Times New Roman" w:cs="Times New Roman"/>
          <w:b/>
          <w:sz w:val="24"/>
          <w:szCs w:val="24"/>
        </w:rPr>
      </w:pPr>
    </w:p>
    <w:p w14:paraId="4E46E63C" w14:textId="77777777" w:rsidR="00EA2518" w:rsidRDefault="00EA2518">
      <w:pPr>
        <w:pStyle w:val="normal0"/>
        <w:rPr>
          <w:rFonts w:ascii="Times New Roman" w:eastAsia="Times New Roman" w:hAnsi="Times New Roman" w:cs="Times New Roman"/>
          <w:b/>
          <w:sz w:val="24"/>
          <w:szCs w:val="24"/>
        </w:rPr>
      </w:pPr>
    </w:p>
    <w:p w14:paraId="10FB57C7" w14:textId="77777777" w:rsidR="00EA2518" w:rsidRDefault="00EA2518">
      <w:pPr>
        <w:pStyle w:val="normal0"/>
        <w:rPr>
          <w:rFonts w:ascii="Times New Roman" w:eastAsia="Times New Roman" w:hAnsi="Times New Roman" w:cs="Times New Roman"/>
          <w:b/>
          <w:sz w:val="24"/>
          <w:szCs w:val="24"/>
        </w:rPr>
      </w:pPr>
    </w:p>
    <w:p w14:paraId="156327D1" w14:textId="77777777" w:rsidR="00EA2518" w:rsidRDefault="00EA2518">
      <w:pPr>
        <w:pStyle w:val="normal0"/>
        <w:rPr>
          <w:rFonts w:ascii="Times New Roman" w:eastAsia="Times New Roman" w:hAnsi="Times New Roman" w:cs="Times New Roman"/>
          <w:b/>
          <w:sz w:val="24"/>
          <w:szCs w:val="24"/>
        </w:rPr>
      </w:pPr>
    </w:p>
    <w:p w14:paraId="17FB2B16" w14:textId="77777777" w:rsidR="00EA2518" w:rsidRDefault="00EA2518">
      <w:pPr>
        <w:pStyle w:val="normal0"/>
        <w:rPr>
          <w:rFonts w:ascii="Times New Roman" w:eastAsia="Times New Roman" w:hAnsi="Times New Roman" w:cs="Times New Roman"/>
          <w:b/>
          <w:sz w:val="24"/>
          <w:szCs w:val="24"/>
        </w:rPr>
      </w:pPr>
    </w:p>
    <w:p w14:paraId="19B09A46" w14:textId="77777777" w:rsidR="00471E2D" w:rsidRDefault="00471E2D">
      <w:pPr>
        <w:pStyle w:val="normal0"/>
        <w:rPr>
          <w:rFonts w:ascii="Times New Roman" w:eastAsia="Times New Roman" w:hAnsi="Times New Roman" w:cs="Times New Roman"/>
          <w:b/>
          <w:sz w:val="24"/>
          <w:szCs w:val="24"/>
        </w:rPr>
      </w:pPr>
    </w:p>
    <w:p w14:paraId="271B3A82" w14:textId="77777777" w:rsidR="00471E2D" w:rsidRDefault="00471E2D">
      <w:pPr>
        <w:pStyle w:val="normal0"/>
        <w:rPr>
          <w:rFonts w:ascii="Times New Roman" w:eastAsia="Times New Roman" w:hAnsi="Times New Roman" w:cs="Times New Roman"/>
          <w:b/>
          <w:sz w:val="24"/>
          <w:szCs w:val="24"/>
        </w:rPr>
      </w:pPr>
    </w:p>
    <w:p w14:paraId="5AA06737" w14:textId="77777777" w:rsidR="00EA2518" w:rsidRDefault="00EA2518">
      <w:pPr>
        <w:pStyle w:val="normal0"/>
        <w:rPr>
          <w:rFonts w:ascii="Times New Roman" w:eastAsia="Times New Roman" w:hAnsi="Times New Roman" w:cs="Times New Roman"/>
          <w:b/>
          <w:sz w:val="24"/>
          <w:szCs w:val="24"/>
        </w:rPr>
      </w:pPr>
    </w:p>
    <w:p w14:paraId="56A48897" w14:textId="77777777" w:rsidR="00EA2518" w:rsidRDefault="00471E2D">
      <w:pPr>
        <w:pStyle w:val="normal0"/>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118DA02" w14:textId="77777777" w:rsidR="00EA2518" w:rsidRDefault="00EA2518">
      <w:pPr>
        <w:pStyle w:val="normal0"/>
        <w:spacing w:line="240" w:lineRule="auto"/>
        <w:rPr>
          <w:rFonts w:ascii="Times New Roman" w:eastAsia="Times New Roman" w:hAnsi="Times New Roman" w:cs="Times New Roman"/>
          <w:b/>
          <w:sz w:val="24"/>
          <w:szCs w:val="24"/>
        </w:rPr>
      </w:pPr>
    </w:p>
    <w:p w14:paraId="31702757"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Adobor, H. &amp;</w:t>
      </w:r>
      <w:r>
        <w:rPr>
          <w:rFonts w:ascii="Times New Roman" w:eastAsia="Times New Roman" w:hAnsi="Times New Roman" w:cs="Times New Roman"/>
          <w:sz w:val="24"/>
          <w:szCs w:val="24"/>
        </w:rPr>
        <w:t xml:space="preserve"> McMullen, R., (2007). Supplier Diversity and Supply Chain Management: A </w:t>
      </w:r>
    </w:p>
    <w:p w14:paraId="36A1F951"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Strategic Approach. </w:t>
      </w:r>
      <w:r>
        <w:rPr>
          <w:rFonts w:ascii="Times New Roman" w:eastAsia="Times New Roman" w:hAnsi="Times New Roman" w:cs="Times New Roman"/>
          <w:i/>
          <w:sz w:val="24"/>
          <w:szCs w:val="24"/>
        </w:rPr>
        <w:t>Business Horizons, 50</w:t>
      </w:r>
      <w:r>
        <w:rPr>
          <w:rFonts w:ascii="Times New Roman" w:eastAsia="Times New Roman" w:hAnsi="Times New Roman" w:cs="Times New Roman"/>
          <w:sz w:val="24"/>
          <w:szCs w:val="24"/>
        </w:rPr>
        <w:t xml:space="preserve">(3), 219-229. Retrieved from </w:t>
      </w:r>
      <w:hyperlink r:id="rId9">
        <w:r>
          <w:rPr>
            <w:rFonts w:ascii="Times New Roman" w:eastAsia="Times New Roman" w:hAnsi="Times New Roman" w:cs="Times New Roman"/>
            <w:color w:val="0000FF"/>
            <w:sz w:val="24"/>
            <w:szCs w:val="24"/>
            <w:u w:val="single"/>
          </w:rPr>
          <w:t>https://doi.org/10.1016/j. bushor.2006.10.003</w:t>
        </w:r>
      </w:hyperlink>
      <w:r>
        <w:rPr>
          <w:rFonts w:ascii="Times New Roman" w:eastAsia="Times New Roman" w:hAnsi="Times New Roman" w:cs="Times New Roman"/>
          <w:sz w:val="24"/>
          <w:szCs w:val="24"/>
        </w:rPr>
        <w:t>. [</w:t>
      </w:r>
      <w:r>
        <w:rPr>
          <w:rFonts w:ascii="Times New Roman" w:eastAsia="Times New Roman" w:hAnsi="Times New Roman" w:cs="Times New Roman"/>
          <w:sz w:val="24"/>
          <w:szCs w:val="24"/>
        </w:rPr>
        <w:t>Accessed 10 November 2019].</w:t>
      </w:r>
    </w:p>
    <w:p w14:paraId="7EE66D0E" w14:textId="77777777" w:rsidR="00EA2518" w:rsidRDefault="00EA2518">
      <w:pPr>
        <w:pStyle w:val="normal0"/>
        <w:spacing w:line="240" w:lineRule="auto"/>
        <w:ind w:left="720"/>
        <w:rPr>
          <w:rFonts w:ascii="Times New Roman" w:eastAsia="Times New Roman" w:hAnsi="Times New Roman" w:cs="Times New Roman"/>
          <w:sz w:val="24"/>
          <w:szCs w:val="24"/>
        </w:rPr>
      </w:pPr>
    </w:p>
    <w:p w14:paraId="68F2A553"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Anderson, K.M. and Meyer, T. (2003). Social Democracy, Unions, and Pension Politics in </w:t>
      </w:r>
    </w:p>
    <w:p w14:paraId="3FBD4914"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 and Sweden. </w:t>
      </w:r>
      <w:r>
        <w:rPr>
          <w:rFonts w:ascii="Times New Roman" w:eastAsia="Times New Roman" w:hAnsi="Times New Roman" w:cs="Times New Roman"/>
          <w:i/>
          <w:sz w:val="24"/>
          <w:szCs w:val="24"/>
        </w:rPr>
        <w:t>Journal of Public Policy, 23</w:t>
      </w:r>
      <w:r>
        <w:rPr>
          <w:rFonts w:ascii="Times New Roman" w:eastAsia="Times New Roman" w:hAnsi="Times New Roman" w:cs="Times New Roman"/>
          <w:sz w:val="24"/>
          <w:szCs w:val="24"/>
        </w:rPr>
        <w:t xml:space="preserve">(1), 23-54. Retrieved from </w:t>
      </w:r>
      <w:hyperlink r:id="rId10">
        <w:r>
          <w:rPr>
            <w:rFonts w:ascii="Times New Roman" w:eastAsia="Times New Roman" w:hAnsi="Times New Roman" w:cs="Times New Roman"/>
            <w:color w:val="0000FF"/>
            <w:sz w:val="24"/>
            <w:szCs w:val="24"/>
            <w:u w:val="single"/>
          </w:rPr>
          <w:t>htt</w:t>
        </w:r>
        <w:r>
          <w:rPr>
            <w:rFonts w:ascii="Times New Roman" w:eastAsia="Times New Roman" w:hAnsi="Times New Roman" w:cs="Times New Roman"/>
            <w:color w:val="0000FF"/>
            <w:sz w:val="24"/>
            <w:szCs w:val="24"/>
            <w:u w:val="single"/>
          </w:rPr>
          <w:t>ps://doi.org/10.1017/S0143814X03003027</w:t>
        </w:r>
      </w:hyperlink>
      <w:r>
        <w:rPr>
          <w:rFonts w:ascii="Times New Roman" w:eastAsia="Times New Roman" w:hAnsi="Times New Roman" w:cs="Times New Roman"/>
          <w:sz w:val="24"/>
          <w:szCs w:val="24"/>
        </w:rPr>
        <w:t>.  [Accessed 13 November 2019].</w:t>
      </w:r>
    </w:p>
    <w:p w14:paraId="5BA95BA1" w14:textId="77777777" w:rsidR="00EA2518" w:rsidRDefault="00EA2518">
      <w:pPr>
        <w:pStyle w:val="normal0"/>
        <w:spacing w:line="240" w:lineRule="auto"/>
        <w:rPr>
          <w:rFonts w:ascii="Times New Roman" w:eastAsia="Times New Roman" w:hAnsi="Times New Roman" w:cs="Times New Roman"/>
          <w:b/>
          <w:sz w:val="24"/>
          <w:szCs w:val="24"/>
        </w:rPr>
      </w:pPr>
    </w:p>
    <w:p w14:paraId="0B2D27C0"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Beaton, T. (2018). Uninsured Rate Among Working Adults Rises to 15.5% in 2018. </w:t>
      </w:r>
      <w:r>
        <w:rPr>
          <w:rFonts w:ascii="Times New Roman" w:eastAsia="Times New Roman" w:hAnsi="Times New Roman" w:cs="Times New Roman"/>
          <w:i/>
          <w:sz w:val="24"/>
          <w:szCs w:val="24"/>
        </w:rPr>
        <w:t xml:space="preserve">Health </w:t>
      </w:r>
    </w:p>
    <w:p w14:paraId="5E5AB8AE"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Payer Intelligence</w:t>
      </w:r>
      <w:r>
        <w:rPr>
          <w:rFonts w:ascii="Times New Roman" w:eastAsia="Times New Roman" w:hAnsi="Times New Roman" w:cs="Times New Roman"/>
          <w:sz w:val="24"/>
          <w:szCs w:val="24"/>
        </w:rPr>
        <w:t xml:space="preserve">. Retrieved from </w:t>
      </w:r>
      <w:hyperlink r:id="rId11">
        <w:r>
          <w:rPr>
            <w:rFonts w:ascii="Times New Roman" w:eastAsia="Times New Roman" w:hAnsi="Times New Roman" w:cs="Times New Roman"/>
            <w:color w:val="1155CC"/>
            <w:sz w:val="24"/>
            <w:szCs w:val="24"/>
            <w:u w:val="single"/>
          </w:rPr>
          <w:t>https://healthpayerintelligence.com/news/uninsured-rate-among-working-adults-rises-to-15.5-in-2018</w:t>
        </w:r>
      </w:hyperlink>
      <w:r>
        <w:rPr>
          <w:rFonts w:ascii="Times New Roman" w:eastAsia="Times New Roman" w:hAnsi="Times New Roman" w:cs="Times New Roman"/>
          <w:sz w:val="24"/>
          <w:szCs w:val="24"/>
        </w:rPr>
        <w:t>. [Accessed 25 November 2019].</w:t>
      </w:r>
    </w:p>
    <w:p w14:paraId="596BD36F" w14:textId="77777777" w:rsidR="00EA2518" w:rsidRDefault="00EA2518">
      <w:pPr>
        <w:pStyle w:val="normal0"/>
        <w:spacing w:line="240" w:lineRule="auto"/>
        <w:rPr>
          <w:rFonts w:ascii="Times New Roman" w:eastAsia="Times New Roman" w:hAnsi="Times New Roman" w:cs="Times New Roman"/>
          <w:sz w:val="24"/>
          <w:szCs w:val="24"/>
        </w:rPr>
      </w:pPr>
    </w:p>
    <w:p w14:paraId="189B3C91"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Barrett, G.A., Jones, T.P., and McEvoy, D. (1996). Ethnic Minority Business: Theoretical </w:t>
      </w:r>
    </w:p>
    <w:p w14:paraId="166F4817"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Discourse in Britain and North America. </w:t>
      </w:r>
      <w:r>
        <w:rPr>
          <w:rFonts w:ascii="Times New Roman" w:eastAsia="Times New Roman" w:hAnsi="Times New Roman" w:cs="Times New Roman"/>
          <w:i/>
          <w:sz w:val="24"/>
          <w:szCs w:val="24"/>
        </w:rPr>
        <w:t>Urban Studies, 33</w:t>
      </w:r>
      <w:r>
        <w:rPr>
          <w:rFonts w:ascii="Times New Roman" w:eastAsia="Times New Roman" w:hAnsi="Times New Roman" w:cs="Times New Roman"/>
          <w:sz w:val="24"/>
          <w:szCs w:val="24"/>
        </w:rPr>
        <w:t xml:space="preserve">(4-5), 783-809. Retrieved </w:t>
      </w:r>
    </w:p>
    <w:p w14:paraId="462D63C9"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hyperlink r:id="rId12">
        <w:r>
          <w:rPr>
            <w:rFonts w:ascii="Times New Roman" w:eastAsia="Times New Roman" w:hAnsi="Times New Roman" w:cs="Times New Roman"/>
            <w:color w:val="0000FF"/>
            <w:sz w:val="24"/>
            <w:szCs w:val="24"/>
            <w:u w:val="single"/>
          </w:rPr>
          <w:t>https://doi.or</w:t>
        </w:r>
        <w:r>
          <w:rPr>
            <w:rFonts w:ascii="Times New Roman" w:eastAsia="Times New Roman" w:hAnsi="Times New Roman" w:cs="Times New Roman"/>
            <w:color w:val="0000FF"/>
            <w:sz w:val="24"/>
            <w:szCs w:val="24"/>
            <w:u w:val="single"/>
          </w:rPr>
          <w:t>g/10.1080/00420989650011825</w:t>
        </w:r>
      </w:hyperlink>
      <w:r>
        <w:rPr>
          <w:rFonts w:ascii="Times New Roman" w:eastAsia="Times New Roman" w:hAnsi="Times New Roman" w:cs="Times New Roman"/>
          <w:sz w:val="24"/>
          <w:szCs w:val="24"/>
        </w:rPr>
        <w:t>.  [Accessed 13 November 2019].</w:t>
      </w:r>
    </w:p>
    <w:p w14:paraId="5659F028" w14:textId="77777777" w:rsidR="00EA2518" w:rsidRDefault="00EA2518">
      <w:pPr>
        <w:pStyle w:val="normal0"/>
        <w:spacing w:line="240" w:lineRule="auto"/>
        <w:rPr>
          <w:rFonts w:ascii="Times New Roman" w:eastAsia="Times New Roman" w:hAnsi="Times New Roman" w:cs="Times New Roman"/>
          <w:sz w:val="24"/>
          <w:szCs w:val="24"/>
        </w:rPr>
      </w:pPr>
    </w:p>
    <w:p w14:paraId="535F1C13"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Blumenthal, D. &amp; Bergstrom, A. (2003). Brand Councils that Care: Towards the Convergence of </w:t>
      </w:r>
    </w:p>
    <w:p w14:paraId="02C4F42D"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Branding and Corporate Social Responsibility. </w:t>
      </w:r>
      <w:r>
        <w:rPr>
          <w:rFonts w:ascii="Times New Roman" w:eastAsia="Times New Roman" w:hAnsi="Times New Roman" w:cs="Times New Roman"/>
          <w:i/>
          <w:sz w:val="24"/>
          <w:szCs w:val="24"/>
        </w:rPr>
        <w:t>Journal of Brand Management, 10</w:t>
      </w:r>
      <w:r>
        <w:rPr>
          <w:rFonts w:ascii="Times New Roman" w:eastAsia="Times New Roman" w:hAnsi="Times New Roman" w:cs="Times New Roman"/>
          <w:sz w:val="24"/>
          <w:szCs w:val="24"/>
        </w:rPr>
        <w:t>(4), 327-341. Retrieved fr</w:t>
      </w:r>
      <w:r>
        <w:rPr>
          <w:rFonts w:ascii="Times New Roman" w:eastAsia="Times New Roman" w:hAnsi="Times New Roman" w:cs="Times New Roman"/>
          <w:sz w:val="24"/>
          <w:szCs w:val="24"/>
        </w:rPr>
        <w:t xml:space="preserve">om </w:t>
      </w:r>
      <w:hyperlink r:id="rId13">
        <w:r>
          <w:rPr>
            <w:rFonts w:ascii="Times New Roman" w:eastAsia="Times New Roman" w:hAnsi="Times New Roman" w:cs="Times New Roman"/>
            <w:color w:val="0000FF"/>
            <w:sz w:val="24"/>
            <w:szCs w:val="24"/>
            <w:u w:val="single"/>
          </w:rPr>
          <w:t>https://link.springer.com/article/10.1057/palgrave.bm. 2540128</w:t>
        </w:r>
      </w:hyperlink>
      <w:r>
        <w:rPr>
          <w:rFonts w:ascii="Times New Roman" w:eastAsia="Times New Roman" w:hAnsi="Times New Roman" w:cs="Times New Roman"/>
          <w:sz w:val="24"/>
          <w:szCs w:val="24"/>
        </w:rPr>
        <w:t>. [Accessed 12 November 2019].</w:t>
      </w:r>
    </w:p>
    <w:p w14:paraId="58D80BB5" w14:textId="77777777" w:rsidR="00EA2518" w:rsidRDefault="00EA2518">
      <w:pPr>
        <w:pStyle w:val="normal0"/>
        <w:spacing w:line="240" w:lineRule="auto"/>
        <w:ind w:left="720"/>
        <w:rPr>
          <w:rFonts w:ascii="Times New Roman" w:eastAsia="Times New Roman" w:hAnsi="Times New Roman" w:cs="Times New Roman"/>
          <w:sz w:val="24"/>
          <w:szCs w:val="24"/>
        </w:rPr>
      </w:pPr>
    </w:p>
    <w:p w14:paraId="734602C8"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Bowen, G. (2009). Document Analysis as a Qualitative Research Method. </w:t>
      </w:r>
      <w:r>
        <w:rPr>
          <w:rFonts w:ascii="Times New Roman" w:eastAsia="Times New Roman" w:hAnsi="Times New Roman" w:cs="Times New Roman"/>
          <w:i/>
          <w:sz w:val="24"/>
          <w:szCs w:val="24"/>
        </w:rPr>
        <w:t>Qualitat</w:t>
      </w:r>
      <w:r>
        <w:rPr>
          <w:rFonts w:ascii="Times New Roman" w:eastAsia="Times New Roman" w:hAnsi="Times New Roman" w:cs="Times New Roman"/>
          <w:i/>
          <w:sz w:val="24"/>
          <w:szCs w:val="24"/>
        </w:rPr>
        <w:t xml:space="preserve">ive Research </w:t>
      </w:r>
    </w:p>
    <w:p w14:paraId="5FE5B64E"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Journal</w:t>
      </w:r>
      <w:r>
        <w:rPr>
          <w:rFonts w:ascii="Times New Roman" w:eastAsia="Times New Roman" w:hAnsi="Times New Roman" w:cs="Times New Roman"/>
          <w:sz w:val="24"/>
          <w:szCs w:val="24"/>
        </w:rPr>
        <w:t xml:space="preserve">, 9(2), 27-40. </w:t>
      </w:r>
    </w:p>
    <w:p w14:paraId="0A8FADB9" w14:textId="77777777" w:rsidR="00EA2518" w:rsidRDefault="00EA2518">
      <w:pPr>
        <w:pStyle w:val="normal0"/>
        <w:spacing w:line="240" w:lineRule="auto"/>
        <w:rPr>
          <w:rFonts w:ascii="Times New Roman" w:eastAsia="Times New Roman" w:hAnsi="Times New Roman" w:cs="Times New Roman"/>
          <w:sz w:val="24"/>
          <w:szCs w:val="24"/>
        </w:rPr>
      </w:pPr>
    </w:p>
    <w:p w14:paraId="45084E73"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Carey, G. &amp; Crammond, B. (2015). Systems Change for the Social Determinants of Health. </w:t>
      </w:r>
      <w:r>
        <w:rPr>
          <w:rFonts w:ascii="Times New Roman" w:eastAsia="Times New Roman" w:hAnsi="Times New Roman" w:cs="Times New Roman"/>
          <w:i/>
          <w:sz w:val="24"/>
          <w:szCs w:val="24"/>
        </w:rPr>
        <w:t xml:space="preserve">BMC </w:t>
      </w:r>
    </w:p>
    <w:p w14:paraId="6AB66D1D"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Public Health,15</w:t>
      </w:r>
      <w:r>
        <w:rPr>
          <w:rFonts w:ascii="Times New Roman" w:eastAsia="Times New Roman" w:hAnsi="Times New Roman" w:cs="Times New Roman"/>
          <w:sz w:val="24"/>
          <w:szCs w:val="24"/>
        </w:rPr>
        <w:t xml:space="preserve">(662), p. 662. Retrieved from </w:t>
      </w:r>
      <w:hyperlink r:id="rId14">
        <w:r>
          <w:rPr>
            <w:rFonts w:ascii="Times New Roman" w:eastAsia="Times New Roman" w:hAnsi="Times New Roman" w:cs="Times New Roman"/>
            <w:color w:val="1155CC"/>
            <w:sz w:val="24"/>
            <w:szCs w:val="24"/>
            <w:u w:val="single"/>
          </w:rPr>
          <w:t>https://www.ncbi</w:t>
        </w:r>
        <w:r>
          <w:rPr>
            <w:rFonts w:ascii="Times New Roman" w:eastAsia="Times New Roman" w:hAnsi="Times New Roman" w:cs="Times New Roman"/>
            <w:color w:val="1155CC"/>
            <w:sz w:val="24"/>
            <w:szCs w:val="24"/>
            <w:u w:val="single"/>
          </w:rPr>
          <w:t>.nlm.nih.gov/pubmed/26168785</w:t>
        </w:r>
      </w:hyperlink>
      <w:r>
        <w:rPr>
          <w:rFonts w:ascii="Times New Roman" w:eastAsia="Times New Roman" w:hAnsi="Times New Roman" w:cs="Times New Roman"/>
          <w:sz w:val="24"/>
          <w:szCs w:val="24"/>
        </w:rPr>
        <w:t>.  [Accessed 25 November 2019].</w:t>
      </w:r>
    </w:p>
    <w:p w14:paraId="7384DB7B" w14:textId="77777777" w:rsidR="00EA2518" w:rsidRDefault="00EA2518">
      <w:pPr>
        <w:pStyle w:val="normal0"/>
        <w:spacing w:line="240" w:lineRule="auto"/>
        <w:rPr>
          <w:rFonts w:ascii="Times New Roman" w:eastAsia="Times New Roman" w:hAnsi="Times New Roman" w:cs="Times New Roman"/>
          <w:sz w:val="24"/>
          <w:szCs w:val="24"/>
        </w:rPr>
      </w:pPr>
    </w:p>
    <w:p w14:paraId="4AE4F7BE" w14:textId="77777777" w:rsidR="00471E2D"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Coffey, A. &amp; Atkinson, P. (1996). Making Sense of Qualitative Data. Thousand Oaks, </w:t>
      </w:r>
    </w:p>
    <w:p w14:paraId="4D0109D1" w14:textId="77777777" w:rsidR="00EA2518" w:rsidRDefault="00471E2D" w:rsidP="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California: </w:t>
      </w:r>
      <w:r>
        <w:rPr>
          <w:rFonts w:ascii="Times New Roman" w:eastAsia="Times New Roman" w:hAnsi="Times New Roman" w:cs="Times New Roman"/>
          <w:sz w:val="24"/>
          <w:szCs w:val="24"/>
        </w:rPr>
        <w:t xml:space="preserve">Sage Publications. </w:t>
      </w:r>
    </w:p>
    <w:p w14:paraId="3BE26FF1" w14:textId="77777777" w:rsidR="00EA2518" w:rsidRDefault="00EA2518">
      <w:pPr>
        <w:pStyle w:val="normal0"/>
        <w:spacing w:line="240" w:lineRule="auto"/>
        <w:rPr>
          <w:rFonts w:ascii="Times New Roman" w:eastAsia="Times New Roman" w:hAnsi="Times New Roman" w:cs="Times New Roman"/>
          <w:sz w:val="24"/>
          <w:szCs w:val="24"/>
        </w:rPr>
      </w:pPr>
    </w:p>
    <w:p w14:paraId="78ED424B"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Collins, P.H. (1995). Intersectionality’s Definitional Dilemmas. </w:t>
      </w:r>
      <w:r>
        <w:rPr>
          <w:rFonts w:ascii="Times New Roman" w:eastAsia="Times New Roman" w:hAnsi="Times New Roman" w:cs="Times New Roman"/>
          <w:i/>
          <w:sz w:val="24"/>
          <w:szCs w:val="24"/>
        </w:rPr>
        <w:t>Annual Review</w:t>
      </w:r>
      <w:r>
        <w:rPr>
          <w:rFonts w:ascii="Times New Roman" w:eastAsia="Times New Roman" w:hAnsi="Times New Roman" w:cs="Times New Roman"/>
          <w:i/>
          <w:sz w:val="24"/>
          <w:szCs w:val="24"/>
        </w:rPr>
        <w:t xml:space="preserve"> of Sociology</w:t>
      </w:r>
      <w:r>
        <w:rPr>
          <w:rFonts w:ascii="Times New Roman" w:eastAsia="Times New Roman" w:hAnsi="Times New Roman" w:cs="Times New Roman"/>
          <w:sz w:val="24"/>
          <w:szCs w:val="24"/>
        </w:rPr>
        <w:t xml:space="preserve">, </w:t>
      </w:r>
    </w:p>
    <w:p w14:paraId="41153DF8"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41(1), 1-20. </w:t>
      </w:r>
    </w:p>
    <w:p w14:paraId="66F71D58" w14:textId="77777777" w:rsidR="00EA2518" w:rsidRDefault="00EA2518">
      <w:pPr>
        <w:pStyle w:val="normal0"/>
        <w:spacing w:line="240" w:lineRule="auto"/>
        <w:rPr>
          <w:rFonts w:ascii="Times New Roman" w:eastAsia="Times New Roman" w:hAnsi="Times New Roman" w:cs="Times New Roman"/>
          <w:sz w:val="24"/>
          <w:szCs w:val="24"/>
        </w:rPr>
      </w:pPr>
    </w:p>
    <w:p w14:paraId="312DB96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Crenshaw, K. (1991). Mapping the Margins: Intersectionality, Identity Politics, and Violence </w:t>
      </w:r>
    </w:p>
    <w:p w14:paraId="422E3E45"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against Women of Color. </w:t>
      </w:r>
      <w:r>
        <w:rPr>
          <w:rFonts w:ascii="Times New Roman" w:eastAsia="Times New Roman" w:hAnsi="Times New Roman" w:cs="Times New Roman"/>
          <w:i/>
          <w:sz w:val="24"/>
          <w:szCs w:val="24"/>
        </w:rPr>
        <w:t>Stanford Law Review</w:t>
      </w:r>
      <w:r>
        <w:rPr>
          <w:rFonts w:ascii="Times New Roman" w:eastAsia="Times New Roman" w:hAnsi="Times New Roman" w:cs="Times New Roman"/>
          <w:sz w:val="24"/>
          <w:szCs w:val="24"/>
        </w:rPr>
        <w:t xml:space="preserve">, 43(6), 1241-1279. </w:t>
      </w:r>
    </w:p>
    <w:p w14:paraId="0317AA19" w14:textId="77777777" w:rsidR="00EA2518" w:rsidRDefault="00EA2518">
      <w:pPr>
        <w:pStyle w:val="normal0"/>
        <w:spacing w:line="240" w:lineRule="auto"/>
        <w:rPr>
          <w:rFonts w:ascii="Times New Roman" w:eastAsia="Times New Roman" w:hAnsi="Times New Roman" w:cs="Times New Roman"/>
          <w:sz w:val="24"/>
          <w:szCs w:val="24"/>
        </w:rPr>
      </w:pPr>
    </w:p>
    <w:p w14:paraId="3DE52A11"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Crystal, S. (2016). Late-Life Inequality in the Second Gilded Age: Policy Choices in a New </w:t>
      </w:r>
    </w:p>
    <w:p w14:paraId="1B8BB5BB"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Context. </w:t>
      </w:r>
      <w:r>
        <w:rPr>
          <w:rFonts w:ascii="Times New Roman" w:eastAsia="Times New Roman" w:hAnsi="Times New Roman" w:cs="Times New Roman"/>
          <w:i/>
          <w:sz w:val="24"/>
          <w:szCs w:val="24"/>
        </w:rPr>
        <w:t>Public Policy &amp; Aging Report</w:t>
      </w:r>
      <w:r>
        <w:rPr>
          <w:rFonts w:ascii="Times New Roman" w:eastAsia="Times New Roman" w:hAnsi="Times New Roman" w:cs="Times New Roman"/>
          <w:sz w:val="24"/>
          <w:szCs w:val="24"/>
        </w:rPr>
        <w:t xml:space="preserve">, 26(2), 42-47. </w:t>
      </w:r>
    </w:p>
    <w:p w14:paraId="59C79276" w14:textId="77777777" w:rsidR="00EA2518" w:rsidRDefault="00EA2518">
      <w:pPr>
        <w:pStyle w:val="normal0"/>
        <w:spacing w:line="240" w:lineRule="auto"/>
        <w:rPr>
          <w:rFonts w:ascii="Times New Roman" w:eastAsia="Times New Roman" w:hAnsi="Times New Roman" w:cs="Times New Roman"/>
          <w:sz w:val="24"/>
          <w:szCs w:val="24"/>
        </w:rPr>
      </w:pPr>
    </w:p>
    <w:p w14:paraId="584A964D"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 Blasio. (2018). Message from the Mayor About the Office of M/WBE. Available at </w:t>
      </w:r>
    </w:p>
    <w:p w14:paraId="4074F538" w14:textId="77777777" w:rsidR="00EA2518" w:rsidRDefault="00471E2D">
      <w:pPr>
        <w:pStyle w:val="normal0"/>
        <w:spacing w:line="240" w:lineRule="auto"/>
        <w:ind w:firstLine="720"/>
        <w:rPr>
          <w:rFonts w:ascii="Times New Roman" w:eastAsia="Times New Roman" w:hAnsi="Times New Roman" w:cs="Times New Roman"/>
          <w:b/>
          <w:sz w:val="24"/>
          <w:szCs w:val="24"/>
        </w:rPr>
      </w:pPr>
      <w:hyperlink r:id="rId15">
        <w:r>
          <w:rPr>
            <w:rFonts w:ascii="Times New Roman" w:eastAsia="Times New Roman" w:hAnsi="Times New Roman" w:cs="Times New Roman"/>
            <w:color w:val="1155CC"/>
            <w:sz w:val="24"/>
            <w:szCs w:val="24"/>
            <w:u w:val="single"/>
          </w:rPr>
          <w:t>https://www1.nyc.gov/nycbusiness/mwbe?page=about</w:t>
        </w:r>
      </w:hyperlink>
      <w:r>
        <w:rPr>
          <w:rFonts w:ascii="Times New Roman" w:eastAsia="Times New Roman" w:hAnsi="Times New Roman" w:cs="Times New Roman"/>
          <w:sz w:val="24"/>
          <w:szCs w:val="24"/>
        </w:rPr>
        <w:t>. [Accessed 3 November 2019].</w:t>
      </w:r>
    </w:p>
    <w:p w14:paraId="61F038BD" w14:textId="77777777" w:rsidR="00EA2518" w:rsidRDefault="00EA2518">
      <w:pPr>
        <w:pStyle w:val="normal0"/>
        <w:spacing w:line="240" w:lineRule="auto"/>
        <w:rPr>
          <w:rFonts w:ascii="Times New Roman" w:eastAsia="Times New Roman" w:hAnsi="Times New Roman" w:cs="Times New Roman"/>
          <w:b/>
          <w:sz w:val="24"/>
          <w:szCs w:val="24"/>
        </w:rPr>
      </w:pPr>
    </w:p>
    <w:p w14:paraId="57BD8AD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Dees, G. (2001). The Meaning of Social Entrepreneurship. Kauffman Center for Entrepreneurial </w:t>
      </w:r>
    </w:p>
    <w:p w14:paraId="1D85492E"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Leadership at the Ewing Marion Kauffman Foundation, 1-5. Retrieved from </w:t>
      </w:r>
      <w:hyperlink r:id="rId16">
        <w:r>
          <w:rPr>
            <w:rFonts w:ascii="Times New Roman" w:eastAsia="Times New Roman" w:hAnsi="Times New Roman" w:cs="Times New Roman"/>
            <w:color w:val="1155CC"/>
            <w:sz w:val="24"/>
            <w:szCs w:val="24"/>
            <w:u w:val="single"/>
          </w:rPr>
          <w:t>https://centers.fuqua.duke.edu/case/wp-c</w:t>
        </w:r>
        <w:r>
          <w:rPr>
            <w:rFonts w:ascii="Times New Roman" w:eastAsia="Times New Roman" w:hAnsi="Times New Roman" w:cs="Times New Roman"/>
            <w:color w:val="1155CC"/>
            <w:sz w:val="24"/>
            <w:szCs w:val="24"/>
            <w:u w:val="single"/>
          </w:rPr>
          <w:t>ontent/uploads/sites/7/2015/03/Article_Dees_MeaningofSocialEntrepreneurship_2001.pdf</w:t>
        </w:r>
      </w:hyperlink>
      <w:r>
        <w:rPr>
          <w:rFonts w:ascii="Times New Roman" w:eastAsia="Times New Roman" w:hAnsi="Times New Roman" w:cs="Times New Roman"/>
          <w:sz w:val="24"/>
          <w:szCs w:val="24"/>
        </w:rPr>
        <w:t>.  [Accessed 21 November 2019].</w:t>
      </w:r>
    </w:p>
    <w:p w14:paraId="1D553E15" w14:textId="77777777" w:rsidR="00EA2518" w:rsidRDefault="00EA2518">
      <w:pPr>
        <w:pStyle w:val="normal0"/>
        <w:spacing w:line="240" w:lineRule="auto"/>
        <w:rPr>
          <w:rFonts w:ascii="Times New Roman" w:eastAsia="Times New Roman" w:hAnsi="Times New Roman" w:cs="Times New Roman"/>
          <w:sz w:val="24"/>
          <w:szCs w:val="24"/>
        </w:rPr>
      </w:pPr>
    </w:p>
    <w:p w14:paraId="6A3B7355"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Deloitte. (2017). Rewriting the Rules for the Digital Age: 2017 Deloitte Global Human Capital </w:t>
      </w:r>
    </w:p>
    <w:p w14:paraId="05C47D91"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Trends. New York: Deloitte University Press.</w:t>
      </w:r>
    </w:p>
    <w:p w14:paraId="5E11D68D"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6D60C5DF" w14:textId="77777777" w:rsidR="00EA2518" w:rsidRDefault="00471E2D">
      <w:pPr>
        <w:pStyle w:val="normal0"/>
        <w:spacing w:line="240" w:lineRule="auto"/>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Deloitte. (2018). The Rise of the Social Enterprise: 2018 Deloitte Global Human Capital</w:t>
      </w:r>
    </w:p>
    <w:p w14:paraId="3493F65F" w14:textId="77777777" w:rsidR="00EA2518" w:rsidRDefault="00471E2D">
      <w:pPr>
        <w:pStyle w:val="normal0"/>
        <w:spacing w:line="240" w:lineRule="auto"/>
        <w:ind w:firstLine="720"/>
        <w:rPr>
          <w:rFonts w:ascii="Times New Roman" w:eastAsia="Times New Roman" w:hAnsi="Times New Roman" w:cs="Times New Roman"/>
          <w:color w:val="333333"/>
          <w:sz w:val="24"/>
          <w:szCs w:val="24"/>
          <w:highlight w:val="white"/>
        </w:rPr>
      </w:pPr>
      <w:r>
        <w:rPr>
          <w:rFonts w:ascii="Times New Roman" w:eastAsia="Times New Roman" w:hAnsi="Times New Roman" w:cs="Times New Roman"/>
          <w:color w:val="333333"/>
          <w:sz w:val="24"/>
          <w:szCs w:val="24"/>
          <w:highlight w:val="white"/>
        </w:rPr>
        <w:t>Trends. New York: Deloitte Insights.</w:t>
      </w:r>
    </w:p>
    <w:p w14:paraId="2B5F65D1" w14:textId="77777777" w:rsidR="00EA2518" w:rsidRDefault="00EA2518">
      <w:pPr>
        <w:pStyle w:val="normal0"/>
        <w:spacing w:line="240" w:lineRule="auto"/>
        <w:ind w:firstLine="720"/>
        <w:rPr>
          <w:rFonts w:ascii="Times New Roman" w:eastAsia="Times New Roman" w:hAnsi="Times New Roman" w:cs="Times New Roman"/>
          <w:color w:val="333333"/>
          <w:sz w:val="24"/>
          <w:szCs w:val="24"/>
          <w:highlight w:val="white"/>
        </w:rPr>
      </w:pPr>
    </w:p>
    <w:p w14:paraId="05D1CB7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Dhingra, P. &amp; Parker, J. (2015). Franchising Ethnic Entrepreneurship: Business Owners and an </w:t>
      </w:r>
    </w:p>
    <w:p w14:paraId="5C771ABF"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Alternative Economic Model. </w:t>
      </w:r>
      <w:r>
        <w:rPr>
          <w:rFonts w:ascii="Times New Roman" w:eastAsia="Times New Roman" w:hAnsi="Times New Roman" w:cs="Times New Roman"/>
          <w:i/>
          <w:sz w:val="24"/>
          <w:szCs w:val="24"/>
        </w:rPr>
        <w:t>Resear</w:t>
      </w:r>
      <w:r>
        <w:rPr>
          <w:rFonts w:ascii="Times New Roman" w:eastAsia="Times New Roman" w:hAnsi="Times New Roman" w:cs="Times New Roman"/>
          <w:i/>
          <w:sz w:val="24"/>
          <w:szCs w:val="24"/>
        </w:rPr>
        <w:t>ch in the Sociology of Work: Immigration and Work</w:t>
      </w:r>
      <w:r>
        <w:rPr>
          <w:rFonts w:ascii="Times New Roman" w:eastAsia="Times New Roman" w:hAnsi="Times New Roman" w:cs="Times New Roman"/>
          <w:sz w:val="24"/>
          <w:szCs w:val="24"/>
        </w:rPr>
        <w:t>, 27, 231-252.</w:t>
      </w:r>
    </w:p>
    <w:p w14:paraId="604A0A05" w14:textId="77777777" w:rsidR="00EA2518" w:rsidRDefault="00EA2518">
      <w:pPr>
        <w:pStyle w:val="normal0"/>
        <w:spacing w:line="240" w:lineRule="auto"/>
        <w:ind w:left="720"/>
        <w:rPr>
          <w:rFonts w:ascii="Times New Roman" w:eastAsia="Times New Roman" w:hAnsi="Times New Roman" w:cs="Times New Roman"/>
          <w:sz w:val="24"/>
          <w:szCs w:val="24"/>
        </w:rPr>
      </w:pPr>
    </w:p>
    <w:p w14:paraId="136F4C98"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 Muzio, T. (2015). The Plutonomy of the 1%: Dominant Ownership and Conspicuous </w:t>
      </w:r>
    </w:p>
    <w:p w14:paraId="2FDA107A"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Consumption in the New Gilded Age. </w:t>
      </w:r>
      <w:r>
        <w:rPr>
          <w:rFonts w:ascii="Times New Roman" w:eastAsia="Times New Roman" w:hAnsi="Times New Roman" w:cs="Times New Roman"/>
          <w:i/>
          <w:sz w:val="24"/>
          <w:szCs w:val="24"/>
        </w:rPr>
        <w:t>Millenium: Journal of International Studies</w:t>
      </w:r>
      <w:r>
        <w:rPr>
          <w:rFonts w:ascii="Times New Roman" w:eastAsia="Times New Roman" w:hAnsi="Times New Roman" w:cs="Times New Roman"/>
          <w:sz w:val="24"/>
          <w:szCs w:val="24"/>
        </w:rPr>
        <w:t xml:space="preserve">, 43(2), 492-510. </w:t>
      </w:r>
    </w:p>
    <w:p w14:paraId="5BB6E712" w14:textId="77777777" w:rsidR="00EA2518" w:rsidRDefault="00EA2518">
      <w:pPr>
        <w:pStyle w:val="normal0"/>
        <w:spacing w:line="240" w:lineRule="auto"/>
        <w:rPr>
          <w:rFonts w:ascii="Times New Roman" w:eastAsia="Times New Roman" w:hAnsi="Times New Roman" w:cs="Times New Roman"/>
          <w:sz w:val="24"/>
          <w:szCs w:val="24"/>
        </w:rPr>
      </w:pPr>
    </w:p>
    <w:p w14:paraId="12CB73B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Dobbin, F. </w:t>
      </w:r>
      <w:r>
        <w:rPr>
          <w:rFonts w:ascii="Times New Roman" w:eastAsia="Times New Roman" w:hAnsi="Times New Roman" w:cs="Times New Roman"/>
          <w:sz w:val="24"/>
          <w:szCs w:val="24"/>
        </w:rPr>
        <w:t xml:space="preserve">&amp; Kalev, A. (2007). The Architecture of Inclusion: Evidence from Corporate </w:t>
      </w:r>
    </w:p>
    <w:p w14:paraId="2222BC40"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Programs. </w:t>
      </w:r>
      <w:r>
        <w:rPr>
          <w:rFonts w:ascii="Times New Roman" w:eastAsia="Times New Roman" w:hAnsi="Times New Roman" w:cs="Times New Roman"/>
          <w:i/>
          <w:sz w:val="24"/>
          <w:szCs w:val="24"/>
        </w:rPr>
        <w:t>Harvard Journal of Law and Gender, 30</w:t>
      </w:r>
      <w:r>
        <w:rPr>
          <w:rFonts w:ascii="Times New Roman" w:eastAsia="Times New Roman" w:hAnsi="Times New Roman" w:cs="Times New Roman"/>
          <w:sz w:val="24"/>
          <w:szCs w:val="24"/>
        </w:rPr>
        <w:t xml:space="preserve">(2), 279-301. Retrieved </w:t>
      </w:r>
    </w:p>
    <w:p w14:paraId="299CA065"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from</w:t>
      </w:r>
      <w:hyperlink r:id="rId17">
        <w:r>
          <w:rPr>
            <w:rFonts w:ascii="Times New Roman" w:eastAsia="Times New Roman" w:hAnsi="Times New Roman" w:cs="Times New Roman"/>
            <w:color w:val="0000FF"/>
            <w:sz w:val="24"/>
            <w:szCs w:val="24"/>
            <w:u w:val="single"/>
          </w:rPr>
          <w:t>https://scholar.harvard.edu/dobbin/publications/architecture-inclusion-evidence-corporate-diversity-programs</w:t>
        </w:r>
      </w:hyperlink>
      <w:r>
        <w:rPr>
          <w:rFonts w:ascii="Times New Roman" w:eastAsia="Times New Roman" w:hAnsi="Times New Roman" w:cs="Times New Roman"/>
          <w:sz w:val="24"/>
          <w:szCs w:val="24"/>
        </w:rPr>
        <w:t>. [Accessed 21 November 2019].</w:t>
      </w:r>
    </w:p>
    <w:p w14:paraId="78C1FE8E" w14:textId="77777777" w:rsidR="00EA2518" w:rsidRDefault="00EA2518">
      <w:pPr>
        <w:pStyle w:val="normal0"/>
        <w:spacing w:line="240" w:lineRule="auto"/>
        <w:rPr>
          <w:rFonts w:ascii="Times New Roman" w:eastAsia="Times New Roman" w:hAnsi="Times New Roman" w:cs="Times New Roman"/>
          <w:sz w:val="24"/>
          <w:szCs w:val="24"/>
        </w:rPr>
      </w:pPr>
    </w:p>
    <w:p w14:paraId="454F92CF"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Dobbs, M.F. (1996). Managing Diversity: Lessons from the Private Sector. </w:t>
      </w:r>
      <w:r>
        <w:rPr>
          <w:rFonts w:ascii="Times New Roman" w:eastAsia="Times New Roman" w:hAnsi="Times New Roman" w:cs="Times New Roman"/>
          <w:i/>
          <w:sz w:val="24"/>
          <w:szCs w:val="24"/>
        </w:rPr>
        <w:t>Sage Jour</w:t>
      </w:r>
      <w:r>
        <w:rPr>
          <w:rFonts w:ascii="Times New Roman" w:eastAsia="Times New Roman" w:hAnsi="Times New Roman" w:cs="Times New Roman"/>
          <w:i/>
          <w:sz w:val="24"/>
          <w:szCs w:val="24"/>
        </w:rPr>
        <w:t>nals, 25</w:t>
      </w:r>
      <w:r>
        <w:rPr>
          <w:rFonts w:ascii="Times New Roman" w:eastAsia="Times New Roman" w:hAnsi="Times New Roman" w:cs="Times New Roman"/>
          <w:sz w:val="24"/>
          <w:szCs w:val="24"/>
        </w:rPr>
        <w:t xml:space="preserve">(3). </w:t>
      </w:r>
    </w:p>
    <w:p w14:paraId="18BFE78B"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Retrieved from </w:t>
      </w:r>
      <w:hyperlink r:id="rId18">
        <w:r>
          <w:rPr>
            <w:rFonts w:ascii="Times New Roman" w:eastAsia="Times New Roman" w:hAnsi="Times New Roman" w:cs="Times New Roman"/>
            <w:color w:val="0000FF"/>
            <w:sz w:val="24"/>
            <w:szCs w:val="24"/>
            <w:u w:val="single"/>
          </w:rPr>
          <w:t>https://journals.sagepub.com/doi/abs/</w:t>
        </w:r>
        <w:r>
          <w:rPr>
            <w:rFonts w:ascii="Times New Roman" w:eastAsia="Times New Roman" w:hAnsi="Times New Roman" w:cs="Times New Roman"/>
            <w:color w:val="0000FF"/>
            <w:sz w:val="24"/>
            <w:szCs w:val="24"/>
            <w:u w:val="single"/>
          </w:rPr>
          <w:t>10.1177/00910260960 2500308?casa_token=ExFfdi5wThYAAAAA:uPn1s9lTbaSaOhzeAe9Vc2oiX4K8zXdaFZu4FIttlh0Xr5IC72adFF0SurVDbv9Z7K65dCyHpTvLAA</w:t>
        </w:r>
      </w:hyperlink>
      <w:r>
        <w:rPr>
          <w:rFonts w:ascii="Times New Roman" w:eastAsia="Times New Roman" w:hAnsi="Times New Roman" w:cs="Times New Roman"/>
          <w:sz w:val="24"/>
          <w:szCs w:val="24"/>
        </w:rPr>
        <w:t>. [Accessed 26 November 2019].</w:t>
      </w:r>
    </w:p>
    <w:p w14:paraId="152278E5" w14:textId="77777777" w:rsidR="00EA2518" w:rsidRDefault="00EA2518">
      <w:pPr>
        <w:pStyle w:val="normal0"/>
        <w:spacing w:line="240" w:lineRule="auto"/>
        <w:rPr>
          <w:rFonts w:ascii="Times New Roman" w:eastAsia="Times New Roman" w:hAnsi="Times New Roman" w:cs="Times New Roman"/>
          <w:sz w:val="24"/>
          <w:szCs w:val="24"/>
        </w:rPr>
      </w:pPr>
    </w:p>
    <w:p w14:paraId="6684A1E9"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Frey, C. and Osborne, A. (2017). The Future of Employment: How Susceptible are Jobs to </w:t>
      </w:r>
    </w:p>
    <w:p w14:paraId="094454BE"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w:t>
      </w:r>
      <w:r>
        <w:rPr>
          <w:rFonts w:ascii="Times New Roman" w:eastAsia="Times New Roman" w:hAnsi="Times New Roman" w:cs="Times New Roman"/>
          <w:sz w:val="24"/>
          <w:szCs w:val="24"/>
        </w:rPr>
        <w:t xml:space="preserve">mputerisation? </w:t>
      </w:r>
      <w:r>
        <w:rPr>
          <w:rFonts w:ascii="Times New Roman" w:eastAsia="Times New Roman" w:hAnsi="Times New Roman" w:cs="Times New Roman"/>
          <w:i/>
          <w:sz w:val="24"/>
          <w:szCs w:val="24"/>
        </w:rPr>
        <w:t>Technological Forecasting and Social Change</w:t>
      </w:r>
      <w:r>
        <w:rPr>
          <w:rFonts w:ascii="Times New Roman" w:eastAsia="Times New Roman" w:hAnsi="Times New Roman" w:cs="Times New Roman"/>
          <w:sz w:val="24"/>
          <w:szCs w:val="24"/>
        </w:rPr>
        <w:t>, 114, 254-280.</w:t>
      </w:r>
    </w:p>
    <w:p w14:paraId="1D73C27C"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7CF8D121" w14:textId="77777777" w:rsidR="00471E2D"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Frey, W. (2018) The Millennial Generation: A Demographic Bridge to America’s Diverse </w:t>
      </w:r>
    </w:p>
    <w:p w14:paraId="707BE721" w14:textId="77777777" w:rsidR="00EA2518" w:rsidRDefault="00471E2D" w:rsidP="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w:t>
      </w:r>
      <w:bookmarkStart w:id="0" w:name="_GoBack"/>
      <w:bookmarkEnd w:id="0"/>
      <w:r>
        <w:rPr>
          <w:rFonts w:ascii="Times New Roman" w:eastAsia="Times New Roman" w:hAnsi="Times New Roman" w:cs="Times New Roman"/>
          <w:sz w:val="24"/>
          <w:szCs w:val="24"/>
        </w:rPr>
        <w:t>Washington, D.C.: Brookings Institute.</w:t>
      </w:r>
    </w:p>
    <w:p w14:paraId="5C5EDED6"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3E97AFB4"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Front, S. and Kalman, D. (2016). </w:t>
      </w:r>
      <w:r>
        <w:rPr>
          <w:rFonts w:ascii="Times New Roman" w:eastAsia="Times New Roman" w:hAnsi="Times New Roman" w:cs="Times New Roman"/>
          <w:i/>
          <w:sz w:val="24"/>
          <w:szCs w:val="24"/>
        </w:rPr>
        <w:t xml:space="preserve">Inclusive Talent Management: How Business Can Thrive in an </w:t>
      </w:r>
    </w:p>
    <w:p w14:paraId="5C3C5ECF"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Age of Diversity</w:t>
      </w:r>
      <w:r>
        <w:rPr>
          <w:rFonts w:ascii="Times New Roman" w:eastAsia="Times New Roman" w:hAnsi="Times New Roman" w:cs="Times New Roman"/>
          <w:sz w:val="24"/>
          <w:szCs w:val="24"/>
        </w:rPr>
        <w:t>. London: Kogan Page.</w:t>
      </w:r>
    </w:p>
    <w:p w14:paraId="130E23E9"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20846D0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Fry, R., Igielnik, R, and Patten, E.  (2018). How Millennials Today Compare with their </w:t>
      </w:r>
    </w:p>
    <w:p w14:paraId="13574EAF" w14:textId="77777777" w:rsidR="00EA2518" w:rsidRDefault="00471E2D">
      <w:pPr>
        <w:pStyle w:val="normal0"/>
        <w:spacing w:line="240" w:lineRule="auto"/>
        <w:ind w:firstLine="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Grandparents 50 Years Ago. Washington, D.C.: </w:t>
      </w:r>
      <w:r>
        <w:rPr>
          <w:rFonts w:ascii="Times New Roman" w:eastAsia="Times New Roman" w:hAnsi="Times New Roman" w:cs="Times New Roman"/>
          <w:i/>
          <w:sz w:val="24"/>
          <w:szCs w:val="24"/>
        </w:rPr>
        <w:t xml:space="preserve">Pew Research Center.  </w:t>
      </w:r>
    </w:p>
    <w:p w14:paraId="17723857" w14:textId="77777777" w:rsidR="00EA2518" w:rsidRDefault="00EA2518">
      <w:pPr>
        <w:pStyle w:val="normal0"/>
        <w:spacing w:line="240" w:lineRule="auto"/>
        <w:ind w:firstLine="720"/>
        <w:rPr>
          <w:rFonts w:ascii="Times New Roman" w:eastAsia="Times New Roman" w:hAnsi="Times New Roman" w:cs="Times New Roman"/>
          <w:i/>
          <w:sz w:val="24"/>
          <w:szCs w:val="24"/>
        </w:rPr>
      </w:pPr>
    </w:p>
    <w:p w14:paraId="13E80DE4"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Fry, R. (2018). Millennials are the Largest Generation in the U.S. Labor Force. Washington, </w:t>
      </w:r>
    </w:p>
    <w:p w14:paraId="4869A4B7"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D.C.: Pew Research Center.</w:t>
      </w:r>
    </w:p>
    <w:p w14:paraId="17E0E5DC"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29DEF98C"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Gantz, J. and Sanders, B. (2017). The Age of Inequality: Corporate America’s War on Working </w:t>
      </w:r>
    </w:p>
    <w:p w14:paraId="6A18346B"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People. New York: Verso.</w:t>
      </w:r>
    </w:p>
    <w:p w14:paraId="3D9FCE6E"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36BF1878"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Goode, S. and Di</w:t>
      </w:r>
      <w:r>
        <w:rPr>
          <w:rFonts w:ascii="Times New Roman" w:eastAsia="Times New Roman" w:hAnsi="Times New Roman" w:cs="Times New Roman"/>
          <w:sz w:val="24"/>
          <w:szCs w:val="24"/>
        </w:rPr>
        <w:t xml:space="preserve">xon, I. (2016). Are Employee Resource Groups Good for Business. Society for </w:t>
      </w:r>
    </w:p>
    <w:p w14:paraId="5C1A8A82"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(online) Available at: </w:t>
      </w:r>
      <w:hyperlink r:id="rId19">
        <w:r>
          <w:rPr>
            <w:rFonts w:ascii="Times New Roman" w:eastAsia="Times New Roman" w:hAnsi="Times New Roman" w:cs="Times New Roman"/>
            <w:color w:val="1155CC"/>
            <w:sz w:val="24"/>
            <w:szCs w:val="24"/>
            <w:u w:val="single"/>
          </w:rPr>
          <w:t>https://www.shrm.org/hr-today/</w:t>
        </w:r>
      </w:hyperlink>
    </w:p>
    <w:p w14:paraId="0140920B" w14:textId="77777777" w:rsidR="00EA2518" w:rsidRDefault="00471E2D">
      <w:pPr>
        <w:pStyle w:val="normal0"/>
        <w:spacing w:line="240" w:lineRule="auto"/>
        <w:ind w:left="720"/>
        <w:rPr>
          <w:rFonts w:ascii="Times New Roman" w:eastAsia="Times New Roman" w:hAnsi="Times New Roman" w:cs="Times New Roman"/>
          <w:sz w:val="24"/>
          <w:szCs w:val="24"/>
        </w:rPr>
      </w:pPr>
      <w:hyperlink r:id="rId20">
        <w:r>
          <w:rPr>
            <w:rFonts w:ascii="Times New Roman" w:eastAsia="Times New Roman" w:hAnsi="Times New Roman" w:cs="Times New Roman"/>
            <w:color w:val="1155CC"/>
            <w:sz w:val="24"/>
            <w:szCs w:val="24"/>
            <w:u w:val="single"/>
          </w:rPr>
          <w:t>news/hr-magazine/0916/pages/are-employee-resource-groups-good-for-business.aspx</w:t>
        </w:r>
      </w:hyperlink>
      <w:r>
        <w:rPr>
          <w:rFonts w:ascii="Times New Roman" w:eastAsia="Times New Roman" w:hAnsi="Times New Roman" w:cs="Times New Roman"/>
          <w:sz w:val="24"/>
          <w:szCs w:val="24"/>
        </w:rPr>
        <w:t xml:space="preserve"> [Accessed 15 November 2019].</w:t>
      </w:r>
    </w:p>
    <w:p w14:paraId="252F6A4B" w14:textId="77777777" w:rsidR="00EA2518" w:rsidRDefault="00EA2518">
      <w:pPr>
        <w:pStyle w:val="normal0"/>
        <w:spacing w:line="240" w:lineRule="auto"/>
        <w:rPr>
          <w:rFonts w:ascii="Times New Roman" w:eastAsia="Times New Roman" w:hAnsi="Times New Roman" w:cs="Times New Roman"/>
          <w:sz w:val="24"/>
          <w:szCs w:val="24"/>
        </w:rPr>
      </w:pPr>
    </w:p>
    <w:p w14:paraId="270D7EDD"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Gonzalez Stokas, A. (2015). A Genealogy of Grit: Education in the New Gilded Age. </w:t>
      </w:r>
    </w:p>
    <w:p w14:paraId="4BC8AB6E"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Educational Theory</w:t>
      </w:r>
      <w:r>
        <w:rPr>
          <w:rFonts w:ascii="Times New Roman" w:eastAsia="Times New Roman" w:hAnsi="Times New Roman" w:cs="Times New Roman"/>
          <w:sz w:val="24"/>
          <w:szCs w:val="24"/>
        </w:rPr>
        <w:t xml:space="preserve">, 65 (5), 513-528. </w:t>
      </w:r>
    </w:p>
    <w:p w14:paraId="6C657390"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0B0F4052"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Gonzalez, M.T. (2015). Hunger, Poverty, and the Criminalization of Food Sharing in the New </w:t>
      </w:r>
    </w:p>
    <w:p w14:paraId="63233792"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Gilded Age.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Gender, Social Policy, and the Law</w:t>
      </w:r>
      <w:r>
        <w:rPr>
          <w:rFonts w:ascii="Times New Roman" w:eastAsia="Times New Roman" w:hAnsi="Times New Roman" w:cs="Times New Roman"/>
          <w:sz w:val="24"/>
          <w:szCs w:val="24"/>
        </w:rPr>
        <w:t>, 23(2), 231-282.</w:t>
      </w:r>
    </w:p>
    <w:p w14:paraId="5917B534" w14:textId="77777777" w:rsidR="00EA2518" w:rsidRDefault="00EA2518">
      <w:pPr>
        <w:pStyle w:val="normal0"/>
        <w:spacing w:line="240" w:lineRule="auto"/>
        <w:rPr>
          <w:rFonts w:ascii="Times New Roman" w:eastAsia="Times New Roman" w:hAnsi="Times New Roman" w:cs="Times New Roman"/>
          <w:sz w:val="24"/>
          <w:szCs w:val="24"/>
        </w:rPr>
      </w:pPr>
    </w:p>
    <w:p w14:paraId="7D8F6B92"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Grusky, D.B. &amp; Kricheli-Katz, T. (2012). The New Gilded Age: The Critical Inequality Debates </w:t>
      </w:r>
    </w:p>
    <w:p w14:paraId="021EBE86"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 Our Time. Stanford, California: Stanford University Press. </w:t>
      </w:r>
    </w:p>
    <w:p w14:paraId="707FBF2B" w14:textId="77777777" w:rsidR="00EA2518" w:rsidRDefault="00EA2518">
      <w:pPr>
        <w:pStyle w:val="normal0"/>
        <w:spacing w:line="240" w:lineRule="auto"/>
        <w:rPr>
          <w:rFonts w:ascii="Times New Roman" w:eastAsia="Times New Roman" w:hAnsi="Times New Roman" w:cs="Times New Roman"/>
          <w:sz w:val="24"/>
          <w:szCs w:val="24"/>
        </w:rPr>
      </w:pPr>
    </w:p>
    <w:p w14:paraId="6FD5C011"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Hanna, T.M. (2019). Reclaiming Democratic Control: The Role of Public Ownership in </w:t>
      </w:r>
    </w:p>
    <w:p w14:paraId="76364F39"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Resisting Corporate Domination. </w:t>
      </w:r>
      <w:r>
        <w:rPr>
          <w:rFonts w:ascii="Times New Roman" w:eastAsia="Times New Roman" w:hAnsi="Times New Roman" w:cs="Times New Roman"/>
          <w:i/>
          <w:sz w:val="24"/>
          <w:szCs w:val="24"/>
        </w:rPr>
        <w:t>Journal of World Systems Research</w:t>
      </w:r>
      <w:r>
        <w:rPr>
          <w:rFonts w:ascii="Times New Roman" w:eastAsia="Times New Roman" w:hAnsi="Times New Roman" w:cs="Times New Roman"/>
          <w:sz w:val="24"/>
          <w:szCs w:val="24"/>
        </w:rPr>
        <w:t xml:space="preserve">, 25(1), 42-48. Retrieved from </w:t>
      </w:r>
      <w:hyperlink r:id="rId21">
        <w:r>
          <w:rPr>
            <w:rFonts w:ascii="Times New Roman" w:eastAsia="Times New Roman" w:hAnsi="Times New Roman" w:cs="Times New Roman"/>
            <w:color w:val="1155CC"/>
            <w:sz w:val="24"/>
            <w:szCs w:val="24"/>
            <w:u w:val="single"/>
          </w:rPr>
          <w:t>https://jwsr.pitt.edu/ojs/index.php/jwsr/article/view/901</w:t>
        </w:r>
      </w:hyperlink>
      <w:r>
        <w:rPr>
          <w:rFonts w:ascii="Times New Roman" w:eastAsia="Times New Roman" w:hAnsi="Times New Roman" w:cs="Times New Roman"/>
          <w:sz w:val="24"/>
          <w:szCs w:val="24"/>
        </w:rPr>
        <w:t xml:space="preserve">. [Accessed 23 November 2019]. </w:t>
      </w:r>
    </w:p>
    <w:p w14:paraId="1C8A3213" w14:textId="77777777" w:rsidR="00EA2518" w:rsidRDefault="00EA2518">
      <w:pPr>
        <w:pStyle w:val="normal0"/>
        <w:spacing w:line="240" w:lineRule="auto"/>
        <w:rPr>
          <w:rFonts w:ascii="Times New Roman" w:eastAsia="Times New Roman" w:hAnsi="Times New Roman" w:cs="Times New Roman"/>
          <w:sz w:val="24"/>
          <w:szCs w:val="24"/>
        </w:rPr>
      </w:pPr>
    </w:p>
    <w:p w14:paraId="7CAFB9D2"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Hooks, B. (1982). Ain’t I a Woman: Black Women and Feminism. Boston: South End Press.</w:t>
      </w:r>
    </w:p>
    <w:p w14:paraId="7C78B2F5" w14:textId="77777777" w:rsidR="00EA2518" w:rsidRDefault="00EA2518">
      <w:pPr>
        <w:pStyle w:val="normal0"/>
        <w:spacing w:line="240" w:lineRule="auto"/>
        <w:rPr>
          <w:rFonts w:ascii="Times New Roman" w:eastAsia="Times New Roman" w:hAnsi="Times New Roman" w:cs="Times New Roman"/>
          <w:sz w:val="24"/>
          <w:szCs w:val="24"/>
        </w:rPr>
      </w:pPr>
    </w:p>
    <w:p w14:paraId="3D766301"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IonTuition. (2018). An Unexpected Burden: Student Loans and Their Impact on Am</w:t>
      </w:r>
      <w:r>
        <w:rPr>
          <w:rFonts w:ascii="Times New Roman" w:eastAsia="Times New Roman" w:hAnsi="Times New Roman" w:cs="Times New Roman"/>
          <w:sz w:val="24"/>
          <w:szCs w:val="24"/>
        </w:rPr>
        <w:t xml:space="preserve">ericans Over </w:t>
      </w:r>
    </w:p>
    <w:p w14:paraId="01C0FCE7"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35. IonTuition.</w:t>
      </w:r>
    </w:p>
    <w:p w14:paraId="63B2CDBB"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5D8B7865"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Keller, E. &amp; Kelly, N. (2015). Partisan Politics, Financial Deregulation, and the New Gilded </w:t>
      </w:r>
    </w:p>
    <w:p w14:paraId="4A969607"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Age. </w:t>
      </w:r>
      <w:r>
        <w:rPr>
          <w:rFonts w:ascii="Times New Roman" w:eastAsia="Times New Roman" w:hAnsi="Times New Roman" w:cs="Times New Roman"/>
          <w:i/>
          <w:sz w:val="24"/>
          <w:szCs w:val="24"/>
        </w:rPr>
        <w:t>Political Research Quarterly</w:t>
      </w:r>
      <w:r>
        <w:rPr>
          <w:rFonts w:ascii="Times New Roman" w:eastAsia="Times New Roman" w:hAnsi="Times New Roman" w:cs="Times New Roman"/>
          <w:sz w:val="24"/>
          <w:szCs w:val="24"/>
        </w:rPr>
        <w:t xml:space="preserve">, 68(3), 428-442. </w:t>
      </w:r>
    </w:p>
    <w:p w14:paraId="0E06747F" w14:textId="77777777" w:rsidR="00EA2518" w:rsidRDefault="00EA2518">
      <w:pPr>
        <w:pStyle w:val="normal0"/>
        <w:spacing w:line="240" w:lineRule="auto"/>
        <w:rPr>
          <w:rFonts w:ascii="Times New Roman" w:eastAsia="Times New Roman" w:hAnsi="Times New Roman" w:cs="Times New Roman"/>
          <w:sz w:val="24"/>
          <w:szCs w:val="24"/>
        </w:rPr>
      </w:pPr>
    </w:p>
    <w:p w14:paraId="28AFD978"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Krugman, P. (2014). Why We’re in a New Gilded Age. [online] The New York Revie</w:t>
      </w:r>
      <w:r>
        <w:rPr>
          <w:rFonts w:ascii="Times New Roman" w:eastAsia="Times New Roman" w:hAnsi="Times New Roman" w:cs="Times New Roman"/>
          <w:sz w:val="24"/>
          <w:szCs w:val="24"/>
        </w:rPr>
        <w:t xml:space="preserve">w of </w:t>
      </w:r>
    </w:p>
    <w:p w14:paraId="7D36A64F"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Books. Available at </w:t>
      </w:r>
      <w:hyperlink r:id="rId22">
        <w:r>
          <w:rPr>
            <w:rFonts w:ascii="Times New Roman" w:eastAsia="Times New Roman" w:hAnsi="Times New Roman" w:cs="Times New Roman"/>
            <w:color w:val="1155CC"/>
            <w:sz w:val="24"/>
            <w:szCs w:val="24"/>
            <w:u w:val="single"/>
          </w:rPr>
          <w:t>http://www.nybooks.com/articles/2014/05/08/thomas-piketty -new-gilded-age/</w:t>
        </w:r>
      </w:hyperlink>
      <w:r>
        <w:rPr>
          <w:rFonts w:ascii="Times New Roman" w:eastAsia="Times New Roman" w:hAnsi="Times New Roman" w:cs="Times New Roman"/>
          <w:sz w:val="24"/>
          <w:szCs w:val="24"/>
        </w:rPr>
        <w:t xml:space="preserve"> [Accessed 16 November 2019].</w:t>
      </w:r>
    </w:p>
    <w:p w14:paraId="34971D1C" w14:textId="77777777" w:rsidR="00EA2518" w:rsidRDefault="00EA2518">
      <w:pPr>
        <w:pStyle w:val="normal0"/>
        <w:spacing w:line="240" w:lineRule="auto"/>
        <w:ind w:left="720"/>
        <w:rPr>
          <w:rFonts w:ascii="Times New Roman" w:eastAsia="Times New Roman" w:hAnsi="Times New Roman" w:cs="Times New Roman"/>
          <w:sz w:val="24"/>
          <w:szCs w:val="24"/>
        </w:rPr>
      </w:pPr>
    </w:p>
    <w:p w14:paraId="2444911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Lena, I. &amp; Vranceanu, C.A. (2014</w:t>
      </w:r>
      <w:r>
        <w:rPr>
          <w:rFonts w:ascii="Times New Roman" w:eastAsia="Times New Roman" w:hAnsi="Times New Roman" w:cs="Times New Roman"/>
          <w:sz w:val="24"/>
          <w:szCs w:val="24"/>
        </w:rPr>
        <w:t xml:space="preserve">). Multicultural Teams: Moving from Diversity to Inclusion. </w:t>
      </w:r>
    </w:p>
    <w:p w14:paraId="757FEC7C"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Cross-Cultural Management Journal</w:t>
      </w:r>
      <w:r>
        <w:rPr>
          <w:rFonts w:ascii="Times New Roman" w:eastAsia="Times New Roman" w:hAnsi="Times New Roman" w:cs="Times New Roman"/>
          <w:sz w:val="24"/>
          <w:szCs w:val="24"/>
        </w:rPr>
        <w:t xml:space="preserve">, 16(2), 361-368. </w:t>
      </w:r>
    </w:p>
    <w:p w14:paraId="47A040EA" w14:textId="77777777" w:rsidR="00EA2518" w:rsidRDefault="00EA2518">
      <w:pPr>
        <w:pStyle w:val="normal0"/>
        <w:spacing w:line="240" w:lineRule="auto"/>
        <w:rPr>
          <w:rFonts w:ascii="Times New Roman" w:eastAsia="Times New Roman" w:hAnsi="Times New Roman" w:cs="Times New Roman"/>
          <w:sz w:val="24"/>
          <w:szCs w:val="24"/>
        </w:rPr>
      </w:pPr>
    </w:p>
    <w:p w14:paraId="69E73230"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McCall, L. (2005). The Complexity of Intersectionality. </w:t>
      </w:r>
      <w:r>
        <w:rPr>
          <w:rFonts w:ascii="Times New Roman" w:eastAsia="Times New Roman" w:hAnsi="Times New Roman" w:cs="Times New Roman"/>
          <w:i/>
          <w:sz w:val="24"/>
          <w:szCs w:val="24"/>
        </w:rPr>
        <w:t>Signs,</w:t>
      </w:r>
      <w:r>
        <w:rPr>
          <w:rFonts w:ascii="Times New Roman" w:eastAsia="Times New Roman" w:hAnsi="Times New Roman" w:cs="Times New Roman"/>
          <w:sz w:val="24"/>
          <w:szCs w:val="24"/>
        </w:rPr>
        <w:t xml:space="preserve"> 30(3), 1771-1800. </w:t>
      </w:r>
    </w:p>
    <w:p w14:paraId="657D4BD4" w14:textId="77777777" w:rsidR="00EA2518" w:rsidRDefault="00EA2518">
      <w:pPr>
        <w:pStyle w:val="normal0"/>
        <w:spacing w:line="240" w:lineRule="auto"/>
        <w:rPr>
          <w:rFonts w:ascii="Times New Roman" w:eastAsia="Times New Roman" w:hAnsi="Times New Roman" w:cs="Times New Roman"/>
          <w:sz w:val="24"/>
          <w:szCs w:val="24"/>
        </w:rPr>
      </w:pPr>
    </w:p>
    <w:p w14:paraId="12D2EF8A"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McKinsey &amp; Company. (2018). Delivering Through Diversity. N</w:t>
      </w:r>
      <w:r>
        <w:rPr>
          <w:rFonts w:ascii="Times New Roman" w:eastAsia="Times New Roman" w:hAnsi="Times New Roman" w:cs="Times New Roman"/>
          <w:sz w:val="24"/>
          <w:szCs w:val="24"/>
        </w:rPr>
        <w:t xml:space="preserve">ew York: McKinsey &amp; </w:t>
      </w:r>
    </w:p>
    <w:p w14:paraId="413C4DB6"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Company.</w:t>
      </w:r>
    </w:p>
    <w:p w14:paraId="417E0B05"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1B7998BC"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Milkman, R. (2013). Back to the Future? US Labour in the New Gilded Age. </w:t>
      </w:r>
      <w:r>
        <w:rPr>
          <w:rFonts w:ascii="Times New Roman" w:eastAsia="Times New Roman" w:hAnsi="Times New Roman" w:cs="Times New Roman"/>
          <w:i/>
          <w:sz w:val="24"/>
          <w:szCs w:val="24"/>
        </w:rPr>
        <w:t xml:space="preserve">British Journal of </w:t>
      </w:r>
    </w:p>
    <w:p w14:paraId="22E51693"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Industrial Relations</w:t>
      </w:r>
      <w:r>
        <w:rPr>
          <w:rFonts w:ascii="Times New Roman" w:eastAsia="Times New Roman" w:hAnsi="Times New Roman" w:cs="Times New Roman"/>
          <w:sz w:val="24"/>
          <w:szCs w:val="24"/>
        </w:rPr>
        <w:t xml:space="preserve">, 51(4), 645-665. </w:t>
      </w:r>
    </w:p>
    <w:p w14:paraId="499FDAAC"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1494C71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Morley, T. (2018). Making The Business Case for Diversity and Inclusion. </w:t>
      </w:r>
      <w:r>
        <w:rPr>
          <w:rFonts w:ascii="Times New Roman" w:eastAsia="Times New Roman" w:hAnsi="Times New Roman" w:cs="Times New Roman"/>
          <w:i/>
          <w:sz w:val="24"/>
          <w:szCs w:val="24"/>
        </w:rPr>
        <w:t>Strategic HR Review</w:t>
      </w:r>
      <w:r>
        <w:rPr>
          <w:rFonts w:ascii="Times New Roman" w:eastAsia="Times New Roman" w:hAnsi="Times New Roman" w:cs="Times New Roman"/>
          <w:sz w:val="24"/>
          <w:szCs w:val="24"/>
        </w:rPr>
        <w:t xml:space="preserve">, </w:t>
      </w:r>
    </w:p>
    <w:p w14:paraId="2AA65F3A"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17(1), 58-60. </w:t>
      </w:r>
    </w:p>
    <w:p w14:paraId="4B9FEB71" w14:textId="77777777" w:rsidR="00EA2518" w:rsidRDefault="00EA2518">
      <w:pPr>
        <w:pStyle w:val="normal0"/>
        <w:spacing w:line="240" w:lineRule="auto"/>
        <w:rPr>
          <w:rFonts w:ascii="Times New Roman" w:eastAsia="Times New Roman" w:hAnsi="Times New Roman" w:cs="Times New Roman"/>
          <w:sz w:val="24"/>
          <w:szCs w:val="24"/>
        </w:rPr>
      </w:pPr>
    </w:p>
    <w:p w14:paraId="511830C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National Gay &amp; Lesbian Chamber of Commerce. (2016). America’s LGBT Economy: The </w:t>
      </w:r>
    </w:p>
    <w:p w14:paraId="2815381D"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Premiere Report on the Impact of LGBT-Owned Businesses. NGLCC. </w:t>
      </w:r>
    </w:p>
    <w:p w14:paraId="51166BE1" w14:textId="77777777" w:rsidR="00EA2518" w:rsidRDefault="00EA2518">
      <w:pPr>
        <w:pStyle w:val="normal0"/>
        <w:spacing w:line="240" w:lineRule="auto"/>
        <w:rPr>
          <w:rFonts w:ascii="Times New Roman" w:eastAsia="Times New Roman" w:hAnsi="Times New Roman" w:cs="Times New Roman"/>
          <w:sz w:val="24"/>
          <w:szCs w:val="24"/>
        </w:rPr>
      </w:pPr>
    </w:p>
    <w:p w14:paraId="64356B2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Nielsen, J. (1996). Accessible Design for Users with Disabilities. Nielsen Norman Group. </w:t>
      </w:r>
    </w:p>
    <w:p w14:paraId="705DB8BF"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Retrieved from </w:t>
      </w:r>
    </w:p>
    <w:p w14:paraId="56856CF3" w14:textId="77777777" w:rsidR="00EA2518" w:rsidRDefault="00471E2D">
      <w:pPr>
        <w:pStyle w:val="normal0"/>
        <w:spacing w:line="240" w:lineRule="auto"/>
        <w:ind w:left="720"/>
        <w:rPr>
          <w:rFonts w:ascii="Times New Roman" w:eastAsia="Times New Roman" w:hAnsi="Times New Roman" w:cs="Times New Roman"/>
          <w:sz w:val="24"/>
          <w:szCs w:val="24"/>
        </w:rPr>
      </w:pPr>
      <w:hyperlink r:id="rId23">
        <w:r>
          <w:rPr>
            <w:rFonts w:ascii="Times New Roman" w:eastAsia="Times New Roman" w:hAnsi="Times New Roman" w:cs="Times New Roman"/>
            <w:color w:val="0000FF"/>
            <w:sz w:val="24"/>
            <w:szCs w:val="24"/>
            <w:u w:val="single"/>
          </w:rPr>
          <w:t>https://www.nngroup.com/articles/accessible-design-for-users-with-disabilities/</w:t>
        </w:r>
      </w:hyperlink>
      <w:r>
        <w:rPr>
          <w:rFonts w:ascii="Times New Roman" w:eastAsia="Times New Roman" w:hAnsi="Times New Roman" w:cs="Times New Roman"/>
          <w:sz w:val="24"/>
          <w:szCs w:val="24"/>
        </w:rPr>
        <w:t>.  [Accessed 23 November 2019].</w:t>
      </w:r>
    </w:p>
    <w:p w14:paraId="57B17FF7"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4F8710D4"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O’Connor, S. (2014). World Wi</w:t>
      </w:r>
      <w:r>
        <w:rPr>
          <w:rFonts w:ascii="Times New Roman" w:eastAsia="Times New Roman" w:hAnsi="Times New Roman" w:cs="Times New Roman"/>
          <w:sz w:val="24"/>
          <w:szCs w:val="24"/>
        </w:rPr>
        <w:t xml:space="preserve">ll Have 13 “Super-Aged” Nations by 2020. </w:t>
      </w:r>
      <w:r>
        <w:rPr>
          <w:rFonts w:ascii="Times New Roman" w:eastAsia="Times New Roman" w:hAnsi="Times New Roman" w:cs="Times New Roman"/>
          <w:i/>
          <w:sz w:val="24"/>
          <w:szCs w:val="24"/>
        </w:rPr>
        <w:t>Financial Times</w:t>
      </w:r>
      <w:r>
        <w:rPr>
          <w:rFonts w:ascii="Times New Roman" w:eastAsia="Times New Roman" w:hAnsi="Times New Roman" w:cs="Times New Roman"/>
          <w:sz w:val="24"/>
          <w:szCs w:val="24"/>
        </w:rPr>
        <w:t xml:space="preserve">. </w:t>
      </w:r>
    </w:p>
    <w:p w14:paraId="0B9D76A7" w14:textId="77777777" w:rsidR="00EA2518" w:rsidRDefault="00EA2518">
      <w:pPr>
        <w:pStyle w:val="normal0"/>
        <w:spacing w:line="240" w:lineRule="auto"/>
        <w:rPr>
          <w:rFonts w:ascii="Times New Roman" w:eastAsia="Times New Roman" w:hAnsi="Times New Roman" w:cs="Times New Roman"/>
          <w:sz w:val="24"/>
          <w:szCs w:val="24"/>
        </w:rPr>
      </w:pPr>
    </w:p>
    <w:p w14:paraId="32DD8BC8"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Piketty, T. (2017). </w:t>
      </w:r>
      <w:r>
        <w:rPr>
          <w:rFonts w:ascii="Times New Roman" w:eastAsia="Times New Roman" w:hAnsi="Times New Roman" w:cs="Times New Roman"/>
          <w:i/>
          <w:sz w:val="24"/>
          <w:szCs w:val="24"/>
        </w:rPr>
        <w:t>Capital in the Twenty-First Century</w:t>
      </w:r>
      <w:r>
        <w:rPr>
          <w:rFonts w:ascii="Times New Roman" w:eastAsia="Times New Roman" w:hAnsi="Times New Roman" w:cs="Times New Roman"/>
          <w:sz w:val="24"/>
          <w:szCs w:val="24"/>
        </w:rPr>
        <w:t xml:space="preserve">. Cambridge, MA: Belknap Press: An </w:t>
      </w:r>
    </w:p>
    <w:p w14:paraId="78484A73"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Imprint of Harvard University Press.</w:t>
      </w:r>
    </w:p>
    <w:p w14:paraId="085D12F8"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75AD6ADD"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Pfeffer, J. (1998) </w:t>
      </w:r>
      <w:r>
        <w:rPr>
          <w:rFonts w:ascii="Times New Roman" w:eastAsia="Times New Roman" w:hAnsi="Times New Roman" w:cs="Times New Roman"/>
          <w:i/>
          <w:sz w:val="24"/>
          <w:szCs w:val="24"/>
        </w:rPr>
        <w:t xml:space="preserve">The Human Equation: Building Profits by Putting </w:t>
      </w:r>
      <w:r>
        <w:rPr>
          <w:rFonts w:ascii="Times New Roman" w:eastAsia="Times New Roman" w:hAnsi="Times New Roman" w:cs="Times New Roman"/>
          <w:i/>
          <w:sz w:val="24"/>
          <w:szCs w:val="24"/>
        </w:rPr>
        <w:t>People First</w:t>
      </w:r>
      <w:r>
        <w:rPr>
          <w:rFonts w:ascii="Times New Roman" w:eastAsia="Times New Roman" w:hAnsi="Times New Roman" w:cs="Times New Roman"/>
          <w:sz w:val="24"/>
          <w:szCs w:val="24"/>
        </w:rPr>
        <w:t>. Cambridge,</w:t>
      </w:r>
    </w:p>
    <w:p w14:paraId="18E99806"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MA: Harvard Business School Press.</w:t>
      </w:r>
    </w:p>
    <w:p w14:paraId="5479DBD8" w14:textId="77777777" w:rsidR="00EA2518" w:rsidRDefault="00EA2518">
      <w:pPr>
        <w:pStyle w:val="normal0"/>
        <w:spacing w:line="240" w:lineRule="auto"/>
        <w:ind w:firstLine="720"/>
        <w:rPr>
          <w:rFonts w:ascii="Times New Roman" w:eastAsia="Times New Roman" w:hAnsi="Times New Roman" w:cs="Times New Roman"/>
          <w:sz w:val="24"/>
          <w:szCs w:val="24"/>
        </w:rPr>
      </w:pPr>
    </w:p>
    <w:p w14:paraId="61F3DA1D"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Rahman, K. S. (2016). From Economic Inequality to Economic Freedom: Constitutional Political </w:t>
      </w:r>
    </w:p>
    <w:p w14:paraId="630372E9"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Economy in the New Gilded Age. </w:t>
      </w:r>
      <w:r>
        <w:rPr>
          <w:rFonts w:ascii="Times New Roman" w:eastAsia="Times New Roman" w:hAnsi="Times New Roman" w:cs="Times New Roman"/>
          <w:i/>
          <w:sz w:val="24"/>
          <w:szCs w:val="24"/>
        </w:rPr>
        <w:t>Yale Law &amp; Policy Review</w:t>
      </w:r>
      <w:r>
        <w:rPr>
          <w:rFonts w:ascii="Times New Roman" w:eastAsia="Times New Roman" w:hAnsi="Times New Roman" w:cs="Times New Roman"/>
          <w:sz w:val="24"/>
          <w:szCs w:val="24"/>
        </w:rPr>
        <w:t xml:space="preserve">, 35(1), 321-336. </w:t>
      </w:r>
    </w:p>
    <w:p w14:paraId="165C2F76" w14:textId="77777777" w:rsidR="00EA2518" w:rsidRDefault="00EA2518">
      <w:pPr>
        <w:pStyle w:val="normal0"/>
        <w:spacing w:line="240" w:lineRule="auto"/>
        <w:rPr>
          <w:rFonts w:ascii="Times New Roman" w:eastAsia="Times New Roman" w:hAnsi="Times New Roman" w:cs="Times New Roman"/>
          <w:sz w:val="24"/>
          <w:szCs w:val="24"/>
        </w:rPr>
      </w:pPr>
    </w:p>
    <w:p w14:paraId="69957B09"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Ravikumar, B and Lin Shao.</w:t>
      </w:r>
      <w:r>
        <w:rPr>
          <w:rFonts w:ascii="Times New Roman" w:eastAsia="Times New Roman" w:hAnsi="Times New Roman" w:cs="Times New Roman"/>
          <w:sz w:val="24"/>
          <w:szCs w:val="24"/>
        </w:rPr>
        <w:t xml:space="preserve"> (2014). Accounting for Discouraged Workers in the Unemployment </w:t>
      </w:r>
    </w:p>
    <w:p w14:paraId="269DF8D0"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Rate. </w:t>
      </w:r>
      <w:r>
        <w:rPr>
          <w:rFonts w:ascii="Times New Roman" w:eastAsia="Times New Roman" w:hAnsi="Times New Roman" w:cs="Times New Roman"/>
          <w:i/>
          <w:sz w:val="24"/>
          <w:szCs w:val="24"/>
        </w:rPr>
        <w:t>Economic Synopses</w:t>
      </w:r>
      <w:r>
        <w:rPr>
          <w:rFonts w:ascii="Times New Roman" w:eastAsia="Times New Roman" w:hAnsi="Times New Roman" w:cs="Times New Roman"/>
          <w:sz w:val="24"/>
          <w:szCs w:val="24"/>
        </w:rPr>
        <w:t>. St. Louis, MO: Economic Research: Federal Reserve Bank of St. Louis.</w:t>
      </w:r>
    </w:p>
    <w:p w14:paraId="155F16A9"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w:t>
      </w:r>
    </w:p>
    <w:p w14:paraId="7BF515BA"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Salinas, S. (2018). Microsoft Will Start Requiring Partners and Suppliers to Offer Paid Famil</w:t>
      </w:r>
      <w:r>
        <w:rPr>
          <w:rFonts w:ascii="Times New Roman" w:eastAsia="Times New Roman" w:hAnsi="Times New Roman" w:cs="Times New Roman"/>
          <w:sz w:val="24"/>
          <w:szCs w:val="24"/>
        </w:rPr>
        <w:t xml:space="preserve">y </w:t>
      </w:r>
    </w:p>
    <w:p w14:paraId="044F7397"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Leave, and It Will Help Cover the Costs. </w:t>
      </w:r>
      <w:r>
        <w:rPr>
          <w:rFonts w:ascii="Times New Roman" w:eastAsia="Times New Roman" w:hAnsi="Times New Roman" w:cs="Times New Roman"/>
          <w:i/>
          <w:sz w:val="24"/>
          <w:szCs w:val="24"/>
        </w:rPr>
        <w:t>CNBC</w:t>
      </w:r>
      <w:r>
        <w:rPr>
          <w:rFonts w:ascii="Times New Roman" w:eastAsia="Times New Roman" w:hAnsi="Times New Roman" w:cs="Times New Roman"/>
          <w:sz w:val="24"/>
          <w:szCs w:val="24"/>
        </w:rPr>
        <w:t xml:space="preserve">. Retrieved from </w:t>
      </w:r>
      <w:hyperlink r:id="rId24">
        <w:r>
          <w:rPr>
            <w:rFonts w:ascii="Times New Roman" w:eastAsia="Times New Roman" w:hAnsi="Times New Roman" w:cs="Times New Roman"/>
            <w:color w:val="0000FF"/>
            <w:sz w:val="24"/>
            <w:szCs w:val="24"/>
            <w:u w:val="single"/>
          </w:rPr>
          <w:t>https://www.cnbc.com/ 2018/08/30/microsoft-will-require-partners-s</w:t>
        </w:r>
        <w:r>
          <w:rPr>
            <w:rFonts w:ascii="Times New Roman" w:eastAsia="Times New Roman" w:hAnsi="Times New Roman" w:cs="Times New Roman"/>
            <w:color w:val="0000FF"/>
            <w:sz w:val="24"/>
            <w:szCs w:val="24"/>
            <w:u w:val="single"/>
          </w:rPr>
          <w:t>uppliers-to-offer-paid-family-leave.html</w:t>
        </w:r>
      </w:hyperlink>
      <w:r>
        <w:rPr>
          <w:rFonts w:ascii="Times New Roman" w:eastAsia="Times New Roman" w:hAnsi="Times New Roman" w:cs="Times New Roman"/>
          <w:sz w:val="24"/>
          <w:szCs w:val="24"/>
        </w:rPr>
        <w:t>.  [Accessed 23 November 2019].</w:t>
      </w:r>
    </w:p>
    <w:p w14:paraId="7712146F" w14:textId="77777777" w:rsidR="00EA2518" w:rsidRDefault="00EA2518">
      <w:pPr>
        <w:pStyle w:val="normal0"/>
        <w:spacing w:line="240" w:lineRule="auto"/>
        <w:rPr>
          <w:rFonts w:ascii="Times New Roman" w:eastAsia="Times New Roman" w:hAnsi="Times New Roman" w:cs="Times New Roman"/>
          <w:sz w:val="24"/>
          <w:szCs w:val="24"/>
        </w:rPr>
      </w:pPr>
    </w:p>
    <w:p w14:paraId="0BA6E974"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Said, J. and Schleppenbach, D. (2003). Accessible User Interface and Navigation System and </w:t>
      </w:r>
    </w:p>
    <w:p w14:paraId="1D56B5D3"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Method. US20040218451A1. Retrieved from </w:t>
      </w:r>
      <w:hyperlink r:id="rId25" w:anchor="patentCitations">
        <w:r>
          <w:rPr>
            <w:rFonts w:ascii="Times New Roman" w:eastAsia="Times New Roman" w:hAnsi="Times New Roman" w:cs="Times New Roman"/>
            <w:color w:val="0000FF"/>
            <w:sz w:val="24"/>
            <w:szCs w:val="24"/>
            <w:u w:val="single"/>
          </w:rPr>
          <w:t>https://patents.google.com/patent/ US20040218451A1/en#patentCitations</w:t>
        </w:r>
      </w:hyperlink>
      <w:r>
        <w:rPr>
          <w:rFonts w:ascii="Times New Roman" w:eastAsia="Times New Roman" w:hAnsi="Times New Roman" w:cs="Times New Roman"/>
          <w:sz w:val="24"/>
          <w:szCs w:val="24"/>
        </w:rPr>
        <w:t>. [Accessed 23 November 2019].</w:t>
      </w:r>
    </w:p>
    <w:p w14:paraId="228A1959" w14:textId="77777777" w:rsidR="00EA2518" w:rsidRDefault="00EA2518">
      <w:pPr>
        <w:pStyle w:val="normal0"/>
        <w:spacing w:line="240" w:lineRule="auto"/>
        <w:rPr>
          <w:rFonts w:ascii="Times New Roman" w:eastAsia="Times New Roman" w:hAnsi="Times New Roman" w:cs="Times New Roman"/>
          <w:sz w:val="24"/>
          <w:szCs w:val="24"/>
        </w:rPr>
      </w:pPr>
    </w:p>
    <w:p w14:paraId="26FB3FE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Sanyal, C., Wilson, D., Sweeney, C., Jude, S.R., Kaur, S., &amp;</w:t>
      </w:r>
      <w:r>
        <w:rPr>
          <w:rFonts w:ascii="Times New Roman" w:eastAsia="Times New Roman" w:hAnsi="Times New Roman" w:cs="Times New Roman"/>
          <w:sz w:val="24"/>
          <w:szCs w:val="24"/>
        </w:rPr>
        <w:t xml:space="preserve"> Yates, C. (2015). Diversity and </w:t>
      </w:r>
    </w:p>
    <w:p w14:paraId="0FD043B6"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Depend on Effective Engagement. </w:t>
      </w:r>
      <w:r>
        <w:rPr>
          <w:rFonts w:ascii="Times New Roman" w:eastAsia="Times New Roman" w:hAnsi="Times New Roman" w:cs="Times New Roman"/>
          <w:i/>
          <w:sz w:val="24"/>
          <w:szCs w:val="24"/>
        </w:rPr>
        <w:t>Human Resource Management International Digest</w:t>
      </w:r>
      <w:r>
        <w:rPr>
          <w:rFonts w:ascii="Times New Roman" w:eastAsia="Times New Roman" w:hAnsi="Times New Roman" w:cs="Times New Roman"/>
          <w:sz w:val="24"/>
          <w:szCs w:val="24"/>
        </w:rPr>
        <w:t xml:space="preserve">, 23(5), 21-24. </w:t>
      </w:r>
    </w:p>
    <w:p w14:paraId="43C26413" w14:textId="77777777" w:rsidR="00EA2518" w:rsidRDefault="00EA2518">
      <w:pPr>
        <w:pStyle w:val="normal0"/>
        <w:spacing w:line="240" w:lineRule="auto"/>
        <w:rPr>
          <w:rFonts w:ascii="Times New Roman" w:eastAsia="Times New Roman" w:hAnsi="Times New Roman" w:cs="Times New Roman"/>
          <w:sz w:val="24"/>
          <w:szCs w:val="24"/>
        </w:rPr>
      </w:pPr>
    </w:p>
    <w:p w14:paraId="13860745"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Sawaya, F. (2008). Capitalism and Philanthropy in the (New) Gilded Age. </w:t>
      </w:r>
      <w:r>
        <w:rPr>
          <w:rFonts w:ascii="Times New Roman" w:eastAsia="Times New Roman" w:hAnsi="Times New Roman" w:cs="Times New Roman"/>
          <w:i/>
          <w:sz w:val="24"/>
          <w:szCs w:val="24"/>
        </w:rPr>
        <w:t xml:space="preserve">American Quarterly </w:t>
      </w:r>
    </w:p>
    <w:p w14:paraId="17D197CB"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Journal</w:t>
      </w:r>
      <w:r>
        <w:rPr>
          <w:rFonts w:ascii="Times New Roman" w:eastAsia="Times New Roman" w:hAnsi="Times New Roman" w:cs="Times New Roman"/>
          <w:sz w:val="24"/>
          <w:szCs w:val="24"/>
        </w:rPr>
        <w:t>, 60(1), 201-2013</w:t>
      </w:r>
      <w:r>
        <w:rPr>
          <w:rFonts w:ascii="Times New Roman" w:eastAsia="Times New Roman" w:hAnsi="Times New Roman" w:cs="Times New Roman"/>
          <w:sz w:val="24"/>
          <w:szCs w:val="24"/>
        </w:rPr>
        <w:t xml:space="preserve">. Retrieved from </w:t>
      </w:r>
      <w:hyperlink r:id="rId26">
        <w:r>
          <w:rPr>
            <w:rFonts w:ascii="Times New Roman" w:eastAsia="Times New Roman" w:hAnsi="Times New Roman" w:cs="Times New Roman"/>
            <w:color w:val="1155CC"/>
            <w:sz w:val="24"/>
            <w:szCs w:val="24"/>
            <w:u w:val="single"/>
          </w:rPr>
          <w:t>https://www.jstor.org/stable/40068507</w:t>
        </w:r>
      </w:hyperlink>
      <w:r>
        <w:rPr>
          <w:rFonts w:ascii="Times New Roman" w:eastAsia="Times New Roman" w:hAnsi="Times New Roman" w:cs="Times New Roman"/>
          <w:sz w:val="24"/>
          <w:szCs w:val="24"/>
        </w:rPr>
        <w:t xml:space="preserve">. [Accessed 10 November 2019].  </w:t>
      </w:r>
    </w:p>
    <w:p w14:paraId="5EB90349" w14:textId="77777777" w:rsidR="00EA2518" w:rsidRDefault="00EA2518">
      <w:pPr>
        <w:pStyle w:val="normal0"/>
        <w:spacing w:line="240" w:lineRule="auto"/>
        <w:rPr>
          <w:rFonts w:ascii="Times New Roman" w:eastAsia="Times New Roman" w:hAnsi="Times New Roman" w:cs="Times New Roman"/>
          <w:sz w:val="24"/>
          <w:szCs w:val="24"/>
        </w:rPr>
      </w:pPr>
    </w:p>
    <w:p w14:paraId="7ABFFEBA"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Schrecker, T. (2017). A New Gilded Age, and What It Means for Global Health: Comment on </w:t>
      </w:r>
    </w:p>
    <w:p w14:paraId="329C2566"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‘Global Health Governa</w:t>
      </w:r>
      <w:r>
        <w:rPr>
          <w:rFonts w:ascii="Times New Roman" w:eastAsia="Times New Roman" w:hAnsi="Times New Roman" w:cs="Times New Roman"/>
          <w:sz w:val="24"/>
          <w:szCs w:val="24"/>
        </w:rPr>
        <w:t xml:space="preserve">nce Challenges 2016 - Are We Ready?’. </w:t>
      </w:r>
      <w:r>
        <w:rPr>
          <w:rFonts w:ascii="Times New Roman" w:eastAsia="Times New Roman" w:hAnsi="Times New Roman" w:cs="Times New Roman"/>
          <w:i/>
          <w:sz w:val="24"/>
          <w:szCs w:val="24"/>
        </w:rPr>
        <w:t>International Journal of Health Policy Management</w:t>
      </w:r>
      <w:r>
        <w:rPr>
          <w:rFonts w:ascii="Times New Roman" w:eastAsia="Times New Roman" w:hAnsi="Times New Roman" w:cs="Times New Roman"/>
          <w:sz w:val="24"/>
          <w:szCs w:val="24"/>
        </w:rPr>
        <w:t xml:space="preserve">, 6(3), 169-171. </w:t>
      </w:r>
    </w:p>
    <w:p w14:paraId="2B538F66" w14:textId="77777777" w:rsidR="00EA2518" w:rsidRDefault="00EA2518">
      <w:pPr>
        <w:pStyle w:val="normal0"/>
        <w:spacing w:line="240" w:lineRule="auto"/>
        <w:rPr>
          <w:rFonts w:ascii="Times New Roman" w:eastAsia="Times New Roman" w:hAnsi="Times New Roman" w:cs="Times New Roman"/>
          <w:sz w:val="24"/>
          <w:szCs w:val="24"/>
        </w:rPr>
      </w:pPr>
    </w:p>
    <w:p w14:paraId="3FB111A0"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Stock, S.E., Davies, D.K., Wehmeyer, M.L., and Palmer, S.B. (2008). Evaluation of Cognitively </w:t>
      </w:r>
    </w:p>
    <w:p w14:paraId="06FDEB3D"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Accessible Software to Increase Independent Access to C</w:t>
      </w:r>
      <w:r>
        <w:rPr>
          <w:rFonts w:ascii="Times New Roman" w:eastAsia="Times New Roman" w:hAnsi="Times New Roman" w:cs="Times New Roman"/>
          <w:sz w:val="24"/>
          <w:szCs w:val="24"/>
        </w:rPr>
        <w:t xml:space="preserve">ellphone Technology for People with Intellectual Disability. </w:t>
      </w:r>
      <w:r>
        <w:rPr>
          <w:rFonts w:ascii="Times New Roman" w:eastAsia="Times New Roman" w:hAnsi="Times New Roman" w:cs="Times New Roman"/>
          <w:i/>
          <w:sz w:val="24"/>
          <w:szCs w:val="24"/>
        </w:rPr>
        <w:t>Journal of Intellectual Disability Research, 52</w:t>
      </w:r>
      <w:r>
        <w:rPr>
          <w:rFonts w:ascii="Times New Roman" w:eastAsia="Times New Roman" w:hAnsi="Times New Roman" w:cs="Times New Roman"/>
          <w:sz w:val="24"/>
          <w:szCs w:val="24"/>
        </w:rPr>
        <w:t xml:space="preserve">(12), 1155-1164. Retrieved from </w:t>
      </w:r>
      <w:hyperlink r:id="rId27">
        <w:r>
          <w:rPr>
            <w:rFonts w:ascii="Times New Roman" w:eastAsia="Times New Roman" w:hAnsi="Times New Roman" w:cs="Times New Roman"/>
            <w:color w:val="0000FF"/>
            <w:sz w:val="24"/>
            <w:szCs w:val="24"/>
            <w:u w:val="single"/>
          </w:rPr>
          <w:t>https://doi.org/10.1111/j.1365-2788.2008.01099.x</w:t>
        </w:r>
      </w:hyperlink>
      <w:r>
        <w:rPr>
          <w:rFonts w:ascii="Times New Roman" w:eastAsia="Times New Roman" w:hAnsi="Times New Roman" w:cs="Times New Roman"/>
          <w:sz w:val="24"/>
          <w:szCs w:val="24"/>
        </w:rPr>
        <w:t>. [Accessed 23 November 2019].</w:t>
      </w:r>
    </w:p>
    <w:p w14:paraId="56363AE8" w14:textId="77777777" w:rsidR="00EA2518" w:rsidRDefault="00EA2518">
      <w:pPr>
        <w:pStyle w:val="normal0"/>
        <w:spacing w:line="240" w:lineRule="auto"/>
        <w:rPr>
          <w:rFonts w:ascii="Times New Roman" w:eastAsia="Times New Roman" w:hAnsi="Times New Roman" w:cs="Times New Roman"/>
          <w:sz w:val="24"/>
          <w:szCs w:val="24"/>
        </w:rPr>
      </w:pPr>
    </w:p>
    <w:p w14:paraId="797EB583"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Tanner, J. and Raymond, M.A. (2010). How Markets are Segmented. </w:t>
      </w:r>
      <w:r>
        <w:rPr>
          <w:rFonts w:ascii="Times New Roman" w:eastAsia="Times New Roman" w:hAnsi="Times New Roman" w:cs="Times New Roman"/>
          <w:i/>
          <w:sz w:val="24"/>
          <w:szCs w:val="24"/>
        </w:rPr>
        <w:t>Principles of Marketing</w:t>
      </w:r>
      <w:r>
        <w:rPr>
          <w:rFonts w:ascii="Times New Roman" w:eastAsia="Times New Roman" w:hAnsi="Times New Roman" w:cs="Times New Roman"/>
          <w:sz w:val="24"/>
          <w:szCs w:val="24"/>
        </w:rPr>
        <w:t xml:space="preserve">. </w:t>
      </w:r>
    </w:p>
    <w:p w14:paraId="0D065DA0"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Boston: FlatWorld.  </w:t>
      </w:r>
    </w:p>
    <w:p w14:paraId="4842807E" w14:textId="77777777" w:rsidR="00EA2518" w:rsidRDefault="00EA2518">
      <w:pPr>
        <w:pStyle w:val="normal0"/>
        <w:spacing w:line="240" w:lineRule="auto"/>
        <w:rPr>
          <w:rFonts w:ascii="Times New Roman" w:eastAsia="Times New Roman" w:hAnsi="Times New Roman" w:cs="Times New Roman"/>
          <w:sz w:val="24"/>
          <w:szCs w:val="24"/>
        </w:rPr>
      </w:pPr>
    </w:p>
    <w:p w14:paraId="3A48328C"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Temin, P. (2017). </w:t>
      </w:r>
      <w:r>
        <w:rPr>
          <w:rFonts w:ascii="Times New Roman" w:eastAsia="Times New Roman" w:hAnsi="Times New Roman" w:cs="Times New Roman"/>
          <w:i/>
          <w:sz w:val="24"/>
          <w:szCs w:val="24"/>
        </w:rPr>
        <w:t xml:space="preserve">The Vanishing Middle Class: Prejudice and Power in a Dual Economy. </w:t>
      </w:r>
    </w:p>
    <w:p w14:paraId="7EC7F75A"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Cambridge: MIT Press.</w:t>
      </w:r>
    </w:p>
    <w:p w14:paraId="5869375F" w14:textId="77777777" w:rsidR="00EA2518" w:rsidRDefault="00EA2518">
      <w:pPr>
        <w:pStyle w:val="normal0"/>
        <w:spacing w:line="240" w:lineRule="auto"/>
        <w:rPr>
          <w:rFonts w:ascii="Times New Roman" w:eastAsia="Times New Roman" w:hAnsi="Times New Roman" w:cs="Times New Roman"/>
          <w:sz w:val="24"/>
          <w:szCs w:val="24"/>
        </w:rPr>
      </w:pPr>
    </w:p>
    <w:p w14:paraId="577E2521"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Trompenaars F and Turner C.H. (1997). </w:t>
      </w:r>
      <w:r>
        <w:rPr>
          <w:rFonts w:ascii="Times New Roman" w:eastAsia="Times New Roman" w:hAnsi="Times New Roman" w:cs="Times New Roman"/>
          <w:i/>
          <w:sz w:val="24"/>
          <w:szCs w:val="24"/>
        </w:rPr>
        <w:t xml:space="preserve">Riding the Waves of Culture: Understanding Cultural </w:t>
      </w:r>
    </w:p>
    <w:p w14:paraId="1D63593A"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Diversity in Business</w:t>
      </w:r>
      <w:r>
        <w:rPr>
          <w:rFonts w:ascii="Times New Roman" w:eastAsia="Times New Roman" w:hAnsi="Times New Roman" w:cs="Times New Roman"/>
          <w:sz w:val="24"/>
          <w:szCs w:val="24"/>
        </w:rPr>
        <w:t xml:space="preserve">. London: Nicholas Brealey Publishing Ltd. </w:t>
      </w:r>
    </w:p>
    <w:p w14:paraId="0762D1AD" w14:textId="77777777" w:rsidR="00EA2518" w:rsidRDefault="00EA2518">
      <w:pPr>
        <w:pStyle w:val="normal0"/>
        <w:spacing w:line="240" w:lineRule="auto"/>
        <w:rPr>
          <w:rFonts w:ascii="Times New Roman" w:eastAsia="Times New Roman" w:hAnsi="Times New Roman" w:cs="Times New Roman"/>
          <w:sz w:val="24"/>
          <w:szCs w:val="24"/>
        </w:rPr>
      </w:pPr>
    </w:p>
    <w:p w14:paraId="751297E3"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Turner, P. and Kalman, D. (2014). </w:t>
      </w:r>
      <w:r>
        <w:rPr>
          <w:rFonts w:ascii="Times New Roman" w:eastAsia="Times New Roman" w:hAnsi="Times New Roman" w:cs="Times New Roman"/>
          <w:i/>
          <w:sz w:val="24"/>
          <w:szCs w:val="24"/>
        </w:rPr>
        <w:t xml:space="preserve">Make Your People Before You Make Your Products: Using </w:t>
      </w:r>
    </w:p>
    <w:p w14:paraId="6559C896"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Talent Man</w:t>
      </w:r>
      <w:r>
        <w:rPr>
          <w:rFonts w:ascii="Times New Roman" w:eastAsia="Times New Roman" w:hAnsi="Times New Roman" w:cs="Times New Roman"/>
          <w:i/>
          <w:sz w:val="24"/>
          <w:szCs w:val="24"/>
        </w:rPr>
        <w:t>agement to Achieve Competitive Advantage in Global Organizations</w:t>
      </w:r>
      <w:r>
        <w:rPr>
          <w:rFonts w:ascii="Times New Roman" w:eastAsia="Times New Roman" w:hAnsi="Times New Roman" w:cs="Times New Roman"/>
          <w:sz w:val="24"/>
          <w:szCs w:val="24"/>
        </w:rPr>
        <w:t>. Chichester: Wiley.</w:t>
      </w:r>
    </w:p>
    <w:p w14:paraId="40711CB3" w14:textId="77777777" w:rsidR="00EA2518" w:rsidRDefault="00EA2518">
      <w:pPr>
        <w:pStyle w:val="normal0"/>
        <w:spacing w:line="240" w:lineRule="auto"/>
        <w:ind w:left="720"/>
        <w:rPr>
          <w:rFonts w:ascii="Times New Roman" w:eastAsia="Times New Roman" w:hAnsi="Times New Roman" w:cs="Times New Roman"/>
          <w:sz w:val="24"/>
          <w:szCs w:val="24"/>
        </w:rPr>
      </w:pPr>
    </w:p>
    <w:p w14:paraId="4E66E2AE"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Vallaster, C., Lindgreen, A., &amp; Maon, F. (2012). Strategically Leveraging Corporate Social </w:t>
      </w:r>
    </w:p>
    <w:p w14:paraId="5C131D61" w14:textId="77777777" w:rsidR="00EA2518" w:rsidRDefault="00471E2D">
      <w:pPr>
        <w:pStyle w:val="normal0"/>
        <w:spacing w:line="240" w:lineRule="auto"/>
        <w:ind w:firstLine="720"/>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Responsibility: A Corporate Branding Perspective. </w:t>
      </w:r>
      <w:r>
        <w:rPr>
          <w:rFonts w:ascii="Times New Roman" w:eastAsia="Times New Roman" w:hAnsi="Times New Roman" w:cs="Times New Roman"/>
          <w:i/>
          <w:sz w:val="24"/>
          <w:szCs w:val="24"/>
        </w:rPr>
        <w:t>California Management Review</w:t>
      </w:r>
      <w:r>
        <w:rPr>
          <w:rFonts w:ascii="Times New Roman" w:eastAsia="Times New Roman" w:hAnsi="Times New Roman" w:cs="Times New Roman"/>
          <w:i/>
          <w:sz w:val="24"/>
          <w:szCs w:val="24"/>
        </w:rPr>
        <w:t xml:space="preserve">, </w:t>
      </w:r>
    </w:p>
    <w:p w14:paraId="645AE8DA"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54</w:t>
      </w:r>
      <w:r>
        <w:rPr>
          <w:rFonts w:ascii="Times New Roman" w:eastAsia="Times New Roman" w:hAnsi="Times New Roman" w:cs="Times New Roman"/>
          <w:sz w:val="24"/>
          <w:szCs w:val="24"/>
        </w:rPr>
        <w:t xml:space="preserve">(3). Retrieved from: </w:t>
      </w:r>
      <w:hyperlink r:id="rId28">
        <w:r>
          <w:rPr>
            <w:rFonts w:ascii="Times New Roman" w:eastAsia="Times New Roman" w:hAnsi="Times New Roman" w:cs="Times New Roman"/>
            <w:color w:val="0000FF"/>
            <w:sz w:val="24"/>
            <w:szCs w:val="24"/>
            <w:u w:val="single"/>
          </w:rPr>
          <w:t>https://doi.org/10.1525/cmr.2012.54.3.34</w:t>
        </w:r>
      </w:hyperlink>
      <w:r>
        <w:rPr>
          <w:rFonts w:ascii="Times New Roman" w:eastAsia="Times New Roman" w:hAnsi="Times New Roman" w:cs="Times New Roman"/>
          <w:sz w:val="24"/>
          <w:szCs w:val="24"/>
        </w:rPr>
        <w:t>. [Accessed 19 October 2019].</w:t>
      </w:r>
    </w:p>
    <w:p w14:paraId="0EA3F280" w14:textId="77777777" w:rsidR="00EA2518" w:rsidRDefault="00EA2518">
      <w:pPr>
        <w:pStyle w:val="normal0"/>
        <w:spacing w:line="240" w:lineRule="auto"/>
        <w:rPr>
          <w:rFonts w:ascii="Times New Roman" w:eastAsia="Times New Roman" w:hAnsi="Times New Roman" w:cs="Times New Roman"/>
          <w:sz w:val="24"/>
          <w:szCs w:val="24"/>
        </w:rPr>
      </w:pPr>
    </w:p>
    <w:p w14:paraId="429AE347"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Van Tulder, R. and Van der Zwart, A. (2005). </w:t>
      </w:r>
      <w:r>
        <w:rPr>
          <w:rFonts w:ascii="Times New Roman" w:eastAsia="Times New Roman" w:hAnsi="Times New Roman" w:cs="Times New Roman"/>
          <w:i/>
          <w:sz w:val="24"/>
          <w:szCs w:val="24"/>
        </w:rPr>
        <w:t>International Business – Society</w:t>
      </w:r>
    </w:p>
    <w:p w14:paraId="4B0DFF45"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Management: Linking Corporate Responsibility and Globalization</w:t>
      </w:r>
      <w:r>
        <w:rPr>
          <w:rFonts w:ascii="Times New Roman" w:eastAsia="Times New Roman" w:hAnsi="Times New Roman" w:cs="Times New Roman"/>
          <w:sz w:val="24"/>
          <w:szCs w:val="24"/>
        </w:rPr>
        <w:t xml:space="preserve">, Routledge. </w:t>
      </w:r>
    </w:p>
    <w:p w14:paraId="7306EA28" w14:textId="77777777" w:rsidR="00EA2518" w:rsidRDefault="00EA2518">
      <w:pPr>
        <w:pStyle w:val="normal0"/>
        <w:spacing w:line="240" w:lineRule="auto"/>
        <w:rPr>
          <w:rFonts w:ascii="Times New Roman" w:eastAsia="Times New Roman" w:hAnsi="Times New Roman" w:cs="Times New Roman"/>
          <w:sz w:val="24"/>
          <w:szCs w:val="24"/>
        </w:rPr>
      </w:pPr>
    </w:p>
    <w:p w14:paraId="6B51F68A"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Varner, I.I. &amp; Beamer, L. (2011). </w:t>
      </w:r>
      <w:r>
        <w:rPr>
          <w:rFonts w:ascii="Times New Roman" w:eastAsia="Times New Roman" w:hAnsi="Times New Roman" w:cs="Times New Roman"/>
          <w:i/>
          <w:sz w:val="24"/>
          <w:szCs w:val="24"/>
        </w:rPr>
        <w:t>Intercultural Communication in the Global Workplace</w:t>
      </w:r>
      <w:r>
        <w:rPr>
          <w:rFonts w:ascii="Times New Roman" w:eastAsia="Times New Roman" w:hAnsi="Times New Roman" w:cs="Times New Roman"/>
          <w:sz w:val="24"/>
          <w:szCs w:val="24"/>
        </w:rPr>
        <w:t xml:space="preserve">. New </w:t>
      </w:r>
    </w:p>
    <w:p w14:paraId="426C0FA2"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York: McGraw-Hill. </w:t>
      </w:r>
    </w:p>
    <w:p w14:paraId="46A08B4C" w14:textId="77777777" w:rsidR="00EA2518" w:rsidRDefault="00EA2518">
      <w:pPr>
        <w:pStyle w:val="normal0"/>
        <w:spacing w:line="240" w:lineRule="auto"/>
        <w:rPr>
          <w:rFonts w:ascii="Times New Roman" w:eastAsia="Times New Roman" w:hAnsi="Times New Roman" w:cs="Times New Roman"/>
          <w:sz w:val="24"/>
          <w:szCs w:val="24"/>
        </w:rPr>
      </w:pPr>
    </w:p>
    <w:p w14:paraId="180CCD76"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Vasconcelos, A.F. (2017). Organizational Diversity Commitment: A W</w:t>
      </w:r>
      <w:r>
        <w:rPr>
          <w:rFonts w:ascii="Times New Roman" w:eastAsia="Times New Roman" w:hAnsi="Times New Roman" w:cs="Times New Roman"/>
          <w:sz w:val="24"/>
          <w:szCs w:val="24"/>
        </w:rPr>
        <w:t xml:space="preserve">eb-Based Investigation. </w:t>
      </w:r>
    </w:p>
    <w:p w14:paraId="3E32DC18"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Management &amp; Marketing: Challenges for the Knowledge Society</w:t>
      </w:r>
      <w:r>
        <w:rPr>
          <w:rFonts w:ascii="Times New Roman" w:eastAsia="Times New Roman" w:hAnsi="Times New Roman" w:cs="Times New Roman"/>
          <w:sz w:val="24"/>
          <w:szCs w:val="24"/>
        </w:rPr>
        <w:t xml:space="preserve">, 12(3), 474-499. </w:t>
      </w:r>
    </w:p>
    <w:p w14:paraId="40324F59" w14:textId="77777777" w:rsidR="00EA2518" w:rsidRDefault="00EA2518">
      <w:pPr>
        <w:pStyle w:val="normal0"/>
        <w:spacing w:line="240" w:lineRule="auto"/>
        <w:rPr>
          <w:rFonts w:ascii="Times New Roman" w:eastAsia="Times New Roman" w:hAnsi="Times New Roman" w:cs="Times New Roman"/>
          <w:sz w:val="24"/>
          <w:szCs w:val="24"/>
        </w:rPr>
      </w:pPr>
    </w:p>
    <w:p w14:paraId="651ADFDF"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Velasco, M. &amp; Sansone, C. (2019). Resistance to Diversity and Inclusion Change Initiatives: </w:t>
      </w:r>
    </w:p>
    <w:p w14:paraId="530B6659"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Strategies for Transformational Leaders. </w:t>
      </w:r>
      <w:r>
        <w:rPr>
          <w:rFonts w:ascii="Times New Roman" w:eastAsia="Times New Roman" w:hAnsi="Times New Roman" w:cs="Times New Roman"/>
          <w:i/>
          <w:sz w:val="24"/>
          <w:szCs w:val="24"/>
        </w:rPr>
        <w:t>Organization Deve</w:t>
      </w:r>
      <w:r>
        <w:rPr>
          <w:rFonts w:ascii="Times New Roman" w:eastAsia="Times New Roman" w:hAnsi="Times New Roman" w:cs="Times New Roman"/>
          <w:i/>
          <w:sz w:val="24"/>
          <w:szCs w:val="24"/>
        </w:rPr>
        <w:t>lopment Journal</w:t>
      </w:r>
      <w:r>
        <w:rPr>
          <w:rFonts w:ascii="Times New Roman" w:eastAsia="Times New Roman" w:hAnsi="Times New Roman" w:cs="Times New Roman"/>
          <w:sz w:val="24"/>
          <w:szCs w:val="24"/>
        </w:rPr>
        <w:t xml:space="preserve">, Fall 2019, 9-20. </w:t>
      </w:r>
    </w:p>
    <w:p w14:paraId="7762333A" w14:textId="77777777" w:rsidR="00EA2518" w:rsidRDefault="00EA2518">
      <w:pPr>
        <w:pStyle w:val="normal0"/>
        <w:spacing w:line="240" w:lineRule="auto"/>
        <w:rPr>
          <w:rFonts w:ascii="Times New Roman" w:eastAsia="Times New Roman" w:hAnsi="Times New Roman" w:cs="Times New Roman"/>
          <w:sz w:val="24"/>
          <w:szCs w:val="24"/>
        </w:rPr>
      </w:pPr>
    </w:p>
    <w:p w14:paraId="0D54428B" w14:textId="77777777" w:rsidR="00EA2518" w:rsidRDefault="00471E2D">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Vowel, S. (2017). </w:t>
      </w:r>
      <w:r>
        <w:rPr>
          <w:rFonts w:ascii="Times New Roman" w:eastAsia="Times New Roman" w:hAnsi="Times New Roman" w:cs="Times New Roman"/>
          <w:i/>
          <w:sz w:val="24"/>
          <w:szCs w:val="24"/>
        </w:rPr>
        <w:t xml:space="preserve">Hacking Supplier Diversity: Cracking the Code for the Business Case: </w:t>
      </w:r>
    </w:p>
    <w:p w14:paraId="74897562"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Revenue Generation, Economic Impact, and Return on Investment</w:t>
      </w:r>
      <w:r>
        <w:rPr>
          <w:rFonts w:ascii="Times New Roman" w:eastAsia="Times New Roman" w:hAnsi="Times New Roman" w:cs="Times New Roman"/>
          <w:sz w:val="24"/>
          <w:szCs w:val="24"/>
        </w:rPr>
        <w:t xml:space="preserve">. Institute for Thought </w:t>
      </w:r>
    </w:p>
    <w:p w14:paraId="586914DB"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w:t>
      </w:r>
    </w:p>
    <w:p w14:paraId="5251F0E5" w14:textId="77777777" w:rsidR="00EA2518" w:rsidRDefault="00EA2518">
      <w:pPr>
        <w:pStyle w:val="normal0"/>
        <w:spacing w:line="240" w:lineRule="auto"/>
        <w:rPr>
          <w:rFonts w:ascii="Times New Roman" w:eastAsia="Times New Roman" w:hAnsi="Times New Roman" w:cs="Times New Roman"/>
          <w:sz w:val="24"/>
          <w:szCs w:val="24"/>
        </w:rPr>
      </w:pPr>
    </w:p>
    <w:p w14:paraId="2C936B24"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Wagner, E. (2013). America’s New </w:t>
      </w:r>
      <w:r>
        <w:rPr>
          <w:rFonts w:ascii="Times New Roman" w:eastAsia="Times New Roman" w:hAnsi="Times New Roman" w:cs="Times New Roman"/>
          <w:sz w:val="24"/>
          <w:szCs w:val="24"/>
        </w:rPr>
        <w:t xml:space="preserve">Gilded Age: A Review of Chrystia Freeland’s Plutocrats and </w:t>
      </w:r>
    </w:p>
    <w:p w14:paraId="2E8217C6"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Christopher Hayes’s Twilight of the Elites. </w:t>
      </w:r>
      <w:r>
        <w:rPr>
          <w:rFonts w:ascii="Times New Roman" w:eastAsia="Times New Roman" w:hAnsi="Times New Roman" w:cs="Times New Roman"/>
          <w:i/>
          <w:sz w:val="24"/>
          <w:szCs w:val="24"/>
        </w:rPr>
        <w:t>Kennedy School Review</w:t>
      </w:r>
      <w:r>
        <w:rPr>
          <w:rFonts w:ascii="Times New Roman" w:eastAsia="Times New Roman" w:hAnsi="Times New Roman" w:cs="Times New Roman"/>
          <w:sz w:val="24"/>
          <w:szCs w:val="24"/>
        </w:rPr>
        <w:t xml:space="preserve">. Retrieved from: </w:t>
      </w:r>
      <w:hyperlink r:id="rId29">
        <w:r>
          <w:rPr>
            <w:rFonts w:ascii="Times New Roman" w:eastAsia="Times New Roman" w:hAnsi="Times New Roman" w:cs="Times New Roman"/>
            <w:color w:val="1155CC"/>
            <w:sz w:val="24"/>
            <w:szCs w:val="24"/>
            <w:u w:val="single"/>
          </w:rPr>
          <w:t>https://ksr.hkspublications.org/2013/05/02/americas-new-gilded-age-a-review-of-chrystia-freelands-plutocrats-and-christopher-hayess-twilight-of-the-elites/</w:t>
        </w:r>
      </w:hyperlink>
      <w:r>
        <w:rPr>
          <w:rFonts w:ascii="Times New Roman" w:eastAsia="Times New Roman" w:hAnsi="Times New Roman" w:cs="Times New Roman"/>
          <w:sz w:val="24"/>
          <w:szCs w:val="24"/>
        </w:rPr>
        <w:t xml:space="preserve">. [Accessed 9 November 2019]. </w:t>
      </w:r>
    </w:p>
    <w:p w14:paraId="4FD6DCA6" w14:textId="77777777" w:rsidR="00EA2518" w:rsidRDefault="00EA2518">
      <w:pPr>
        <w:pStyle w:val="normal0"/>
        <w:spacing w:line="240" w:lineRule="auto"/>
        <w:rPr>
          <w:rFonts w:ascii="Times New Roman" w:eastAsia="Times New Roman" w:hAnsi="Times New Roman" w:cs="Times New Roman"/>
          <w:sz w:val="24"/>
          <w:szCs w:val="24"/>
        </w:rPr>
      </w:pPr>
    </w:p>
    <w:p w14:paraId="00DB9E5B"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Whitfield, G. &amp; Landeros, R. (2006). Supplier Diversity Effectiveness: Does Organizational </w:t>
      </w:r>
    </w:p>
    <w:p w14:paraId="0456B891" w14:textId="77777777" w:rsidR="00EA2518" w:rsidRDefault="00471E2D">
      <w:pPr>
        <w:pStyle w:val="normal0"/>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Really Matter? </w:t>
      </w:r>
      <w:r>
        <w:rPr>
          <w:rFonts w:ascii="Times New Roman" w:eastAsia="Times New Roman" w:hAnsi="Times New Roman" w:cs="Times New Roman"/>
          <w:i/>
          <w:sz w:val="24"/>
          <w:szCs w:val="24"/>
        </w:rPr>
        <w:t>Journal of Supply Chain Management, 42</w:t>
      </w:r>
      <w:r>
        <w:rPr>
          <w:rFonts w:ascii="Times New Roman" w:eastAsia="Times New Roman" w:hAnsi="Times New Roman" w:cs="Times New Roman"/>
          <w:sz w:val="24"/>
          <w:szCs w:val="24"/>
        </w:rPr>
        <w:t xml:space="preserve">(4), 16-28. Retrieved </w:t>
      </w:r>
    </w:p>
    <w:p w14:paraId="0DF34C4D" w14:textId="77777777" w:rsidR="00EA2518" w:rsidRDefault="00471E2D">
      <w:pPr>
        <w:pStyle w:val="normal0"/>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hyperlink r:id="rId30">
        <w:r>
          <w:rPr>
            <w:rFonts w:ascii="Times New Roman" w:eastAsia="Times New Roman" w:hAnsi="Times New Roman" w:cs="Times New Roman"/>
            <w:color w:val="0000FF"/>
            <w:sz w:val="24"/>
            <w:szCs w:val="24"/>
            <w:u w:val="single"/>
          </w:rPr>
          <w:t>https:/</w:t>
        </w:r>
        <w:r>
          <w:rPr>
            <w:rFonts w:ascii="Times New Roman" w:eastAsia="Times New Roman" w:hAnsi="Times New Roman" w:cs="Times New Roman"/>
            <w:color w:val="0000FF"/>
            <w:sz w:val="24"/>
            <w:szCs w:val="24"/>
            <w:u w:val="single"/>
          </w:rPr>
          <w:t>/doi.org/10.1111/j.1745-493X.2006.00019.x</w:t>
        </w:r>
      </w:hyperlink>
      <w:r>
        <w:rPr>
          <w:rFonts w:ascii="Times New Roman" w:eastAsia="Times New Roman" w:hAnsi="Times New Roman" w:cs="Times New Roman"/>
          <w:sz w:val="24"/>
          <w:szCs w:val="24"/>
        </w:rPr>
        <w:t>.  [Accessed 16 October 2019].</w:t>
      </w:r>
    </w:p>
    <w:p w14:paraId="49C2D8BB" w14:textId="77777777" w:rsidR="00EA2518" w:rsidRDefault="00EA2518">
      <w:pPr>
        <w:pStyle w:val="normal0"/>
        <w:spacing w:line="240" w:lineRule="auto"/>
        <w:rPr>
          <w:rFonts w:ascii="Times New Roman" w:eastAsia="Times New Roman" w:hAnsi="Times New Roman" w:cs="Times New Roman"/>
          <w:sz w:val="24"/>
          <w:szCs w:val="24"/>
        </w:rPr>
      </w:pPr>
    </w:p>
    <w:p w14:paraId="530165B1" w14:textId="77777777" w:rsidR="00EA2518" w:rsidRDefault="00471E2D">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Worthington, I., Ram, M., Boyal, H., and Shah, M. (2008). Researching the Drivers of Socially </w:t>
      </w:r>
    </w:p>
    <w:p w14:paraId="77A70898" w14:textId="77777777" w:rsidR="00EA2518" w:rsidRDefault="00471E2D">
      <w:pPr>
        <w:pStyle w:val="normal0"/>
        <w:spacing w:line="240" w:lineRule="auto"/>
        <w:ind w:left="72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Responsible Purchasing: A Cross-National Study of Supplier Diversity Initiatives. </w:t>
      </w:r>
      <w:r>
        <w:rPr>
          <w:rFonts w:ascii="Times New Roman" w:eastAsia="Times New Roman" w:hAnsi="Times New Roman" w:cs="Times New Roman"/>
          <w:i/>
          <w:sz w:val="24"/>
          <w:szCs w:val="24"/>
        </w:rPr>
        <w:t>Journa</w:t>
      </w:r>
      <w:r>
        <w:rPr>
          <w:rFonts w:ascii="Times New Roman" w:eastAsia="Times New Roman" w:hAnsi="Times New Roman" w:cs="Times New Roman"/>
          <w:i/>
          <w:sz w:val="24"/>
          <w:szCs w:val="24"/>
        </w:rPr>
        <w:t>l of Business Ethics, 79</w:t>
      </w:r>
      <w:r>
        <w:rPr>
          <w:rFonts w:ascii="Times New Roman" w:eastAsia="Times New Roman" w:hAnsi="Times New Roman" w:cs="Times New Roman"/>
          <w:sz w:val="24"/>
          <w:szCs w:val="24"/>
        </w:rPr>
        <w:t xml:space="preserve">(3), 319-331. Retrieved from </w:t>
      </w:r>
      <w:hyperlink r:id="rId31">
        <w:r>
          <w:rPr>
            <w:rFonts w:ascii="Times New Roman" w:eastAsia="Times New Roman" w:hAnsi="Times New Roman" w:cs="Times New Roman"/>
            <w:color w:val="0000FF"/>
            <w:sz w:val="24"/>
            <w:szCs w:val="24"/>
            <w:u w:val="single"/>
          </w:rPr>
          <w:t>https://link.springer.com/article/10. 1007/s10551-007-9400-x</w:t>
        </w:r>
      </w:hyperlink>
      <w:r>
        <w:rPr>
          <w:rFonts w:ascii="Times New Roman" w:eastAsia="Times New Roman" w:hAnsi="Times New Roman" w:cs="Times New Roman"/>
          <w:sz w:val="24"/>
          <w:szCs w:val="24"/>
        </w:rPr>
        <w:t>. [Accessed 11 November 2019].</w:t>
      </w:r>
    </w:p>
    <w:sectPr w:rsidR="00EA2518">
      <w:headerReference w:type="default" r:id="rId32"/>
      <w:headerReference w:type="first" r:id="rId3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9C3B58" w14:textId="77777777" w:rsidR="00000000" w:rsidRDefault="00471E2D">
      <w:pPr>
        <w:spacing w:line="240" w:lineRule="auto"/>
      </w:pPr>
      <w:r>
        <w:separator/>
      </w:r>
    </w:p>
  </w:endnote>
  <w:endnote w:type="continuationSeparator" w:id="0">
    <w:p w14:paraId="0A24EF64" w14:textId="77777777" w:rsidR="00000000" w:rsidRDefault="00471E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Lucida Grande">
    <w:panose1 w:val="020B0600040502020204"/>
    <w:charset w:val="00"/>
    <w:family w:val="roman"/>
    <w:notTrueType/>
    <w:pitch w:val="default"/>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84FA31" w14:textId="77777777" w:rsidR="00000000" w:rsidRDefault="00471E2D">
      <w:pPr>
        <w:spacing w:line="240" w:lineRule="auto"/>
      </w:pPr>
      <w:r>
        <w:separator/>
      </w:r>
    </w:p>
  </w:footnote>
  <w:footnote w:type="continuationSeparator" w:id="0">
    <w:p w14:paraId="608B8EFE" w14:textId="77777777" w:rsidR="00000000" w:rsidRDefault="00471E2D">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0E0ED6" w14:textId="77777777" w:rsidR="00EA2518" w:rsidRDefault="00471E2D">
    <w:pPr>
      <w:pStyle w:val="normal0"/>
      <w:jc w:val="right"/>
    </w:pPr>
    <w:r>
      <w:fldChar w:fldCharType="begin"/>
    </w:r>
    <w:r>
      <w:instrText>PAGE</w:instrText>
    </w:r>
    <w:r>
      <w:fldChar w:fldCharType="separate"/>
    </w:r>
    <w:r>
      <w:rPr>
        <w:noProof/>
      </w:rPr>
      <w:t>12</w:t>
    </w:r>
    <w: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F5C504" w14:textId="77777777" w:rsidR="00EA2518" w:rsidRDefault="00EA2518">
    <w:pPr>
      <w:pStyle w:val="norm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94386A"/>
    <w:multiLevelType w:val="multilevel"/>
    <w:tmpl w:val="E29E88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EA2518"/>
    <w:rsid w:val="00471E2D"/>
    <w:rsid w:val="00EA251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B0BA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00" w:after="120"/>
      <w:outlineLvl w:val="0"/>
    </w:pPr>
    <w:rPr>
      <w:sz w:val="40"/>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71E2D"/>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71E2D"/>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pPr>
      <w:keepNext/>
      <w:keepLines/>
      <w:spacing w:before="400" w:after="120"/>
      <w:outlineLvl w:val="0"/>
    </w:pPr>
    <w:rPr>
      <w:sz w:val="40"/>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71E2D"/>
    <w:pPr>
      <w:spacing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471E2D"/>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shrm.org/hr-today/news/hr-magazine/0916/pages/are-employee-resource-groups-good-for-business.aspx" TargetMode="External"/><Relationship Id="rId21" Type="http://schemas.openxmlformats.org/officeDocument/2006/relationships/hyperlink" Target="https://jwsr.pitt.edu/ojs/index.php/jwsr/article/view/901" TargetMode="External"/><Relationship Id="rId22" Type="http://schemas.openxmlformats.org/officeDocument/2006/relationships/hyperlink" Target="http://www.nybooks.com/articles/2014/05/08/thomas-piketty-new-gilded-age/" TargetMode="External"/><Relationship Id="rId23" Type="http://schemas.openxmlformats.org/officeDocument/2006/relationships/hyperlink" Target="https://www.nngroup.com/articles/accessible-design-for-users-with-disabilities/" TargetMode="External"/><Relationship Id="rId24" Type="http://schemas.openxmlformats.org/officeDocument/2006/relationships/hyperlink" Target="https://www.cnbc.com/2018/08/30/microsoft-will-require-partners-suppliers-to-offer-paid-family-leave.html" TargetMode="External"/><Relationship Id="rId25" Type="http://schemas.openxmlformats.org/officeDocument/2006/relationships/hyperlink" Target="https://patents.google.com/patent/US20040218451A1/en" TargetMode="External"/><Relationship Id="rId26" Type="http://schemas.openxmlformats.org/officeDocument/2006/relationships/hyperlink" Target="https://www.jstor.org/stable/40068507" TargetMode="External"/><Relationship Id="rId27" Type="http://schemas.openxmlformats.org/officeDocument/2006/relationships/hyperlink" Target="https://doi.org/10.1111/j.1365-2788.2008.01099.x" TargetMode="External"/><Relationship Id="rId28" Type="http://schemas.openxmlformats.org/officeDocument/2006/relationships/hyperlink" Target="https://doi.org/10.1525%2Fcmr.2012.54.3.34" TargetMode="External"/><Relationship Id="rId29" Type="http://schemas.openxmlformats.org/officeDocument/2006/relationships/hyperlink" Target="https://ksr.hkspublications.org/2013/05/02/americas-new-gilded-age-a-review-of-chrystia-freelands-plutocrats-and-christopher-hayess-twilight-of-the-elites/"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doi.org/10.1111/j.1745-493X.2006.00019.x" TargetMode="External"/><Relationship Id="rId31" Type="http://schemas.openxmlformats.org/officeDocument/2006/relationships/hyperlink" Target="https://link.springer.com/article/10.1007/s10551-007-9400-x" TargetMode="External"/><Relationship Id="rId32" Type="http://schemas.openxmlformats.org/officeDocument/2006/relationships/header" Target="header1.xml"/><Relationship Id="rId9" Type="http://schemas.openxmlformats.org/officeDocument/2006/relationships/hyperlink" Target="https://doi.org/10.1016/j.bushor.2006.10.003"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33" Type="http://schemas.openxmlformats.org/officeDocument/2006/relationships/header" Target="header2.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hyperlink" Target="https://doi.org/10.1017/S0143814X03003027" TargetMode="External"/><Relationship Id="rId11" Type="http://schemas.openxmlformats.org/officeDocument/2006/relationships/hyperlink" Target="https://healthpayerintelligence.com/news/uninsured-rate-among-working-adults-rises-to-15.5-in-2018" TargetMode="External"/><Relationship Id="rId12" Type="http://schemas.openxmlformats.org/officeDocument/2006/relationships/hyperlink" Target="https://doi.org/10.1080%2F00420989650011825" TargetMode="External"/><Relationship Id="rId13" Type="http://schemas.openxmlformats.org/officeDocument/2006/relationships/hyperlink" Target="https://link.springer.com/article/10.1057/palgrave.bm.2540128" TargetMode="External"/><Relationship Id="rId14" Type="http://schemas.openxmlformats.org/officeDocument/2006/relationships/hyperlink" Target="https://www.ncbi.nlm.nih.gov/pubmed/26168785" TargetMode="External"/><Relationship Id="rId15" Type="http://schemas.openxmlformats.org/officeDocument/2006/relationships/hyperlink" Target="https://www1.nyc.gov/nycbusiness/mwbe?page=about" TargetMode="External"/><Relationship Id="rId16" Type="http://schemas.openxmlformats.org/officeDocument/2006/relationships/hyperlink" Target="https://centers.fuqua.duke.edu/case/wp-content/uploads/sites/7/2015/03/Article_Dees_MeaningofSocialEntrepreneurship_2001.pdf" TargetMode="External"/><Relationship Id="rId17" Type="http://schemas.openxmlformats.org/officeDocument/2006/relationships/hyperlink" Target="https://scholar.harvard.edu/dobbin/publications/architecture-inclusion-evidence-corporate-diversity-programs" TargetMode="External"/><Relationship Id="rId18" Type="http://schemas.openxmlformats.org/officeDocument/2006/relationships/hyperlink" Target="https://journals.sagepub.com/doi/abs/10.1177/009102609602500308?casa_token=ExFfdi5wThYAAAAA:uPn1s9lTbaSaOhzeAe9Vc2oiX4K8zXdaFZu4FIttlh0Xr5IC72adFF0SurVDbv9Z7K65dCyHpTvLAA" TargetMode="External"/><Relationship Id="rId19" Type="http://schemas.openxmlformats.org/officeDocument/2006/relationships/hyperlink" Target="https://www.shrm.org/hr-today/news/hr-magazine/0916/pages/are-employee-resource-groups-good-for-busines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3850</Words>
  <Characters>21946</Characters>
  <Application>Microsoft Macintosh Word</Application>
  <DocSecurity>0</DocSecurity>
  <Lines>182</Lines>
  <Paragraphs>51</Paragraphs>
  <ScaleCrop>false</ScaleCrop>
  <Company/>
  <LinksUpToDate>false</LinksUpToDate>
  <CharactersWithSpaces>25745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cp:lastModifiedBy>
  <cp:revision>2</cp:revision>
  <dcterms:created xsi:type="dcterms:W3CDTF">2019-12-02T03:21:00Z</dcterms:created>
  <dcterms:modified xsi:type="dcterms:W3CDTF">2019-12-02T03:22:00Z</dcterms:modified>
</cp:coreProperties>
</file>