
<file path=[Content_Types].xml><?xml version="1.0" encoding="utf-8"?>
<Types xmlns="http://schemas.openxmlformats.org/package/2006/content-types">
  <Default Extension="xml" ContentType="application/xml"/>
  <Default Extension="wmf" ContentType="image/x-w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7EC9CD9">
      <w:pPr>
        <w:pStyle w:val="36"/>
        <w:jc w:val="center"/>
        <w:rPr>
          <w:rFonts w:hint="default"/>
          <w:b/>
          <w:lang w:val="en-US"/>
        </w:rPr>
      </w:pPr>
      <w:r>
        <w:rPr>
          <w:rFonts w:hint="default"/>
          <w:b/>
          <w:lang w:val="en-US"/>
        </w:rPr>
        <w:drawing>
          <wp:inline distT="0" distB="0" distL="114300" distR="114300">
            <wp:extent cx="3449955" cy="1376680"/>
            <wp:effectExtent l="0" t="0" r="17145" b="13970"/>
            <wp:docPr id="1" name="Picture 1" descr="images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ages (1)"/>
                    <pic:cNvPicPr>
                      <a:picLocks noChangeAspect="1"/>
                    </pic:cNvPicPr>
                  </pic:nvPicPr>
                  <pic:blipFill>
                    <a:blip r:embed="rId7"/>
                    <a:stretch>
                      <a:fillRect/>
                    </a:stretch>
                  </pic:blipFill>
                  <pic:spPr>
                    <a:xfrm>
                      <a:off x="0" y="0"/>
                      <a:ext cx="3449955" cy="1376680"/>
                    </a:xfrm>
                    <a:prstGeom prst="rect">
                      <a:avLst/>
                    </a:prstGeom>
                  </pic:spPr>
                </pic:pic>
              </a:graphicData>
            </a:graphic>
          </wp:inline>
        </w:drawing>
      </w:r>
    </w:p>
    <w:p w14:paraId="448CF46A">
      <w:pPr>
        <w:pStyle w:val="36"/>
        <w:jc w:val="center"/>
        <w:rPr>
          <w:b/>
        </w:rPr>
      </w:pPr>
    </w:p>
    <w:p w14:paraId="3A226407">
      <w:pPr>
        <w:pStyle w:val="36"/>
        <w:spacing w:line="360" w:lineRule="auto"/>
        <w:jc w:val="center"/>
        <w:rPr>
          <w:rFonts w:hint="default" w:ascii="Times New Roman" w:hAnsi="Times New Roman" w:eastAsiaTheme="minorEastAsia" w:cstheme="minorBidi"/>
          <w:b/>
          <w:bCs/>
          <w:color w:val="auto"/>
          <w:spacing w:val="0"/>
          <w:kern w:val="0"/>
          <w:sz w:val="24"/>
          <w:szCs w:val="24"/>
          <w:lang w:val="en-US" w:eastAsia="en-US" w:bidi="ar-SA"/>
        </w:rPr>
      </w:pPr>
      <w:r>
        <w:rPr>
          <w:rFonts w:hint="default" w:ascii="Times New Roman" w:hAnsi="Times New Roman" w:eastAsiaTheme="minorEastAsia" w:cstheme="minorBidi"/>
          <w:b/>
          <w:bCs/>
          <w:color w:val="auto"/>
          <w:spacing w:val="0"/>
          <w:kern w:val="0"/>
          <w:sz w:val="24"/>
          <w:szCs w:val="24"/>
          <w:lang w:val="en-US" w:eastAsia="en-US" w:bidi="ar-SA"/>
        </w:rPr>
        <w:t>Master of Business Administration</w:t>
      </w:r>
    </w:p>
    <w:p w14:paraId="05848E3C">
      <w:pPr>
        <w:pStyle w:val="36"/>
        <w:spacing w:line="360" w:lineRule="auto"/>
        <w:jc w:val="center"/>
        <w:rPr>
          <w:b/>
          <w:bCs/>
          <w:sz w:val="40"/>
          <w:szCs w:val="56"/>
        </w:rPr>
      </w:pPr>
      <w:r>
        <w:rPr>
          <w:rFonts w:hint="default" w:ascii="Times New Roman" w:hAnsi="Times New Roman" w:eastAsiaTheme="minorEastAsia" w:cstheme="minorBidi"/>
          <w:b/>
          <w:bCs/>
          <w:color w:val="auto"/>
          <w:spacing w:val="0"/>
          <w:kern w:val="0"/>
          <w:sz w:val="24"/>
          <w:szCs w:val="24"/>
          <w:lang w:val="en-US" w:eastAsia="en-US" w:bidi="ar-SA"/>
        </w:rPr>
        <w:t>Marketing Management | LCMB7024</w:t>
      </w:r>
    </w:p>
    <w:p w14:paraId="1097D3BF">
      <w:pPr>
        <w:pStyle w:val="36"/>
        <w:jc w:val="center"/>
        <w:rPr>
          <w:b/>
        </w:rPr>
      </w:pPr>
    </w:p>
    <w:p w14:paraId="1EE9785C">
      <w:pPr>
        <w:pStyle w:val="36"/>
        <w:jc w:val="center"/>
        <w:rPr>
          <w:b/>
        </w:rPr>
      </w:pPr>
    </w:p>
    <w:p w14:paraId="6B21A4C6">
      <w:pPr>
        <w:pStyle w:val="36"/>
        <w:jc w:val="center"/>
      </w:pPr>
      <w:r>
        <w:rPr>
          <w:b/>
        </w:rPr>
        <w:t>Marketing Environment Analysis</w:t>
      </w:r>
    </w:p>
    <w:p w14:paraId="0DEB49B5">
      <w:pPr>
        <w:jc w:val="center"/>
        <w:rPr>
          <w:sz w:val="24"/>
          <w:szCs w:val="24"/>
        </w:rPr>
      </w:pPr>
      <w:r>
        <w:rPr>
          <w:sz w:val="24"/>
          <w:szCs w:val="24"/>
        </w:rPr>
        <w:t>BHP Group: Decarbonisation, customer value and strategic growth</w:t>
      </w:r>
    </w:p>
    <w:p w14:paraId="271DDBDA">
      <w:pPr>
        <w:jc w:val="center"/>
        <w:rPr>
          <w:b/>
          <w:bCs/>
          <w:sz w:val="24"/>
          <w:szCs w:val="24"/>
        </w:rPr>
      </w:pPr>
    </w:p>
    <w:p w14:paraId="1393A318">
      <w:pPr>
        <w:jc w:val="center"/>
        <w:rPr>
          <w:sz w:val="24"/>
          <w:szCs w:val="24"/>
        </w:rPr>
      </w:pPr>
      <w:r>
        <w:rPr>
          <w:b/>
          <w:bCs/>
          <w:sz w:val="24"/>
          <w:szCs w:val="24"/>
        </w:rPr>
        <w:t xml:space="preserve">Lecturer: </w:t>
      </w:r>
      <w:r>
        <w:rPr>
          <w:sz w:val="24"/>
          <w:szCs w:val="24"/>
        </w:rPr>
        <w:t>Taonga Kaonga Sobere-Snithers (Birmingham)</w:t>
      </w:r>
    </w:p>
    <w:p w14:paraId="14B9EA50">
      <w:pPr>
        <w:jc w:val="center"/>
        <w:rPr>
          <w:rFonts w:hint="default"/>
          <w:b/>
          <w:bCs/>
          <w:sz w:val="24"/>
          <w:szCs w:val="24"/>
        </w:rPr>
      </w:pPr>
      <w:r>
        <w:rPr>
          <w:b/>
          <w:bCs/>
          <w:sz w:val="24"/>
          <w:szCs w:val="24"/>
        </w:rPr>
        <w:t xml:space="preserve">Student name: </w:t>
      </w:r>
      <w:r>
        <w:rPr>
          <w:rFonts w:hint="default"/>
          <w:b w:val="0"/>
          <w:bCs w:val="0"/>
          <w:sz w:val="24"/>
          <w:szCs w:val="24"/>
        </w:rPr>
        <w:t>Devendra Sharma</w:t>
      </w:r>
    </w:p>
    <w:p w14:paraId="335C0FD6">
      <w:pPr>
        <w:jc w:val="center"/>
        <w:rPr>
          <w:rFonts w:hint="default"/>
          <w:sz w:val="24"/>
          <w:szCs w:val="24"/>
          <w:lang w:val="en-US"/>
        </w:rPr>
      </w:pPr>
      <w:r>
        <w:rPr>
          <w:b/>
          <w:bCs/>
          <w:sz w:val="24"/>
          <w:szCs w:val="24"/>
        </w:rPr>
        <w:t xml:space="preserve">  Student ID:</w:t>
      </w:r>
      <w:r>
        <w:rPr>
          <w:rFonts w:hint="default"/>
          <w:b/>
          <w:bCs/>
          <w:sz w:val="24"/>
          <w:szCs w:val="24"/>
          <w:lang w:val="en-US"/>
        </w:rPr>
        <w:t xml:space="preserve"> </w:t>
      </w:r>
      <w:r>
        <w:rPr>
          <w:rFonts w:hint="default"/>
          <w:b w:val="0"/>
          <w:bCs w:val="0"/>
          <w:sz w:val="24"/>
          <w:szCs w:val="24"/>
          <w:lang w:val="en-US"/>
        </w:rPr>
        <w:t>2526094</w:t>
      </w:r>
    </w:p>
    <w:p w14:paraId="176A71B9">
      <w:pPr>
        <w:jc w:val="center"/>
        <w:rPr>
          <w:rFonts w:hint="default"/>
          <w:sz w:val="24"/>
          <w:szCs w:val="24"/>
          <w:lang w:val="en-US"/>
        </w:rPr>
      </w:pPr>
      <w:r>
        <w:rPr>
          <w:b/>
          <w:bCs/>
          <w:sz w:val="24"/>
          <w:szCs w:val="24"/>
        </w:rPr>
        <w:t xml:space="preserve">Word count:  </w:t>
      </w:r>
      <w:r>
        <w:rPr>
          <w:rFonts w:hint="default"/>
          <w:sz w:val="24"/>
          <w:szCs w:val="24"/>
          <w:lang w:val="en-US"/>
        </w:rPr>
        <w:t>2,710</w:t>
      </w:r>
    </w:p>
    <w:p w14:paraId="0DB16DD0">
      <w:pPr>
        <w:jc w:val="center"/>
        <w:rPr>
          <w:sz w:val="24"/>
          <w:szCs w:val="24"/>
        </w:rPr>
      </w:pPr>
      <w:r>
        <w:rPr>
          <w:b/>
          <w:bCs/>
          <w:sz w:val="24"/>
          <w:szCs w:val="24"/>
        </w:rPr>
        <w:t xml:space="preserve">Submission date: </w:t>
      </w:r>
      <w:r>
        <w:rPr>
          <w:sz w:val="24"/>
          <w:szCs w:val="24"/>
        </w:rPr>
        <w:t>22 October 2026</w:t>
      </w:r>
    </w:p>
    <w:p w14:paraId="42A3D634">
      <w:pPr>
        <w:jc w:val="center"/>
      </w:pPr>
    </w:p>
    <w:p w14:paraId="10922503">
      <w:r>
        <w:br w:type="page"/>
      </w:r>
    </w:p>
    <w:sdt>
      <w:sdtPr>
        <w:rPr>
          <w:rFonts w:hint="default" w:ascii="Times New Roman" w:hAnsi="Times New Roman" w:eastAsia="SimSun" w:cs="Times New Roman"/>
          <w:b/>
          <w:bCs/>
          <w:sz w:val="32"/>
          <w:szCs w:val="32"/>
          <w:lang w:val="en-US" w:eastAsia="en-US" w:bidi="ar-SA"/>
        </w:rPr>
        <w:id w:val="147483571"/>
        <w15:color w:val="DBDBDB"/>
        <w:docPartObj>
          <w:docPartGallery w:val="Table of Contents"/>
          <w:docPartUnique/>
        </w:docPartObj>
      </w:sdtPr>
      <w:sdtEndPr>
        <w:rPr>
          <w:b/>
        </w:rPr>
      </w:sdtEndPr>
      <w:sdtContent>
        <w:p w14:paraId="5AA8437A">
          <w:pPr>
            <w:keepNext w:val="0"/>
            <w:keepLines w:val="0"/>
            <w:pageBreakBefore w:val="0"/>
            <w:widowControl/>
            <w:kinsoku/>
            <w:wordWrap/>
            <w:overflowPunct/>
            <w:topLinePunct w:val="0"/>
            <w:autoSpaceDE/>
            <w:autoSpaceDN/>
            <w:bidi w:val="0"/>
            <w:adjustRightInd/>
            <w:snapToGrid/>
            <w:spacing w:before="0" w:beforeLines="0" w:after="0" w:afterLines="0" w:line="420" w:lineRule="auto"/>
            <w:ind w:left="0" w:leftChars="0" w:right="0" w:rightChars="0" w:firstLine="0" w:firstLineChars="0"/>
            <w:jc w:val="center"/>
            <w:textAlignment w:val="auto"/>
            <w:rPr>
              <w:rFonts w:hint="default" w:ascii="Times New Roman" w:hAnsi="Times New Roman" w:cs="Times New Roman"/>
              <w:sz w:val="24"/>
              <w:szCs w:val="24"/>
              <w:lang w:val="en-US"/>
            </w:rPr>
          </w:pPr>
          <w:r>
            <w:rPr>
              <w:rFonts w:hint="default" w:eastAsia="SimSun" w:cs="Times New Roman"/>
              <w:b/>
              <w:bCs/>
              <w:sz w:val="32"/>
              <w:szCs w:val="32"/>
              <w:lang w:val="en-US" w:eastAsia="en-US" w:bidi="ar-SA"/>
            </w:rPr>
            <w:t>Table of Content</w:t>
          </w:r>
        </w:p>
        <w:p w14:paraId="1E5F5884">
          <w:pPr>
            <w:pStyle w:val="164"/>
            <w:keepNext w:val="0"/>
            <w:keepLines w:val="0"/>
            <w:pageBreakBefore w:val="0"/>
            <w:widowControl/>
            <w:tabs>
              <w:tab w:val="right" w:leader="dot" w:pos="9360"/>
            </w:tabs>
            <w:kinsoku/>
            <w:wordWrap/>
            <w:overflowPunct/>
            <w:topLinePunct w:val="0"/>
            <w:autoSpaceDE/>
            <w:autoSpaceDN/>
            <w:bidi w:val="0"/>
            <w:adjustRightInd/>
            <w:snapToGrid/>
            <w:spacing w:line="420" w:lineRule="auto"/>
            <w:textAlignment w:val="auto"/>
            <w:rPr>
              <w:rFonts w:hint="default" w:ascii="Times New Roman" w:hAnsi="Times New Roman" w:cs="Times New Roman"/>
              <w:b/>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"1-2" \h \u </w:instrText>
          </w:r>
          <w:r>
            <w:rPr>
              <w:rFonts w:hint="default" w:ascii="Times New Roman" w:hAnsi="Times New Roman" w:cs="Times New Roman"/>
              <w:sz w:val="24"/>
              <w:szCs w:val="24"/>
            </w:rPr>
            <w:fldChar w:fldCharType="separate"/>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_Toc20549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Task 1: Marketing environment analysis</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_Toc20549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3</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14:paraId="71166C08">
          <w:pPr>
            <w:pStyle w:val="165"/>
            <w:keepNext w:val="0"/>
            <w:keepLines w:val="0"/>
            <w:pageBreakBefore w:val="0"/>
            <w:widowControl/>
            <w:tabs>
              <w:tab w:val="right" w:leader="dot" w:pos="9360"/>
            </w:tabs>
            <w:kinsoku/>
            <w:wordWrap/>
            <w:overflowPunct/>
            <w:topLinePunct w:val="0"/>
            <w:autoSpaceDE/>
            <w:autoSpaceDN/>
            <w:bidi w:val="0"/>
            <w:adjustRightInd/>
            <w:snapToGrid/>
            <w:spacing w:line="42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_Toc784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Strategic context and analytical stance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_Toc784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1D8937FB">
          <w:pPr>
            <w:pStyle w:val="165"/>
            <w:keepNext w:val="0"/>
            <w:keepLines w:val="0"/>
            <w:pageBreakBefore w:val="0"/>
            <w:widowControl/>
            <w:tabs>
              <w:tab w:val="right" w:leader="dot" w:pos="9360"/>
            </w:tabs>
            <w:kinsoku/>
            <w:wordWrap/>
            <w:overflowPunct/>
            <w:topLinePunct w:val="0"/>
            <w:autoSpaceDE/>
            <w:autoSpaceDN/>
            <w:bidi w:val="0"/>
            <w:adjustRightInd/>
            <w:snapToGrid/>
            <w:spacing w:line="42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_Toc31512 </w:instrText>
          </w:r>
          <w:r>
            <w:rPr>
              <w:rFonts w:hint="default" w:ascii="Times New Roman" w:hAnsi="Times New Roman" w:cs="Times New Roman"/>
              <w:sz w:val="24"/>
              <w:szCs w:val="24"/>
            </w:rPr>
            <w:fldChar w:fldCharType="separate"/>
          </w:r>
          <w:r>
            <w:rPr>
              <w:rFonts w:hint="default" w:ascii="Times New Roman" w:hAnsi="Times New Roman" w:cs="Times New Roman" w:eastAsiaTheme="majorEastAsia"/>
              <w:bCs/>
              <w:sz w:val="24"/>
              <w:szCs w:val="24"/>
              <w:lang w:val="en-US" w:eastAsia="en-US" w:bidi="ar-SA"/>
            </w:rPr>
            <w:t>Actor one: natural environment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_Toc31512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366C6B86">
          <w:pPr>
            <w:pStyle w:val="165"/>
            <w:keepNext w:val="0"/>
            <w:keepLines w:val="0"/>
            <w:pageBreakBefore w:val="0"/>
            <w:widowControl/>
            <w:tabs>
              <w:tab w:val="right" w:leader="dot" w:pos="9360"/>
            </w:tabs>
            <w:kinsoku/>
            <w:wordWrap/>
            <w:overflowPunct/>
            <w:topLinePunct w:val="0"/>
            <w:autoSpaceDE/>
            <w:autoSpaceDN/>
            <w:bidi w:val="0"/>
            <w:adjustRightInd/>
            <w:snapToGrid/>
            <w:spacing w:line="42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_Toc18547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en-US"/>
            </w:rPr>
            <w:t>Technology, ore quality and the emissions boundary</w:t>
          </w:r>
          <w:r>
            <w:rPr>
              <w:rFonts w:hint="default" w:ascii="Times New Roman" w:hAnsi="Times New Roman" w:cs="Times New Roman"/>
              <w:sz w:val="24"/>
              <w:szCs w:val="24"/>
            </w:rPr>
            <w:t xml:space="preserve"> </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_Toc18547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512E2B7E">
          <w:pPr>
            <w:pStyle w:val="165"/>
            <w:keepNext w:val="0"/>
            <w:keepLines w:val="0"/>
            <w:pageBreakBefore w:val="0"/>
            <w:widowControl/>
            <w:tabs>
              <w:tab w:val="right" w:leader="dot" w:pos="9360"/>
            </w:tabs>
            <w:kinsoku/>
            <w:wordWrap/>
            <w:overflowPunct/>
            <w:topLinePunct w:val="0"/>
            <w:autoSpaceDE/>
            <w:autoSpaceDN/>
            <w:bidi w:val="0"/>
            <w:adjustRightInd/>
            <w:snapToGrid/>
            <w:spacing w:line="42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_Toc19452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Measuring environmental opportunity without greenwashing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_Toc19452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2E3C33F2">
          <w:pPr>
            <w:pStyle w:val="165"/>
            <w:keepNext w:val="0"/>
            <w:keepLines w:val="0"/>
            <w:pageBreakBefore w:val="0"/>
            <w:widowControl/>
            <w:tabs>
              <w:tab w:val="right" w:leader="dot" w:pos="9360"/>
            </w:tabs>
            <w:kinsoku/>
            <w:wordWrap/>
            <w:overflowPunct/>
            <w:topLinePunct w:val="0"/>
            <w:autoSpaceDE/>
            <w:autoSpaceDN/>
            <w:bidi w:val="0"/>
            <w:adjustRightInd/>
            <w:snapToGrid/>
            <w:spacing w:line="42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_Toc6852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en-US"/>
            </w:rPr>
            <w:t>Actor two: steelmaking customers and purchasing economics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_Toc6852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5A5F8FBD">
          <w:pPr>
            <w:pStyle w:val="165"/>
            <w:keepNext w:val="0"/>
            <w:keepLines w:val="0"/>
            <w:pageBreakBefore w:val="0"/>
            <w:widowControl/>
            <w:tabs>
              <w:tab w:val="right" w:leader="dot" w:pos="9360"/>
            </w:tabs>
            <w:kinsoku/>
            <w:wordWrap/>
            <w:overflowPunct/>
            <w:topLinePunct w:val="0"/>
            <w:autoSpaceDE/>
            <w:autoSpaceDN/>
            <w:bidi w:val="0"/>
            <w:adjustRightInd/>
            <w:snapToGrid/>
            <w:spacing w:line="42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_Toc3504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Actor three: regulators and market-access institutions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_Toc3504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7402B0E1">
          <w:pPr>
            <w:pStyle w:val="165"/>
            <w:keepNext w:val="0"/>
            <w:keepLines w:val="0"/>
            <w:pageBreakBefore w:val="0"/>
            <w:widowControl/>
            <w:tabs>
              <w:tab w:val="right" w:leader="dot" w:pos="9360"/>
            </w:tabs>
            <w:kinsoku/>
            <w:wordWrap/>
            <w:overflowPunct/>
            <w:topLinePunct w:val="0"/>
            <w:autoSpaceDE/>
            <w:autoSpaceDN/>
            <w:bidi w:val="0"/>
            <w:adjustRightInd/>
            <w:snapToGrid/>
            <w:spacing w:line="42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_Toc5328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en-US"/>
            </w:rPr>
            <w:t>Stakeholder trade-offs and evidence hierarchy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_Toc5328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02476F7D">
          <w:pPr>
            <w:pStyle w:val="165"/>
            <w:keepNext w:val="0"/>
            <w:keepLines w:val="0"/>
            <w:pageBreakBefore w:val="0"/>
            <w:widowControl/>
            <w:tabs>
              <w:tab w:val="right" w:leader="dot" w:pos="9360"/>
            </w:tabs>
            <w:kinsoku/>
            <w:wordWrap/>
            <w:overflowPunct/>
            <w:topLinePunct w:val="0"/>
            <w:autoSpaceDE/>
            <w:autoSpaceDN/>
            <w:bidi w:val="0"/>
            <w:adjustRightInd/>
            <w:snapToGrid/>
            <w:spacing w:line="42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_Toc9906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Integrated judgement and prioritisation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_Toc9906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587F83C1">
          <w:pPr>
            <w:pStyle w:val="164"/>
            <w:keepNext w:val="0"/>
            <w:keepLines w:val="0"/>
            <w:pageBreakBefore w:val="0"/>
            <w:widowControl/>
            <w:tabs>
              <w:tab w:val="right" w:leader="dot" w:pos="9360"/>
            </w:tabs>
            <w:kinsoku/>
            <w:wordWrap/>
            <w:overflowPunct/>
            <w:topLinePunct w:val="0"/>
            <w:autoSpaceDE/>
            <w:autoSpaceDN/>
            <w:bidi w:val="0"/>
            <w:adjustRightInd/>
            <w:snapToGrid/>
            <w:spacing w:line="420" w:lineRule="auto"/>
            <w:textAlignment w:val="auto"/>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_Toc26234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Task 2: Strategic growth and competitive positioning</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_Toc26234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6</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14:paraId="22F028CA">
          <w:pPr>
            <w:pStyle w:val="165"/>
            <w:keepNext w:val="0"/>
            <w:keepLines w:val="0"/>
            <w:pageBreakBefore w:val="0"/>
            <w:widowControl/>
            <w:tabs>
              <w:tab w:val="right" w:leader="dot" w:pos="9360"/>
            </w:tabs>
            <w:kinsoku/>
            <w:wordWrap/>
            <w:overflowPunct/>
            <w:topLinePunct w:val="0"/>
            <w:autoSpaceDE/>
            <w:autoSpaceDN/>
            <w:bidi w:val="0"/>
            <w:adjustRightInd/>
            <w:snapToGrid/>
            <w:spacing w:line="42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_Toc17738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en-US"/>
            </w:rPr>
            <w:t>Ansoff alternatives and recommended route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_Toc17738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7C37AA06">
          <w:pPr>
            <w:pStyle w:val="165"/>
            <w:keepNext w:val="0"/>
            <w:keepLines w:val="0"/>
            <w:pageBreakBefore w:val="0"/>
            <w:widowControl/>
            <w:tabs>
              <w:tab w:val="right" w:leader="dot" w:pos="9360"/>
            </w:tabs>
            <w:kinsoku/>
            <w:wordWrap/>
            <w:overflowPunct/>
            <w:topLinePunct w:val="0"/>
            <w:autoSpaceDE/>
            <w:autoSpaceDN/>
            <w:bidi w:val="0"/>
            <w:adjustRightInd/>
            <w:snapToGrid/>
            <w:spacing w:line="42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_Toc4880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en-US"/>
            </w:rPr>
            <w:t>What the proposition actually comprises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_Toc4880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00DB7798">
          <w:pPr>
            <w:pStyle w:val="165"/>
            <w:keepNext w:val="0"/>
            <w:keepLines w:val="0"/>
            <w:pageBreakBefore w:val="0"/>
            <w:widowControl/>
            <w:tabs>
              <w:tab w:val="right" w:leader="dot" w:pos="9360"/>
            </w:tabs>
            <w:kinsoku/>
            <w:wordWrap/>
            <w:overflowPunct/>
            <w:topLinePunct w:val="0"/>
            <w:autoSpaceDE/>
            <w:autoSpaceDN/>
            <w:bidi w:val="0"/>
            <w:adjustRightInd/>
            <w:snapToGrid/>
            <w:spacing w:line="42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_Toc23826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en-US"/>
            </w:rPr>
            <w:t>Phased implementation and risk gates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_Toc23826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4DA3D9A8">
          <w:pPr>
            <w:pStyle w:val="165"/>
            <w:keepNext w:val="0"/>
            <w:keepLines w:val="0"/>
            <w:pageBreakBefore w:val="0"/>
            <w:widowControl/>
            <w:tabs>
              <w:tab w:val="right" w:leader="dot" w:pos="9360"/>
            </w:tabs>
            <w:kinsoku/>
            <w:wordWrap/>
            <w:overflowPunct/>
            <w:topLinePunct w:val="0"/>
            <w:autoSpaceDE/>
            <w:autoSpaceDN/>
            <w:bidi w:val="0"/>
            <w:adjustRightInd/>
            <w:snapToGrid/>
            <w:spacing w:line="42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_Toc20286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en-US"/>
            </w:rPr>
            <w:t>Competitive advantage and practical scorecard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_Toc20286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0EB0A308">
          <w:pPr>
            <w:pStyle w:val="165"/>
            <w:keepNext w:val="0"/>
            <w:keepLines w:val="0"/>
            <w:pageBreakBefore w:val="0"/>
            <w:widowControl/>
            <w:tabs>
              <w:tab w:val="right" w:leader="dot" w:pos="9360"/>
            </w:tabs>
            <w:kinsoku/>
            <w:wordWrap/>
            <w:overflowPunct/>
            <w:topLinePunct w:val="0"/>
            <w:autoSpaceDE/>
            <w:autoSpaceDN/>
            <w:bidi w:val="0"/>
            <w:adjustRightInd/>
            <w:snapToGrid/>
            <w:spacing w:line="42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_Toc2452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en-US"/>
            </w:rPr>
            <w:t>Commercial economics and governance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_Toc2452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4DEE299E">
          <w:pPr>
            <w:pStyle w:val="165"/>
            <w:keepNext w:val="0"/>
            <w:keepLines w:val="0"/>
            <w:pageBreakBefore w:val="0"/>
            <w:widowControl/>
            <w:tabs>
              <w:tab w:val="right" w:leader="dot" w:pos="9360"/>
            </w:tabs>
            <w:kinsoku/>
            <w:wordWrap/>
            <w:overflowPunct/>
            <w:topLinePunct w:val="0"/>
            <w:autoSpaceDE/>
            <w:autoSpaceDN/>
            <w:bidi w:val="0"/>
            <w:adjustRightInd/>
            <w:snapToGrid/>
            <w:spacing w:line="42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_Toc25520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en-US"/>
            </w:rPr>
            <w:t>Strategic decision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_Toc25520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2710ACCF">
          <w:pPr>
            <w:pStyle w:val="164"/>
            <w:keepNext w:val="0"/>
            <w:keepLines w:val="0"/>
            <w:pageBreakBefore w:val="0"/>
            <w:widowControl/>
            <w:tabs>
              <w:tab w:val="right" w:leader="dot" w:pos="9360"/>
            </w:tabs>
            <w:kinsoku/>
            <w:wordWrap/>
            <w:overflowPunct/>
            <w:topLinePunct w:val="0"/>
            <w:autoSpaceDE/>
            <w:autoSpaceDN/>
            <w:bidi w:val="0"/>
            <w:adjustRightInd/>
            <w:snapToGrid/>
            <w:spacing w:line="420" w:lineRule="auto"/>
            <w:textAlignment w:val="auto"/>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_Toc18162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Task 3: Managerial and professional reflection</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_Toc18162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8</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14:paraId="475820EA">
          <w:pPr>
            <w:pStyle w:val="165"/>
            <w:keepNext w:val="0"/>
            <w:keepLines w:val="0"/>
            <w:pageBreakBefore w:val="0"/>
            <w:widowControl/>
            <w:tabs>
              <w:tab w:val="right" w:leader="dot" w:pos="9360"/>
            </w:tabs>
            <w:kinsoku/>
            <w:wordWrap/>
            <w:overflowPunct/>
            <w:topLinePunct w:val="0"/>
            <w:autoSpaceDE/>
            <w:autoSpaceDN/>
            <w:bidi w:val="0"/>
            <w:adjustRightInd/>
            <w:snapToGrid/>
            <w:spacing w:line="42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_Toc24989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Decisions to defend before senior leadership</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_Toc24989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2E19F4C3">
          <w:pPr>
            <w:pStyle w:val="165"/>
            <w:keepNext w:val="0"/>
            <w:keepLines w:val="0"/>
            <w:pageBreakBefore w:val="0"/>
            <w:widowControl/>
            <w:tabs>
              <w:tab w:val="right" w:leader="dot" w:pos="9360"/>
            </w:tabs>
            <w:kinsoku/>
            <w:wordWrap/>
            <w:overflowPunct/>
            <w:topLinePunct w:val="0"/>
            <w:autoSpaceDE/>
            <w:autoSpaceDN/>
            <w:bidi w:val="0"/>
            <w:adjustRightInd/>
            <w:snapToGrid/>
            <w:spacing w:line="42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_Toc14517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Limits and tensions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_Toc14517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44278E21">
          <w:pPr>
            <w:pStyle w:val="165"/>
            <w:keepNext w:val="0"/>
            <w:keepLines w:val="0"/>
            <w:pageBreakBefore w:val="0"/>
            <w:widowControl/>
            <w:tabs>
              <w:tab w:val="right" w:leader="dot" w:pos="9360"/>
            </w:tabs>
            <w:kinsoku/>
            <w:wordWrap/>
            <w:overflowPunct/>
            <w:topLinePunct w:val="0"/>
            <w:autoSpaceDE/>
            <w:autoSpaceDN/>
            <w:bidi w:val="0"/>
            <w:adjustRightInd/>
            <w:snapToGrid/>
            <w:spacing w:line="42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_Toc8404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Further evidence, governance and professional learning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_Toc8404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3D773E7E">
          <w:pPr>
            <w:pStyle w:val="165"/>
            <w:keepNext w:val="0"/>
            <w:keepLines w:val="0"/>
            <w:pageBreakBefore w:val="0"/>
            <w:widowControl/>
            <w:tabs>
              <w:tab w:val="right" w:leader="dot" w:pos="9360"/>
            </w:tabs>
            <w:kinsoku/>
            <w:wordWrap/>
            <w:overflowPunct/>
            <w:topLinePunct w:val="0"/>
            <w:autoSpaceDE/>
            <w:autoSpaceDN/>
            <w:bidi w:val="0"/>
            <w:adjustRightInd/>
            <w:snapToGrid/>
            <w:spacing w:line="42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_Toc14390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Reflection on decision quality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_Toc14390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510ADCBF">
          <w:pPr>
            <w:pStyle w:val="165"/>
            <w:keepNext w:val="0"/>
            <w:keepLines w:val="0"/>
            <w:pageBreakBefore w:val="0"/>
            <w:widowControl/>
            <w:tabs>
              <w:tab w:val="right" w:leader="dot" w:pos="9360"/>
            </w:tabs>
            <w:kinsoku/>
            <w:wordWrap/>
            <w:overflowPunct/>
            <w:topLinePunct w:val="0"/>
            <w:autoSpaceDE/>
            <w:autoSpaceDN/>
            <w:bidi w:val="0"/>
            <w:adjustRightInd/>
            <w:snapToGrid/>
            <w:spacing w:line="42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_Toc31487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Closing recommendation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_Toc31487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14:paraId="691CC43E">
          <w:pPr>
            <w:pStyle w:val="164"/>
            <w:keepNext w:val="0"/>
            <w:keepLines w:val="0"/>
            <w:pageBreakBefore w:val="0"/>
            <w:widowControl/>
            <w:tabs>
              <w:tab w:val="right" w:leader="dot" w:pos="9360"/>
            </w:tabs>
            <w:kinsoku/>
            <w:wordWrap/>
            <w:overflowPunct/>
            <w:topLinePunct w:val="0"/>
            <w:autoSpaceDE/>
            <w:autoSpaceDN/>
            <w:bidi w:val="0"/>
            <w:adjustRightInd/>
            <w:snapToGrid/>
            <w:spacing w:line="420" w:lineRule="auto"/>
            <w:textAlignment w:val="auto"/>
            <w:rPr>
              <w:rFonts w:hint="default" w:ascii="Times New Roman" w:hAnsi="Times New Roman" w:cs="Times New Roman"/>
              <w:b/>
              <w:sz w:val="24"/>
              <w:szCs w:val="24"/>
            </w:rPr>
          </w:pP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HYPERLINK \l _Toc28485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References</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_Toc28485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10</w:t>
          </w:r>
          <w:r>
            <w:rPr>
              <w:rFonts w:hint="default" w:ascii="Times New Roman" w:hAnsi="Times New Roman" w:cs="Times New Roman"/>
              <w:b/>
              <w:sz w:val="24"/>
              <w:szCs w:val="24"/>
            </w:rPr>
            <w:fldChar w:fldCharType="end"/>
          </w:r>
          <w:r>
            <w:rPr>
              <w:rFonts w:hint="default" w:ascii="Times New Roman" w:hAnsi="Times New Roman" w:cs="Times New Roman"/>
              <w:b/>
              <w:sz w:val="24"/>
              <w:szCs w:val="24"/>
            </w:rPr>
            <w:fldChar w:fldCharType="end"/>
          </w:r>
        </w:p>
        <w:p w14:paraId="1119FEFF">
          <w:pPr>
            <w:keepNext w:val="0"/>
            <w:keepLines w:val="0"/>
            <w:pageBreakBefore w:val="0"/>
            <w:widowControl/>
            <w:kinsoku/>
            <w:wordWrap/>
            <w:overflowPunct/>
            <w:topLinePunct w:val="0"/>
            <w:autoSpaceDE/>
            <w:autoSpaceDN/>
            <w:bidi w:val="0"/>
            <w:adjustRightInd/>
            <w:snapToGrid/>
            <w:spacing w:line="420" w:lineRule="auto"/>
            <w:textAlignment w:val="auto"/>
            <w:rPr>
              <w:b/>
            </w:rPr>
          </w:pPr>
          <w:r>
            <w:rPr>
              <w:rFonts w:hint="default" w:ascii="Times New Roman" w:hAnsi="Times New Roman" w:cs="Times New Roman"/>
              <w:b/>
              <w:sz w:val="24"/>
              <w:szCs w:val="24"/>
            </w:rPr>
            <w:fldChar w:fldCharType="end"/>
          </w:r>
        </w:p>
      </w:sdtContent>
    </w:sdt>
    <w:p w14:paraId="53E00343">
      <w:pPr>
        <w:rPr>
          <w:b/>
        </w:rPr>
      </w:pPr>
    </w:p>
    <w:p w14:paraId="346E2E7A">
      <w:r>
        <w:br w:type="page"/>
      </w:r>
    </w:p>
    <w:p w14:paraId="5DF8F06B">
      <w:pPr>
        <w:pStyle w:val="2"/>
        <w:jc w:val="both"/>
      </w:pPr>
      <w:bookmarkStart w:id="0" w:name="_Toc20549"/>
      <w:r>
        <w:t>Task 1: Marketing environment analysis</w:t>
      </w:r>
      <w:bookmarkEnd w:id="0"/>
    </w:p>
    <w:p w14:paraId="243F4EDD">
      <w:pPr>
        <w:pStyle w:val="3"/>
        <w:numPr>
          <w:numId w:val="0"/>
        </w:numPr>
        <w:ind w:leftChars="0"/>
        <w:jc w:val="both"/>
      </w:pPr>
      <w:bookmarkStart w:id="1" w:name="_Toc784"/>
      <w:r>
        <w:t>Strategic context and analytical stance</w:t>
      </w:r>
      <w:bookmarkEnd w:id="1"/>
    </w:p>
    <w:p w14:paraId="6586F0B1">
      <w:pPr>
        <w:jc w:val="both"/>
      </w:pPr>
      <w:r>
        <w:rPr>
          <w:rFonts w:hint="default"/>
        </w:rPr>
        <w:t>BHP is a suitable case study as the Pilbara iron ore operation provides steel producers with iron ore which could change the characteristics and value of the ore they buy as part of their decarbonisation journey. The real marketing challenge is not if mining can market itself as being "greener" but if BHP can prove a viable "path to the lower emissions steel production" option for customers, without sacrificing commercial returns. The 2026 reporting by BHP separates emissions from its operated assets from emissions occurring downstream, where BHP can have an influence but cannot have direct control over (BHP, 2026a; BHP, 2026b). The three external actors that are assessed are: the natural environment, business customers and regulatory institutions. They are not mutually exclusive – environmental pressure creates the problem, technical demand and economic value set by customers, and regulation sets the frameworks for verification and incentives (IPCC, 2023; IEA, 2024a).</w:t>
      </w:r>
    </w:p>
    <w:p w14:paraId="030C3543">
      <w:pPr>
        <w:pStyle w:val="3"/>
        <w:numPr>
          <w:numId w:val="0"/>
        </w:numPr>
        <w:ind w:leftChars="0"/>
        <w:jc w:val="both"/>
      </w:pPr>
      <w:bookmarkStart w:id="2" w:name="_Toc31512"/>
      <w:r>
        <w:rPr>
          <w:rFonts w:asciiTheme="majorHAnsi" w:hAnsiTheme="majorHAnsi" w:eastAsiaTheme="majorEastAsia" w:cstheme="majorBidi"/>
          <w:b/>
          <w:bCs/>
          <w:color w:val="153149"/>
          <w:sz w:val="22"/>
          <w:szCs w:val="26"/>
          <w:lang w:val="en-US" w:eastAsia="en-US" w:bidi="ar-SA"/>
        </w:rPr>
        <w:t>Actor one: natural environment</w:t>
      </w:r>
      <w:bookmarkEnd w:id="2"/>
      <w:r>
        <w:rPr>
          <w:rFonts w:asciiTheme="majorHAnsi" w:hAnsiTheme="majorHAnsi" w:eastAsiaTheme="majorEastAsia" w:cstheme="majorBidi"/>
          <w:b/>
          <w:bCs/>
          <w:color w:val="153149"/>
          <w:sz w:val="22"/>
          <w:szCs w:val="26"/>
          <w:lang w:val="en-US" w:eastAsia="en-US" w:bidi="ar-SA"/>
        </w:rPr>
        <w:t xml:space="preserve"> </w:t>
      </w:r>
    </w:p>
    <w:p w14:paraId="4BCC48B5">
      <w:pPr>
        <w:bidi w:val="0"/>
        <w:jc w:val="both"/>
      </w:pPr>
      <w:r>
        <w:rPr>
          <w:rFonts w:hint="default"/>
          <w:lang w:val="en-US" w:eastAsia="en-US"/>
        </w:rPr>
        <w:t>Climate change is the key environmental player as it poses transition risk to BHP's iron ore business due to its emissions-intensive steelmaking. The International Energy Agency (IEA) estimates that energy related CO2 emissions in iron and steel comprised about 7% of total energy system CO2 emissions in 2020 and the Breakthrough Agenda (2025) projects iron and steel emissions for 2030 to be still well short of the level needed for a net zero trajectory. Physical environment is also important to mine productivity: water shortage, extreme heat and bad weather can affect the extraction, rail and shipping.</w:t>
      </w:r>
    </w:p>
    <w:p w14:paraId="15835C73">
      <w:pPr>
        <w:jc w:val="both"/>
        <w:rPr>
          <w:rStyle w:val="139"/>
          <w:lang w:val="en-US" w:eastAsia="en-US"/>
        </w:rPr>
      </w:pPr>
      <w:bookmarkStart w:id="3" w:name="_Toc18547"/>
      <w:r>
        <w:rPr>
          <w:rStyle w:val="139"/>
          <w:lang w:val="en-US" w:eastAsia="en-US"/>
        </w:rPr>
        <w:t>Technology, ore quality and the emissions boundary</w:t>
      </w:r>
    </w:p>
    <w:bookmarkEnd w:id="3"/>
    <w:p w14:paraId="22677666">
      <w:pPr>
        <w:jc w:val="both"/>
      </w:pPr>
      <w:r>
        <w:rPr>
          <w:rFonts w:hint="default"/>
        </w:rPr>
        <w:t>One potential issue is that lower emissions steel is not a single technology or product. There are various feedstocks and infrastructure needs that differ among hydrogen direct-reduced iron (DRI), electric-arc furnaces, scrap recycling and alternative smelting. Rosner et al (2023) model the cost sensitivity of the hydrogen-based DRI to the energy and plant design, and Shahabuddin, Brooks and Rhamdhani (2023) identify ore quality and affordable hydrogen as binding conditions. Therefore, it is technically not valid to assume that all ores from the Pilbara would be suitable for shaft furnace DRI. Whilst important for BHP's interest and involvement in emerging smelting solutions and customer partnerships, this does not make pilot development appropriate for the presentation of proven commercial scale abatement (BHP, 2025a; BHP, 2026b). The IEA (2024b) also separates improvements that lead towards ‘low-emissions’ and ‘near-zero’ as more challenging goals.</w:t>
      </w:r>
    </w:p>
    <w:p w14:paraId="29428DED">
      <w:pPr>
        <w:pStyle w:val="3"/>
        <w:numPr>
          <w:numId w:val="0"/>
        </w:numPr>
        <w:ind w:leftChars="0"/>
        <w:jc w:val="both"/>
      </w:pPr>
      <w:bookmarkStart w:id="4" w:name="_Toc19452"/>
      <w:r>
        <w:t>Measuring environmental opportunity without greenwashing</w:t>
      </w:r>
      <w:bookmarkEnd w:id="4"/>
    </w:p>
    <w:p w14:paraId="76ABEAE3">
      <w:pPr>
        <w:jc w:val="both"/>
        <w:rPr>
          <w:rFonts w:hint="default"/>
        </w:rPr>
      </w:pPr>
      <w:r>
        <w:rPr>
          <w:rFonts w:hint="default"/>
        </w:rPr>
        <w:t>Where BHP can demonstrate the performance of its steelmaking process, the ability to trace and provide technical support, it's an opportunity when it happens through the use of the specifics of the process and not simply by using general sustainability terminology. The World Steel Association indicator for 2023 showed 1.92 tonnes of CO2 for every tonne of crude steel produced, which is Worldsteel's 2025 figure. Worldsteel's methodology has since broadened the coverage of greenhouse-gas emissions, so it is difficult to make simple comparisons between different years (World Steel Association, 2025; World Steel Association, 2026a). The IEA's emissions-accounting work pushes for greater interoperability of site-level and product-level methodologies and makes disciplined reporting of climate-related risks more important, and the IFRS S2 makes reporting of climate-related risks more important (IEA, 2023; IFRS Foundation, 2023). De Freitas Netto et al. (2020) make sense of the problem of ambiguous environmental claims that generate the risk of greenwashing. However, BHP should sell measured characteristics of an input to an iron ore process – not the reduced carbon content of the output of the process – rather than claim that the output of the process is low-carbon just because BHP is involved in a pilot.</w:t>
      </w:r>
    </w:p>
    <w:p w14:paraId="7B986BB9">
      <w:pPr>
        <w:pStyle w:val="3"/>
        <w:numPr>
          <w:numId w:val="0"/>
        </w:numPr>
        <w:bidi w:val="0"/>
        <w:ind w:leftChars="0"/>
        <w:jc w:val="both"/>
        <w:rPr>
          <w:lang w:val="en-US" w:eastAsia="en-US"/>
        </w:rPr>
      </w:pPr>
      <w:bookmarkStart w:id="5" w:name="_Toc6852"/>
      <w:r>
        <w:rPr>
          <w:lang w:val="en-US" w:eastAsia="en-US"/>
        </w:rPr>
        <w:t>Actor two: steelmaking customers and purchasing economics</w:t>
      </w:r>
      <w:bookmarkEnd w:id="5"/>
    </w:p>
    <w:p w14:paraId="3B092D15">
      <w:pPr>
        <w:bidi w:val="0"/>
        <w:jc w:val="both"/>
        <w:rPr>
          <w:rFonts w:hint="default"/>
        </w:rPr>
      </w:pPr>
      <w:r>
        <w:rPr>
          <w:rFonts w:hint="default"/>
          <w:lang w:val="en-US"/>
        </w:rPr>
        <w:t>R</w:t>
      </w:r>
      <w:r>
        <w:rPr>
          <w:rFonts w:hint="default"/>
          <w:lang w:val="en-US" w:eastAsia="en-US"/>
        </w:rPr>
        <w:t>ather, the steel producers are not the passive recipients of the green proposition: The furnace configuration, capital cycles and end-market buyers dictate what are the ores which can generate economic value. In 2025, world crude steel production continued to be sizeable, although its regional distribution was not uniform, with a decline in output in China, and an increase in India (World Steel Association, 2026b). OECD(2025) states excess capacity and low profitability which limit the ability of steel companies to invest in decarbonisation. Procurement managers might therefore consider price, iron content, impurities, productivity and reliability more important than carbon benefits as they are more attainable, unless BHP can prove a total-cost-of-use benefit. The literature on the role of market formation in green steel emphasizes that the definitions must be agreed to, carbon accounting must be ensured, and the demand-side purchasing commitments must be made (Muslemani et al., 2021; IEA, 2024c). An appropriate value proposition for the customer should thus be a mix of proven process performance, possible emissions savings, and commercial delivery reliability.</w:t>
      </w:r>
    </w:p>
    <w:p w14:paraId="0587C57D">
      <w:pPr>
        <w:pStyle w:val="3"/>
        <w:numPr>
          <w:numId w:val="0"/>
        </w:numPr>
        <w:ind w:leftChars="0"/>
        <w:jc w:val="both"/>
      </w:pPr>
      <w:bookmarkStart w:id="6" w:name="_Toc3504"/>
      <w:r>
        <w:t>Actor three: regulators and market-access institutions</w:t>
      </w:r>
      <w:bookmarkEnd w:id="6"/>
    </w:p>
    <w:p w14:paraId="18446C03">
      <w:pPr>
        <w:jc w:val="both"/>
        <w:rPr>
          <w:rFonts w:hint="default"/>
        </w:rPr>
      </w:pPr>
      <w:r>
        <w:rPr>
          <w:rFonts w:hint="default"/>
        </w:rPr>
        <w:t>Regulators influence the downstream purchasing and the manner in which cost and disclosure of carbon have an impact. The EU Carbon Border Adjustment Mechanism applies to iron and steel and will require more detailed information on embedded emissions (European Commission, 2026). However, exposure to BHP's upstream ore is not the same as an "exposed" finish-steel import exposure - it is primarily indirect via customers, trade and purchasing. In addition, the OECD (2025) cautions that overcapacity and subsidies may have a negative impact on investment and competition. Meanwhile, similar accounting principles can provide greater value of verified material performance, but it varies by jurisdiction (IEA, 2024b; IFRS Foundation, 2023). Strategically speaking, BHP should focus on real, customer-relevant data over offering a regulatory price premium.</w:t>
      </w:r>
    </w:p>
    <w:p w14:paraId="78FDE575">
      <w:pPr>
        <w:pStyle w:val="3"/>
        <w:numPr>
          <w:numId w:val="0"/>
        </w:numPr>
        <w:bidi w:val="0"/>
        <w:ind w:leftChars="0"/>
        <w:jc w:val="both"/>
        <w:rPr>
          <w:lang w:val="en-US" w:eastAsia="en-US"/>
        </w:rPr>
      </w:pPr>
      <w:bookmarkStart w:id="7" w:name="_Toc5328"/>
      <w:r>
        <w:rPr>
          <w:lang w:val="en-US" w:eastAsia="en-US"/>
        </w:rPr>
        <w:t>Stakeholder trade-offs and evidence hierarchy</w:t>
      </w:r>
      <w:bookmarkEnd w:id="7"/>
    </w:p>
    <w:p w14:paraId="79D72FE9">
      <w:pPr>
        <w:jc w:val="both"/>
      </w:pPr>
      <w:r>
        <w:rPr>
          <w:rFonts w:hint="default"/>
        </w:rPr>
        <w:t>It is important to remember that there are impacts other than the greenhouse gas when extracting resources. Any marketed ore could have water stewardship, biodiversity, waste and community legitimacy issues that would lead to social licence and sustainability credibility. A carbon-only measure could help transfer the costs of carbon, but not remove them. Thus, I would want the energy and water quantified, waste quantified, and the impacts on the port and the mine quantified for any ore-upgrading pathway and compared with the energy, water, waste, and impacts on the port and the steel-making pathway. This also alters the relative importance of the stakeholders, such as local communities and environmental regulators, which could be determining factors in operating continuity even if the end customer is the downstream customer. The annual disclosures by BHP must be checked and cross-referenced with other independent indicators and peer-reviewed process evidence, not be seen as neutral confirmation (BHP, 2025a; IPCC, 2023; de Freitas Netto et al., 2020).</w:t>
      </w:r>
    </w:p>
    <w:p w14:paraId="0DE9CB32">
      <w:pPr>
        <w:pStyle w:val="3"/>
        <w:numPr>
          <w:numId w:val="0"/>
        </w:numPr>
        <w:ind w:leftChars="0"/>
        <w:jc w:val="both"/>
      </w:pPr>
      <w:bookmarkStart w:id="8" w:name="_Toc9906"/>
      <w:r>
        <w:t>Integrated judgement and prioritisation</w:t>
      </w:r>
      <w:bookmarkEnd w:id="8"/>
    </w:p>
    <w:p w14:paraId="4FCB3FFC">
      <w:pPr>
        <w:jc w:val="both"/>
        <w:rPr>
          <w:rFonts w:hint="default"/>
        </w:rPr>
      </w:pPr>
      <w:r>
        <w:rPr>
          <w:rFonts w:hint="default"/>
        </w:rPr>
        <w:t>The three actors make a clear, but conditional, opportunity. Innovation is driven by the need for the environment; a segmented proposition is needed because of the heterogeneity of customers; regulation is for defensible metrics, not to ensure demand. The biggest challenges are incompatible ore specification, high conversion technology cost and carbon accounting and commoditised competition. Previous studies that have investigated the link between dynamic capabilities and sustainability and operating performance (Díaz-Chao, Ficapal-Cusí and Torrent-Sellens, 2021; Mohaghegh, Blasi and Größler, 2021) have shown that advantage relies on the ability to continuously sense the needs of the customer, seize pilot opportunities and re-configure operations, rather than making sustainability a marketing campaign (Mohaghegh, Blasi and Größler, 2021; Oliveira-Dias et al., 2022). Another opinion is that customers may need more and more new types of iron input in the future instead of gradually better conventional iron. Recommended is to monitor technology disruptions as well as commercially viable demand signals, whilst keeping the flexibility of exiting technologies that do not demonstrate industrial-scale viability (IEA, 2025a; OECD, 2025).</w:t>
      </w:r>
    </w:p>
    <w:p w14:paraId="5810FE71">
      <w:pPr>
        <w:jc w:val="both"/>
      </w:pPr>
    </w:p>
    <w:p w14:paraId="5152DEF9">
      <w:pPr>
        <w:pStyle w:val="2"/>
        <w:jc w:val="both"/>
      </w:pPr>
      <w:bookmarkStart w:id="9" w:name="_Toc26234"/>
      <w:r>
        <w:t>Task 2: Strategic growth and competitive positioning</w:t>
      </w:r>
      <w:bookmarkEnd w:id="9"/>
    </w:p>
    <w:p w14:paraId="655FD1C5">
      <w:pPr>
        <w:pStyle w:val="3"/>
        <w:numPr>
          <w:numId w:val="0"/>
        </w:numPr>
        <w:bidi w:val="0"/>
        <w:ind w:leftChars="0"/>
        <w:jc w:val="both"/>
        <w:rPr>
          <w:lang w:val="en-US" w:eastAsia="en-US"/>
        </w:rPr>
      </w:pPr>
      <w:bookmarkStart w:id="10" w:name="_Toc17738"/>
      <w:r>
        <w:rPr>
          <w:lang w:val="en-US" w:eastAsia="en-US"/>
        </w:rPr>
        <w:t>Ansoff alternatives and recommended route</w:t>
      </w:r>
      <w:bookmarkEnd w:id="10"/>
    </w:p>
    <w:p w14:paraId="0713EF85">
      <w:pPr>
        <w:jc w:val="both"/>
        <w:rPr>
          <w:rFonts w:hint="default"/>
        </w:rPr>
      </w:pPr>
      <w:r>
        <w:rPr>
          <w:rFonts w:hint="default"/>
        </w:rPr>
        <w:t>Ansoff's reasoning sorts out market penetration, market development, product development and diversification. The defensible difference BHP could gain from market penetration via "promotion of sustainability" would be minimal without proper qualifications. The diversification of the steel plant would be a significant technological and capital risk. Product development for existing strategic steelmaker customers; a differentiated, verifiably characterised iron ore and technical-service offering for specific emerging lower emissions pathways represents the best initial strategy. The decision proves to be a good one because it recognizes that the product is not necessarily suitable for all green-steel technologies (BHP, 2024; BHP, 2026a; Shahabuddin, Brooks and Rhamdhani, 2023).</w:t>
      </w:r>
    </w:p>
    <w:p w14:paraId="1B4DF448">
      <w:pPr>
        <w:pStyle w:val="3"/>
        <w:numPr>
          <w:numId w:val="0"/>
        </w:numPr>
        <w:bidi w:val="0"/>
        <w:ind w:leftChars="0"/>
        <w:jc w:val="both"/>
        <w:rPr>
          <w:lang w:val="en-US" w:eastAsia="en-US"/>
        </w:rPr>
      </w:pPr>
      <w:bookmarkStart w:id="11" w:name="_Toc4880"/>
      <w:r>
        <w:rPr>
          <w:lang w:val="en-US" w:eastAsia="en-US"/>
        </w:rPr>
        <w:t>What the proposition actually comprises</w:t>
      </w:r>
      <w:bookmarkEnd w:id="11"/>
    </w:p>
    <w:p w14:paraId="2121614D">
      <w:pPr>
        <w:jc w:val="both"/>
      </w:pPr>
      <w:r>
        <w:rPr>
          <w:rFonts w:hint="default"/>
        </w:rPr>
        <w:t>BHP should produce a three-stage ‘verified transition input' offer, comprising: (1) a quality and impurity profile of ore lots, that is linked to clear processing routes; (2) emissions data verified by an independent party and emissions data that is clearly defined for each boundary; and (3) technical pilots with selected customers, which are technically and jointly governed. Studies on trading green iron indicate that the geography of resources, logistics and energy-cost differences can re-organise value chains in industry, which underscores the importance of considering future locations of customers (Bilici et al., 2024). While the near zero materials is an emerging market, IEA (2024a) indicates significant investment requirements, therefore, a viable proposition should be commercially modular and scalable. The branding for differentiation should be based on proprietary technical learning and reliable delivery and auditable evidence, not just branding.</w:t>
      </w:r>
    </w:p>
    <w:p w14:paraId="46B9AB1C">
      <w:pPr>
        <w:pStyle w:val="3"/>
        <w:numPr>
          <w:numId w:val="0"/>
        </w:numPr>
        <w:bidi w:val="0"/>
        <w:ind w:leftChars="0"/>
        <w:jc w:val="both"/>
        <w:rPr>
          <w:lang w:val="en-US" w:eastAsia="en-US"/>
        </w:rPr>
      </w:pPr>
      <w:bookmarkStart w:id="12" w:name="_Toc23826"/>
      <w:r>
        <w:rPr>
          <w:lang w:val="en-US" w:eastAsia="en-US"/>
        </w:rPr>
        <w:t>Phased implementation and risk gates</w:t>
      </w:r>
      <w:bookmarkEnd w:id="12"/>
    </w:p>
    <w:p w14:paraId="02544243">
      <w:pPr>
        <w:jc w:val="both"/>
      </w:pPr>
      <w:r>
        <w:rPr>
          <w:rFonts w:hint="default"/>
        </w:rPr>
        <w:t>In the period 0-6 months, commercial and technical staff shall segment the customers based on furnace route, decarbonisation commitment, willingness to carry out trials; define a protocol for the tracking of the emissions; and agree baseline data. BHP could conduct a series of controlled, pilot testing activities with a small number of steel producers in months 6-18, and only the findings supported by independent parties would be published. Reproducible metallurgical results, net customer value and acceptable capital economics should be prerequisites for full commercial rollout. BHP's reporting refers to activities involving steel producers and new technologies, but it is recommended, not approved, that BHP pursue such a programme (BHP, 2025b; BHP, 2026b).</w:t>
      </w:r>
    </w:p>
    <w:p w14:paraId="47F8155C">
      <w:pPr>
        <w:pStyle w:val="3"/>
        <w:numPr>
          <w:numId w:val="0"/>
        </w:numPr>
        <w:bidi w:val="0"/>
        <w:ind w:leftChars="0"/>
        <w:jc w:val="both"/>
        <w:rPr>
          <w:lang w:val="en-US" w:eastAsia="en-US"/>
        </w:rPr>
      </w:pPr>
      <w:bookmarkStart w:id="13" w:name="_Toc20286"/>
      <w:r>
        <w:rPr>
          <w:lang w:val="en-US" w:eastAsia="en-US"/>
        </w:rPr>
        <w:t>Competitive advantage and practical scorecard</w:t>
      </w:r>
      <w:bookmarkEnd w:id="13"/>
    </w:p>
    <w:p w14:paraId="29A78975">
      <w:pPr>
        <w:jc w:val="both"/>
        <w:rPr>
          <w:rFonts w:hint="default"/>
        </w:rPr>
      </w:pPr>
      <w:r>
        <w:rPr>
          <w:rFonts w:hint="default"/>
        </w:rPr>
        <w:t>The defensible advantage is centred on the ability to be focused, with the learning curve that has been built through co-developed specifications. Projects should be evaluated on the board based on the risk-adjusted incremental margin and not gross revenue or on unverified carbon savings. A small scorecard would monitor verified emissions intensity within a defined boundary, monitor customer process-yield change, monitor pilot-to-contract conversion, monitor net margin per tonne, monitor any data assurance coverage and monitor capital deployed. New processes may be more expensive at the system level and system management should conduct downside scenarios for electricity prices and customer uptake, along with ore-quality limitations (Rosner et al., 2023; IEA, 2025a). The transition literature also warns that the required capabilities of the organisation are important for new business models, but not technology investments alone (Oliveira-Dias et al., 2022; Díaz-Chao, Ficapal-Cusí and Torrent-Sellens, 2021).</w:t>
      </w:r>
    </w:p>
    <w:p w14:paraId="7A070820">
      <w:pPr>
        <w:pStyle w:val="3"/>
        <w:numPr>
          <w:numId w:val="0"/>
        </w:numPr>
        <w:bidi w:val="0"/>
        <w:ind w:leftChars="0"/>
        <w:jc w:val="both"/>
        <w:rPr>
          <w:lang w:val="en-US" w:eastAsia="en-US"/>
        </w:rPr>
      </w:pPr>
      <w:bookmarkStart w:id="14" w:name="_Toc2452"/>
      <w:r>
        <w:rPr>
          <w:lang w:val="en-US" w:eastAsia="en-US"/>
        </w:rPr>
        <w:t>Commercial economics and governance</w:t>
      </w:r>
      <w:bookmarkEnd w:id="14"/>
    </w:p>
    <w:p w14:paraId="4A3EB446">
      <w:pPr>
        <w:jc w:val="both"/>
      </w:pPr>
      <w:r>
        <w:rPr>
          <w:rFonts w:hint="default"/>
        </w:rPr>
        <w:t>Financial materiality can be supported by BHP's FY2026 revenue of iron ore of ~US$23.9 billion and underlying EBITDA of ~US$14.5 billion (BHP, 2026b). These are historical results for the segments and do not reflect on the segment's expected revenues from low-emissions ore. The incremental contribution per tonne should be the same as the customer premium + any efficiencies captured under the contract – less beneficiation, verification, logistics and selling costs. For a pilot project size of 1 million tonne per year (actual US$5/t realised premium minus US$2/t incremental operating cost), the pre-tax contribution would be US$3 million per year. Assuming US$8 million in start-up capital to be invested in business upfront, five years of steady contributions at 12% discount rate yields an indicative pre-tax NPV of approximately US$2.8m (excluding working capital and closure costs) or a negative NPV if a zero-premium downside is assumed. All of these assumptions for the pilots are not BHP forecasts. Before capital sanction, the customer contracts are to be validated for both the volume and premium. This pathway should be compared with a traditional ‘high quality ore' investment and compared with a ‘no investment' pathway, under the same risk, discounting and emissions assumptions. A multi-functional steering group comprising of marketing, technical operations, sustainability, legal and financial should be established to manage gate decisions and a claims register. Innovation should, therefore, be able to compete for capital on evidence and not get a ‘free pass' due to sustainability (IFRS Foundation, 2023; IEA, 2023; Mohaghegh, Blasi and Größler, 2021).</w:t>
      </w:r>
    </w:p>
    <w:p w14:paraId="50DBDAF9">
      <w:pPr>
        <w:pStyle w:val="3"/>
        <w:numPr>
          <w:numId w:val="0"/>
        </w:numPr>
        <w:bidi w:val="0"/>
        <w:ind w:leftChars="0"/>
        <w:jc w:val="both"/>
        <w:rPr>
          <w:lang w:val="en-US" w:eastAsia="en-US"/>
        </w:rPr>
      </w:pPr>
      <w:bookmarkStart w:id="15" w:name="_Toc25520"/>
      <w:r>
        <w:rPr>
          <w:lang w:val="en-US" w:eastAsia="en-US"/>
        </w:rPr>
        <w:t>Strategic decision</w:t>
      </w:r>
      <w:bookmarkEnd w:id="15"/>
    </w:p>
    <w:p w14:paraId="4B38F0AA">
      <w:pPr>
        <w:spacing w:line="360" w:lineRule="auto"/>
        <w:jc w:val="both"/>
      </w:pPr>
      <w:r>
        <w:rPr>
          <w:rFonts w:hint="default"/>
        </w:rPr>
        <w:t>Take a staged approach to product development with a gated product, do not do a business wide repositioning. The criterion for scaling is straightforward: When the value that a customer can be estimated exceeds the costs of quality upgrading, verification, and transaction. This reflects the OECD's sign of financially-strained steel markets and IEA's concern that the near-zero processes are still expensive, even though they exist (OECD, 2025; IEA, 2025a). The outcome would be a competitive position which is defensible, but not that BHP produces near-zero steel. An irreversible marketing program that integrates a single path could end up with technological lock-in, while staged trials will allow for a change in configuration when credible customer evidence is modified (BHP, 2026b; Bilici et al., 2024).</w:t>
      </w:r>
    </w:p>
    <w:p w14:paraId="11FE0E40">
      <w:pPr>
        <w:pStyle w:val="2"/>
        <w:jc w:val="both"/>
      </w:pPr>
      <w:bookmarkStart w:id="16" w:name="_Toc18162"/>
      <w:r>
        <w:t>Task 3: Managerial and professional reflection</w:t>
      </w:r>
      <w:bookmarkEnd w:id="16"/>
    </w:p>
    <w:p w14:paraId="1EA3DF75">
      <w:pPr>
        <w:pStyle w:val="3"/>
        <w:numPr>
          <w:numId w:val="0"/>
        </w:numPr>
        <w:ind w:leftChars="0"/>
        <w:jc w:val="both"/>
      </w:pPr>
      <w:bookmarkStart w:id="17" w:name="_Toc24989"/>
      <w:r>
        <w:t>Decisions to defend before senior leadership</w:t>
      </w:r>
      <w:bookmarkEnd w:id="17"/>
    </w:p>
    <w:p w14:paraId="34C449BE">
      <w:pPr>
        <w:jc w:val="both"/>
      </w:pPr>
      <w:r>
        <w:rPr>
          <w:rFonts w:hint="default"/>
        </w:rPr>
        <w:t>When I give them these recommendations to the board, I would explain why I chose BHP since it has iron ore operations that will have the marketing function between existing extractive operations and customers' new production decisions. I purposely made an effort to emphasize the natural environment the most, but also added customers and regulators to avoid the misleading assumption that if it is necessary for the natural environment, it is profitable. I also favor product development over diversification as I want to make sure that the learning is reversible and that I still have access to the customers, when the technology is not certain (BHP, 2024; IEA, 2024c).</w:t>
      </w:r>
    </w:p>
    <w:p w14:paraId="4C33BBED">
      <w:pPr>
        <w:pStyle w:val="3"/>
        <w:numPr>
          <w:numId w:val="0"/>
        </w:numPr>
        <w:ind w:leftChars="0"/>
        <w:jc w:val="both"/>
      </w:pPr>
      <w:bookmarkStart w:id="18" w:name="_Toc14517"/>
      <w:r>
        <w:t>Limits and tensions</w:t>
      </w:r>
      <w:bookmarkEnd w:id="18"/>
    </w:p>
    <w:p w14:paraId="2DB123FF">
      <w:pPr>
        <w:jc w:val="both"/>
        <w:rPr>
          <w:rFonts w:hint="default"/>
        </w:rPr>
      </w:pPr>
      <w:r>
        <w:rPr>
          <w:rFonts w:hint="default"/>
        </w:rPr>
        <w:t>The most significant analytical constraints lie in relying on secondary information from public companies and the industry. While BHP disclosures are helpful, they're also management generated and cannot verify if customers are willing to pay for the ore or its technical yield per ore grade. Likewise, sector averages hide the differences between the blast furnace and DRI plants and regional power systems. Hydrogen-DRI related results are dependent on the scenarios and forecasts regarding new patterns of iron trade cannot be guaranteed (Rosner et al., 2023; Bilici et al., 2024). I would therefore be wary of an estimate or abatement seemingly made with great accuracy, but without an accompanying basis.</w:t>
      </w:r>
    </w:p>
    <w:p w14:paraId="7558E46D">
      <w:pPr>
        <w:pStyle w:val="3"/>
        <w:numPr>
          <w:numId w:val="0"/>
        </w:numPr>
        <w:ind w:leftChars="0"/>
        <w:jc w:val="both"/>
      </w:pPr>
      <w:bookmarkStart w:id="23" w:name="_GoBack"/>
      <w:bookmarkEnd w:id="23"/>
      <w:bookmarkStart w:id="19" w:name="_Toc8404"/>
      <w:r>
        <w:t>Further evidence, governance and professional learning</w:t>
      </w:r>
      <w:bookmarkEnd w:id="19"/>
    </w:p>
    <w:p w14:paraId="3F66F785">
      <w:pPr>
        <w:jc w:val="both"/>
        <w:rPr>
          <w:rFonts w:hint="default"/>
        </w:rPr>
      </w:pPr>
      <w:r>
        <w:rPr>
          <w:rFonts w:hint="default"/>
        </w:rPr>
        <w:t>I'd be conducting third party life cycle assessments and metallurgical testing, interviews with customers with purchasing and sustainability executives, road specific cost modelling, competitor cost benchmarking and regulatory advice for key export markets before approving material investment. There should be a downside case finance scenario and a governance check by internal audit on carbon-claims. Furthermore, I would look for evidence on the impacts on workers, and the practicality of developing the new technical skills, as transition projects need to be operational aligned (Gruchmann et al., 2021). The most pertinent managerial lesson is that not only do the limits of the data form part of a decision, but so too does the professional credibility of stating what is known, what is uncertain, and what should cause a change in recommendation, (IEA, 2023; BHP, 2026b).</w:t>
      </w:r>
    </w:p>
    <w:p w14:paraId="1263ABEB">
      <w:pPr>
        <w:pStyle w:val="3"/>
        <w:numPr>
          <w:numId w:val="0"/>
        </w:numPr>
        <w:ind w:leftChars="0"/>
        <w:jc w:val="both"/>
      </w:pPr>
      <w:bookmarkStart w:id="20" w:name="_Toc14390"/>
      <w:r>
        <w:t>Reflection on decision quality</w:t>
      </w:r>
      <w:bookmarkEnd w:id="20"/>
    </w:p>
    <w:p w14:paraId="718B7BCC">
      <w:pPr>
        <w:jc w:val="both"/>
        <w:rPr>
          <w:rFonts w:hint="default"/>
        </w:rPr>
      </w:pPr>
      <w:r>
        <w:rPr>
          <w:rFonts w:hint="default"/>
        </w:rPr>
        <w:t>Initially I thought that this meant a stronger environmental stance equates with a competitive advantage. That's proved by the evidence to be untrue. It is not a narrative of the environment that customers are buying, but an input; techno-economic limitations can defeat any professed sustainability preference. A consulting firm I would make a clear separation between what facts are verified, what is a plausible forecast and what is an assumption for management in each board paper. I would also make a list of rejected alternatives, so that the reasoning behind the selection of product development can be revisited if the customer technologies or customer trading rules change. These are suggestions of work practice and not necessarily cases of individual experience.</w:t>
      </w:r>
    </w:p>
    <w:p w14:paraId="07C6CDF7">
      <w:pPr>
        <w:pStyle w:val="3"/>
        <w:numPr>
          <w:numId w:val="0"/>
        </w:numPr>
        <w:ind w:leftChars="0"/>
        <w:jc w:val="both"/>
      </w:pPr>
      <w:bookmarkStart w:id="21" w:name="_Toc31487"/>
      <w:r>
        <w:t>Closing recommendation</w:t>
      </w:r>
      <w:bookmarkEnd w:id="21"/>
    </w:p>
    <w:p w14:paraId="2A456DB5">
      <w:pPr>
        <w:jc w:val="both"/>
        <w:rPr>
          <w:rFonts w:hint="default"/>
          <w:lang w:val="en-US"/>
        </w:rPr>
      </w:pPr>
      <w:r>
        <w:rPr>
          <w:rFonts w:hint="default"/>
        </w:rPr>
        <w:t>Senior leadership should approve a program of co-development with customers, with a clear scope, independently assessed and only roll it out when clear technical, financial and emissions-evidence gate requirements are met. It takes a strategic perspective on marketing that focuses on learning and accountability, rather than conveying a predetermined strategy</w:t>
      </w:r>
      <w:r>
        <w:rPr>
          <w:rFonts w:hint="default"/>
          <w:lang w:val="en-US"/>
        </w:rPr>
        <w:t>.</w:t>
      </w:r>
    </w:p>
    <w:p w14:paraId="48FA7671">
      <w:pPr>
        <w:jc w:val="both"/>
      </w:pPr>
      <w:r>
        <w:br w:type="page"/>
      </w:r>
    </w:p>
    <w:p w14:paraId="2A792A1E">
      <w:pPr>
        <w:pStyle w:val="2"/>
        <w:jc w:val="both"/>
      </w:pPr>
      <w:bookmarkStart w:id="22" w:name="_Toc28485"/>
      <w:r>
        <w:t>References</w:t>
      </w:r>
      <w:bookmarkEnd w:id="22"/>
    </w:p>
    <w:p w14:paraId="2DB1E74C">
      <w:pPr>
        <w:numPr>
          <w:ilvl w:val="0"/>
          <w:numId w:val="0"/>
        </w:numPr>
        <w:spacing w:after="120" w:line="360" w:lineRule="auto"/>
        <w:ind w:leftChars="0"/>
        <w:jc w:val="both"/>
      </w:pPr>
      <w:r>
        <w:rPr>
          <w:sz w:val="18"/>
        </w:rPr>
        <w:t>BHP (2024) Climate Transition Action Plan 2024. Available at: https://www.bhp.com/ctap2024 (Accessed: 1</w:t>
      </w:r>
      <w:r>
        <w:rPr>
          <w:rFonts w:hint="default"/>
          <w:sz w:val="18"/>
          <w:lang w:val="en-US"/>
        </w:rPr>
        <w:t>6</w:t>
      </w:r>
      <w:r>
        <w:rPr>
          <w:sz w:val="18"/>
        </w:rPr>
        <w:t xml:space="preserve"> October 2026).</w:t>
      </w:r>
    </w:p>
    <w:p w14:paraId="617A9630">
      <w:pPr>
        <w:numPr>
          <w:ilvl w:val="0"/>
          <w:numId w:val="0"/>
        </w:numPr>
        <w:spacing w:after="120" w:line="360" w:lineRule="auto"/>
        <w:ind w:leftChars="0"/>
        <w:jc w:val="both"/>
      </w:pPr>
      <w:r>
        <w:rPr>
          <w:sz w:val="18"/>
        </w:rPr>
        <w:t>BHP (2025a) Annual Report 2025. Available at: https://www.bhp.com/-/media/documents/investors/annual-reports/2025/250819_bhpannualreport2025.pdf (Accessed: 1</w:t>
      </w:r>
      <w:r>
        <w:rPr>
          <w:rFonts w:hint="default"/>
          <w:sz w:val="18"/>
          <w:lang w:val="en-US"/>
        </w:rPr>
        <w:t>6</w:t>
      </w:r>
      <w:r>
        <w:rPr>
          <w:sz w:val="18"/>
        </w:rPr>
        <w:t xml:space="preserve"> October 2026).</w:t>
      </w:r>
    </w:p>
    <w:p w14:paraId="545EB81A">
      <w:pPr>
        <w:numPr>
          <w:ilvl w:val="0"/>
          <w:numId w:val="0"/>
        </w:numPr>
        <w:spacing w:after="120" w:line="360" w:lineRule="auto"/>
        <w:ind w:leftChars="0"/>
        <w:jc w:val="both"/>
      </w:pPr>
      <w:r>
        <w:rPr>
          <w:sz w:val="18"/>
        </w:rPr>
        <w:t>BHP (2025b) 2025 Annual Reporting Suite. Available at: https://www.bhp.com/news/media-centre/reports-presentations/2025/08/2025-annual-reporting-suite (Accessed: 1</w:t>
      </w:r>
      <w:r>
        <w:rPr>
          <w:rFonts w:hint="default"/>
          <w:sz w:val="18"/>
          <w:lang w:val="en-US"/>
        </w:rPr>
        <w:t>7</w:t>
      </w:r>
      <w:r>
        <w:rPr>
          <w:sz w:val="18"/>
        </w:rPr>
        <w:t xml:space="preserve"> October 2026).</w:t>
      </w:r>
    </w:p>
    <w:p w14:paraId="34982584">
      <w:pPr>
        <w:numPr>
          <w:ilvl w:val="0"/>
          <w:numId w:val="0"/>
        </w:numPr>
        <w:spacing w:after="120" w:line="360" w:lineRule="auto"/>
        <w:ind w:leftChars="0"/>
        <w:jc w:val="both"/>
      </w:pPr>
      <w:r>
        <w:rPr>
          <w:sz w:val="18"/>
        </w:rPr>
        <w:t>BHP (2026a) 2026 Annual Reporting Suite. Available at: https://www.bhp.com/news/media-centre/reports-presentations/2026/08/2026-annual-reporting-suite (Accessed: 1</w:t>
      </w:r>
      <w:r>
        <w:rPr>
          <w:rFonts w:hint="default"/>
          <w:sz w:val="18"/>
          <w:lang w:val="en-US"/>
        </w:rPr>
        <w:t>7</w:t>
      </w:r>
      <w:r>
        <w:rPr>
          <w:sz w:val="18"/>
        </w:rPr>
        <w:t xml:space="preserve"> October 2026).</w:t>
      </w:r>
    </w:p>
    <w:p w14:paraId="76ABA7D5">
      <w:pPr>
        <w:numPr>
          <w:ilvl w:val="0"/>
          <w:numId w:val="0"/>
        </w:numPr>
        <w:spacing w:after="120" w:line="360" w:lineRule="auto"/>
        <w:ind w:leftChars="0"/>
        <w:jc w:val="both"/>
      </w:pPr>
      <w:r>
        <w:rPr>
          <w:sz w:val="18"/>
        </w:rPr>
        <w:t>BHP (2026b) Sustainability Report 2026, Form 20-F. Available at: https://www.sec.gov/Archives/edgar/data/811809/000119312526354647/bhp-20260630.htm (Accessed: 1</w:t>
      </w:r>
      <w:r>
        <w:rPr>
          <w:rFonts w:hint="default"/>
          <w:sz w:val="18"/>
          <w:lang w:val="en-US"/>
        </w:rPr>
        <w:t>8</w:t>
      </w:r>
      <w:r>
        <w:rPr>
          <w:sz w:val="18"/>
        </w:rPr>
        <w:t xml:space="preserve"> October 2026).</w:t>
      </w:r>
    </w:p>
    <w:p w14:paraId="1E1A4903">
      <w:pPr>
        <w:numPr>
          <w:ilvl w:val="0"/>
          <w:numId w:val="0"/>
        </w:numPr>
        <w:spacing w:after="120" w:line="360" w:lineRule="auto"/>
        <w:ind w:leftChars="0"/>
        <w:jc w:val="both"/>
      </w:pPr>
      <w:r>
        <w:rPr>
          <w:sz w:val="18"/>
        </w:rPr>
        <w:t>Bilici, S., Holtz, G., Jülich, A., König, R., Li, Z., Trollip, H., Call, B.M., Tönjes, A., Vishwanathan, S.S., Zelt, O., Lechtenböhmer, S., Kronshage, S. and Meurer, A. (2024) ‘Global trade of green iron as a game changer for a near-zero global steel industry? A scenario-based assessment of regionalized impacts’, Energy and Climate Change, 5, article 100161. https://doi.org/10.1016/j.egycc.2024.100161.</w:t>
      </w:r>
    </w:p>
    <w:p w14:paraId="63064ABC">
      <w:pPr>
        <w:numPr>
          <w:ilvl w:val="0"/>
          <w:numId w:val="0"/>
        </w:numPr>
        <w:spacing w:after="120" w:line="360" w:lineRule="auto"/>
        <w:ind w:leftChars="0"/>
        <w:jc w:val="both"/>
      </w:pPr>
      <w:r>
        <w:rPr>
          <w:sz w:val="18"/>
        </w:rPr>
        <w:t>de Freitas Netto, S.V., Sobral, M.F.F., Ribeiro, A.R.B. and Soares, G.R.L. (2020) ‘Concepts and forms of greenwashing: a systematic review’, Environmental Sciences Europe, 32, article 19. https://doi.org/10.1186/s12302-020-0300-3.</w:t>
      </w:r>
    </w:p>
    <w:p w14:paraId="7821AD08">
      <w:pPr>
        <w:numPr>
          <w:ilvl w:val="0"/>
          <w:numId w:val="0"/>
        </w:numPr>
        <w:spacing w:after="120" w:line="360" w:lineRule="auto"/>
        <w:ind w:leftChars="0"/>
        <w:jc w:val="both"/>
      </w:pPr>
      <w:r>
        <w:rPr>
          <w:sz w:val="18"/>
        </w:rPr>
        <w:t>Díaz-Chao, Á., Ficapal-Cusí, P. and Torrent-Sellens, J. (2021) ‘Environmental assets, industry 4.0 technologies and firm performance in Spain: A dynamic capabilities path to reward sustainability’, Journal of Cleaner Production, 281, 125264. https://doi.org/10.1016/j.jclepro.2020.125264.</w:t>
      </w:r>
    </w:p>
    <w:p w14:paraId="489798AB">
      <w:pPr>
        <w:numPr>
          <w:ilvl w:val="0"/>
          <w:numId w:val="0"/>
        </w:numPr>
        <w:spacing w:after="120" w:line="360" w:lineRule="auto"/>
        <w:ind w:leftChars="0"/>
        <w:jc w:val="both"/>
      </w:pPr>
      <w:r>
        <w:rPr>
          <w:sz w:val="18"/>
        </w:rPr>
        <w:t>European Commission (2026) Carbon Border Adjustment Mechanism: CBAM sectors. Available at: https://taxation-customs.ec.europa.eu/carbon-border-adjustment-mechanism/cbam-sectors_en (Accessed: 1</w:t>
      </w:r>
      <w:r>
        <w:rPr>
          <w:rFonts w:hint="default"/>
          <w:sz w:val="18"/>
          <w:lang w:val="en-US"/>
        </w:rPr>
        <w:t>7</w:t>
      </w:r>
      <w:r>
        <w:rPr>
          <w:sz w:val="18"/>
        </w:rPr>
        <w:t xml:space="preserve"> October 2026).</w:t>
      </w:r>
    </w:p>
    <w:p w14:paraId="7E3AD8A6">
      <w:pPr>
        <w:numPr>
          <w:ilvl w:val="0"/>
          <w:numId w:val="0"/>
        </w:numPr>
        <w:spacing w:after="120" w:line="360" w:lineRule="auto"/>
        <w:ind w:leftChars="0"/>
        <w:jc w:val="both"/>
      </w:pPr>
      <w:r>
        <w:rPr>
          <w:sz w:val="18"/>
        </w:rPr>
        <w:t>Gruchmann, T., Timmer, V., Gold, S. and Geßner, C. (2021) ‘Dynamic capabilities for sustainable change in the food processing industry: A multilevel perspective’, Journal of Cleaner Production, 311, 127534. https://doi.org/10.1016/j.jclepro.2021.127534.</w:t>
      </w:r>
    </w:p>
    <w:p w14:paraId="49E19432">
      <w:pPr>
        <w:numPr>
          <w:ilvl w:val="0"/>
          <w:numId w:val="0"/>
        </w:numPr>
        <w:spacing w:after="120" w:line="360" w:lineRule="auto"/>
        <w:ind w:leftChars="0"/>
        <w:jc w:val="both"/>
      </w:pPr>
      <w:r>
        <w:rPr>
          <w:sz w:val="18"/>
        </w:rPr>
        <w:t>IFRS Foundation (2023) IFRS S2 Climate-related Disclosures. Available at: https://www.ifrs.org/supporting-implementation/supporting-materials-for-ifrs-sustainability-disclosure-standards/ifrs-s2/ (Accessed: 1</w:t>
      </w:r>
      <w:r>
        <w:rPr>
          <w:rFonts w:hint="default"/>
          <w:sz w:val="18"/>
          <w:lang w:val="en-US"/>
        </w:rPr>
        <w:t>7</w:t>
      </w:r>
      <w:r>
        <w:rPr>
          <w:sz w:val="18"/>
        </w:rPr>
        <w:t xml:space="preserve"> October 2026).</w:t>
      </w:r>
    </w:p>
    <w:p w14:paraId="13F84399">
      <w:pPr>
        <w:numPr>
          <w:ilvl w:val="0"/>
          <w:numId w:val="0"/>
        </w:numPr>
        <w:spacing w:after="120" w:line="360" w:lineRule="auto"/>
        <w:ind w:leftChars="0"/>
        <w:jc w:val="both"/>
      </w:pPr>
      <w:r>
        <w:rPr>
          <w:sz w:val="18"/>
        </w:rPr>
        <w:t>Intergovernmental Panel on Climate Change (IPCC) (2023) Climate Change 2023: Synthesis Report. Geneva: IPCC. Available at: https://www.ipcc.ch/report/sixth-assessment-report-cycle/2023/ (Accessed: 1</w:t>
      </w:r>
      <w:r>
        <w:rPr>
          <w:rFonts w:hint="default"/>
          <w:sz w:val="18"/>
          <w:lang w:val="en-US"/>
        </w:rPr>
        <w:t>4</w:t>
      </w:r>
      <w:r>
        <w:rPr>
          <w:sz w:val="18"/>
        </w:rPr>
        <w:t xml:space="preserve"> October 2026).</w:t>
      </w:r>
    </w:p>
    <w:p w14:paraId="4AB8B92F">
      <w:pPr>
        <w:numPr>
          <w:ilvl w:val="0"/>
          <w:numId w:val="0"/>
        </w:numPr>
        <w:spacing w:after="120" w:line="360" w:lineRule="auto"/>
        <w:ind w:leftChars="0"/>
        <w:jc w:val="both"/>
      </w:pPr>
      <w:r>
        <w:rPr>
          <w:sz w:val="18"/>
        </w:rPr>
        <w:t>International Energy Agency (IEA) (2020) Iron and Steel Technology Roadmap: Towards more sustainable steelmaking. Paris: IEA. Available at: https://www.iea.org/reports/iron-and-steel-technology-roadmap (Accessed: 1</w:t>
      </w:r>
      <w:r>
        <w:rPr>
          <w:rFonts w:hint="default"/>
          <w:sz w:val="18"/>
          <w:lang w:val="en-US"/>
        </w:rPr>
        <w:t>8</w:t>
      </w:r>
      <w:r>
        <w:rPr>
          <w:sz w:val="18"/>
        </w:rPr>
        <w:t xml:space="preserve"> October 2026).</w:t>
      </w:r>
    </w:p>
    <w:p w14:paraId="528F7AE5">
      <w:pPr>
        <w:numPr>
          <w:ilvl w:val="0"/>
          <w:numId w:val="0"/>
        </w:numPr>
        <w:spacing w:after="120" w:line="360" w:lineRule="auto"/>
        <w:ind w:leftChars="0"/>
        <w:jc w:val="both"/>
      </w:pPr>
      <w:r>
        <w:rPr>
          <w:sz w:val="18"/>
        </w:rPr>
        <w:t>International Energy Agency (IEA) (2023) Emissions Measurement and Data Collection for a Net Zero Steel Industry. Paris: IEA. Available at: https://www.iea.org/reports/emissions-measurement-and-data-collection-for-a-net-zero-steel-industry (Accessed: 1</w:t>
      </w:r>
      <w:r>
        <w:rPr>
          <w:rFonts w:hint="default"/>
          <w:sz w:val="18"/>
          <w:lang w:val="en-US"/>
        </w:rPr>
        <w:t>4</w:t>
      </w:r>
      <w:r>
        <w:rPr>
          <w:sz w:val="18"/>
        </w:rPr>
        <w:t xml:space="preserve"> October 2026).</w:t>
      </w:r>
    </w:p>
    <w:p w14:paraId="62912A2F">
      <w:pPr>
        <w:numPr>
          <w:ilvl w:val="0"/>
          <w:numId w:val="0"/>
        </w:numPr>
        <w:spacing w:after="120" w:line="360" w:lineRule="auto"/>
        <w:ind w:leftChars="0"/>
        <w:jc w:val="both"/>
      </w:pPr>
      <w:r>
        <w:rPr>
          <w:sz w:val="18"/>
        </w:rPr>
        <w:t>International Energy Agency (IEA) (2024a) Energy Technology Perspectives 2024. Paris: IEA. Available at: https://www.iea.org/reports/energy-technology-perspectives-2024 (Accessed: 1</w:t>
      </w:r>
      <w:r>
        <w:rPr>
          <w:rFonts w:hint="default"/>
          <w:sz w:val="18"/>
          <w:lang w:val="en-US"/>
        </w:rPr>
        <w:t>1</w:t>
      </w:r>
      <w:r>
        <w:rPr>
          <w:sz w:val="18"/>
        </w:rPr>
        <w:t xml:space="preserve"> October 2026).</w:t>
      </w:r>
    </w:p>
    <w:p w14:paraId="766CDFAC">
      <w:pPr>
        <w:numPr>
          <w:ilvl w:val="0"/>
          <w:numId w:val="0"/>
        </w:numPr>
        <w:spacing w:after="120" w:line="360" w:lineRule="auto"/>
        <w:ind w:leftChars="0"/>
        <w:jc w:val="both"/>
      </w:pPr>
      <w:r>
        <w:rPr>
          <w:sz w:val="18"/>
        </w:rPr>
        <w:t>International Energy Agency (IEA) (2024b) Definitions for Near-Zero and Low-Emissions Steel and Cement, and Underlying Emissions Measurement Methodologies. Paris: IEA. Available at: https://www.iea.org/reports/definitions-for-near-zero-and-low-emissions-steel-and-cement-and-underlying-emissions-measurement-methodologies (Accessed: 1</w:t>
      </w:r>
      <w:r>
        <w:rPr>
          <w:rFonts w:hint="default"/>
          <w:sz w:val="18"/>
          <w:lang w:val="en-US"/>
        </w:rPr>
        <w:t>2</w:t>
      </w:r>
      <w:r>
        <w:rPr>
          <w:sz w:val="18"/>
        </w:rPr>
        <w:t xml:space="preserve"> October 2026).</w:t>
      </w:r>
    </w:p>
    <w:p w14:paraId="20426BD5">
      <w:pPr>
        <w:numPr>
          <w:ilvl w:val="0"/>
          <w:numId w:val="0"/>
        </w:numPr>
        <w:spacing w:after="120" w:line="360" w:lineRule="auto"/>
        <w:ind w:leftChars="0"/>
        <w:jc w:val="both"/>
      </w:pPr>
      <w:r>
        <w:rPr>
          <w:sz w:val="18"/>
        </w:rPr>
        <w:t>International Energy Agency (IEA) (2024c) Breakthrough Agenda Report 2024: Steel. Paris: IEA. Available at: https://www.iea.org/reports/breakthrough-agenda-report-2024/steel (Accessed: 1</w:t>
      </w:r>
      <w:r>
        <w:rPr>
          <w:rFonts w:hint="default"/>
          <w:sz w:val="18"/>
          <w:lang w:val="en-US"/>
        </w:rPr>
        <w:t>5</w:t>
      </w:r>
      <w:r>
        <w:rPr>
          <w:sz w:val="18"/>
        </w:rPr>
        <w:t xml:space="preserve"> October 2026).</w:t>
      </w:r>
    </w:p>
    <w:p w14:paraId="761F07EC">
      <w:pPr>
        <w:numPr>
          <w:ilvl w:val="0"/>
          <w:numId w:val="0"/>
        </w:numPr>
        <w:spacing w:after="120" w:line="360" w:lineRule="auto"/>
        <w:ind w:leftChars="0"/>
        <w:jc w:val="both"/>
      </w:pPr>
      <w:r>
        <w:rPr>
          <w:sz w:val="18"/>
        </w:rPr>
        <w:t>International Energy Agency (IEA) (2025a) Breakthrough Agenda Report 2025: Steel. Paris: IEA. Available at: https://www.iea.org/reports/breakthrough-agenda-report-2025/steel (Accessed: 1</w:t>
      </w:r>
      <w:r>
        <w:rPr>
          <w:rFonts w:hint="default"/>
          <w:sz w:val="18"/>
          <w:lang w:val="en-US"/>
        </w:rPr>
        <w:t>3</w:t>
      </w:r>
      <w:r>
        <w:rPr>
          <w:sz w:val="18"/>
        </w:rPr>
        <w:t xml:space="preserve"> October 2026).</w:t>
      </w:r>
    </w:p>
    <w:p w14:paraId="3162238F">
      <w:pPr>
        <w:numPr>
          <w:ilvl w:val="0"/>
          <w:numId w:val="0"/>
        </w:numPr>
        <w:spacing w:after="120" w:line="360" w:lineRule="auto"/>
        <w:ind w:leftChars="0"/>
        <w:jc w:val="both"/>
      </w:pPr>
      <w:r>
        <w:rPr>
          <w:sz w:val="18"/>
        </w:rPr>
        <w:t>Mohaghegh, M., Blasi, S. and Größler, A. (2021) ‘Dynamic capabilities linking lean practices and sustainable business performance’, Journal of Cleaner Production, 322, 129073. https://doi.org/10.1016/j.jclepro.2021.129073.</w:t>
      </w:r>
    </w:p>
    <w:p w14:paraId="27BB1A1D">
      <w:pPr>
        <w:numPr>
          <w:ilvl w:val="0"/>
          <w:numId w:val="0"/>
        </w:numPr>
        <w:spacing w:after="120" w:line="360" w:lineRule="auto"/>
        <w:ind w:leftChars="0"/>
        <w:jc w:val="both"/>
      </w:pPr>
      <w:r>
        <w:rPr>
          <w:sz w:val="18"/>
        </w:rPr>
        <w:t>Muslemani, H., Liang, X., Kaesehage, K., Ascui, F. and Wilson, J. (2021) ‘Opportunities and challenges for decarbonizing steel production by creating markets for green steel products’, Journal of Cleaner Production, 315, 128127. https://doi.org/10.1016/j.jclepro.2021.128127.</w:t>
      </w:r>
    </w:p>
    <w:p w14:paraId="12DFE32F">
      <w:pPr>
        <w:numPr>
          <w:ilvl w:val="0"/>
          <w:numId w:val="0"/>
        </w:numPr>
        <w:spacing w:after="120" w:line="360" w:lineRule="auto"/>
        <w:ind w:leftChars="0"/>
        <w:jc w:val="both"/>
      </w:pPr>
      <w:r>
        <w:rPr>
          <w:sz w:val="18"/>
        </w:rPr>
        <w:t>Oliveira-Dias, D., Kneipp, J.M., Bichueti, R.S. and Gomes, C.M. (2022) ‘Fostering business model innovation for sustainability: a dynamic capabilities perspective’, Management Decision, 60(13), pp. 105–129. https://doi.org/10.1108/MD-05-2021-0590.</w:t>
      </w:r>
    </w:p>
    <w:p w14:paraId="74384C8D">
      <w:pPr>
        <w:numPr>
          <w:ilvl w:val="0"/>
          <w:numId w:val="0"/>
        </w:numPr>
        <w:spacing w:after="120" w:line="360" w:lineRule="auto"/>
        <w:ind w:leftChars="0"/>
        <w:jc w:val="both"/>
      </w:pPr>
      <w:r>
        <w:rPr>
          <w:sz w:val="18"/>
        </w:rPr>
        <w:t>Organisation for Economic Co-operation and Development (OECD) (2025) OECD Steel Outlook 2025. Paris: OECD Publishing. https://doi.org/10.1787/28b61a5e-en.</w:t>
      </w:r>
    </w:p>
    <w:p w14:paraId="126B98A7">
      <w:pPr>
        <w:numPr>
          <w:ilvl w:val="0"/>
          <w:numId w:val="0"/>
        </w:numPr>
        <w:spacing w:after="120" w:line="360" w:lineRule="auto"/>
        <w:ind w:leftChars="0"/>
        <w:jc w:val="both"/>
      </w:pPr>
      <w:r>
        <w:rPr>
          <w:sz w:val="18"/>
        </w:rPr>
        <w:t>Rosner, F., Papadias, D., Brooks, K., Yoro, K., Ahluwalia, R., Autrey, T. and Breunig, H. (2023) ‘Green steel: design and cost analysis of hydrogen-based direct iron reduction’, Energy &amp; Environmental Science, 16, pp. 4121–4134. https://doi.org/10.1039/D3EE01077E.</w:t>
      </w:r>
    </w:p>
    <w:p w14:paraId="649B45EF">
      <w:pPr>
        <w:numPr>
          <w:ilvl w:val="0"/>
          <w:numId w:val="0"/>
        </w:numPr>
        <w:spacing w:after="120" w:line="360" w:lineRule="auto"/>
        <w:ind w:leftChars="0"/>
        <w:jc w:val="both"/>
      </w:pPr>
      <w:r>
        <w:rPr>
          <w:sz w:val="18"/>
        </w:rPr>
        <w:t>Shahabuddin, M., Brooks, G. and Rhamdhani, M.A. (2023) ‘Decarbonisation and hydrogen integration of steel industries: Recent development, challenges and technoeconomic analysis’, Journal of Cleaner Production, 395, 136391. https://doi.org/10.1016/j.jclepro.2023.136391.</w:t>
      </w:r>
    </w:p>
    <w:p w14:paraId="2999B841">
      <w:pPr>
        <w:numPr>
          <w:ilvl w:val="0"/>
          <w:numId w:val="0"/>
        </w:numPr>
        <w:spacing w:after="120" w:line="360" w:lineRule="auto"/>
        <w:ind w:leftChars="0"/>
        <w:jc w:val="both"/>
      </w:pPr>
      <w:r>
        <w:rPr>
          <w:sz w:val="18"/>
        </w:rPr>
        <w:t>World Steel Association (2025) World Steel in Figures 2025. Available at: https://worldsteel.org/data/world-steel-in-figures/world-steel-in-figures-2025/ (Accessed: 1</w:t>
      </w:r>
      <w:r>
        <w:rPr>
          <w:rFonts w:hint="default"/>
          <w:sz w:val="18"/>
          <w:lang w:val="en-US"/>
        </w:rPr>
        <w:t>8</w:t>
      </w:r>
      <w:r>
        <w:rPr>
          <w:sz w:val="18"/>
        </w:rPr>
        <w:t xml:space="preserve"> October 2026).</w:t>
      </w:r>
    </w:p>
    <w:p w14:paraId="1292F1C2">
      <w:pPr>
        <w:numPr>
          <w:ilvl w:val="0"/>
          <w:numId w:val="0"/>
        </w:numPr>
        <w:spacing w:after="120" w:line="360" w:lineRule="auto"/>
        <w:ind w:leftChars="0"/>
        <w:jc w:val="both"/>
      </w:pPr>
      <w:r>
        <w:rPr>
          <w:sz w:val="18"/>
        </w:rPr>
        <w:t>World Steel Association (2026a) Sustainability Indicators 2025. Available at: https://worldsteel.org/wp-content/uploads/Sustainability-Indicators-publication-2025_Feb-2026.pdf (Accessed: 19 October 2026).</w:t>
      </w:r>
    </w:p>
    <w:p w14:paraId="7D181A57">
      <w:pPr>
        <w:numPr>
          <w:ilvl w:val="0"/>
          <w:numId w:val="0"/>
        </w:numPr>
        <w:spacing w:after="120" w:line="360" w:lineRule="auto"/>
        <w:ind w:leftChars="0"/>
        <w:jc w:val="both"/>
      </w:pPr>
      <w:r>
        <w:rPr>
          <w:sz w:val="18"/>
        </w:rPr>
        <w:t>World Steel Association (2026b) Total production of crude steel. Available at: https://worldsteel.org/data/annual-production-steel-data/ (Accessed: 1</w:t>
      </w:r>
      <w:r>
        <w:rPr>
          <w:rFonts w:hint="default"/>
          <w:sz w:val="18"/>
          <w:lang w:val="en-US"/>
        </w:rPr>
        <w:t>8</w:t>
      </w:r>
      <w:r>
        <w:rPr>
          <w:sz w:val="18"/>
        </w:rPr>
        <w:t xml:space="preserve"> October 2026).</w:t>
      </w:r>
    </w:p>
    <w:sectPr>
      <w:footerReference r:id="rId5" w:type="default"/>
      <w:pgSz w:w="12240" w:h="15840"/>
      <w:pgMar w:top="1224" w:right="1440" w:bottom="1152"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Cambria">
    <w:panose1 w:val="02040503050406030204"/>
    <w:charset w:val="00"/>
    <w:family w:val="auto"/>
    <w:pitch w:val="default"/>
    <w:sig w:usb0="E00006FF" w:usb1="420024FF" w:usb2="02000000" w:usb3="00000000" w:csb0="2000019F" w:csb1="00000000"/>
  </w:font>
  <w:font w:name="ＭＳ 明朝">
    <w:altName w:val="Yu Gothic"/>
    <w:panose1 w:val="00000000000000000000"/>
    <w:charset w:val="80"/>
    <w:family w:val="roman"/>
    <w:pitch w:val="default"/>
    <w:sig w:usb0="00000000" w:usb1="00000000" w:usb2="00000010" w:usb3="00000000" w:csb0="00020000" w:csb1="00000000"/>
  </w:font>
  <w:font w:name="ＭＳ 明朝">
    <w:altName w:val="SimSun"/>
    <w:panose1 w:val="00000000000000000000"/>
    <w:charset w:val="86"/>
    <w:family w:val="auto"/>
    <w:pitch w:val="default"/>
    <w:sig w:usb0="00000000" w:usb1="00000000" w:usb2="00000000" w:usb3="00000000" w:csb0="00000000" w:csb1="00000000"/>
  </w:font>
  <w:font w:name="MS Gothic">
    <w:panose1 w:val="020B0609070205080204"/>
    <w:charset w:val="80"/>
    <w:family w:val="auto"/>
    <w:pitch w:val="default"/>
    <w:sig w:usb0="E00002FF" w:usb1="6AC7FDFB" w:usb2="08000012" w:usb3="00000000" w:csb0="4002009F" w:csb1="DFD70000"/>
  </w:font>
  <w:font w:name="Symbol">
    <w:panose1 w:val="05050102010706020507"/>
    <w:charset w:val="02"/>
    <w:family w:val="auto"/>
    <w:pitch w:val="default"/>
    <w:sig w:usb0="00000000" w:usb1="00000000" w:usb2="00000000" w:usb3="00000000" w:csb0="80000000" w:csb1="00000000"/>
  </w:font>
  <w:font w:name="Courier">
    <w:altName w:val="Courier New"/>
    <w:panose1 w:val="02000500000000000000"/>
    <w:charset w:val="00"/>
    <w:family w:val="auto"/>
    <w:pitch w:val="default"/>
    <w:sig w:usb0="00000000" w:usb1="00000000" w:usb2="00000000" w:usb3="00000000" w:csb0="00000001" w:csb1="00000000"/>
  </w:font>
  <w:font w:name="ＭＳ 明朝">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 w:name="Yu Gothic">
    <w:panose1 w:val="020B0400000000000000"/>
    <w:charset w:val="80"/>
    <w:family w:val="auto"/>
    <w:pitch w:val="default"/>
    <w:sig w:usb0="E00002FF" w:usb1="2AC7FDFF" w:usb2="00000016" w:usb3="00000000" w:csb0="2002009F"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4DAB952">
    <w:pPr>
      <w:pStyle w:val="18"/>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197C5CB"/>
    <w:multiLevelType w:val="multilevel"/>
    <w:tmpl w:val="E197C5CB"/>
    <w:lvl w:ilvl="0" w:tentative="0">
      <w:start w:val="1"/>
      <w:numFmt w:val="decimal"/>
      <w:suff w:val="space"/>
      <w:lvlText w:val="%1"/>
      <w:lvlJc w:val="left"/>
      <w:pPr>
        <w:ind w:left="0" w:leftChars="0" w:firstLine="0" w:firstLineChars="0"/>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
    <w:nsid w:val="FFFFFF7E"/>
    <w:multiLevelType w:val="singleLevel"/>
    <w:tmpl w:val="FFFFFF7E"/>
    <w:lvl w:ilvl="0" w:tentative="0">
      <w:start w:val="1"/>
      <w:numFmt w:val="decimal"/>
      <w:pStyle w:val="31"/>
      <w:lvlText w:val="%1."/>
      <w:lvlJc w:val="left"/>
      <w:pPr>
        <w:tabs>
          <w:tab w:val="left" w:pos="1080"/>
        </w:tabs>
        <w:ind w:left="1080" w:hanging="360"/>
      </w:pPr>
    </w:lvl>
  </w:abstractNum>
  <w:abstractNum w:abstractNumId="2">
    <w:nsid w:val="FFFFFF7F"/>
    <w:multiLevelType w:val="singleLevel"/>
    <w:tmpl w:val="FFFFFF7F"/>
    <w:lvl w:ilvl="0" w:tentative="0">
      <w:start w:val="1"/>
      <w:numFmt w:val="decimal"/>
      <w:pStyle w:val="30"/>
      <w:lvlText w:val="%1."/>
      <w:lvlJc w:val="left"/>
      <w:pPr>
        <w:tabs>
          <w:tab w:val="left" w:pos="720"/>
        </w:tabs>
        <w:ind w:left="720" w:hanging="360"/>
      </w:pPr>
    </w:lvl>
  </w:abstractNum>
  <w:abstractNum w:abstractNumId="3">
    <w:nsid w:val="FFFFFF82"/>
    <w:multiLevelType w:val="singleLevel"/>
    <w:tmpl w:val="FFFFFF82"/>
    <w:lvl w:ilvl="0" w:tentative="0">
      <w:start w:val="1"/>
      <w:numFmt w:val="bullet"/>
      <w:pStyle w:val="25"/>
      <w:lvlText w:val=""/>
      <w:lvlJc w:val="left"/>
      <w:pPr>
        <w:tabs>
          <w:tab w:val="left" w:pos="1080"/>
        </w:tabs>
        <w:ind w:left="1080" w:hanging="360"/>
      </w:pPr>
      <w:rPr>
        <w:rFonts w:hint="default" w:ascii="Symbol" w:hAnsi="Symbol"/>
      </w:rPr>
    </w:lvl>
  </w:abstractNum>
  <w:abstractNum w:abstractNumId="4">
    <w:nsid w:val="FFFFFF83"/>
    <w:multiLevelType w:val="singleLevel"/>
    <w:tmpl w:val="FFFFFF83"/>
    <w:lvl w:ilvl="0" w:tentative="0">
      <w:start w:val="1"/>
      <w:numFmt w:val="bullet"/>
      <w:pStyle w:val="24"/>
      <w:lvlText w:val=""/>
      <w:lvlJc w:val="left"/>
      <w:pPr>
        <w:tabs>
          <w:tab w:val="left" w:pos="720"/>
        </w:tabs>
        <w:ind w:left="720" w:hanging="360"/>
      </w:pPr>
      <w:rPr>
        <w:rFonts w:hint="default" w:ascii="Symbol" w:hAnsi="Symbol"/>
      </w:rPr>
    </w:lvl>
  </w:abstractNum>
  <w:abstractNum w:abstractNumId="5">
    <w:nsid w:val="FFFFFF88"/>
    <w:multiLevelType w:val="singleLevel"/>
    <w:tmpl w:val="FFFFFF88"/>
    <w:lvl w:ilvl="0" w:tentative="0">
      <w:start w:val="1"/>
      <w:numFmt w:val="decimal"/>
      <w:pStyle w:val="29"/>
      <w:lvlText w:val="%1."/>
      <w:lvlJc w:val="left"/>
      <w:pPr>
        <w:tabs>
          <w:tab w:val="left" w:pos="360"/>
        </w:tabs>
        <w:ind w:left="360" w:hanging="360"/>
      </w:pPr>
    </w:lvl>
  </w:abstractNum>
  <w:abstractNum w:abstractNumId="6">
    <w:nsid w:val="FFFFFF89"/>
    <w:multiLevelType w:val="singleLevel"/>
    <w:tmpl w:val="FFFFFF89"/>
    <w:lvl w:ilvl="0" w:tentative="0">
      <w:start w:val="1"/>
      <w:numFmt w:val="bullet"/>
      <w:pStyle w:val="23"/>
      <w:lvlText w:val=""/>
      <w:lvlJc w:val="left"/>
      <w:pPr>
        <w:tabs>
          <w:tab w:val="left" w:pos="360"/>
        </w:tabs>
        <w:ind w:left="360" w:hanging="360"/>
      </w:pPr>
      <w:rPr>
        <w:rFonts w:hint="default" w:ascii="Symbol" w:hAnsi="Symbol"/>
      </w:rPr>
    </w:lvl>
  </w:abstractNum>
  <w:num w:numId="1">
    <w:abstractNumId w:val="0"/>
  </w:num>
  <w:num w:numId="2">
    <w:abstractNumId w:val="6"/>
  </w:num>
  <w:num w:numId="3">
    <w:abstractNumId w:val="4"/>
  </w:num>
  <w:num w:numId="4">
    <w:abstractNumId w:val="3"/>
  </w:num>
  <w:num w:numId="5">
    <w:abstractNumId w:val="5"/>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3DB13B96"/>
    <w:rsid w:val="58526F43"/>
    <w:rsid w:val="791114A8"/>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ja-JP"/>
  <w:clrSchemeMapping w:bg1="light1" w:t1="dark1" w:bg2="light2" w:t2="dark2" w:accent1="accent1" w:accent2="accent2" w:accent3="accent3" w:accent4="accent4" w:accent5="accent5" w:accent6="accent6" w:hyperlink="hyperlink" w:followedHyperlink="followedHyperlink"/>
  <w14:defaultImageDpi w14:val="300"/>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qFormat="1" w:uiPriority="99" w:semiHidden="0" w:name="macro"/>
    <w:lsdException w:uiPriority="99" w:name="toa heading"/>
    <w:lsdException w:qFormat="1" w:uiPriority="99" w:semiHidden="0" w:name="List"/>
    <w:lsdException w:qFormat="1" w:uiPriority="99" w:semiHidden="0" w:name="List Bullet"/>
    <w:lsdException w:uiPriority="99" w:semiHidden="0" w:name="List Number"/>
    <w:lsdException w:qFormat="1" w:uiPriority="99" w:semiHidden="0" w:name="List 2"/>
    <w:lsdException w:qFormat="1" w:uiPriority="99" w:semiHidden="0" w:name="List 3"/>
    <w:lsdException w:uiPriority="99" w:name="List 4"/>
    <w:lsdException w:uiPriority="99" w:name="List 5"/>
    <w:lsdException w:qFormat="1" w:uiPriority="99" w:semiHidden="0" w:name="List Bullet 2"/>
    <w:lsdException w:qFormat="1" w:uiPriority="99" w:semiHidden="0" w:name="List Bullet 3"/>
    <w:lsdException w:uiPriority="99" w:name="List Bullet 4"/>
    <w:lsdException w:uiPriority="99" w:name="List Bullet 5"/>
    <w:lsdException w:qFormat="1" w:uiPriority="99" w:semiHidden="0" w:name="List Number 2"/>
    <w:lsdException w:qFormat="1" w:uiPriority="99" w:semiHidden="0"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semiHidden="0" w:name="Body Text"/>
    <w:lsdException w:uiPriority="99" w:name="Body Text Indent"/>
    <w:lsdException w:qFormat="1" w:uiPriority="99" w:semiHidden="0" w:name="List Continue"/>
    <w:lsdException w:qFormat="1" w:uiPriority="99" w:semiHidden="0" w:name="List Continue 2"/>
    <w:lsdException w:uiPriority="99" w:semiHidden="0"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iPriority="99" w:semiHidden="0" w:name="Body Text 2"/>
    <w:lsdException w:qFormat="1" w:uiPriority="99" w:semiHidden="0"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qFormat="1" w:unhideWhenUsed="0" w:uiPriority="1" w:semiHidden="0" w:name="No Spacing"/>
    <w:lsdException w:qFormat="1" w:unhideWhenUsed="0" w:uiPriority="60" w:semiHidden="0" w:name="Light Shading"/>
    <w:lsdException w:qFormat="1" w:unhideWhenUsed="0" w:uiPriority="61" w:semiHidden="0" w:name="Light List"/>
    <w:lsdException w:qFormat="1" w:unhideWhenUsed="0" w:uiPriority="62" w:semiHidden="0" w:name="Light Grid"/>
    <w:lsdException w:qFormat="1" w:unhideWhenUsed="0" w:uiPriority="63" w:semiHidden="0" w:name="Medium Shading 1"/>
    <w:lsdException w:qFormat="1" w:unhideWhenUsed="0" w:uiPriority="64" w:semiHidden="0" w:name="Medium Shading 2"/>
    <w:lsdException w:qFormat="1" w:unhideWhenUsed="0" w:uiPriority="65" w:semiHidden="0" w:name="Medium List 1"/>
    <w:lsdException w:qFormat="1" w:unhideWhenUsed="0" w:uiPriority="66" w:semiHidden="0" w:name="Medium List 2"/>
    <w:lsdException w:qFormat="1" w:unhideWhenUsed="0" w:uiPriority="67" w:semiHidden="0" w:name="Medium Grid 1"/>
    <w:lsdException w:qFormat="1" w:unhideWhenUsed="0" w:uiPriority="68" w:semiHidden="0" w:name="Medium Grid 2"/>
    <w:lsdException w:qFormat="1" w:unhideWhenUsed="0" w:uiPriority="69" w:semiHidden="0" w:name="Medium Grid 3"/>
    <w:lsdException w:qFormat="1" w:unhideWhenUsed="0" w:uiPriority="70" w:semiHidden="0" w:name="Dark List"/>
    <w:lsdException w:qFormat="1" w:unhideWhenUsed="0" w:uiPriority="71" w:semiHidden="0" w:name="Colorful Shading"/>
    <w:lsdException w:qFormat="1" w:unhideWhenUsed="0" w:uiPriority="72" w:semiHidden="0" w:name="Colorful List"/>
    <w:lsdException w:qFormat="1" w:unhideWhenUsed="0" w:uiPriority="73" w:semiHidden="0" w:name="Colorful Grid"/>
    <w:lsdException w:qFormat="1" w:unhideWhenUsed="0" w:uiPriority="60" w:semiHidden="0" w:name="Light Shading Accent 1"/>
    <w:lsdException w:qFormat="1" w:unhideWhenUsed="0" w:uiPriority="61" w:semiHidden="0" w:name="Light List Accent 1"/>
    <w:lsdException w:qFormat="1" w:unhideWhenUsed="0" w:uiPriority="62" w:semiHidden="0" w:name="Light Grid Accent 1"/>
    <w:lsdException w:qFormat="1" w:unhideWhenUsed="0" w:uiPriority="63" w:semiHidden="0" w:name="Medium Shading 1 Accent 1"/>
    <w:lsdException w:qFormat="1" w:unhideWhenUsed="0" w:uiPriority="64" w:semiHidden="0" w:name="Medium Shading 2 Accent 1"/>
    <w:lsdException w:qFormat="1"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qFormat="1" w:unhideWhenUsed="0" w:uiPriority="66" w:semiHidden="0" w:name="Medium List 2 Accent 1"/>
    <w:lsdException w:qFormat="1" w:unhideWhenUsed="0" w:uiPriority="67" w:semiHidden="0" w:name="Medium Grid 1 Accent 1"/>
    <w:lsdException w:qFormat="1" w:unhideWhenUsed="0" w:uiPriority="68" w:semiHidden="0" w:name="Medium Grid 2 Accent 1"/>
    <w:lsdException w:qFormat="1" w:unhideWhenUsed="0" w:uiPriority="69" w:semiHidden="0" w:name="Medium Grid 3 Accent 1"/>
    <w:lsdException w:qFormat="1" w:unhideWhenUsed="0" w:uiPriority="70" w:semiHidden="0" w:name="Dark List Accent 1"/>
    <w:lsdException w:qFormat="1" w:unhideWhenUsed="0" w:uiPriority="71" w:semiHidden="0" w:name="Colorful Shading Accent 1"/>
    <w:lsdException w:qFormat="1" w:unhideWhenUsed="0" w:uiPriority="72" w:semiHidden="0" w:name="Colorful List Accent 1"/>
    <w:lsdException w:qFormat="1" w:unhideWhenUsed="0" w:uiPriority="73" w:semiHidden="0" w:name="Colorful Grid Accent 1"/>
    <w:lsdException w:qFormat="1" w:unhideWhenUsed="0" w:uiPriority="60" w:semiHidden="0" w:name="Light Shading Accent 2"/>
    <w:lsdException w:qFormat="1" w:unhideWhenUsed="0" w:uiPriority="61" w:semiHidden="0" w:name="Light List Accent 2"/>
    <w:lsdException w:qFormat="1" w:unhideWhenUsed="0" w:uiPriority="62" w:semiHidden="0" w:name="Light Grid Accent 2"/>
    <w:lsdException w:qFormat="1" w:unhideWhenUsed="0" w:uiPriority="63" w:semiHidden="0" w:name="Medium Shading 1 Accent 2"/>
    <w:lsdException w:qFormat="1" w:unhideWhenUsed="0" w:uiPriority="64" w:semiHidden="0" w:name="Medium Shading 2 Accent 2"/>
    <w:lsdException w:qFormat="1" w:unhideWhenUsed="0" w:uiPriority="65" w:semiHidden="0" w:name="Medium List 1 Accent 2"/>
    <w:lsdException w:qFormat="1" w:unhideWhenUsed="0" w:uiPriority="66" w:semiHidden="0" w:name="Medium List 2 Accent 2"/>
    <w:lsdException w:qFormat="1" w:unhideWhenUsed="0" w:uiPriority="67" w:semiHidden="0" w:name="Medium Grid 1 Accent 2"/>
    <w:lsdException w:qFormat="1" w:unhideWhenUsed="0" w:uiPriority="68" w:semiHidden="0" w:name="Medium Grid 2 Accent 2"/>
    <w:lsdException w:qFormat="1" w:unhideWhenUsed="0" w:uiPriority="69" w:semiHidden="0" w:name="Medium Grid 3 Accent 2"/>
    <w:lsdException w:qFormat="1" w:unhideWhenUsed="0" w:uiPriority="70" w:semiHidden="0" w:name="Dark List Accent 2"/>
    <w:lsdException w:qFormat="1" w:unhideWhenUsed="0" w:uiPriority="71" w:semiHidden="0" w:name="Colorful Shading Accent 2"/>
    <w:lsdException w:qFormat="1" w:unhideWhenUsed="0" w:uiPriority="72" w:semiHidden="0" w:name="Colorful List Accent 2"/>
    <w:lsdException w:qFormat="1" w:unhideWhenUsed="0" w:uiPriority="73" w:semiHidden="0" w:name="Colorful Grid Accent 2"/>
    <w:lsdException w:qFormat="1" w:unhideWhenUsed="0" w:uiPriority="60" w:semiHidden="0" w:name="Light Shading Accent 3"/>
    <w:lsdException w:qFormat="1" w:unhideWhenUsed="0" w:uiPriority="61" w:semiHidden="0" w:name="Light List Accent 3"/>
    <w:lsdException w:qFormat="1" w:unhideWhenUsed="0" w:uiPriority="62" w:semiHidden="0" w:name="Light Grid Accent 3"/>
    <w:lsdException w:qFormat="1" w:unhideWhenUsed="0" w:uiPriority="63" w:semiHidden="0" w:name="Medium Shading 1 Accent 3"/>
    <w:lsdException w:qFormat="1" w:unhideWhenUsed="0" w:uiPriority="64" w:semiHidden="0" w:name="Medium Shading 2 Accent 3"/>
    <w:lsdException w:qFormat="1" w:unhideWhenUsed="0" w:uiPriority="65" w:semiHidden="0" w:name="Medium List 1 Accent 3"/>
    <w:lsdException w:qFormat="1" w:unhideWhenUsed="0" w:uiPriority="66" w:semiHidden="0" w:name="Medium List 2 Accent 3"/>
    <w:lsdException w:qFormat="1" w:unhideWhenUsed="0" w:uiPriority="67" w:semiHidden="0" w:name="Medium Grid 1 Accent 3"/>
    <w:lsdException w:qFormat="1" w:unhideWhenUsed="0" w:uiPriority="68" w:semiHidden="0" w:name="Medium Grid 2 Accent 3"/>
    <w:lsdException w:qFormat="1" w:unhideWhenUsed="0" w:uiPriority="69" w:semiHidden="0" w:name="Medium Grid 3 Accent 3"/>
    <w:lsdException w:qFormat="1" w:unhideWhenUsed="0" w:uiPriority="70" w:semiHidden="0" w:name="Dark List Accent 3"/>
    <w:lsdException w:qFormat="1" w:unhideWhenUsed="0" w:uiPriority="71" w:semiHidden="0" w:name="Colorful Shading Accent 3"/>
    <w:lsdException w:qFormat="1" w:unhideWhenUsed="0" w:uiPriority="72" w:semiHidden="0" w:name="Colorful List Accent 3"/>
    <w:lsdException w:qFormat="1" w:unhideWhenUsed="0" w:uiPriority="73" w:semiHidden="0" w:name="Colorful Grid Accent 3"/>
    <w:lsdException w:qFormat="1" w:unhideWhenUsed="0" w:uiPriority="60" w:semiHidden="0" w:name="Light Shading Accent 4"/>
    <w:lsdException w:qFormat="1" w:unhideWhenUsed="0" w:uiPriority="61" w:semiHidden="0" w:name="Light List Accent 4"/>
    <w:lsdException w:qFormat="1" w:unhideWhenUsed="0" w:uiPriority="62" w:semiHidden="0" w:name="Light Grid Accent 4"/>
    <w:lsdException w:qFormat="1" w:unhideWhenUsed="0" w:uiPriority="63" w:semiHidden="0" w:name="Medium Shading 1 Accent 4"/>
    <w:lsdException w:qFormat="1" w:unhideWhenUsed="0" w:uiPriority="64" w:semiHidden="0" w:name="Medium Shading 2 Accent 4"/>
    <w:lsdException w:qFormat="1" w:unhideWhenUsed="0" w:uiPriority="65" w:semiHidden="0" w:name="Medium List 1 Accent 4"/>
    <w:lsdException w:qFormat="1" w:unhideWhenUsed="0" w:uiPriority="66" w:semiHidden="0" w:name="Medium List 2 Accent 4"/>
    <w:lsdException w:qFormat="1" w:unhideWhenUsed="0" w:uiPriority="67" w:semiHidden="0" w:name="Medium Grid 1 Accent 4"/>
    <w:lsdException w:qFormat="1" w:unhideWhenUsed="0" w:uiPriority="68" w:semiHidden="0" w:name="Medium Grid 2 Accent 4"/>
    <w:lsdException w:qFormat="1" w:unhideWhenUsed="0" w:uiPriority="69" w:semiHidden="0" w:name="Medium Grid 3 Accent 4"/>
    <w:lsdException w:qFormat="1" w:unhideWhenUsed="0" w:uiPriority="70" w:semiHidden="0" w:name="Dark List Accent 4"/>
    <w:lsdException w:qFormat="1" w:unhideWhenUsed="0" w:uiPriority="71" w:semiHidden="0" w:name="Colorful Shading Accent 4"/>
    <w:lsdException w:qFormat="1" w:unhideWhenUsed="0" w:uiPriority="72" w:semiHidden="0" w:name="Colorful List Accent 4"/>
    <w:lsdException w:qFormat="1" w:unhideWhenUsed="0" w:uiPriority="73" w:semiHidden="0" w:name="Colorful Grid Accent 4"/>
    <w:lsdException w:qFormat="1" w:unhideWhenUsed="0" w:uiPriority="60" w:semiHidden="0" w:name="Light Shading Accent 5"/>
    <w:lsdException w:qFormat="1" w:unhideWhenUsed="0" w:uiPriority="61" w:semiHidden="0" w:name="Light List Accent 5"/>
    <w:lsdException w:qFormat="1" w:unhideWhenUsed="0" w:uiPriority="62" w:semiHidden="0" w:name="Light Grid Accent 5"/>
    <w:lsdException w:qFormat="1" w:unhideWhenUsed="0" w:uiPriority="63" w:semiHidden="0" w:name="Medium Shading 1 Accent 5"/>
    <w:lsdException w:qFormat="1" w:unhideWhenUsed="0" w:uiPriority="64" w:semiHidden="0" w:name="Medium Shading 2 Accent 5"/>
    <w:lsdException w:qFormat="1" w:unhideWhenUsed="0" w:uiPriority="65" w:semiHidden="0" w:name="Medium List 1 Accent 5"/>
    <w:lsdException w:qFormat="1" w:unhideWhenUsed="0" w:uiPriority="66" w:semiHidden="0" w:name="Medium List 2 Accent 5"/>
    <w:lsdException w:qFormat="1" w:unhideWhenUsed="0" w:uiPriority="67" w:semiHidden="0" w:name="Medium Grid 1 Accent 5"/>
    <w:lsdException w:qFormat="1" w:unhideWhenUsed="0" w:uiPriority="68" w:semiHidden="0" w:name="Medium Grid 2 Accent 5"/>
    <w:lsdException w:qFormat="1" w:unhideWhenUsed="0" w:uiPriority="69" w:semiHidden="0" w:name="Medium Grid 3 Accent 5"/>
    <w:lsdException w:qFormat="1" w:unhideWhenUsed="0" w:uiPriority="70" w:semiHidden="0" w:name="Dark List Accent 5"/>
    <w:lsdException w:qFormat="1" w:unhideWhenUsed="0" w:uiPriority="71" w:semiHidden="0" w:name="Colorful Shading Accent 5"/>
    <w:lsdException w:qFormat="1" w:unhideWhenUsed="0" w:uiPriority="72" w:semiHidden="0" w:name="Colorful List Accent 5"/>
    <w:lsdException w:qFormat="1" w:unhideWhenUsed="0" w:uiPriority="73" w:semiHidden="0" w:name="Colorful Grid Accent 5"/>
    <w:lsdException w:qFormat="1" w:unhideWhenUsed="0" w:uiPriority="60" w:semiHidden="0" w:name="Light Shading Accent 6"/>
    <w:lsdException w:qFormat="1" w:unhideWhenUsed="0" w:uiPriority="61" w:semiHidden="0" w:name="Light List Accent 6"/>
    <w:lsdException w:qFormat="1" w:unhideWhenUsed="0" w:uiPriority="62" w:semiHidden="0" w:name="Light Grid Accent 6"/>
    <w:lsdException w:qFormat="1" w:unhideWhenUsed="0" w:uiPriority="63" w:semiHidden="0" w:name="Medium Shading 1 Accent 6"/>
    <w:lsdException w:qFormat="1" w:unhideWhenUsed="0" w:uiPriority="64" w:semiHidden="0" w:name="Medium Shading 2 Accent 6"/>
    <w:lsdException w:qFormat="1" w:unhideWhenUsed="0" w:uiPriority="65" w:semiHidden="0" w:name="Medium List 1 Accent 6"/>
    <w:lsdException w:qFormat="1" w:unhideWhenUsed="0" w:uiPriority="66" w:semiHidden="0" w:name="Medium List 2 Accent 6"/>
    <w:lsdException w:qFormat="1" w:unhideWhenUsed="0" w:uiPriority="67" w:semiHidden="0" w:name="Medium Grid 1 Accent 6"/>
    <w:lsdException w:qFormat="1" w:unhideWhenUsed="0" w:uiPriority="68" w:semiHidden="0" w:name="Medium Grid 2 Accent 6"/>
    <w:lsdException w:qFormat="1" w:unhideWhenUsed="0" w:uiPriority="69" w:semiHidden="0" w:name="Medium Grid 3 Accent 6"/>
    <w:lsdException w:qFormat="1" w:unhideWhenUsed="0" w:uiPriority="70" w:semiHidden="0" w:name="Dark List Accent 6"/>
    <w:lsdException w:qFormat="1" w:unhideWhenUsed="0" w:uiPriority="71" w:semiHidden="0" w:name="Colorful Shading Accent 6"/>
    <w:lsdException w:qFormat="1" w:unhideWhenUsed="0" w:uiPriority="72" w:semiHidden="0" w:name="Colorful List Accent 6"/>
    <w:lsdException w:qFormat="1" w:unhideWhenUsed="0" w:uiPriority="73" w:semiHidden="0" w:name="Colorful Grid Accent 6"/>
  </w:latentStyles>
  <w:style w:type="paragraph" w:default="1" w:styleId="1">
    <w:name w:val="Normal"/>
    <w:qFormat/>
    <w:uiPriority w:val="0"/>
    <w:pPr>
      <w:spacing w:after="120" w:line="360" w:lineRule="auto"/>
    </w:pPr>
    <w:rPr>
      <w:rFonts w:ascii="Times New Roman" w:hAnsi="Times New Roman" w:eastAsiaTheme="minorEastAsia" w:cstheme="minorBidi"/>
      <w:sz w:val="22"/>
      <w:szCs w:val="22"/>
      <w:lang w:val="en-US" w:eastAsia="en-US" w:bidi="ar-SA"/>
    </w:rPr>
  </w:style>
  <w:style w:type="paragraph" w:styleId="2">
    <w:name w:val="heading 1"/>
    <w:basedOn w:val="1"/>
    <w:next w:val="1"/>
    <w:link w:val="138"/>
    <w:qFormat/>
    <w:uiPriority w:val="9"/>
    <w:pPr>
      <w:keepNext/>
      <w:keepLines/>
      <w:spacing w:before="200" w:after="80"/>
      <w:outlineLvl w:val="0"/>
    </w:pPr>
    <w:rPr>
      <w:rFonts w:asciiTheme="majorHAnsi" w:hAnsiTheme="majorHAnsi" w:eastAsiaTheme="majorEastAsia" w:cstheme="majorBidi"/>
      <w:b/>
      <w:bCs/>
      <w:color w:val="153149"/>
      <w:sz w:val="28"/>
      <w:szCs w:val="28"/>
    </w:rPr>
  </w:style>
  <w:style w:type="paragraph" w:styleId="3">
    <w:name w:val="heading 2"/>
    <w:basedOn w:val="1"/>
    <w:next w:val="1"/>
    <w:link w:val="139"/>
    <w:unhideWhenUsed/>
    <w:qFormat/>
    <w:uiPriority w:val="9"/>
    <w:pPr>
      <w:keepNext/>
      <w:keepLines/>
      <w:numPr>
        <w:ilvl w:val="1"/>
        <w:numId w:val="1"/>
      </w:numPr>
      <w:spacing w:before="200" w:after="80"/>
      <w:outlineLvl w:val="1"/>
    </w:pPr>
    <w:rPr>
      <w:rFonts w:asciiTheme="majorHAnsi" w:hAnsiTheme="majorHAnsi" w:eastAsiaTheme="majorEastAsia" w:cstheme="majorBidi"/>
      <w:b/>
      <w:bCs/>
      <w:color w:val="153149"/>
      <w:szCs w:val="26"/>
    </w:rPr>
  </w:style>
  <w:style w:type="paragraph" w:styleId="4">
    <w:name w:val="heading 3"/>
    <w:basedOn w:val="1"/>
    <w:next w:val="1"/>
    <w:link w:val="140"/>
    <w:unhideWhenUsed/>
    <w:qFormat/>
    <w:uiPriority w:val="9"/>
    <w:pPr>
      <w:keepNext/>
      <w:keepLines/>
      <w:spacing w:before="200" w:after="0"/>
      <w:outlineLvl w:val="2"/>
    </w:pPr>
    <w:rPr>
      <w:rFonts w:asciiTheme="majorHAnsi" w:hAnsiTheme="majorHAnsi" w:eastAsiaTheme="majorEastAsia" w:cstheme="majorBidi"/>
      <w:b/>
      <w:bCs/>
      <w:color w:val="4F81BD" w:themeColor="accent1"/>
      <w14:textFill>
        <w14:solidFill>
          <w14:schemeClr w14:val="accent1"/>
        </w14:solidFill>
      </w14:textFill>
    </w:rPr>
  </w:style>
  <w:style w:type="paragraph" w:styleId="5">
    <w:name w:val="heading 4"/>
    <w:basedOn w:val="1"/>
    <w:next w:val="1"/>
    <w:link w:val="150"/>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6">
    <w:name w:val="heading 5"/>
    <w:basedOn w:val="1"/>
    <w:next w:val="1"/>
    <w:link w:val="151"/>
    <w:semiHidden/>
    <w:unhideWhenUsed/>
    <w:qFormat/>
    <w:uiPriority w:val="9"/>
    <w:pPr>
      <w:keepNext/>
      <w:keepLines/>
      <w:spacing w:before="200" w:after="0"/>
      <w:outlineLvl w:val="4"/>
    </w:pPr>
    <w:rPr>
      <w:rFonts w:asciiTheme="majorHAnsi" w:hAnsiTheme="majorHAnsi" w:eastAsiaTheme="majorEastAsia" w:cstheme="majorBidi"/>
      <w:color w:val="254061" w:themeColor="accent1" w:themeShade="80"/>
    </w:rPr>
  </w:style>
  <w:style w:type="paragraph" w:styleId="7">
    <w:name w:val="heading 6"/>
    <w:basedOn w:val="1"/>
    <w:next w:val="1"/>
    <w:link w:val="152"/>
    <w:semiHidden/>
    <w:unhideWhenUsed/>
    <w:qFormat/>
    <w:uiPriority w:val="9"/>
    <w:pPr>
      <w:keepNext/>
      <w:keepLines/>
      <w:spacing w:before="200" w:after="0"/>
      <w:outlineLvl w:val="5"/>
    </w:pPr>
    <w:rPr>
      <w:rFonts w:asciiTheme="majorHAnsi" w:hAnsiTheme="majorHAnsi" w:eastAsiaTheme="majorEastAsia" w:cstheme="majorBidi"/>
      <w:i/>
      <w:iCs/>
      <w:color w:val="254061" w:themeColor="accent1" w:themeShade="80"/>
    </w:rPr>
  </w:style>
  <w:style w:type="paragraph" w:styleId="8">
    <w:name w:val="heading 7"/>
    <w:basedOn w:val="1"/>
    <w:next w:val="1"/>
    <w:link w:val="153"/>
    <w:semiHidden/>
    <w:unhideWhenUsed/>
    <w:qFormat/>
    <w:uiPriority w:val="9"/>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9">
    <w:name w:val="heading 8"/>
    <w:basedOn w:val="1"/>
    <w:next w:val="1"/>
    <w:link w:val="154"/>
    <w:semiHidden/>
    <w:unhideWhenUsed/>
    <w:qFormat/>
    <w:uiPriority w:val="9"/>
    <w:pPr>
      <w:keepNext/>
      <w:keepLines/>
      <w:spacing w:before="200" w:after="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0">
    <w:name w:val="heading 9"/>
    <w:basedOn w:val="1"/>
    <w:next w:val="1"/>
    <w:link w:val="155"/>
    <w:semiHidden/>
    <w:unhideWhenUsed/>
    <w:qFormat/>
    <w:uiPriority w:val="9"/>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ody Text"/>
    <w:basedOn w:val="1"/>
    <w:link w:val="144"/>
    <w:unhideWhenUsed/>
    <w:qFormat/>
    <w:uiPriority w:val="99"/>
    <w:pPr>
      <w:spacing w:after="120"/>
    </w:pPr>
  </w:style>
  <w:style w:type="paragraph" w:styleId="14">
    <w:name w:val="Body Text 2"/>
    <w:basedOn w:val="1"/>
    <w:link w:val="145"/>
    <w:unhideWhenUsed/>
    <w:qFormat/>
    <w:uiPriority w:val="99"/>
    <w:pPr>
      <w:spacing w:after="120" w:line="480" w:lineRule="auto"/>
    </w:pPr>
  </w:style>
  <w:style w:type="paragraph" w:styleId="15">
    <w:name w:val="Body Text 3"/>
    <w:basedOn w:val="1"/>
    <w:link w:val="146"/>
    <w:unhideWhenUsed/>
    <w:qFormat/>
    <w:uiPriority w:val="99"/>
    <w:pPr>
      <w:spacing w:after="120"/>
    </w:pPr>
    <w:rPr>
      <w:sz w:val="16"/>
      <w:szCs w:val="16"/>
    </w:rPr>
  </w:style>
  <w:style w:type="paragraph" w:styleId="16">
    <w:name w:val="caption"/>
    <w:basedOn w:val="1"/>
    <w:next w:val="1"/>
    <w:semiHidden/>
    <w:unhideWhenUsed/>
    <w:qFormat/>
    <w:uiPriority w:val="35"/>
    <w:pPr>
      <w:spacing w:line="240" w:lineRule="auto"/>
    </w:pPr>
    <w:rPr>
      <w:b/>
      <w:bCs/>
      <w:color w:val="4F81BD" w:themeColor="accent1"/>
      <w:sz w:val="18"/>
      <w:szCs w:val="18"/>
      <w14:textFill>
        <w14:solidFill>
          <w14:schemeClr w14:val="accent1"/>
        </w14:solidFill>
      </w14:textFill>
    </w:rPr>
  </w:style>
  <w:style w:type="character" w:styleId="17">
    <w:name w:val="Emphasis"/>
    <w:basedOn w:val="11"/>
    <w:qFormat/>
    <w:uiPriority w:val="20"/>
    <w:rPr>
      <w:i/>
      <w:iCs/>
    </w:rPr>
  </w:style>
  <w:style w:type="paragraph" w:styleId="18">
    <w:name w:val="footer"/>
    <w:basedOn w:val="1"/>
    <w:link w:val="136"/>
    <w:unhideWhenUsed/>
    <w:qFormat/>
    <w:uiPriority w:val="99"/>
    <w:pPr>
      <w:tabs>
        <w:tab w:val="center" w:pos="4680"/>
        <w:tab w:val="right" w:pos="9360"/>
      </w:tabs>
      <w:spacing w:after="0" w:line="240" w:lineRule="auto"/>
    </w:pPr>
  </w:style>
  <w:style w:type="paragraph" w:styleId="19">
    <w:name w:val="header"/>
    <w:basedOn w:val="1"/>
    <w:link w:val="135"/>
    <w:unhideWhenUsed/>
    <w:qFormat/>
    <w:uiPriority w:val="99"/>
    <w:pPr>
      <w:tabs>
        <w:tab w:val="center" w:pos="4680"/>
        <w:tab w:val="right" w:pos="9360"/>
      </w:tabs>
      <w:spacing w:after="0" w:line="240" w:lineRule="auto"/>
    </w:pPr>
  </w:style>
  <w:style w:type="paragraph" w:styleId="20">
    <w:name w:val="List"/>
    <w:basedOn w:val="1"/>
    <w:unhideWhenUsed/>
    <w:qFormat/>
    <w:uiPriority w:val="99"/>
    <w:pPr>
      <w:ind w:left="360" w:hanging="360"/>
      <w:contextualSpacing/>
    </w:pPr>
  </w:style>
  <w:style w:type="paragraph" w:styleId="21">
    <w:name w:val="List 2"/>
    <w:basedOn w:val="1"/>
    <w:unhideWhenUsed/>
    <w:qFormat/>
    <w:uiPriority w:val="99"/>
    <w:pPr>
      <w:ind w:left="720" w:hanging="360"/>
      <w:contextualSpacing/>
    </w:pPr>
  </w:style>
  <w:style w:type="paragraph" w:styleId="22">
    <w:name w:val="List 3"/>
    <w:basedOn w:val="1"/>
    <w:unhideWhenUsed/>
    <w:qFormat/>
    <w:uiPriority w:val="99"/>
    <w:pPr>
      <w:ind w:left="1080" w:hanging="360"/>
      <w:contextualSpacing/>
    </w:pPr>
  </w:style>
  <w:style w:type="paragraph" w:styleId="23">
    <w:name w:val="List Bullet"/>
    <w:basedOn w:val="1"/>
    <w:unhideWhenUsed/>
    <w:qFormat/>
    <w:uiPriority w:val="99"/>
    <w:pPr>
      <w:numPr>
        <w:ilvl w:val="0"/>
        <w:numId w:val="2"/>
      </w:numPr>
      <w:contextualSpacing/>
    </w:pPr>
  </w:style>
  <w:style w:type="paragraph" w:styleId="24">
    <w:name w:val="List Bullet 2"/>
    <w:basedOn w:val="1"/>
    <w:unhideWhenUsed/>
    <w:qFormat/>
    <w:uiPriority w:val="99"/>
    <w:pPr>
      <w:numPr>
        <w:ilvl w:val="0"/>
        <w:numId w:val="3"/>
      </w:numPr>
      <w:contextualSpacing/>
    </w:pPr>
  </w:style>
  <w:style w:type="paragraph" w:styleId="25">
    <w:name w:val="List Bullet 3"/>
    <w:basedOn w:val="1"/>
    <w:unhideWhenUsed/>
    <w:qFormat/>
    <w:uiPriority w:val="99"/>
    <w:pPr>
      <w:numPr>
        <w:ilvl w:val="0"/>
        <w:numId w:val="4"/>
      </w:numPr>
      <w:contextualSpacing/>
    </w:pPr>
  </w:style>
  <w:style w:type="paragraph" w:styleId="26">
    <w:name w:val="List Continue"/>
    <w:basedOn w:val="1"/>
    <w:unhideWhenUsed/>
    <w:qFormat/>
    <w:uiPriority w:val="99"/>
    <w:pPr>
      <w:spacing w:after="120"/>
      <w:ind w:left="360"/>
      <w:contextualSpacing/>
    </w:pPr>
  </w:style>
  <w:style w:type="paragraph" w:styleId="27">
    <w:name w:val="List Continue 2"/>
    <w:basedOn w:val="1"/>
    <w:unhideWhenUsed/>
    <w:qFormat/>
    <w:uiPriority w:val="99"/>
    <w:pPr>
      <w:spacing w:after="120"/>
      <w:ind w:left="720"/>
      <w:contextualSpacing/>
    </w:pPr>
  </w:style>
  <w:style w:type="paragraph" w:styleId="28">
    <w:name w:val="List Continue 3"/>
    <w:basedOn w:val="1"/>
    <w:unhideWhenUsed/>
    <w:uiPriority w:val="99"/>
    <w:pPr>
      <w:spacing w:after="120"/>
      <w:ind w:left="1080"/>
      <w:contextualSpacing/>
    </w:pPr>
  </w:style>
  <w:style w:type="paragraph" w:styleId="29">
    <w:name w:val="List Number"/>
    <w:basedOn w:val="1"/>
    <w:unhideWhenUsed/>
    <w:uiPriority w:val="99"/>
    <w:pPr>
      <w:numPr>
        <w:ilvl w:val="0"/>
        <w:numId w:val="5"/>
      </w:numPr>
      <w:contextualSpacing/>
    </w:pPr>
  </w:style>
  <w:style w:type="paragraph" w:styleId="30">
    <w:name w:val="List Number 2"/>
    <w:basedOn w:val="1"/>
    <w:unhideWhenUsed/>
    <w:qFormat/>
    <w:uiPriority w:val="99"/>
    <w:pPr>
      <w:numPr>
        <w:ilvl w:val="0"/>
        <w:numId w:val="6"/>
      </w:numPr>
      <w:contextualSpacing/>
    </w:pPr>
  </w:style>
  <w:style w:type="paragraph" w:styleId="31">
    <w:name w:val="List Number 3"/>
    <w:basedOn w:val="1"/>
    <w:unhideWhenUsed/>
    <w:qFormat/>
    <w:uiPriority w:val="99"/>
    <w:pPr>
      <w:numPr>
        <w:ilvl w:val="0"/>
        <w:numId w:val="7"/>
      </w:numPr>
      <w:contextualSpacing/>
    </w:pPr>
  </w:style>
  <w:style w:type="paragraph" w:styleId="32">
    <w:name w:val="macro"/>
    <w:link w:val="147"/>
    <w:unhideWhenUsed/>
    <w:qFormat/>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eastAsiaTheme="minorEastAsia" w:cstheme="minorBidi"/>
      <w:sz w:val="20"/>
      <w:szCs w:val="20"/>
      <w:lang w:val="en-US" w:eastAsia="en-US" w:bidi="ar-SA"/>
    </w:rPr>
  </w:style>
  <w:style w:type="character" w:styleId="33">
    <w:name w:val="Strong"/>
    <w:basedOn w:val="11"/>
    <w:qFormat/>
    <w:uiPriority w:val="22"/>
    <w:rPr>
      <w:b/>
      <w:bCs/>
    </w:rPr>
  </w:style>
  <w:style w:type="paragraph" w:styleId="34">
    <w:name w:val="Subtitle"/>
    <w:basedOn w:val="1"/>
    <w:next w:val="1"/>
    <w:link w:val="142"/>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table" w:styleId="35">
    <w:name w:val="Table Grid"/>
    <w:basedOn w:val="12"/>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36">
    <w:name w:val="Title"/>
    <w:basedOn w:val="1"/>
    <w:next w:val="1"/>
    <w:link w:val="141"/>
    <w:qFormat/>
    <w:uiPriority w:val="10"/>
    <w:pPr>
      <w:pBdr>
        <w:bottom w:val="single" w:color="4F81BD" w:themeColor="accent1" w:sz="8" w:space="4"/>
      </w:pBdr>
      <w:spacing w:after="300" w:line="240" w:lineRule="auto"/>
      <w:contextualSpacing/>
    </w:pPr>
    <w:rPr>
      <w:rFonts w:asciiTheme="majorHAnsi" w:hAnsiTheme="majorHAnsi" w:eastAsiaTheme="majorEastAsia" w:cstheme="majorBidi"/>
      <w:b/>
      <w:color w:val="153149"/>
      <w:spacing w:val="5"/>
      <w:kern w:val="28"/>
      <w:sz w:val="36"/>
      <w:szCs w:val="52"/>
    </w:rPr>
  </w:style>
  <w:style w:type="table" w:styleId="37">
    <w:name w:val="Light Shading"/>
    <w:basedOn w:val="12"/>
    <w:qFormat/>
    <w:uiPriority w:val="60"/>
    <w:pPr>
      <w:spacing w:after="0" w:line="240" w:lineRule="auto"/>
    </w:pPr>
    <w:rPr>
      <w:color w:val="000000" w:themeColor="text1" w:themeShade="BF"/>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38">
    <w:name w:val="Light Shading Accent 1"/>
    <w:basedOn w:val="12"/>
    <w:qFormat/>
    <w:uiPriority w:val="60"/>
    <w:pPr>
      <w:spacing w:after="0" w:line="240" w:lineRule="auto"/>
    </w:pPr>
    <w:rPr>
      <w:color w:val="376092" w:themeColor="accent1" w:themeShade="BF"/>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39">
    <w:name w:val="Light Shading Accent 2"/>
    <w:basedOn w:val="12"/>
    <w:qFormat/>
    <w:uiPriority w:val="60"/>
    <w:pPr>
      <w:spacing w:after="0" w:line="240" w:lineRule="auto"/>
    </w:pPr>
    <w:rPr>
      <w:color w:val="953735" w:themeColor="accent2" w:themeShade="BF"/>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40">
    <w:name w:val="Light Shading Accent 3"/>
    <w:basedOn w:val="12"/>
    <w:qFormat/>
    <w:uiPriority w:val="60"/>
    <w:pPr>
      <w:spacing w:after="0" w:line="240" w:lineRule="auto"/>
    </w:pPr>
    <w:rPr>
      <w:color w:val="77933C" w:themeColor="accent3" w:themeShade="BF"/>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1">
    <w:name w:val="Light Shading Accent 4"/>
    <w:basedOn w:val="12"/>
    <w:qFormat/>
    <w:uiPriority w:val="60"/>
    <w:pPr>
      <w:spacing w:after="0" w:line="240" w:lineRule="auto"/>
    </w:pPr>
    <w:rPr>
      <w:color w:val="604A7B" w:themeColor="accent4" w:themeShade="BF"/>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42">
    <w:name w:val="Light Shading Accent 5"/>
    <w:basedOn w:val="12"/>
    <w:qFormat/>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3">
    <w:name w:val="Light Shading Accent 6"/>
    <w:basedOn w:val="12"/>
    <w:qFormat/>
    <w:uiPriority w:val="60"/>
    <w:pPr>
      <w:spacing w:after="0" w:line="240" w:lineRule="auto"/>
    </w:pPr>
    <w:rPr>
      <w:color w:val="E46C0A" w:themeColor="accent6" w:themeShade="BF"/>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4">
    <w:name w:val="Light List"/>
    <w:basedOn w:val="12"/>
    <w:qFormat/>
    <w:uiPriority w:val="61"/>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5">
    <w:name w:val="Light List Accent 1"/>
    <w:basedOn w:val="12"/>
    <w:qFormat/>
    <w:uiPriority w:val="61"/>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46">
    <w:name w:val="Light List Accent 2"/>
    <w:basedOn w:val="12"/>
    <w:qFormat/>
    <w:uiPriority w:val="61"/>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47">
    <w:name w:val="Light List Accent 3"/>
    <w:basedOn w:val="12"/>
    <w:qFormat/>
    <w:uiPriority w:val="61"/>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48">
    <w:name w:val="Light List Accent 4"/>
    <w:basedOn w:val="12"/>
    <w:qFormat/>
    <w:uiPriority w:val="61"/>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49">
    <w:name w:val="Light List Accent 5"/>
    <w:basedOn w:val="12"/>
    <w:qFormat/>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50">
    <w:name w:val="Light List Accent 6"/>
    <w:basedOn w:val="12"/>
    <w:qFormat/>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51">
    <w:name w:val="Light Grid"/>
    <w:basedOn w:val="12"/>
    <w:qFormat/>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52">
    <w:name w:val="Light Grid Accent 1"/>
    <w:basedOn w:val="12"/>
    <w:qFormat/>
    <w:uiPriority w:val="62"/>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3">
    <w:name w:val="Light Grid Accent 2"/>
    <w:basedOn w:val="12"/>
    <w:qFormat/>
    <w:uiPriority w:val="62"/>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4">
    <w:name w:val="Light Grid Accent 3"/>
    <w:basedOn w:val="12"/>
    <w:qFormat/>
    <w:uiPriority w:val="62"/>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55">
    <w:name w:val="Light Grid Accent 4"/>
    <w:basedOn w:val="12"/>
    <w:qFormat/>
    <w:uiPriority w:val="62"/>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56">
    <w:name w:val="Light Grid Accent 5"/>
    <w:basedOn w:val="12"/>
    <w:qFormat/>
    <w:uiPriority w:val="62"/>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57">
    <w:name w:val="Light Grid Accent 6"/>
    <w:basedOn w:val="12"/>
    <w:qFormat/>
    <w:uiPriority w:val="62"/>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58">
    <w:name w:val="Medium Shading 1"/>
    <w:basedOn w:val="12"/>
    <w:qFormat/>
    <w:uiPriority w:val="63"/>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59">
    <w:name w:val="Medium Shading 1 Accent 1"/>
    <w:basedOn w:val="12"/>
    <w:qFormat/>
    <w:uiPriority w:val="63"/>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60">
    <w:name w:val="Medium Shading 1 Accent 2"/>
    <w:basedOn w:val="12"/>
    <w:qFormat/>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61">
    <w:name w:val="Medium Shading 1 Accent 3"/>
    <w:basedOn w:val="12"/>
    <w:qFormat/>
    <w:uiPriority w:val="63"/>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4CC82" w:themeColor="accent3" w:themeTint="BF" w:sz="6"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62">
    <w:name w:val="Medium Shading 1 Accent 4"/>
    <w:basedOn w:val="12"/>
    <w:qFormat/>
    <w:uiPriority w:val="63"/>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3">
    <w:name w:val="Medium Shading 1 Accent 5"/>
    <w:basedOn w:val="12"/>
    <w:qFormat/>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4">
    <w:name w:val="Medium Shading 1 Accent 6"/>
    <w:basedOn w:val="12"/>
    <w:qFormat/>
    <w:uiPriority w:val="63"/>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65">
    <w:name w:val="Medium Shading 2"/>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6">
    <w:name w:val="Medium Shading 2 Accent 1"/>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7">
    <w:name w:val="Medium Shading 2 Accent 2"/>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8">
    <w:name w:val="Medium Shading 2 Accent 3"/>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Shading 2 Accent 4"/>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0">
    <w:name w:val="Medium Shading 2 Accent 5"/>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1">
    <w:name w:val="Medium Shading 2 Accent 6"/>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2">
    <w:name w:val="Medium List 1"/>
    <w:basedOn w:val="12"/>
    <w:qFormat/>
    <w:uiPriority w:val="65"/>
    <w:pPr>
      <w:spacing w:after="0" w:line="240" w:lineRule="auto"/>
    </w:pPr>
    <w:rPr>
      <w:color w:val="000000" w:themeColor="text1"/>
      <w14:textFill>
        <w14:solidFill>
          <w14:schemeClr w14:val="tx1"/>
        </w14:solidFill>
      </w14:textFill>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3">
    <w:name w:val="Medium List 1 Accent 1"/>
    <w:basedOn w:val="12"/>
    <w:qFormat/>
    <w:uiPriority w:val="65"/>
    <w:pPr>
      <w:spacing w:after="0" w:line="240" w:lineRule="auto"/>
    </w:pPr>
    <w:rPr>
      <w:color w:val="000000" w:themeColor="text1"/>
      <w14:textFill>
        <w14:solidFill>
          <w14:schemeClr w14:val="tx1"/>
        </w14:solidFill>
      </w14:textFill>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4">
    <w:name w:val="Medium List 1 Accent 2"/>
    <w:basedOn w:val="12"/>
    <w:qFormat/>
    <w:uiPriority w:val="65"/>
    <w:pPr>
      <w:spacing w:after="0" w:line="240" w:lineRule="auto"/>
    </w:pPr>
    <w:rPr>
      <w:color w:val="000000" w:themeColor="text1"/>
      <w14:textFill>
        <w14:solidFill>
          <w14:schemeClr w14:val="tx1"/>
        </w14:solidFill>
      </w14:textFill>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75">
    <w:name w:val="Medium List 1 Accent 3"/>
    <w:basedOn w:val="12"/>
    <w:qFormat/>
    <w:uiPriority w:val="65"/>
    <w:pPr>
      <w:spacing w:after="0" w:line="240" w:lineRule="auto"/>
    </w:pPr>
    <w:rPr>
      <w:color w:val="000000" w:themeColor="text1"/>
      <w14:textFill>
        <w14:solidFill>
          <w14:schemeClr w14:val="tx1"/>
        </w14:solidFill>
      </w14:textFill>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76">
    <w:name w:val="Medium List 1 Accent 4"/>
    <w:basedOn w:val="12"/>
    <w:qFormat/>
    <w:uiPriority w:val="65"/>
    <w:pPr>
      <w:spacing w:after="0" w:line="240" w:lineRule="auto"/>
    </w:pPr>
    <w:rPr>
      <w:color w:val="000000" w:themeColor="text1"/>
      <w14:textFill>
        <w14:solidFill>
          <w14:schemeClr w14:val="tx1"/>
        </w14:solidFill>
      </w14:textFill>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77">
    <w:name w:val="Medium List 1 Accent 5"/>
    <w:basedOn w:val="12"/>
    <w:qFormat/>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78">
    <w:name w:val="Medium List 1 Accent 6"/>
    <w:basedOn w:val="12"/>
    <w:qFormat/>
    <w:uiPriority w:val="65"/>
    <w:pPr>
      <w:spacing w:after="0" w:line="240" w:lineRule="auto"/>
    </w:pPr>
    <w:rPr>
      <w:color w:val="000000" w:themeColor="text1"/>
      <w14:textFill>
        <w14:solidFill>
          <w14:schemeClr w14:val="tx1"/>
        </w14:solidFill>
      </w14:textFill>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79">
    <w:name w:val="Medium List 2"/>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80">
    <w:name w:val="Medium List 2 Accent 1"/>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81">
    <w:name w:val="Medium List 2 Accent 2"/>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82">
    <w:name w:val="Medium List 2 Accent 3"/>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List 2 Accent 4"/>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4">
    <w:name w:val="Medium List 2 Accent 5"/>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5">
    <w:name w:val="Medium List 2 Accent 6"/>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6">
    <w:name w:val="Medium Grid 1"/>
    <w:basedOn w:val="12"/>
    <w:qFormat/>
    <w:uiPriority w:val="67"/>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CellMar>
        <w:top w:w="0" w:type="dxa"/>
        <w:left w:w="108" w:type="dxa"/>
        <w:bottom w:w="0" w:type="dxa"/>
        <w:right w:w="108" w:type="dxa"/>
      </w:tblCellMar>
    </w:tblPr>
    <w:tcPr>
      <w:shd w:val="clear" w:color="auto" w:fill="BFBFBF" w:themeFill="text1" w:themeFillTint="3F"/>
    </w:tcPr>
    <w:tblStylePr w:type="firstRow">
      <w:rPr>
        <w:b/>
        <w:bCs/>
      </w:rPr>
    </w:tblStylePr>
    <w:tblStylePr w:type="lastRow">
      <w:rPr>
        <w:b/>
        <w:bCs/>
      </w:rPr>
      <w:tblPr/>
      <w:tcPr>
        <w:tcBorders>
          <w:top w:val="single" w:color="3F3F3F" w:themeColor="text1" w:themeTint="BF"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87">
    <w:name w:val="Medium Grid 1 Accent 1"/>
    <w:basedOn w:val="12"/>
    <w:qFormat/>
    <w:uiPriority w:val="67"/>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88">
    <w:name w:val="Medium Grid 1 Accent 2"/>
    <w:basedOn w:val="12"/>
    <w:qFormat/>
    <w:uiPriority w:val="67"/>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3"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89">
    <w:name w:val="Medium Grid 1 Accent 3"/>
    <w:basedOn w:val="12"/>
    <w:qFormat/>
    <w:uiPriority w:val="67"/>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4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90">
    <w:name w:val="Medium Grid 1 Accent 4"/>
    <w:basedOn w:val="12"/>
    <w:qFormat/>
    <w:uiPriority w:val="67"/>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91">
    <w:name w:val="Medium Grid 1 Accent 5"/>
    <w:basedOn w:val="12"/>
    <w:qFormat/>
    <w:uiPriority w:val="67"/>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0"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92">
    <w:name w:val="Medium Grid 1 Accent 6"/>
    <w:basedOn w:val="12"/>
    <w:qFormat/>
    <w:uiPriority w:val="67"/>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5D1"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3">
    <w:name w:val="Medium Grid 2"/>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4">
    <w:name w:val="Medium Grid 2 Accent 1"/>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14:textFill>
          <w14:solidFill>
            <w14:schemeClr w14:val="tx1"/>
          </w14:solidFill>
        </w14:textFill>
      </w:rPr>
      <w:tblPr/>
      <w:tcPr>
        <w:shd w:val="clear" w:color="auto" w:fill="EDF2F8"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95">
    <w:name w:val="Medium Grid 2 Accent 2"/>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3" w:themeFill="accent2" w:themeFillTint="3F"/>
    </w:tcPr>
    <w:tblStylePr w:type="firstRow">
      <w:rPr>
        <w:b/>
        <w:bCs/>
        <w:color w:val="000000" w:themeColor="text1"/>
        <w14:textFill>
          <w14:solidFill>
            <w14:schemeClr w14:val="tx1"/>
          </w14:solidFill>
        </w14:textFill>
      </w:rPr>
      <w:tblPr/>
      <w:tcPr>
        <w:shd w:val="clear" w:color="auto" w:fill="F8EDED"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96">
    <w:name w:val="Medium Grid 2 Accent 3"/>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14:textFill>
          <w14:solidFill>
            <w14:schemeClr w14:val="tx1"/>
          </w14:solidFill>
        </w14:textFill>
      </w:rPr>
      <w:tblPr/>
      <w:tcPr>
        <w:shd w:val="clear" w:color="auto" w:fill="F5F8EE"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97">
    <w:name w:val="Medium Grid 2 Accent 4"/>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14:textFill>
          <w14:solidFill>
            <w14:schemeClr w14:val="tx1"/>
          </w14:solidFill>
        </w14:textFill>
      </w:rPr>
      <w:tblPr/>
      <w:tcPr>
        <w:shd w:val="clear" w:color="auto" w:fill="F2EFF5"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98">
    <w:name w:val="Medium Grid 2 Accent 5"/>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0" w:themeFill="accent5" w:themeFillTint="3F"/>
    </w:tcPr>
    <w:tblStylePr w:type="firstRow">
      <w:rPr>
        <w:b/>
        <w:bCs/>
        <w:color w:val="000000" w:themeColor="text1"/>
        <w14:textFill>
          <w14:solidFill>
            <w14:schemeClr w14:val="tx1"/>
          </w14:solidFill>
        </w14:textFill>
      </w:rPr>
      <w:tblPr/>
      <w:tcPr>
        <w:shd w:val="clear" w:color="auto" w:fill="EDF6F9"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99">
    <w:name w:val="Medium Grid 2 Accent 6"/>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5D1" w:themeFill="accent6" w:themeFillTint="3F"/>
    </w:tcPr>
    <w:tblStylePr w:type="firstRow">
      <w:rPr>
        <w:b/>
        <w:bCs/>
        <w:color w:val="000000" w:themeColor="text1"/>
        <w14:textFill>
          <w14:solidFill>
            <w14:schemeClr w14:val="tx1"/>
          </w14:solidFill>
        </w14:textFill>
      </w:rPr>
      <w:tblPr/>
      <w:tcPr>
        <w:shd w:val="clear" w:color="auto" w:fill="FEF4EC"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100">
    <w:name w:val="Medium Grid 3"/>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BFBFBF" w:themeFill="tex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101">
    <w:name w:val="Medium Grid 3 Accent 1"/>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102">
    <w:name w:val="Medium Grid 3 Accent 2"/>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3" w:themeFill="accent2"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3">
    <w:name w:val="Medium Grid 3 Accent 3"/>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4">
    <w:name w:val="Medium Grid 3 Accent 4"/>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05">
    <w:name w:val="Medium Grid 3 Accent 5"/>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0" w:themeFill="accent5"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06">
    <w:name w:val="Medium Grid 3 Accent 6"/>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5D1" w:themeFill="accent6"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07">
    <w:name w:val="Dark List"/>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08">
    <w:name w:val="Dark List Accent 1"/>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09">
    <w:name w:val="Dark List Accent 2"/>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10">
    <w:name w:val="Dark List Accent 3"/>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11">
    <w:name w:val="Dark List Accent 4"/>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12">
    <w:name w:val="Dark List Accent 5"/>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3">
    <w:name w:val="Dark List Accent 6"/>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4">
    <w:name w:val="Colorful Shading"/>
    <w:basedOn w:val="1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5E5E5"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5">
    <w:name w:val="Colorful Shading Accent 1"/>
    <w:basedOn w:val="1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6">
    <w:name w:val="Colorful Shading Accent 2"/>
    <w:basedOn w:val="1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7">
    <w:name w:val="Colorful Shading Accent 3"/>
    <w:basedOn w:val="12"/>
    <w:qFormat/>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18">
    <w:name w:val="Colorful Shading Accent 4"/>
    <w:basedOn w:val="12"/>
    <w:qFormat/>
    <w:uiPriority w:val="71"/>
    <w:pPr>
      <w:spacing w:after="0" w:line="240" w:lineRule="auto"/>
    </w:pPr>
    <w:rPr>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5"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9">
    <w:name w:val="Colorful Shading Accent 5"/>
    <w:basedOn w:val="12"/>
    <w:qFormat/>
    <w:uiPriority w:val="71"/>
    <w:pPr>
      <w:spacing w:after="0" w:line="240" w:lineRule="auto"/>
    </w:pPr>
    <w:rPr>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0">
    <w:name w:val="Colorful Shading Accent 6"/>
    <w:basedOn w:val="12"/>
    <w:qFormat/>
    <w:uiPriority w:val="71"/>
    <w:pPr>
      <w:spacing w:after="0" w:line="240" w:lineRule="auto"/>
    </w:pPr>
    <w:rPr>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1">
    <w:name w:val="Colorful List"/>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22">
    <w:name w:val="Colorful List Accent 1"/>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3">
    <w:name w:val="Colorful List Accent 2"/>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4">
    <w:name w:val="Colorful List Accent 3"/>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b/>
        <w:bCs/>
        <w:color w:val="664F8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25">
    <w:name w:val="Colorful List Accent 4"/>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2EFF5"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b/>
        <w:bCs/>
        <w:color w:val="7E9D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26">
    <w:name w:val="Colorful List Accent 5"/>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b/>
        <w:bCs/>
        <w:color w:val="F3740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27">
    <w:name w:val="Colorful List Accent 6"/>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b/>
        <w:bCs/>
        <w:color w:val="358EA6"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28">
    <w:name w:val="Colorful Grid"/>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29">
    <w:name w:val="Colorful Grid Accent 1"/>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14:textFill>
          <w14:solidFill>
            <w14:schemeClr w14:val="tx1"/>
          </w14:solidFill>
        </w14:textFill>
      </w:rPr>
      <w:tblPr/>
      <w:tcPr>
        <w:shd w:val="clear" w:color="auto" w:fill="B8CCE4" w:themeFill="accent1" w:themeFillTint="66"/>
      </w:tcPr>
    </w:tblStylePr>
    <w:tblStylePr w:type="firstCol">
      <w:rPr>
        <w:color w:val="FFFFFF" w:themeColor="background1"/>
        <w14:textFill>
          <w14:solidFill>
            <w14:schemeClr w14:val="bg1"/>
          </w14:solidFill>
        </w14:textFill>
      </w:rPr>
      <w:tblPr/>
      <w:tcPr>
        <w:shd w:val="clear" w:color="auto" w:fill="366091" w:themeFill="accent1" w:themeFillShade="BF"/>
      </w:tcPr>
    </w:tblStylePr>
    <w:tblStylePr w:type="lastCol">
      <w:rPr>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30">
    <w:name w:val="Colorful Grid Accent 2"/>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14:textFill>
          <w14:solidFill>
            <w14:schemeClr w14:val="tx1"/>
          </w14:solidFill>
        </w14:textFill>
      </w:rPr>
      <w:tblPr/>
      <w:tcPr>
        <w:shd w:val="clear" w:color="auto" w:fill="E5B8B7" w:themeFill="accent2" w:themeFillTint="66"/>
      </w:tcPr>
    </w:tblStylePr>
    <w:tblStylePr w:type="firstCol">
      <w:rPr>
        <w:color w:val="FFFFFF" w:themeColor="background1"/>
        <w14:textFill>
          <w14:solidFill>
            <w14:schemeClr w14:val="bg1"/>
          </w14:solidFill>
        </w14:textFill>
      </w:rPr>
      <w:tblPr/>
      <w:tcPr>
        <w:shd w:val="clear" w:color="auto" w:fill="943734" w:themeFill="accent2" w:themeFillShade="BF"/>
      </w:tcPr>
    </w:tblStylePr>
    <w:tblStylePr w:type="lastCol">
      <w:rPr>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1">
    <w:name w:val="Colorful Grid Accent 3"/>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14:textFill>
          <w14:solidFill>
            <w14:schemeClr w14:val="tx1"/>
          </w14:solidFill>
        </w14:textFill>
      </w:rPr>
      <w:tblPr/>
      <w:tcPr>
        <w:shd w:val="clear" w:color="auto" w:fill="D6E3BC" w:themeFill="accent3" w:themeFillTint="66"/>
      </w:tcPr>
    </w:tblStylePr>
    <w:tblStylePr w:type="firstCol">
      <w:rPr>
        <w:color w:val="FFFFFF" w:themeColor="background1"/>
        <w14:textFill>
          <w14:solidFill>
            <w14:schemeClr w14:val="bg1"/>
          </w14:solidFill>
        </w14:textFill>
      </w:rPr>
      <w:tblPr/>
      <w:tcPr>
        <w:shd w:val="clear" w:color="auto" w:fill="76923C" w:themeFill="accent3" w:themeFillShade="BF"/>
      </w:tcPr>
    </w:tblStylePr>
    <w:tblStylePr w:type="lastCol">
      <w:rPr>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32">
    <w:name w:val="Colorful Grid Accent 4"/>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14:textFill>
          <w14:solidFill>
            <w14:schemeClr w14:val="tx1"/>
          </w14:solidFill>
        </w14:textFill>
      </w:rPr>
      <w:tblPr/>
      <w:tcPr>
        <w:shd w:val="clear" w:color="auto" w:fill="CCC0D9" w:themeFill="accent4" w:themeFillTint="66"/>
      </w:tcPr>
    </w:tblStylePr>
    <w:tblStylePr w:type="firstCol">
      <w:rPr>
        <w:color w:val="FFFFFF" w:themeColor="background1"/>
        <w14:textFill>
          <w14:solidFill>
            <w14:schemeClr w14:val="bg1"/>
          </w14:solidFill>
        </w14:textFill>
      </w:rPr>
      <w:tblPr/>
      <w:tcPr>
        <w:shd w:val="clear" w:color="auto" w:fill="5F497A" w:themeFill="accent4" w:themeFillShade="BF"/>
      </w:tcPr>
    </w:tblStylePr>
    <w:tblStylePr w:type="lastCol">
      <w:rPr>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3">
    <w:name w:val="Colorful Grid Accent 5"/>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14:textFill>
          <w14:solidFill>
            <w14:schemeClr w14:val="tx1"/>
          </w14:solidFill>
        </w14:textFill>
      </w:rPr>
      <w:tblPr/>
      <w:tcPr>
        <w:shd w:val="clear" w:color="auto" w:fill="B6DDE8" w:themeFill="accent5" w:themeFillTint="66"/>
      </w:tcPr>
    </w:tblStylePr>
    <w:tblStylePr w:type="firstCol">
      <w:rPr>
        <w:color w:val="FFFFFF" w:themeColor="background1"/>
        <w14:textFill>
          <w14:solidFill>
            <w14:schemeClr w14:val="bg1"/>
          </w14:solidFill>
        </w14:textFill>
      </w:rPr>
      <w:tblPr/>
      <w:tcPr>
        <w:shd w:val="clear" w:color="auto" w:fill="31849B" w:themeFill="accent5" w:themeFillShade="BF"/>
      </w:tcPr>
    </w:tblStylePr>
    <w:tblStylePr w:type="lastCol">
      <w:rPr>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4">
    <w:name w:val="Colorful Grid Accent 6"/>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14:textFill>
          <w14:solidFill>
            <w14:schemeClr w14:val="tx1"/>
          </w14:solidFill>
        </w14:textFill>
      </w:rPr>
      <w:tblPr/>
      <w:tcPr>
        <w:shd w:val="clear" w:color="auto" w:fill="FBD4B4" w:themeFill="accent6" w:themeFillTint="66"/>
      </w:tcPr>
    </w:tblStylePr>
    <w:tblStylePr w:type="firstCol">
      <w:rPr>
        <w:color w:val="FFFFFF" w:themeColor="background1"/>
        <w14:textFill>
          <w14:solidFill>
            <w14:schemeClr w14:val="bg1"/>
          </w14:solidFill>
        </w14:textFill>
      </w:rPr>
      <w:tblPr/>
      <w:tcPr>
        <w:shd w:val="clear" w:color="auto" w:fill="E36C09" w:themeFill="accent6" w:themeFillShade="BF"/>
      </w:tcPr>
    </w:tblStylePr>
    <w:tblStylePr w:type="lastCol">
      <w:rPr>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135">
    <w:name w:val="Header Char"/>
    <w:basedOn w:val="11"/>
    <w:link w:val="19"/>
    <w:qFormat/>
    <w:uiPriority w:val="99"/>
  </w:style>
  <w:style w:type="character" w:customStyle="1" w:styleId="136">
    <w:name w:val="Footer Char"/>
    <w:basedOn w:val="11"/>
    <w:link w:val="18"/>
    <w:qFormat/>
    <w:uiPriority w:val="99"/>
  </w:style>
  <w:style w:type="paragraph" w:styleId="137">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38">
    <w:name w:val="Heading 1 Char"/>
    <w:basedOn w:val="11"/>
    <w:link w:val="2"/>
    <w:qFormat/>
    <w:uiPriority w:val="9"/>
    <w:rPr>
      <w:rFonts w:asciiTheme="majorHAnsi" w:hAnsiTheme="majorHAnsi" w:eastAsiaTheme="majorEastAsia" w:cstheme="majorBidi"/>
      <w:b/>
      <w:bCs/>
      <w:color w:val="376092" w:themeColor="accent1" w:themeShade="BF"/>
      <w:sz w:val="28"/>
      <w:szCs w:val="28"/>
    </w:rPr>
  </w:style>
  <w:style w:type="character" w:customStyle="1" w:styleId="139">
    <w:name w:val="Heading 2 Char"/>
    <w:link w:val="3"/>
    <w:qFormat/>
    <w:uiPriority w:val="9"/>
    <w:rPr>
      <w:rFonts w:asciiTheme="majorHAnsi" w:hAnsiTheme="majorHAnsi" w:eastAsiaTheme="majorEastAsia" w:cstheme="majorBidi"/>
      <w:b/>
      <w:bCs/>
      <w:color w:val="153149"/>
      <w:sz w:val="22"/>
      <w:szCs w:val="26"/>
      <w:lang w:val="en-US" w:eastAsia="en-US" w:bidi="ar-SA"/>
    </w:rPr>
  </w:style>
  <w:style w:type="character" w:customStyle="1" w:styleId="140">
    <w:name w:val="Heading 3 Char"/>
    <w:basedOn w:val="11"/>
    <w:link w:val="4"/>
    <w:qFormat/>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141">
    <w:name w:val="Title Char"/>
    <w:basedOn w:val="11"/>
    <w:link w:val="36"/>
    <w:qFormat/>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42">
    <w:name w:val="Subtitle Char"/>
    <w:basedOn w:val="11"/>
    <w:link w:val="34"/>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143">
    <w:name w:val="List Paragraph"/>
    <w:basedOn w:val="1"/>
    <w:qFormat/>
    <w:uiPriority w:val="34"/>
    <w:pPr>
      <w:ind w:left="720"/>
      <w:contextualSpacing/>
    </w:pPr>
  </w:style>
  <w:style w:type="character" w:customStyle="1" w:styleId="144">
    <w:name w:val="Body Text Char"/>
    <w:basedOn w:val="11"/>
    <w:link w:val="13"/>
    <w:qFormat/>
    <w:uiPriority w:val="99"/>
  </w:style>
  <w:style w:type="character" w:customStyle="1" w:styleId="145">
    <w:name w:val="Body Text 2 Char"/>
    <w:basedOn w:val="11"/>
    <w:link w:val="14"/>
    <w:qFormat/>
    <w:uiPriority w:val="99"/>
  </w:style>
  <w:style w:type="character" w:customStyle="1" w:styleId="146">
    <w:name w:val="Body Text 3 Char"/>
    <w:basedOn w:val="11"/>
    <w:link w:val="15"/>
    <w:qFormat/>
    <w:uiPriority w:val="99"/>
    <w:rPr>
      <w:sz w:val="16"/>
      <w:szCs w:val="16"/>
    </w:rPr>
  </w:style>
  <w:style w:type="character" w:customStyle="1" w:styleId="147">
    <w:name w:val="Macro Text Char"/>
    <w:basedOn w:val="11"/>
    <w:link w:val="32"/>
    <w:qFormat/>
    <w:uiPriority w:val="99"/>
    <w:rPr>
      <w:rFonts w:ascii="Courier" w:hAnsi="Courier"/>
      <w:sz w:val="20"/>
      <w:szCs w:val="20"/>
    </w:rPr>
  </w:style>
  <w:style w:type="paragraph" w:styleId="148">
    <w:name w:val="Quote"/>
    <w:basedOn w:val="1"/>
    <w:next w:val="1"/>
    <w:link w:val="149"/>
    <w:qFormat/>
    <w:uiPriority w:val="29"/>
    <w:rPr>
      <w:i/>
      <w:iCs/>
      <w:color w:val="000000" w:themeColor="text1"/>
      <w14:textFill>
        <w14:solidFill>
          <w14:schemeClr w14:val="tx1"/>
        </w14:solidFill>
      </w14:textFill>
    </w:rPr>
  </w:style>
  <w:style w:type="character" w:customStyle="1" w:styleId="149">
    <w:name w:val="Quote Char"/>
    <w:basedOn w:val="11"/>
    <w:link w:val="148"/>
    <w:qFormat/>
    <w:uiPriority w:val="29"/>
    <w:rPr>
      <w:i/>
      <w:iCs/>
      <w:color w:val="000000" w:themeColor="text1"/>
      <w14:textFill>
        <w14:solidFill>
          <w14:schemeClr w14:val="tx1"/>
        </w14:solidFill>
      </w14:textFill>
    </w:rPr>
  </w:style>
  <w:style w:type="character" w:customStyle="1" w:styleId="150">
    <w:name w:val="Heading 4 Char"/>
    <w:basedOn w:val="11"/>
    <w:link w:val="5"/>
    <w:semiHidden/>
    <w:qFormat/>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customStyle="1" w:styleId="151">
    <w:name w:val="Heading 5 Char"/>
    <w:basedOn w:val="11"/>
    <w:link w:val="6"/>
    <w:semiHidden/>
    <w:qFormat/>
    <w:uiPriority w:val="9"/>
    <w:rPr>
      <w:rFonts w:asciiTheme="majorHAnsi" w:hAnsiTheme="majorHAnsi" w:eastAsiaTheme="majorEastAsia" w:cstheme="majorBidi"/>
      <w:color w:val="254061" w:themeColor="accent1" w:themeShade="80"/>
    </w:rPr>
  </w:style>
  <w:style w:type="character" w:customStyle="1" w:styleId="152">
    <w:name w:val="Heading 6 Char"/>
    <w:basedOn w:val="11"/>
    <w:link w:val="7"/>
    <w:semiHidden/>
    <w:qFormat/>
    <w:uiPriority w:val="9"/>
    <w:rPr>
      <w:rFonts w:asciiTheme="majorHAnsi" w:hAnsiTheme="majorHAnsi" w:eastAsiaTheme="majorEastAsia" w:cstheme="majorBidi"/>
      <w:i/>
      <w:iCs/>
      <w:color w:val="254061" w:themeColor="accent1" w:themeShade="80"/>
    </w:rPr>
  </w:style>
  <w:style w:type="character" w:customStyle="1" w:styleId="153">
    <w:name w:val="Heading 7 Char"/>
    <w:basedOn w:val="11"/>
    <w:link w:val="8"/>
    <w:semiHidden/>
    <w:qFormat/>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154">
    <w:name w:val="Heading 8 Char"/>
    <w:basedOn w:val="11"/>
    <w:link w:val="9"/>
    <w:semiHidden/>
    <w:qFormat/>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customStyle="1" w:styleId="155">
    <w:name w:val="Heading 9 Char"/>
    <w:basedOn w:val="11"/>
    <w:link w:val="10"/>
    <w:semiHidden/>
    <w:qFormat/>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styleId="156">
    <w:name w:val="Intense Quote"/>
    <w:basedOn w:val="1"/>
    <w:next w:val="1"/>
    <w:link w:val="157"/>
    <w:qFormat/>
    <w:uiPriority w:val="30"/>
    <w:pPr>
      <w:pBdr>
        <w:bottom w:val="single" w:color="4F81BD" w:themeColor="accent1" w:sz="4" w:space="4"/>
      </w:pBdr>
      <w:spacing w:before="200" w:after="280"/>
      <w:ind w:left="936" w:right="936"/>
    </w:pPr>
    <w:rPr>
      <w:b/>
      <w:bCs/>
      <w:i/>
      <w:iCs/>
      <w:color w:val="4F81BD" w:themeColor="accent1"/>
      <w14:textFill>
        <w14:solidFill>
          <w14:schemeClr w14:val="accent1"/>
        </w14:solidFill>
      </w14:textFill>
    </w:rPr>
  </w:style>
  <w:style w:type="character" w:customStyle="1" w:styleId="157">
    <w:name w:val="Intense Quote Char"/>
    <w:basedOn w:val="11"/>
    <w:link w:val="156"/>
    <w:qFormat/>
    <w:uiPriority w:val="30"/>
    <w:rPr>
      <w:b/>
      <w:bCs/>
      <w:i/>
      <w:iCs/>
      <w:color w:val="4F81BD" w:themeColor="accent1"/>
      <w14:textFill>
        <w14:solidFill>
          <w14:schemeClr w14:val="accent1"/>
        </w14:solidFill>
      </w14:textFill>
    </w:rPr>
  </w:style>
  <w:style w:type="character" w:customStyle="1" w:styleId="158">
    <w:name w:val="Subtle Emphasis"/>
    <w:basedOn w:val="11"/>
    <w:qFormat/>
    <w:uiPriority w:val="19"/>
    <w:rPr>
      <w:i/>
      <w:iCs/>
      <w:color w:val="808080" w:themeColor="text1" w:themeTint="80"/>
      <w14:textFill>
        <w14:solidFill>
          <w14:schemeClr w14:val="tx1">
            <w14:lumMod w14:val="50000"/>
            <w14:lumOff w14:val="50000"/>
          </w14:schemeClr>
        </w14:solidFill>
      </w14:textFill>
    </w:rPr>
  </w:style>
  <w:style w:type="character" w:customStyle="1" w:styleId="159">
    <w:name w:val="Intense Emphasis"/>
    <w:basedOn w:val="11"/>
    <w:qFormat/>
    <w:uiPriority w:val="21"/>
    <w:rPr>
      <w:b/>
      <w:bCs/>
      <w:i/>
      <w:iCs/>
      <w:color w:val="4F81BD" w:themeColor="accent1"/>
      <w14:textFill>
        <w14:solidFill>
          <w14:schemeClr w14:val="accent1"/>
        </w14:solidFill>
      </w14:textFill>
    </w:rPr>
  </w:style>
  <w:style w:type="character" w:customStyle="1" w:styleId="160">
    <w:name w:val="Subtle Reference"/>
    <w:basedOn w:val="11"/>
    <w:qFormat/>
    <w:uiPriority w:val="31"/>
    <w:rPr>
      <w:smallCaps/>
      <w:color w:val="C0504D" w:themeColor="accent2"/>
      <w:u w:val="single"/>
      <w14:textFill>
        <w14:solidFill>
          <w14:schemeClr w14:val="accent2"/>
        </w14:solidFill>
      </w14:textFill>
    </w:rPr>
  </w:style>
  <w:style w:type="character" w:customStyle="1" w:styleId="161">
    <w:name w:val="Intense Reference"/>
    <w:basedOn w:val="11"/>
    <w:qFormat/>
    <w:uiPriority w:val="32"/>
    <w:rPr>
      <w:b/>
      <w:bCs/>
      <w:smallCaps/>
      <w:color w:val="C0504D" w:themeColor="accent2"/>
      <w:spacing w:val="5"/>
      <w:u w:val="single"/>
      <w14:textFill>
        <w14:solidFill>
          <w14:schemeClr w14:val="accent2"/>
        </w14:solidFill>
      </w14:textFill>
    </w:rPr>
  </w:style>
  <w:style w:type="character" w:customStyle="1" w:styleId="162">
    <w:name w:val="Book Title"/>
    <w:basedOn w:val="11"/>
    <w:qFormat/>
    <w:uiPriority w:val="33"/>
    <w:rPr>
      <w:b/>
      <w:bCs/>
      <w:smallCaps/>
      <w:spacing w:val="5"/>
    </w:rPr>
  </w:style>
  <w:style w:type="paragraph" w:customStyle="1" w:styleId="163">
    <w:name w:val="TOC Heading"/>
    <w:basedOn w:val="2"/>
    <w:next w:val="1"/>
    <w:semiHidden/>
    <w:unhideWhenUsed/>
    <w:qFormat/>
    <w:uiPriority w:val="39"/>
    <w:pPr>
      <w:outlineLvl w:val="9"/>
    </w:pPr>
  </w:style>
  <w:style w:type="paragraph" w:customStyle="1" w:styleId="164">
    <w:name w:val="WPSOffice手动目录 1"/>
    <w:uiPriority w:val="0"/>
    <w:pPr>
      <w:ind w:leftChars="0"/>
    </w:pPr>
    <w:rPr>
      <w:sz w:val="20"/>
      <w:szCs w:val="20"/>
    </w:rPr>
  </w:style>
  <w:style w:type="paragraph" w:customStyle="1" w:styleId="165">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3269</Words>
  <Characters>20765</Characters>
  <DocSecurity>0</DocSecurity>
  <Lines>0</Lines>
  <Paragraphs>0</Paragraphs>
  <ScaleCrop>false</ScaleCrop>
  <LinksUpToDate>false</LinksUpToDate>
  <CharactersWithSpaces>23964</CharactersWithSpac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2013-12-23T23:15:00Z</dcterms:created>
  <dcterms:modified xsi:type="dcterms:W3CDTF">2026-10-22T08:46:32Z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eyJoZGlkIjoiYzNkYTZkNTljOWRlZDdlZjYyNWYwZGY0NzU4ZmI4N2UiLCJ1c2VySWQiOiIxOTI0MTY1ODM4NTAyIn0=</vt:lpwstr>
  </property>
  <property fmtid="{D5CDD505-2E9C-101B-9397-08002B2CF9AE}" pid="3" name="KSOProductBuildVer">
    <vt:lpwstr>2057-12.2.0.23206</vt:lpwstr>
  </property>
  <property fmtid="{D5CDD505-2E9C-101B-9397-08002B2CF9AE}" pid="4" name="ICV">
    <vt:lpwstr>AA796EAF66F34BA0B8E2610299175534_12</vt:lpwstr>
  </property>
</Properties>
</file>