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ListTable5Dark-Accent6"/>
        <w:tblW w:w="0" w:type="auto"/>
        <w:tblLook w:val="04A0" w:firstRow="1" w:lastRow="0" w:firstColumn="1" w:lastColumn="0" w:noHBand="0" w:noVBand="1"/>
      </w:tblPr>
      <w:tblGrid>
        <w:gridCol w:w="4481"/>
        <w:gridCol w:w="4485"/>
      </w:tblGrid>
      <w:tr w:rsidR="008356BB" w:rsidTr="008356BB">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Student Name</w:t>
            </w:r>
          </w:p>
        </w:tc>
        <w:tc>
          <w:tcPr>
            <w:tcW w:w="4508" w:type="dxa"/>
          </w:tcPr>
          <w:p w:rsidR="008356BB" w:rsidRPr="00430A85" w:rsidRDefault="008356BB">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Cs w:val="0"/>
                <w:sz w:val="36"/>
                <w:szCs w:val="36"/>
                <w:lang w:eastAsia="en-GB"/>
              </w:rPr>
            </w:pPr>
            <w:proofErr w:type="spellStart"/>
            <w:r w:rsidRPr="00430A85">
              <w:rPr>
                <w:rFonts w:ascii="Arial" w:eastAsia="Times New Roman" w:hAnsi="Arial" w:cs="Arial"/>
                <w:bCs w:val="0"/>
                <w:sz w:val="36"/>
                <w:szCs w:val="36"/>
                <w:lang w:eastAsia="en-GB"/>
              </w:rPr>
              <w:t>Mariyam</w:t>
            </w:r>
            <w:proofErr w:type="spellEnd"/>
            <w:r w:rsidRPr="00430A85">
              <w:rPr>
                <w:rFonts w:ascii="Arial" w:eastAsia="Times New Roman" w:hAnsi="Arial" w:cs="Arial"/>
                <w:bCs w:val="0"/>
                <w:sz w:val="36"/>
                <w:szCs w:val="36"/>
                <w:lang w:eastAsia="en-GB"/>
              </w:rPr>
              <w:t xml:space="preserve"> </w:t>
            </w:r>
            <w:proofErr w:type="spellStart"/>
            <w:r w:rsidRPr="00430A85">
              <w:rPr>
                <w:rFonts w:ascii="Arial" w:eastAsia="Times New Roman" w:hAnsi="Arial" w:cs="Arial"/>
                <w:bCs w:val="0"/>
                <w:sz w:val="36"/>
                <w:szCs w:val="36"/>
                <w:lang w:eastAsia="en-GB"/>
              </w:rPr>
              <w:t>Rubah</w:t>
            </w:r>
            <w:proofErr w:type="spellEnd"/>
          </w:p>
        </w:tc>
      </w:tr>
      <w:tr w:rsidR="008356BB" w:rsidTr="00835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Student ID</w:t>
            </w:r>
          </w:p>
        </w:tc>
        <w:tc>
          <w:tcPr>
            <w:tcW w:w="4508" w:type="dxa"/>
          </w:tcPr>
          <w:p w:rsidR="008356BB" w:rsidRPr="00430A85" w:rsidRDefault="008356B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2321256</w:t>
            </w:r>
          </w:p>
        </w:tc>
      </w:tr>
      <w:tr w:rsidR="008356BB" w:rsidTr="008356BB">
        <w:tc>
          <w:tcPr>
            <w:cnfStyle w:val="001000000000" w:firstRow="0" w:lastRow="0" w:firstColumn="1" w:lastColumn="0" w:oddVBand="0" w:evenVBand="0" w:oddHBand="0" w:evenHBand="0" w:firstRowFirstColumn="0"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Module Name</w:t>
            </w:r>
          </w:p>
        </w:tc>
        <w:tc>
          <w:tcPr>
            <w:tcW w:w="4508" w:type="dxa"/>
          </w:tcPr>
          <w:p w:rsidR="008356BB" w:rsidRPr="00430A85" w:rsidRDefault="008356B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Psychology in Health and Social Care</w:t>
            </w:r>
          </w:p>
        </w:tc>
      </w:tr>
      <w:tr w:rsidR="008356BB" w:rsidTr="00835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Module Code</w:t>
            </w:r>
          </w:p>
        </w:tc>
        <w:tc>
          <w:tcPr>
            <w:tcW w:w="4508" w:type="dxa"/>
          </w:tcPr>
          <w:p w:rsidR="008356BB" w:rsidRPr="00430A85" w:rsidRDefault="008356B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LCHS4010</w:t>
            </w:r>
          </w:p>
        </w:tc>
      </w:tr>
      <w:tr w:rsidR="008356BB" w:rsidTr="008356BB">
        <w:tc>
          <w:tcPr>
            <w:cnfStyle w:val="001000000000" w:firstRow="0" w:lastRow="0" w:firstColumn="1" w:lastColumn="0" w:oddVBand="0" w:evenVBand="0" w:oddHBand="0" w:evenHBand="0" w:firstRowFirstColumn="0"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Assignment Title</w:t>
            </w:r>
          </w:p>
        </w:tc>
        <w:tc>
          <w:tcPr>
            <w:tcW w:w="4508" w:type="dxa"/>
          </w:tcPr>
          <w:p w:rsidR="008356BB" w:rsidRPr="00430A85" w:rsidRDefault="008356B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Written Report: Using Psychological Theories in Health and Social Care to Support Elderly People with Dementia</w:t>
            </w:r>
          </w:p>
        </w:tc>
      </w:tr>
      <w:tr w:rsidR="001E5554" w:rsidTr="00835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1E5554" w:rsidRPr="00430A85" w:rsidRDefault="001E5554">
            <w:pPr>
              <w:rPr>
                <w:rFonts w:ascii="Arial" w:eastAsia="Times New Roman" w:hAnsi="Arial" w:cs="Arial"/>
                <w:sz w:val="36"/>
                <w:szCs w:val="36"/>
                <w:lang w:eastAsia="en-GB"/>
              </w:rPr>
            </w:pPr>
            <w:r w:rsidRPr="00430A85">
              <w:rPr>
                <w:rFonts w:ascii="Arial" w:eastAsia="Times New Roman" w:hAnsi="Arial" w:cs="Arial"/>
                <w:sz w:val="36"/>
                <w:szCs w:val="36"/>
                <w:lang w:eastAsia="en-GB"/>
              </w:rPr>
              <w:t>Word Count</w:t>
            </w:r>
          </w:p>
        </w:tc>
        <w:tc>
          <w:tcPr>
            <w:tcW w:w="4508" w:type="dxa"/>
          </w:tcPr>
          <w:p w:rsidR="001E5554" w:rsidRPr="00430A85" w:rsidRDefault="001E5554">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1562</w:t>
            </w:r>
          </w:p>
        </w:tc>
      </w:tr>
      <w:tr w:rsidR="008356BB" w:rsidTr="008356BB">
        <w:tc>
          <w:tcPr>
            <w:cnfStyle w:val="001000000000" w:firstRow="0" w:lastRow="0" w:firstColumn="1" w:lastColumn="0" w:oddVBand="0" w:evenVBand="0" w:oddHBand="0" w:evenHBand="0" w:firstRowFirstColumn="0"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Lecturer Name</w:t>
            </w:r>
          </w:p>
        </w:tc>
        <w:tc>
          <w:tcPr>
            <w:tcW w:w="4508" w:type="dxa"/>
          </w:tcPr>
          <w:p w:rsidR="008356BB" w:rsidRPr="00430A85" w:rsidRDefault="008356BB">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Neale Haddon</w:t>
            </w:r>
          </w:p>
        </w:tc>
      </w:tr>
      <w:tr w:rsidR="008356BB" w:rsidTr="008356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8356BB" w:rsidRPr="00430A85" w:rsidRDefault="008356BB">
            <w:pPr>
              <w:rPr>
                <w:rFonts w:ascii="Arial" w:eastAsia="Times New Roman" w:hAnsi="Arial" w:cs="Arial"/>
                <w:bCs w:val="0"/>
                <w:sz w:val="36"/>
                <w:szCs w:val="36"/>
                <w:lang w:eastAsia="en-GB"/>
              </w:rPr>
            </w:pPr>
            <w:r w:rsidRPr="00430A85">
              <w:rPr>
                <w:rFonts w:ascii="Arial" w:eastAsia="Times New Roman" w:hAnsi="Arial" w:cs="Arial"/>
                <w:bCs w:val="0"/>
                <w:sz w:val="36"/>
                <w:szCs w:val="36"/>
                <w:lang w:eastAsia="en-GB"/>
              </w:rPr>
              <w:t>Submission Date</w:t>
            </w:r>
          </w:p>
        </w:tc>
        <w:tc>
          <w:tcPr>
            <w:tcW w:w="4508" w:type="dxa"/>
          </w:tcPr>
          <w:p w:rsidR="008356BB" w:rsidRPr="00430A85" w:rsidRDefault="008356BB">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sz w:val="36"/>
                <w:szCs w:val="36"/>
                <w:lang w:eastAsia="en-GB"/>
              </w:rPr>
            </w:pPr>
            <w:r w:rsidRPr="00430A85">
              <w:rPr>
                <w:rFonts w:ascii="Arial" w:eastAsia="Times New Roman" w:hAnsi="Arial" w:cs="Arial"/>
                <w:b/>
                <w:bCs/>
                <w:sz w:val="36"/>
                <w:szCs w:val="36"/>
                <w:lang w:eastAsia="en-GB"/>
              </w:rPr>
              <w:t>18 November 2025</w:t>
            </w:r>
          </w:p>
        </w:tc>
      </w:tr>
    </w:tbl>
    <w:p w:rsidR="008356BB" w:rsidRDefault="008356BB">
      <w:pPr>
        <w:rPr>
          <w:rFonts w:ascii="Arial" w:eastAsia="Times New Roman" w:hAnsi="Arial" w:cs="Arial"/>
          <w:b/>
          <w:bCs/>
          <w:sz w:val="36"/>
          <w:szCs w:val="36"/>
          <w:lang w:eastAsia="en-GB"/>
        </w:rPr>
      </w:pPr>
      <w:r>
        <w:rPr>
          <w:rFonts w:ascii="Arial" w:eastAsia="Times New Roman" w:hAnsi="Arial" w:cs="Arial"/>
          <w:b/>
          <w:bCs/>
          <w:sz w:val="36"/>
          <w:szCs w:val="36"/>
          <w:lang w:eastAsia="en-GB"/>
        </w:rPr>
        <w:br w:type="page"/>
      </w:r>
    </w:p>
    <w:sdt>
      <w:sdtPr>
        <w:id w:val="149569098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A650EA" w:rsidRDefault="00A650EA">
          <w:pPr>
            <w:pStyle w:val="TOCHeading"/>
          </w:pPr>
          <w:r>
            <w:t>Table of Contents</w:t>
          </w:r>
        </w:p>
        <w:p w:rsidR="00A650EA" w:rsidRDefault="00A650EA">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450872" w:history="1">
            <w:r w:rsidRPr="002D4BF0">
              <w:rPr>
                <w:rStyle w:val="Hyperlink"/>
                <w:rFonts w:ascii="Arial" w:eastAsia="Times New Roman" w:hAnsi="Arial" w:cs="Arial"/>
                <w:b/>
                <w:bCs/>
                <w:noProof/>
                <w:lang w:eastAsia="en-GB"/>
              </w:rPr>
              <w:t>Introduction</w:t>
            </w:r>
            <w:r>
              <w:rPr>
                <w:noProof/>
                <w:webHidden/>
              </w:rPr>
              <w:tab/>
            </w:r>
            <w:r>
              <w:rPr>
                <w:noProof/>
                <w:webHidden/>
              </w:rPr>
              <w:fldChar w:fldCharType="begin"/>
            </w:r>
            <w:r>
              <w:rPr>
                <w:noProof/>
                <w:webHidden/>
              </w:rPr>
              <w:instrText xml:space="preserve"> PAGEREF _Toc213450872 \h </w:instrText>
            </w:r>
            <w:r>
              <w:rPr>
                <w:noProof/>
                <w:webHidden/>
              </w:rPr>
            </w:r>
            <w:r>
              <w:rPr>
                <w:noProof/>
                <w:webHidden/>
              </w:rPr>
              <w:fldChar w:fldCharType="separate"/>
            </w:r>
            <w:r>
              <w:rPr>
                <w:noProof/>
                <w:webHidden/>
              </w:rPr>
              <w:t>3</w:t>
            </w:r>
            <w:r>
              <w:rPr>
                <w:noProof/>
                <w:webHidden/>
              </w:rPr>
              <w:fldChar w:fldCharType="end"/>
            </w:r>
          </w:hyperlink>
        </w:p>
        <w:p w:rsidR="00A650EA" w:rsidRDefault="00A650EA">
          <w:pPr>
            <w:pStyle w:val="TOC3"/>
            <w:tabs>
              <w:tab w:val="right" w:leader="dot" w:pos="9016"/>
            </w:tabs>
            <w:rPr>
              <w:rFonts w:eastAsiaTheme="minorEastAsia"/>
              <w:noProof/>
              <w:lang w:eastAsia="en-GB"/>
            </w:rPr>
          </w:pPr>
          <w:hyperlink w:anchor="_Toc213450873" w:history="1">
            <w:r w:rsidRPr="002D4BF0">
              <w:rPr>
                <w:rStyle w:val="Hyperlink"/>
                <w:rFonts w:ascii="Arial" w:eastAsia="Times New Roman" w:hAnsi="Arial" w:cs="Arial"/>
                <w:b/>
                <w:bCs/>
                <w:noProof/>
                <w:lang w:eastAsia="en-GB"/>
              </w:rPr>
              <w:t>Bandura’s Social Learning Theory</w:t>
            </w:r>
            <w:r>
              <w:rPr>
                <w:noProof/>
                <w:webHidden/>
              </w:rPr>
              <w:tab/>
            </w:r>
            <w:r>
              <w:rPr>
                <w:noProof/>
                <w:webHidden/>
              </w:rPr>
              <w:fldChar w:fldCharType="begin"/>
            </w:r>
            <w:r>
              <w:rPr>
                <w:noProof/>
                <w:webHidden/>
              </w:rPr>
              <w:instrText xml:space="preserve"> PAGEREF _Toc213450873 \h </w:instrText>
            </w:r>
            <w:r>
              <w:rPr>
                <w:noProof/>
                <w:webHidden/>
              </w:rPr>
            </w:r>
            <w:r>
              <w:rPr>
                <w:noProof/>
                <w:webHidden/>
              </w:rPr>
              <w:fldChar w:fldCharType="separate"/>
            </w:r>
            <w:r>
              <w:rPr>
                <w:noProof/>
                <w:webHidden/>
              </w:rPr>
              <w:t>3</w:t>
            </w:r>
            <w:r>
              <w:rPr>
                <w:noProof/>
                <w:webHidden/>
              </w:rPr>
              <w:fldChar w:fldCharType="end"/>
            </w:r>
          </w:hyperlink>
        </w:p>
        <w:p w:rsidR="00A650EA" w:rsidRDefault="00A650EA">
          <w:pPr>
            <w:pStyle w:val="TOC3"/>
            <w:tabs>
              <w:tab w:val="right" w:leader="dot" w:pos="9016"/>
            </w:tabs>
            <w:rPr>
              <w:rFonts w:eastAsiaTheme="minorEastAsia"/>
              <w:noProof/>
              <w:lang w:eastAsia="en-GB"/>
            </w:rPr>
          </w:pPr>
          <w:hyperlink w:anchor="_Toc213450874" w:history="1">
            <w:r w:rsidRPr="002D4BF0">
              <w:rPr>
                <w:rStyle w:val="Hyperlink"/>
                <w:rFonts w:ascii="Arial" w:eastAsia="Times New Roman" w:hAnsi="Arial" w:cs="Arial"/>
                <w:b/>
                <w:bCs/>
                <w:noProof/>
                <w:lang w:eastAsia="en-GB"/>
              </w:rPr>
              <w:t>Erikson’s Psychosocial Theory of Development</w:t>
            </w:r>
            <w:r>
              <w:rPr>
                <w:noProof/>
                <w:webHidden/>
              </w:rPr>
              <w:tab/>
            </w:r>
            <w:r>
              <w:rPr>
                <w:noProof/>
                <w:webHidden/>
              </w:rPr>
              <w:fldChar w:fldCharType="begin"/>
            </w:r>
            <w:r>
              <w:rPr>
                <w:noProof/>
                <w:webHidden/>
              </w:rPr>
              <w:instrText xml:space="preserve"> PAGEREF _Toc213450874 \h </w:instrText>
            </w:r>
            <w:r>
              <w:rPr>
                <w:noProof/>
                <w:webHidden/>
              </w:rPr>
            </w:r>
            <w:r>
              <w:rPr>
                <w:noProof/>
                <w:webHidden/>
              </w:rPr>
              <w:fldChar w:fldCharType="separate"/>
            </w:r>
            <w:r>
              <w:rPr>
                <w:noProof/>
                <w:webHidden/>
              </w:rPr>
              <w:t>5</w:t>
            </w:r>
            <w:r>
              <w:rPr>
                <w:noProof/>
                <w:webHidden/>
              </w:rPr>
              <w:fldChar w:fldCharType="end"/>
            </w:r>
          </w:hyperlink>
        </w:p>
        <w:p w:rsidR="00A650EA" w:rsidRDefault="00A650EA">
          <w:pPr>
            <w:pStyle w:val="TOC3"/>
            <w:tabs>
              <w:tab w:val="right" w:leader="dot" w:pos="9016"/>
            </w:tabs>
            <w:rPr>
              <w:rFonts w:eastAsiaTheme="minorEastAsia"/>
              <w:noProof/>
              <w:lang w:eastAsia="en-GB"/>
            </w:rPr>
          </w:pPr>
          <w:hyperlink w:anchor="_Toc213450875" w:history="1">
            <w:r w:rsidRPr="002D4BF0">
              <w:rPr>
                <w:rStyle w:val="Hyperlink"/>
                <w:rFonts w:ascii="Arial" w:eastAsia="Times New Roman" w:hAnsi="Arial" w:cs="Arial"/>
                <w:b/>
                <w:bCs/>
                <w:noProof/>
                <w:lang w:eastAsia="en-GB"/>
              </w:rPr>
              <w:t>Application of Theories in Dementia Care</w:t>
            </w:r>
            <w:r>
              <w:rPr>
                <w:noProof/>
                <w:webHidden/>
              </w:rPr>
              <w:tab/>
            </w:r>
            <w:r>
              <w:rPr>
                <w:noProof/>
                <w:webHidden/>
              </w:rPr>
              <w:fldChar w:fldCharType="begin"/>
            </w:r>
            <w:r>
              <w:rPr>
                <w:noProof/>
                <w:webHidden/>
              </w:rPr>
              <w:instrText xml:space="preserve"> PAGEREF _Toc213450875 \h </w:instrText>
            </w:r>
            <w:r>
              <w:rPr>
                <w:noProof/>
                <w:webHidden/>
              </w:rPr>
            </w:r>
            <w:r>
              <w:rPr>
                <w:noProof/>
                <w:webHidden/>
              </w:rPr>
              <w:fldChar w:fldCharType="separate"/>
            </w:r>
            <w:r>
              <w:rPr>
                <w:noProof/>
                <w:webHidden/>
              </w:rPr>
              <w:t>6</w:t>
            </w:r>
            <w:r>
              <w:rPr>
                <w:noProof/>
                <w:webHidden/>
              </w:rPr>
              <w:fldChar w:fldCharType="end"/>
            </w:r>
          </w:hyperlink>
        </w:p>
        <w:p w:rsidR="00A650EA" w:rsidRDefault="00A650EA">
          <w:pPr>
            <w:pStyle w:val="TOC3"/>
            <w:tabs>
              <w:tab w:val="right" w:leader="dot" w:pos="9016"/>
            </w:tabs>
            <w:rPr>
              <w:rFonts w:eastAsiaTheme="minorEastAsia"/>
              <w:noProof/>
              <w:lang w:eastAsia="en-GB"/>
            </w:rPr>
          </w:pPr>
          <w:hyperlink w:anchor="_Toc213450876" w:history="1">
            <w:r w:rsidRPr="002D4BF0">
              <w:rPr>
                <w:rStyle w:val="Hyperlink"/>
                <w:rFonts w:ascii="Arial" w:eastAsia="Times New Roman" w:hAnsi="Arial" w:cs="Arial"/>
                <w:b/>
                <w:bCs/>
                <w:noProof/>
                <w:lang w:eastAsia="en-GB"/>
              </w:rPr>
              <w:t>Conclusion</w:t>
            </w:r>
            <w:r>
              <w:rPr>
                <w:noProof/>
                <w:webHidden/>
              </w:rPr>
              <w:tab/>
            </w:r>
            <w:r>
              <w:rPr>
                <w:noProof/>
                <w:webHidden/>
              </w:rPr>
              <w:fldChar w:fldCharType="begin"/>
            </w:r>
            <w:r>
              <w:rPr>
                <w:noProof/>
                <w:webHidden/>
              </w:rPr>
              <w:instrText xml:space="preserve"> PAGEREF _Toc213450876 \h </w:instrText>
            </w:r>
            <w:r>
              <w:rPr>
                <w:noProof/>
                <w:webHidden/>
              </w:rPr>
            </w:r>
            <w:r>
              <w:rPr>
                <w:noProof/>
                <w:webHidden/>
              </w:rPr>
              <w:fldChar w:fldCharType="separate"/>
            </w:r>
            <w:r>
              <w:rPr>
                <w:noProof/>
                <w:webHidden/>
              </w:rPr>
              <w:t>7</w:t>
            </w:r>
            <w:r>
              <w:rPr>
                <w:noProof/>
                <w:webHidden/>
              </w:rPr>
              <w:fldChar w:fldCharType="end"/>
            </w:r>
          </w:hyperlink>
        </w:p>
        <w:p w:rsidR="00A650EA" w:rsidRDefault="00A650EA">
          <w:pPr>
            <w:pStyle w:val="TOC3"/>
            <w:tabs>
              <w:tab w:val="right" w:leader="dot" w:pos="9016"/>
            </w:tabs>
            <w:rPr>
              <w:rFonts w:eastAsiaTheme="minorEastAsia"/>
              <w:noProof/>
              <w:lang w:eastAsia="en-GB"/>
            </w:rPr>
          </w:pPr>
          <w:hyperlink w:anchor="_Toc213450877" w:history="1">
            <w:r w:rsidRPr="002D4BF0">
              <w:rPr>
                <w:rStyle w:val="Hyperlink"/>
                <w:rFonts w:ascii="Arial" w:eastAsia="Times New Roman" w:hAnsi="Arial" w:cs="Arial"/>
                <w:b/>
                <w:bCs/>
                <w:noProof/>
                <w:lang w:eastAsia="en-GB"/>
              </w:rPr>
              <w:t>References</w:t>
            </w:r>
            <w:r>
              <w:rPr>
                <w:noProof/>
                <w:webHidden/>
              </w:rPr>
              <w:tab/>
            </w:r>
            <w:r>
              <w:rPr>
                <w:noProof/>
                <w:webHidden/>
              </w:rPr>
              <w:fldChar w:fldCharType="begin"/>
            </w:r>
            <w:r>
              <w:rPr>
                <w:noProof/>
                <w:webHidden/>
              </w:rPr>
              <w:instrText xml:space="preserve"> PAGEREF _Toc213450877 \h </w:instrText>
            </w:r>
            <w:r>
              <w:rPr>
                <w:noProof/>
                <w:webHidden/>
              </w:rPr>
            </w:r>
            <w:r>
              <w:rPr>
                <w:noProof/>
                <w:webHidden/>
              </w:rPr>
              <w:fldChar w:fldCharType="separate"/>
            </w:r>
            <w:r>
              <w:rPr>
                <w:noProof/>
                <w:webHidden/>
              </w:rPr>
              <w:t>9</w:t>
            </w:r>
            <w:r>
              <w:rPr>
                <w:noProof/>
                <w:webHidden/>
              </w:rPr>
              <w:fldChar w:fldCharType="end"/>
            </w:r>
          </w:hyperlink>
        </w:p>
        <w:p w:rsidR="00A650EA" w:rsidRDefault="00A650EA">
          <w:r>
            <w:rPr>
              <w:b/>
              <w:bCs/>
              <w:noProof/>
            </w:rPr>
            <w:fldChar w:fldCharType="end"/>
          </w:r>
        </w:p>
      </w:sdtContent>
    </w:sdt>
    <w:p w:rsidR="00E745A9" w:rsidRDefault="00E745A9">
      <w:pPr>
        <w:rPr>
          <w:rFonts w:ascii="Arial" w:eastAsia="Times New Roman" w:hAnsi="Arial" w:cs="Arial"/>
          <w:b/>
          <w:bCs/>
          <w:sz w:val="24"/>
          <w:szCs w:val="24"/>
          <w:lang w:eastAsia="en-GB"/>
        </w:rPr>
      </w:pPr>
      <w:r>
        <w:rPr>
          <w:rFonts w:ascii="Arial" w:eastAsia="Times New Roman" w:hAnsi="Arial" w:cs="Arial"/>
          <w:b/>
          <w:bCs/>
          <w:sz w:val="24"/>
          <w:szCs w:val="24"/>
          <w:lang w:eastAsia="en-GB"/>
        </w:rPr>
        <w:br w:type="page"/>
      </w:r>
    </w:p>
    <w:p w:rsidR="008356BB" w:rsidRPr="008356BB" w:rsidRDefault="008356BB" w:rsidP="00DB2677">
      <w:pPr>
        <w:spacing w:before="100" w:beforeAutospacing="1" w:after="100" w:afterAutospacing="1" w:line="240" w:lineRule="auto"/>
        <w:jc w:val="both"/>
        <w:outlineLvl w:val="2"/>
        <w:rPr>
          <w:rFonts w:ascii="Arial" w:eastAsia="Times New Roman" w:hAnsi="Arial" w:cs="Arial"/>
          <w:b/>
          <w:bCs/>
          <w:sz w:val="24"/>
          <w:szCs w:val="24"/>
          <w:lang w:eastAsia="en-GB"/>
        </w:rPr>
      </w:pPr>
      <w:bookmarkStart w:id="0" w:name="_Toc212946674"/>
      <w:bookmarkStart w:id="1" w:name="_Toc212948600"/>
      <w:bookmarkStart w:id="2" w:name="_Toc213450872"/>
      <w:r w:rsidRPr="008356BB">
        <w:rPr>
          <w:rFonts w:ascii="Arial" w:eastAsia="Times New Roman" w:hAnsi="Arial" w:cs="Arial"/>
          <w:b/>
          <w:bCs/>
          <w:sz w:val="24"/>
          <w:szCs w:val="24"/>
          <w:lang w:eastAsia="en-GB"/>
        </w:rPr>
        <w:lastRenderedPageBreak/>
        <w:t>Introduction</w:t>
      </w:r>
      <w:bookmarkEnd w:id="0"/>
      <w:bookmarkEnd w:id="1"/>
      <w:bookmarkEnd w:id="2"/>
    </w:p>
    <w:p w:rsidR="008356BB" w:rsidRPr="00E745A9" w:rsidRDefault="00D8119D"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To work effectively in health and social care, it's important to know how mental processes affect people's behaviour throughout their lives. As people get older, they go through big changes in how they think, feel, and interact with others. These changes can affect their mental health. Dementia is a brain condition that gets worse over time and creates special challenges. It needs care that is based on facts and focused on the individual. Ideas about how people behave and grow help caregivers understand changes, respect individuals, and make life better</w:t>
      </w:r>
      <w:r w:rsidR="008356BB" w:rsidRPr="00E745A9">
        <w:rPr>
          <w:rFonts w:ascii="Arial" w:eastAsia="Times New Roman" w:hAnsi="Arial" w:cs="Arial"/>
          <w:szCs w:val="24"/>
          <w:lang w:eastAsia="en-GB"/>
        </w:rPr>
        <w:t>.</w:t>
      </w:r>
    </w:p>
    <w:p w:rsidR="008356BB" w:rsidRPr="00E745A9" w:rsidRDefault="003D6917"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The main purpose of this </w:t>
      </w:r>
      <w:r w:rsidR="000D6395" w:rsidRPr="00E745A9">
        <w:rPr>
          <w:rFonts w:ascii="Arial" w:eastAsia="Times New Roman" w:hAnsi="Arial" w:cs="Arial"/>
          <w:szCs w:val="24"/>
          <w:lang w:eastAsia="en-GB"/>
        </w:rPr>
        <w:t xml:space="preserve">report is </w:t>
      </w:r>
      <w:r w:rsidRPr="00E745A9">
        <w:rPr>
          <w:rFonts w:ascii="Arial" w:eastAsia="Times New Roman" w:hAnsi="Arial" w:cs="Arial"/>
          <w:szCs w:val="24"/>
          <w:lang w:eastAsia="en-GB"/>
        </w:rPr>
        <w:t>to examine</w:t>
      </w:r>
      <w:r w:rsidR="000D6395" w:rsidRPr="00E745A9">
        <w:rPr>
          <w:rFonts w:ascii="Arial" w:eastAsia="Times New Roman" w:hAnsi="Arial" w:cs="Arial"/>
          <w:szCs w:val="24"/>
          <w:lang w:eastAsia="en-GB"/>
        </w:rPr>
        <w:t xml:space="preserve"> older people, </w:t>
      </w:r>
      <w:r w:rsidRPr="00E745A9">
        <w:rPr>
          <w:rFonts w:ascii="Arial" w:eastAsia="Times New Roman" w:hAnsi="Arial" w:cs="Arial"/>
          <w:szCs w:val="24"/>
          <w:lang w:eastAsia="en-GB"/>
        </w:rPr>
        <w:t>aged</w:t>
      </w:r>
      <w:r w:rsidR="000D6395" w:rsidRPr="00E745A9">
        <w:rPr>
          <w:rFonts w:ascii="Arial" w:eastAsia="Times New Roman" w:hAnsi="Arial" w:cs="Arial"/>
          <w:szCs w:val="24"/>
          <w:lang w:eastAsia="en-GB"/>
        </w:rPr>
        <w:t xml:space="preserve"> 65 and </w:t>
      </w:r>
      <w:r w:rsidRPr="00E745A9">
        <w:rPr>
          <w:rFonts w:ascii="Arial" w:eastAsia="Times New Roman" w:hAnsi="Arial" w:cs="Arial"/>
          <w:szCs w:val="24"/>
          <w:lang w:eastAsia="en-GB"/>
        </w:rPr>
        <w:t>over</w:t>
      </w:r>
      <w:r w:rsidR="000D6395" w:rsidRPr="00E745A9">
        <w:rPr>
          <w:rFonts w:ascii="Arial" w:eastAsia="Times New Roman" w:hAnsi="Arial" w:cs="Arial"/>
          <w:szCs w:val="24"/>
          <w:lang w:eastAsia="en-GB"/>
        </w:rPr>
        <w:t xml:space="preserve">, living in dementia care homes. It examines how psychological concepts can </w:t>
      </w:r>
      <w:r w:rsidR="007E7C72" w:rsidRPr="00E745A9">
        <w:rPr>
          <w:rFonts w:ascii="Arial" w:eastAsia="Times New Roman" w:hAnsi="Arial" w:cs="Arial"/>
          <w:szCs w:val="24"/>
          <w:lang w:eastAsia="en-GB"/>
        </w:rPr>
        <w:t>enhance social interactions, aid in coping with life, and improve</w:t>
      </w:r>
      <w:r w:rsidR="000D6395" w:rsidRPr="00E745A9">
        <w:rPr>
          <w:rFonts w:ascii="Arial" w:eastAsia="Times New Roman" w:hAnsi="Arial" w:cs="Arial"/>
          <w:szCs w:val="24"/>
          <w:lang w:eastAsia="en-GB"/>
        </w:rPr>
        <w:t xml:space="preserve"> emotional well-being. </w:t>
      </w:r>
      <w:r w:rsidRPr="00E745A9">
        <w:rPr>
          <w:rFonts w:ascii="Arial" w:eastAsia="Times New Roman" w:hAnsi="Arial" w:cs="Arial"/>
          <w:szCs w:val="24"/>
          <w:lang w:eastAsia="en-GB"/>
        </w:rPr>
        <w:t>In this report, two psychological theories</w:t>
      </w:r>
      <w:r w:rsidR="007E7C72" w:rsidRPr="00E745A9">
        <w:rPr>
          <w:rFonts w:ascii="Arial" w:eastAsia="Times New Roman" w:hAnsi="Arial" w:cs="Arial"/>
          <w:szCs w:val="24"/>
          <w:lang w:eastAsia="en-GB"/>
        </w:rPr>
        <w:t xml:space="preserve"> are discussed:</w:t>
      </w:r>
      <w:r w:rsidRPr="00E745A9">
        <w:rPr>
          <w:rFonts w:ascii="Arial" w:eastAsia="Times New Roman" w:hAnsi="Arial" w:cs="Arial"/>
          <w:szCs w:val="24"/>
          <w:lang w:eastAsia="en-GB"/>
        </w:rPr>
        <w:t xml:space="preserve"> </w:t>
      </w:r>
      <w:r w:rsidR="000D6395" w:rsidRPr="00E745A9">
        <w:rPr>
          <w:rFonts w:ascii="Arial" w:eastAsia="Times New Roman" w:hAnsi="Arial" w:cs="Arial"/>
          <w:szCs w:val="24"/>
          <w:lang w:eastAsia="en-GB"/>
        </w:rPr>
        <w:t>Albert Bandura's Social Learning Theory</w:t>
      </w:r>
      <w:r w:rsidRPr="00E745A9">
        <w:rPr>
          <w:rFonts w:ascii="Arial" w:eastAsia="Times New Roman" w:hAnsi="Arial" w:cs="Arial"/>
          <w:szCs w:val="24"/>
          <w:lang w:eastAsia="en-GB"/>
        </w:rPr>
        <w:t xml:space="preserve">, </w:t>
      </w:r>
      <w:r w:rsidR="007E7C72" w:rsidRPr="00E745A9">
        <w:rPr>
          <w:rFonts w:ascii="Arial" w:eastAsia="Times New Roman" w:hAnsi="Arial" w:cs="Arial"/>
          <w:szCs w:val="24"/>
          <w:lang w:eastAsia="en-GB"/>
        </w:rPr>
        <w:t>which refers to</w:t>
      </w:r>
      <w:r w:rsidRPr="00E745A9">
        <w:rPr>
          <w:rFonts w:ascii="Arial" w:eastAsia="Times New Roman" w:hAnsi="Arial" w:cs="Arial"/>
          <w:szCs w:val="24"/>
          <w:lang w:eastAsia="en-GB"/>
        </w:rPr>
        <w:t xml:space="preserve"> p</w:t>
      </w:r>
      <w:r w:rsidR="000D6395" w:rsidRPr="00E745A9">
        <w:rPr>
          <w:rFonts w:ascii="Arial" w:eastAsia="Times New Roman" w:hAnsi="Arial" w:cs="Arial"/>
          <w:szCs w:val="24"/>
          <w:lang w:eastAsia="en-GB"/>
        </w:rPr>
        <w:t xml:space="preserve">eople learn by watching and </w:t>
      </w:r>
      <w:r w:rsidRPr="00E745A9">
        <w:rPr>
          <w:rFonts w:ascii="Arial" w:eastAsia="Times New Roman" w:hAnsi="Arial" w:cs="Arial"/>
          <w:szCs w:val="24"/>
          <w:lang w:eastAsia="en-GB"/>
        </w:rPr>
        <w:t xml:space="preserve">observing </w:t>
      </w:r>
      <w:r w:rsidR="000D6395" w:rsidRPr="00E745A9">
        <w:rPr>
          <w:rFonts w:ascii="Arial" w:eastAsia="Times New Roman" w:hAnsi="Arial" w:cs="Arial"/>
          <w:szCs w:val="24"/>
          <w:lang w:eastAsia="en-GB"/>
        </w:rPr>
        <w:t xml:space="preserve">others, and </w:t>
      </w:r>
      <w:r w:rsidRPr="00E745A9">
        <w:rPr>
          <w:rFonts w:ascii="Arial" w:eastAsia="Times New Roman" w:hAnsi="Arial" w:cs="Arial"/>
          <w:szCs w:val="24"/>
          <w:lang w:eastAsia="en-GB"/>
        </w:rPr>
        <w:t xml:space="preserve">the second is </w:t>
      </w:r>
      <w:r w:rsidR="000D6395" w:rsidRPr="00E745A9">
        <w:rPr>
          <w:rFonts w:ascii="Arial" w:eastAsia="Times New Roman" w:hAnsi="Arial" w:cs="Arial"/>
          <w:szCs w:val="24"/>
          <w:lang w:eastAsia="en-GB"/>
        </w:rPr>
        <w:t>Erik Erikson's Psychosocial Theory of Development, which focuses on the different social and emotional stages in a</w:t>
      </w:r>
      <w:r w:rsidRPr="00E745A9">
        <w:rPr>
          <w:rFonts w:ascii="Arial" w:eastAsia="Times New Roman" w:hAnsi="Arial" w:cs="Arial"/>
          <w:szCs w:val="24"/>
          <w:lang w:eastAsia="en-GB"/>
        </w:rPr>
        <w:t>ny individual’s</w:t>
      </w:r>
      <w:r w:rsidR="000D6395" w:rsidRPr="00E745A9">
        <w:rPr>
          <w:rFonts w:ascii="Arial" w:eastAsia="Times New Roman" w:hAnsi="Arial" w:cs="Arial"/>
          <w:szCs w:val="24"/>
          <w:lang w:eastAsia="en-GB"/>
        </w:rPr>
        <w:t xml:space="preserve"> life. </w:t>
      </w:r>
      <w:r w:rsidR="007E7C72" w:rsidRPr="00E745A9">
        <w:rPr>
          <w:rFonts w:ascii="Arial" w:eastAsia="Times New Roman" w:hAnsi="Arial" w:cs="Arial"/>
          <w:szCs w:val="24"/>
          <w:lang w:eastAsia="en-GB"/>
        </w:rPr>
        <w:t>Both of the above-mentioned theories offer useful ways to support people with dementia, improve communication among staff, and manage the behavioural and emotional issues often seen in dementia care</w:t>
      </w:r>
      <w:r w:rsidR="008356BB" w:rsidRPr="00E745A9">
        <w:rPr>
          <w:rFonts w:ascii="Arial" w:eastAsia="Times New Roman" w:hAnsi="Arial" w:cs="Arial"/>
          <w:szCs w:val="24"/>
          <w:lang w:eastAsia="en-GB"/>
        </w:rPr>
        <w:t>.</w:t>
      </w:r>
    </w:p>
    <w:p w:rsidR="007E7C72" w:rsidRPr="008356BB" w:rsidRDefault="007E7C72" w:rsidP="007E7C72">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3" w:name="_Toc212946675"/>
      <w:bookmarkStart w:id="4" w:name="_Toc212948601"/>
      <w:bookmarkStart w:id="5" w:name="_Toc213450873"/>
      <w:r w:rsidRPr="008356BB">
        <w:rPr>
          <w:rFonts w:ascii="Arial" w:eastAsia="Times New Roman" w:hAnsi="Arial" w:cs="Arial"/>
          <w:b/>
          <w:bCs/>
          <w:sz w:val="27"/>
          <w:szCs w:val="27"/>
          <w:lang w:eastAsia="en-GB"/>
        </w:rPr>
        <w:t>B</w:t>
      </w:r>
      <w:r w:rsidR="009E41F1">
        <w:rPr>
          <w:rFonts w:ascii="Arial" w:eastAsia="Times New Roman" w:hAnsi="Arial" w:cs="Arial"/>
          <w:b/>
          <w:bCs/>
          <w:sz w:val="27"/>
          <w:szCs w:val="27"/>
          <w:lang w:eastAsia="en-GB"/>
        </w:rPr>
        <w:t>andura’s Social Learning Theory</w:t>
      </w:r>
      <w:bookmarkEnd w:id="3"/>
      <w:bookmarkEnd w:id="4"/>
      <w:bookmarkEnd w:id="5"/>
    </w:p>
    <w:p w:rsidR="007E7C72" w:rsidRDefault="001450F4" w:rsidP="007E7C72">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The Social Learning Theory, developed by Albert Bandura in 1977, explains how people's behaviour is influenced by social interactions, their surroundings, and their </w:t>
      </w:r>
      <w:r w:rsidR="009E41F1" w:rsidRPr="00E745A9">
        <w:rPr>
          <w:rFonts w:ascii="Arial" w:eastAsia="Times New Roman" w:hAnsi="Arial" w:cs="Arial"/>
          <w:szCs w:val="24"/>
          <w:lang w:eastAsia="en-GB"/>
        </w:rPr>
        <w:t>observation</w:t>
      </w:r>
      <w:r w:rsidR="00192866" w:rsidRPr="00E745A9">
        <w:rPr>
          <w:rFonts w:ascii="Arial" w:eastAsia="Times New Roman" w:hAnsi="Arial" w:cs="Arial"/>
          <w:szCs w:val="24"/>
          <w:lang w:eastAsia="en-GB"/>
        </w:rPr>
        <w:t>s</w:t>
      </w:r>
      <w:r w:rsidRPr="00E745A9">
        <w:rPr>
          <w:rFonts w:ascii="Arial" w:eastAsia="Times New Roman" w:hAnsi="Arial" w:cs="Arial"/>
          <w:szCs w:val="24"/>
          <w:lang w:eastAsia="en-GB"/>
        </w:rPr>
        <w:t>. It shows that we learn by watching and copying others. Reciprocal determinism is the idea that our actions, our personal traits, and our surroundings always affect each other.  This concept is important to the theory. When people see what others do and what happens as a result, they learn and change how they act based on that</w:t>
      </w:r>
      <w:r w:rsidR="007E7C72" w:rsidRPr="00E745A9">
        <w:rPr>
          <w:rFonts w:ascii="Arial" w:eastAsia="Times New Roman" w:hAnsi="Arial" w:cs="Arial"/>
          <w:szCs w:val="24"/>
          <w:lang w:eastAsia="en-GB"/>
        </w:rPr>
        <w:t>.</w:t>
      </w:r>
    </w:p>
    <w:p w:rsidR="00AC049D" w:rsidRDefault="00AC049D" w:rsidP="00AC049D">
      <w:pPr>
        <w:spacing w:before="100" w:beforeAutospacing="1" w:after="100" w:afterAutospacing="1" w:line="360" w:lineRule="auto"/>
        <w:jc w:val="center"/>
        <w:rPr>
          <w:rFonts w:ascii="Arial" w:eastAsia="Times New Roman" w:hAnsi="Arial" w:cs="Arial"/>
          <w:szCs w:val="24"/>
          <w:lang w:eastAsia="en-GB"/>
        </w:rPr>
      </w:pPr>
      <w:r>
        <w:rPr>
          <w:noProof/>
          <w:lang w:eastAsia="en-GB"/>
        </w:rPr>
        <w:lastRenderedPageBreak/>
        <w:drawing>
          <wp:inline distT="0" distB="0" distL="0" distR="0" wp14:anchorId="3B81BF07" wp14:editId="58E53137">
            <wp:extent cx="3244850" cy="2319423"/>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53480" cy="2325592"/>
                    </a:xfrm>
                    <a:prstGeom prst="rect">
                      <a:avLst/>
                    </a:prstGeom>
                  </pic:spPr>
                </pic:pic>
              </a:graphicData>
            </a:graphic>
          </wp:inline>
        </w:drawing>
      </w:r>
    </w:p>
    <w:p w:rsidR="00AC049D" w:rsidRPr="00E745A9" w:rsidRDefault="00AC049D" w:rsidP="00AC049D">
      <w:pPr>
        <w:spacing w:before="100" w:beforeAutospacing="1" w:after="100" w:afterAutospacing="1" w:line="360" w:lineRule="auto"/>
        <w:jc w:val="center"/>
        <w:rPr>
          <w:rFonts w:ascii="Arial" w:eastAsia="Times New Roman" w:hAnsi="Arial" w:cs="Arial"/>
          <w:szCs w:val="24"/>
          <w:lang w:eastAsia="en-GB"/>
        </w:rPr>
      </w:pPr>
      <w:r>
        <w:rPr>
          <w:rFonts w:ascii="Arial" w:eastAsia="Times New Roman" w:hAnsi="Arial" w:cs="Arial"/>
          <w:szCs w:val="24"/>
          <w:lang w:eastAsia="en-GB"/>
        </w:rPr>
        <w:t>Figure 1: Bandura’s Social Learning Theory accessed from (Main, 2023)</w:t>
      </w:r>
    </w:p>
    <w:p w:rsidR="007E7C72" w:rsidRPr="00E745A9" w:rsidRDefault="00274288" w:rsidP="007E7C72">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Social Learning Theory can help in dementia care by encouraging teamwork, positive behaviours, and social interaction. Residents often copy the way staff speak, their facial expressions, and their movements. Due to this, calm, patient, and respectful professionals act as good examples fo</w:t>
      </w:r>
      <w:bookmarkStart w:id="6" w:name="_GoBack"/>
      <w:bookmarkEnd w:id="6"/>
      <w:r w:rsidRPr="00E745A9">
        <w:rPr>
          <w:rFonts w:ascii="Arial" w:eastAsia="Times New Roman" w:hAnsi="Arial" w:cs="Arial"/>
          <w:szCs w:val="24"/>
          <w:lang w:eastAsia="en-GB"/>
        </w:rPr>
        <w:t>r the residents to observe (</w:t>
      </w:r>
      <w:r w:rsidR="00136A66">
        <w:rPr>
          <w:rFonts w:ascii="Arial" w:eastAsia="Times New Roman" w:hAnsi="Arial" w:cs="Arial"/>
          <w:szCs w:val="24"/>
          <w:lang w:eastAsia="en-GB"/>
        </w:rPr>
        <w:t>Hoe and Thompson, 2010</w:t>
      </w:r>
      <w:r w:rsidRPr="00E745A9">
        <w:rPr>
          <w:rFonts w:ascii="Arial" w:eastAsia="Times New Roman" w:hAnsi="Arial" w:cs="Arial"/>
          <w:szCs w:val="24"/>
          <w:lang w:eastAsia="en-GB"/>
        </w:rPr>
        <w:t xml:space="preserve">). When a caregiver kindly and gently speaks to a nervous </w:t>
      </w:r>
      <w:r w:rsidR="00EF24BA" w:rsidRPr="00E745A9">
        <w:rPr>
          <w:rFonts w:ascii="Arial" w:eastAsia="Times New Roman" w:hAnsi="Arial" w:cs="Arial"/>
          <w:szCs w:val="24"/>
          <w:lang w:eastAsia="en-GB"/>
        </w:rPr>
        <w:t>resident</w:t>
      </w:r>
      <w:r w:rsidRPr="00E745A9">
        <w:rPr>
          <w:rFonts w:ascii="Arial" w:eastAsia="Times New Roman" w:hAnsi="Arial" w:cs="Arial"/>
          <w:szCs w:val="24"/>
          <w:lang w:eastAsia="en-GB"/>
        </w:rPr>
        <w:t xml:space="preserve">, the </w:t>
      </w:r>
      <w:r w:rsidR="00EF24BA" w:rsidRPr="00E745A9">
        <w:rPr>
          <w:rFonts w:ascii="Arial" w:eastAsia="Times New Roman" w:hAnsi="Arial" w:cs="Arial"/>
          <w:szCs w:val="24"/>
          <w:lang w:eastAsia="en-GB"/>
        </w:rPr>
        <w:t xml:space="preserve">effect to nervous resident </w:t>
      </w:r>
      <w:r w:rsidRPr="00E745A9">
        <w:rPr>
          <w:rFonts w:ascii="Arial" w:eastAsia="Times New Roman" w:hAnsi="Arial" w:cs="Arial"/>
          <w:szCs w:val="24"/>
          <w:lang w:eastAsia="en-GB"/>
        </w:rPr>
        <w:t>might feel safe instead of scared</w:t>
      </w:r>
      <w:r w:rsidR="007E7C72" w:rsidRPr="00E745A9">
        <w:rPr>
          <w:rFonts w:ascii="Arial" w:eastAsia="Times New Roman" w:hAnsi="Arial" w:cs="Arial"/>
          <w:szCs w:val="24"/>
          <w:lang w:eastAsia="en-GB"/>
        </w:rPr>
        <w:t>.</w:t>
      </w:r>
    </w:p>
    <w:p w:rsidR="007E7C72" w:rsidRPr="00E745A9" w:rsidRDefault="006E5DC8" w:rsidP="007E7C72">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Observational learning can also happen during group activities like gym classes, music therapy, or shared dining </w:t>
      </w:r>
      <w:r w:rsidR="00E745A9" w:rsidRPr="00E745A9">
        <w:rPr>
          <w:rFonts w:ascii="Arial" w:eastAsia="Times New Roman" w:hAnsi="Arial" w:cs="Arial"/>
          <w:szCs w:val="24"/>
          <w:lang w:eastAsia="en-GB"/>
        </w:rPr>
        <w:t>experiences</w:t>
      </w:r>
      <w:r w:rsidRPr="00E745A9">
        <w:rPr>
          <w:rFonts w:ascii="Arial" w:eastAsia="Times New Roman" w:hAnsi="Arial" w:cs="Arial"/>
          <w:szCs w:val="24"/>
          <w:lang w:eastAsia="en-GB"/>
        </w:rPr>
        <w:t>. When residents see others doing an activity, they might feel encouraged to join in. This can help them feel more connected to others and improve their mental well-being (</w:t>
      </w:r>
      <w:proofErr w:type="spellStart"/>
      <w:r w:rsidRPr="00E745A9">
        <w:rPr>
          <w:rFonts w:ascii="Arial" w:eastAsia="Times New Roman" w:hAnsi="Arial" w:cs="Arial"/>
          <w:szCs w:val="24"/>
          <w:lang w:eastAsia="en-GB"/>
        </w:rPr>
        <w:t>Hanser</w:t>
      </w:r>
      <w:proofErr w:type="spellEnd"/>
      <w:r w:rsidRPr="00E745A9">
        <w:rPr>
          <w:rFonts w:ascii="Arial" w:eastAsia="Times New Roman" w:hAnsi="Arial" w:cs="Arial"/>
          <w:szCs w:val="24"/>
          <w:lang w:eastAsia="en-GB"/>
        </w:rPr>
        <w:t xml:space="preserve"> and Thompson, 1994). Caregivers might change Bandura's idea of self-efficacy, which is believing in own ability to do things, to help children do small tasks like getting dressed or eating by themselves. Giving positive feedback and praise helps improve self-esteem and reduce feelings of helplessness</w:t>
      </w:r>
      <w:r w:rsidR="007E7C72" w:rsidRPr="00E745A9">
        <w:rPr>
          <w:rFonts w:ascii="Arial" w:eastAsia="Times New Roman" w:hAnsi="Arial" w:cs="Arial"/>
          <w:szCs w:val="24"/>
          <w:lang w:eastAsia="en-GB"/>
        </w:rPr>
        <w:t xml:space="preserve"> (</w:t>
      </w:r>
      <w:r w:rsidR="00E47261">
        <w:rPr>
          <w:rFonts w:ascii="Arial" w:eastAsia="Times New Roman" w:hAnsi="Arial" w:cs="Arial"/>
          <w:szCs w:val="24"/>
          <w:lang w:eastAsia="en-GB"/>
        </w:rPr>
        <w:t xml:space="preserve">Maier and </w:t>
      </w:r>
      <w:r w:rsidR="007E7C72" w:rsidRPr="00E745A9">
        <w:rPr>
          <w:rFonts w:ascii="Arial" w:eastAsia="Times New Roman" w:hAnsi="Arial" w:cs="Arial"/>
          <w:szCs w:val="24"/>
          <w:lang w:eastAsia="en-GB"/>
        </w:rPr>
        <w:t>Seligman, 197</w:t>
      </w:r>
      <w:r w:rsidR="00A456FF">
        <w:rPr>
          <w:rFonts w:ascii="Arial" w:eastAsia="Times New Roman" w:hAnsi="Arial" w:cs="Arial"/>
          <w:szCs w:val="24"/>
          <w:lang w:eastAsia="en-GB"/>
        </w:rPr>
        <w:t>6</w:t>
      </w:r>
      <w:r w:rsidR="007E7C72" w:rsidRPr="00E745A9">
        <w:rPr>
          <w:rFonts w:ascii="Arial" w:eastAsia="Times New Roman" w:hAnsi="Arial" w:cs="Arial"/>
          <w:szCs w:val="24"/>
          <w:lang w:eastAsia="en-GB"/>
        </w:rPr>
        <w:t>).</w:t>
      </w:r>
    </w:p>
    <w:p w:rsidR="007E7C72" w:rsidRPr="00E745A9" w:rsidRDefault="001B1E22" w:rsidP="007E7C72">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One of the challenges of using Social Learning Theory is that residents have different levels of mental ability. Memory problems can make it hard for some people to pick up on social hints or copy actions accurately. So, staff should use visual hints, stick to regular routines, and repeat things to help each resident learn based on their thinking skills. Touch, sound, and movement are examples of different ways we can sense things that can help us learn and copy actions</w:t>
      </w:r>
      <w:r w:rsidR="00080711">
        <w:rPr>
          <w:rFonts w:ascii="Arial" w:eastAsia="Times New Roman" w:hAnsi="Arial" w:cs="Arial"/>
          <w:szCs w:val="24"/>
          <w:lang w:eastAsia="en-GB"/>
        </w:rPr>
        <w:t xml:space="preserve"> (</w:t>
      </w:r>
      <w:proofErr w:type="spellStart"/>
      <w:r w:rsidR="00080711">
        <w:rPr>
          <w:rFonts w:ascii="Arial" w:eastAsia="Times New Roman" w:hAnsi="Arial" w:cs="Arial"/>
          <w:szCs w:val="24"/>
          <w:lang w:eastAsia="en-GB"/>
        </w:rPr>
        <w:t>Brooker</w:t>
      </w:r>
      <w:proofErr w:type="spellEnd"/>
      <w:r w:rsidR="00080711">
        <w:rPr>
          <w:rFonts w:ascii="Arial" w:eastAsia="Times New Roman" w:hAnsi="Arial" w:cs="Arial"/>
          <w:szCs w:val="24"/>
          <w:lang w:eastAsia="en-GB"/>
        </w:rPr>
        <w:t xml:space="preserve"> and Latham, 2015</w:t>
      </w:r>
      <w:r w:rsidR="007E7C72" w:rsidRPr="00E745A9">
        <w:rPr>
          <w:rFonts w:ascii="Arial" w:eastAsia="Times New Roman" w:hAnsi="Arial" w:cs="Arial"/>
          <w:szCs w:val="24"/>
          <w:lang w:eastAsia="en-GB"/>
        </w:rPr>
        <w:t>).</w:t>
      </w:r>
    </w:p>
    <w:p w:rsidR="007E7C72" w:rsidRPr="00E745A9" w:rsidRDefault="0067424C" w:rsidP="007E7C72">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In general, Bandura's theory provides an approach to improve dementia care by focusing on how the environment is set up, using examples for people to follow, and giving rewards. Health </w:t>
      </w:r>
      <w:r w:rsidRPr="00E745A9">
        <w:rPr>
          <w:rFonts w:ascii="Arial" w:eastAsia="Times New Roman" w:hAnsi="Arial" w:cs="Arial"/>
          <w:szCs w:val="24"/>
          <w:lang w:eastAsia="en-GB"/>
        </w:rPr>
        <w:lastRenderedPageBreak/>
        <w:t>and social care workers can help older people with dementia feel more involved, stable, and connected by creating caring and steady environments that show positive social behaviour.</w:t>
      </w:r>
    </w:p>
    <w:p w:rsidR="008356BB" w:rsidRPr="008356BB" w:rsidRDefault="008356BB" w:rsidP="00E745A9">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7" w:name="_Toc212946676"/>
      <w:bookmarkStart w:id="8" w:name="_Toc212948602"/>
      <w:bookmarkStart w:id="9" w:name="_Toc213450874"/>
      <w:r w:rsidRPr="008356BB">
        <w:rPr>
          <w:rFonts w:ascii="Arial" w:eastAsia="Times New Roman" w:hAnsi="Arial" w:cs="Arial"/>
          <w:b/>
          <w:bCs/>
          <w:sz w:val="27"/>
          <w:szCs w:val="27"/>
          <w:lang w:eastAsia="en-GB"/>
        </w:rPr>
        <w:t>Erikson’s Psychosocial Theory of Development</w:t>
      </w:r>
      <w:bookmarkEnd w:id="7"/>
      <w:bookmarkEnd w:id="8"/>
      <w:bookmarkEnd w:id="9"/>
      <w:r w:rsidRPr="008356BB">
        <w:rPr>
          <w:rFonts w:ascii="Arial" w:eastAsia="Times New Roman" w:hAnsi="Arial" w:cs="Arial"/>
          <w:b/>
          <w:bCs/>
          <w:sz w:val="27"/>
          <w:szCs w:val="27"/>
          <w:lang w:eastAsia="en-GB"/>
        </w:rPr>
        <w:t xml:space="preserve"> </w:t>
      </w:r>
    </w:p>
    <w:p w:rsidR="008356BB" w:rsidRDefault="00E33E1C"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According to Erik Erikson's (1950) theory, people grow and change in eight stages. Each stage has a specific issue that must be worked out for healthy emotional development to happen. Typically, the final stage, Integrity vs. Despair, happens in older age, around 65 years and up. In this stage, people think about their lives to find happiness or, if they feel their life has been wasted, to cope with regret and sadness</w:t>
      </w:r>
      <w:r w:rsidR="008356BB" w:rsidRPr="00E745A9">
        <w:rPr>
          <w:rFonts w:ascii="Arial" w:eastAsia="Times New Roman" w:hAnsi="Arial" w:cs="Arial"/>
          <w:szCs w:val="24"/>
          <w:lang w:eastAsia="en-GB"/>
        </w:rPr>
        <w:t xml:space="preserve"> (Erikson, 1963).</w:t>
      </w:r>
    </w:p>
    <w:p w:rsidR="000D7A79" w:rsidRDefault="000D7A79" w:rsidP="00755DEF">
      <w:pPr>
        <w:spacing w:before="100" w:beforeAutospacing="1" w:after="100" w:afterAutospacing="1" w:line="360" w:lineRule="auto"/>
        <w:jc w:val="center"/>
        <w:rPr>
          <w:rFonts w:ascii="Arial" w:eastAsia="Times New Roman" w:hAnsi="Arial" w:cs="Arial"/>
          <w:szCs w:val="24"/>
          <w:lang w:eastAsia="en-GB"/>
        </w:rPr>
      </w:pPr>
      <w:r>
        <w:rPr>
          <w:noProof/>
          <w:lang w:eastAsia="en-GB"/>
        </w:rPr>
        <w:drawing>
          <wp:inline distT="0" distB="0" distL="0" distR="0" wp14:anchorId="72D77273" wp14:editId="33E709F5">
            <wp:extent cx="4883150" cy="271370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97839" cy="2721866"/>
                    </a:xfrm>
                    <a:prstGeom prst="rect">
                      <a:avLst/>
                    </a:prstGeom>
                  </pic:spPr>
                </pic:pic>
              </a:graphicData>
            </a:graphic>
          </wp:inline>
        </w:drawing>
      </w:r>
    </w:p>
    <w:p w:rsidR="00755DEF" w:rsidRPr="00E745A9" w:rsidRDefault="00755DEF" w:rsidP="00755DEF">
      <w:pPr>
        <w:spacing w:before="100" w:beforeAutospacing="1" w:after="100" w:afterAutospacing="1" w:line="360" w:lineRule="auto"/>
        <w:jc w:val="center"/>
        <w:rPr>
          <w:rFonts w:ascii="Arial" w:eastAsia="Times New Roman" w:hAnsi="Arial" w:cs="Arial"/>
          <w:szCs w:val="24"/>
          <w:lang w:eastAsia="en-GB"/>
        </w:rPr>
      </w:pPr>
      <w:r>
        <w:rPr>
          <w:rFonts w:ascii="Arial" w:eastAsia="Times New Roman" w:hAnsi="Arial" w:cs="Arial"/>
          <w:szCs w:val="24"/>
          <w:lang w:eastAsia="en-GB"/>
        </w:rPr>
        <w:t xml:space="preserve">Figure </w:t>
      </w:r>
      <w:r w:rsidR="00AC049D">
        <w:rPr>
          <w:rFonts w:ascii="Arial" w:eastAsia="Times New Roman" w:hAnsi="Arial" w:cs="Arial"/>
          <w:szCs w:val="24"/>
          <w:lang w:eastAsia="en-GB"/>
        </w:rPr>
        <w:t>2</w:t>
      </w:r>
      <w:r>
        <w:rPr>
          <w:rFonts w:ascii="Arial" w:eastAsia="Times New Roman" w:hAnsi="Arial" w:cs="Arial"/>
          <w:szCs w:val="24"/>
          <w:lang w:eastAsia="en-GB"/>
        </w:rPr>
        <w:t>: Erickson’s Psychological stages accessed from (Main, 2023)</w:t>
      </w:r>
    </w:p>
    <w:p w:rsidR="008356BB" w:rsidRPr="00E745A9" w:rsidRDefault="001C4D21" w:rsidP="001C4D21">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Older people with dementia may forget things and feel unsure about their self-identity. This can make it hard for them to think about their lives, leading to feelings of confusion, concerns, or sadness. Erikson's ideas help caregivers understand how important it is to keep a person's sense of identity, respect, and purpose. Even if older people have trouble thinking clearly, they can still feel proud and recognise themselves when they are encouraged to take part in important activities, like looking at family pictures, recalling past events, or doing regular tasks </w:t>
      </w:r>
      <w:r w:rsidR="008356BB" w:rsidRPr="00E745A9">
        <w:rPr>
          <w:rFonts w:ascii="Arial" w:eastAsia="Times New Roman" w:hAnsi="Arial" w:cs="Arial"/>
          <w:szCs w:val="24"/>
          <w:lang w:eastAsia="en-GB"/>
        </w:rPr>
        <w:t>(Clarke</w:t>
      </w:r>
      <w:r w:rsidR="006C6C02">
        <w:rPr>
          <w:rFonts w:ascii="Arial" w:eastAsia="Times New Roman" w:hAnsi="Arial" w:cs="Arial"/>
          <w:szCs w:val="24"/>
          <w:lang w:eastAsia="en-GB"/>
        </w:rPr>
        <w:t xml:space="preserve"> et al., </w:t>
      </w:r>
      <w:r w:rsidR="008356BB" w:rsidRPr="00E745A9">
        <w:rPr>
          <w:rFonts w:ascii="Arial" w:eastAsia="Times New Roman" w:hAnsi="Arial" w:cs="Arial"/>
          <w:szCs w:val="24"/>
          <w:lang w:eastAsia="en-GB"/>
        </w:rPr>
        <w:t>2003).</w:t>
      </w:r>
    </w:p>
    <w:p w:rsidR="008356BB" w:rsidRPr="00E745A9" w:rsidRDefault="00476A99"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At a dementia care centre, Erikson's ideas are used by helping people share their life stories and memories. To help connect the past and present, staff can ask residents to make memory books or share stories (Wood et al., 2018). Erikson's model reminds caregivers that if someone is feeling deep sadness, it might make them act restless or pull away from others. </w:t>
      </w:r>
      <w:r w:rsidRPr="00E745A9">
        <w:rPr>
          <w:rFonts w:ascii="Arial" w:eastAsia="Times New Roman" w:hAnsi="Arial" w:cs="Arial"/>
          <w:szCs w:val="24"/>
          <w:lang w:eastAsia="en-GB"/>
        </w:rPr>
        <w:lastRenderedPageBreak/>
        <w:t>Experts can help reduce pain and support mental well-being by showing understanding and kindness toward feelings</w:t>
      </w:r>
      <w:r w:rsidR="008356BB" w:rsidRPr="00E745A9">
        <w:rPr>
          <w:rFonts w:ascii="Arial" w:eastAsia="Times New Roman" w:hAnsi="Arial" w:cs="Arial"/>
          <w:szCs w:val="24"/>
          <w:lang w:eastAsia="en-GB"/>
        </w:rPr>
        <w:t>.</w:t>
      </w:r>
    </w:p>
    <w:p w:rsidR="008356BB" w:rsidRPr="00E745A9" w:rsidRDefault="00CE3361"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However, there are challenges like not having enough staff to provide personal care, feelings of sadness when forgetting things, and problems with communication. Workers can use person-centred methods (</w:t>
      </w:r>
      <w:proofErr w:type="spellStart"/>
      <w:r w:rsidRPr="00E745A9">
        <w:rPr>
          <w:rFonts w:ascii="Arial" w:eastAsia="Times New Roman" w:hAnsi="Arial" w:cs="Arial"/>
          <w:szCs w:val="24"/>
          <w:lang w:eastAsia="en-GB"/>
        </w:rPr>
        <w:t>Kitwood</w:t>
      </w:r>
      <w:proofErr w:type="spellEnd"/>
      <w:r w:rsidRPr="00E745A9">
        <w:rPr>
          <w:rFonts w:ascii="Arial" w:eastAsia="Times New Roman" w:hAnsi="Arial" w:cs="Arial"/>
          <w:szCs w:val="24"/>
          <w:lang w:eastAsia="en-GB"/>
        </w:rPr>
        <w:t>, 1997) to tackle problems, ensuring that their interactions respect the person's feelings and history. This process is also helped by training staff to be aware of different cultures and to communicate with understanding. Erikson's theory helps us understand what older people need to feel good and respected. It helps caregivers create supportive environments that make life better for them</w:t>
      </w:r>
      <w:r w:rsidR="008356BB" w:rsidRPr="00E745A9">
        <w:rPr>
          <w:rFonts w:ascii="Arial" w:eastAsia="Times New Roman" w:hAnsi="Arial" w:cs="Arial"/>
          <w:szCs w:val="24"/>
          <w:lang w:eastAsia="en-GB"/>
        </w:rPr>
        <w:t>.</w:t>
      </w:r>
    </w:p>
    <w:p w:rsidR="008356BB" w:rsidRPr="008356BB" w:rsidRDefault="008356BB" w:rsidP="00CE3361">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0" w:name="_Toc212946677"/>
      <w:bookmarkStart w:id="11" w:name="_Toc212948603"/>
      <w:bookmarkStart w:id="12" w:name="_Toc213450875"/>
      <w:r w:rsidRPr="008356BB">
        <w:rPr>
          <w:rFonts w:ascii="Arial" w:eastAsia="Times New Roman" w:hAnsi="Arial" w:cs="Arial"/>
          <w:b/>
          <w:bCs/>
          <w:sz w:val="27"/>
          <w:szCs w:val="27"/>
          <w:lang w:eastAsia="en-GB"/>
        </w:rPr>
        <w:t>Application of Theories in Dementia Care</w:t>
      </w:r>
      <w:bookmarkEnd w:id="10"/>
      <w:bookmarkEnd w:id="11"/>
      <w:bookmarkEnd w:id="12"/>
      <w:r w:rsidRPr="008356BB">
        <w:rPr>
          <w:rFonts w:ascii="Arial" w:eastAsia="Times New Roman" w:hAnsi="Arial" w:cs="Arial"/>
          <w:b/>
          <w:bCs/>
          <w:sz w:val="27"/>
          <w:szCs w:val="27"/>
          <w:lang w:eastAsia="en-GB"/>
        </w:rPr>
        <w:t xml:space="preserve"> </w:t>
      </w:r>
    </w:p>
    <w:p w:rsidR="008356BB" w:rsidRDefault="00D91DD9"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Experts can mix empathy and evidence-based practices by using psychological theories to help people with dementia. Bandura's and Erikson's theories work together because Bandura focuses on learning from social interactions and behaviours, while Erikson focuses on emotional health. A complete method for taking care of people with dementia is supported by bringing everything together</w:t>
      </w:r>
      <w:r w:rsidR="008356BB" w:rsidRPr="00E745A9">
        <w:rPr>
          <w:rFonts w:ascii="Arial" w:eastAsia="Times New Roman" w:hAnsi="Arial" w:cs="Arial"/>
          <w:szCs w:val="24"/>
          <w:lang w:eastAsia="en-GB"/>
        </w:rPr>
        <w:t>.</w:t>
      </w:r>
    </w:p>
    <w:p w:rsidR="009D232F" w:rsidRDefault="009D232F" w:rsidP="009D232F">
      <w:pPr>
        <w:spacing w:before="100" w:beforeAutospacing="1" w:after="100" w:afterAutospacing="1" w:line="360" w:lineRule="auto"/>
        <w:jc w:val="center"/>
        <w:rPr>
          <w:rFonts w:ascii="Arial" w:eastAsia="Times New Roman" w:hAnsi="Arial" w:cs="Arial"/>
          <w:szCs w:val="24"/>
          <w:lang w:eastAsia="en-GB"/>
        </w:rPr>
      </w:pPr>
      <w:r>
        <w:rPr>
          <w:noProof/>
          <w:lang w:eastAsia="en-GB"/>
        </w:rPr>
        <w:drawing>
          <wp:inline distT="0" distB="0" distL="0" distR="0" wp14:anchorId="6F66D84A" wp14:editId="1058B470">
            <wp:extent cx="4552950" cy="3009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52950" cy="3009900"/>
                    </a:xfrm>
                    <a:prstGeom prst="rect">
                      <a:avLst/>
                    </a:prstGeom>
                  </pic:spPr>
                </pic:pic>
              </a:graphicData>
            </a:graphic>
          </wp:inline>
        </w:drawing>
      </w:r>
    </w:p>
    <w:p w:rsidR="009D232F" w:rsidRPr="00E745A9" w:rsidRDefault="009D232F" w:rsidP="009D232F">
      <w:pPr>
        <w:spacing w:before="100" w:beforeAutospacing="1" w:after="100" w:afterAutospacing="1" w:line="360" w:lineRule="auto"/>
        <w:jc w:val="center"/>
        <w:rPr>
          <w:rFonts w:ascii="Arial" w:eastAsia="Times New Roman" w:hAnsi="Arial" w:cs="Arial"/>
          <w:szCs w:val="24"/>
          <w:lang w:eastAsia="en-GB"/>
        </w:rPr>
      </w:pPr>
      <w:r>
        <w:rPr>
          <w:rFonts w:ascii="Arial" w:eastAsia="Times New Roman" w:hAnsi="Arial" w:cs="Arial"/>
          <w:szCs w:val="24"/>
          <w:lang w:eastAsia="en-GB"/>
        </w:rPr>
        <w:t>Figure 3: Dementia Patient taking care accessed from (Eastleigh care homes, 2025)</w:t>
      </w:r>
    </w:p>
    <w:p w:rsidR="008356BB" w:rsidRPr="00E745A9" w:rsidRDefault="00404E42"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In reality, caregivers can help residents find meaning in life even when they have memory problems by using Erikson's idea of Integrity vs. the despair stage as a guide. Emotional connections are helped by methods like validation therapy, telling life stories, and remembering past events. To make someone feel good and proud, a caregiver could, for </w:t>
      </w:r>
      <w:r w:rsidRPr="00E745A9">
        <w:rPr>
          <w:rFonts w:ascii="Arial" w:eastAsia="Times New Roman" w:hAnsi="Arial" w:cs="Arial"/>
          <w:szCs w:val="24"/>
          <w:lang w:eastAsia="en-GB"/>
        </w:rPr>
        <w:lastRenderedPageBreak/>
        <w:t>instance, conversation with a resident about their favourite music or their heydays (Wood et al., 2018). These methods help reduce feelings of sadness and difficult behaviours</w:t>
      </w:r>
      <w:r w:rsidR="008356BB" w:rsidRPr="00E745A9">
        <w:rPr>
          <w:rFonts w:ascii="Arial" w:eastAsia="Times New Roman" w:hAnsi="Arial" w:cs="Arial"/>
          <w:szCs w:val="24"/>
          <w:lang w:eastAsia="en-GB"/>
        </w:rPr>
        <w:t xml:space="preserve"> (Chung, 2009).</w:t>
      </w:r>
    </w:p>
    <w:p w:rsidR="008356BB" w:rsidRPr="00E745A9" w:rsidRDefault="001B469A"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Bandura's Social Learning Theory helps caregivers encourage good behaviour by constantly setting a good example. People tend to stay calm when experts gently speak to them. Peer learning in group activities can be used, for example, when one person helps out during physical therapy, other people might do the same because they see the support that person gets</w:t>
      </w:r>
      <w:r w:rsidR="008356BB" w:rsidRPr="00E745A9">
        <w:rPr>
          <w:rFonts w:ascii="Arial" w:eastAsia="Times New Roman" w:hAnsi="Arial" w:cs="Arial"/>
          <w:szCs w:val="24"/>
          <w:lang w:eastAsia="en-GB"/>
        </w:rPr>
        <w:t>.</w:t>
      </w:r>
    </w:p>
    <w:p w:rsidR="008356BB" w:rsidRPr="00E745A9" w:rsidRDefault="009F2424"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Connections and the environment are important for determining well-being in both theories. Emotional support helps people deal with their feelings, and having a good social environment helps them learn through observing others. Staff teams can work together by using organised programs that include teaching through examples and sharing personal stories. For example, morning routines could include guided activities (to encourage copying and confidence) and familiar music (to aid memory).</w:t>
      </w:r>
    </w:p>
    <w:p w:rsidR="008356BB" w:rsidRPr="00E745A9" w:rsidRDefault="00C655BA"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However, there is a possibility of challenges. Symptoms of dementia, such as anger, confusion, and memory issues, may delay effective communication and learning. When residents are distressed or resistant, it can be challenging for professionals to implement strategies. Balancing safety and independence often leads to ethical dilemmas. For instance, ensuring personal freedom should not compromise overall well-being</w:t>
      </w:r>
      <w:r w:rsidR="008356BB" w:rsidRPr="00E745A9">
        <w:rPr>
          <w:rFonts w:ascii="Arial" w:eastAsia="Times New Roman" w:hAnsi="Arial" w:cs="Arial"/>
          <w:szCs w:val="24"/>
          <w:lang w:eastAsia="en-GB"/>
        </w:rPr>
        <w:t>.</w:t>
      </w:r>
    </w:p>
    <w:p w:rsidR="008356BB" w:rsidRPr="00E745A9" w:rsidRDefault="004A644C"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Care facilities should give ongoing training to their staff that focuses on how to communicate with people with dementia, show empathy, and manage behaviour to help solve these issues. Working together with occupational therapists, psychologists, and nurses helps keep ideas cons</w:t>
      </w:r>
      <w:r w:rsidR="00080711">
        <w:rPr>
          <w:rFonts w:ascii="Arial" w:eastAsia="Times New Roman" w:hAnsi="Arial" w:cs="Arial"/>
          <w:szCs w:val="24"/>
          <w:lang w:eastAsia="en-GB"/>
        </w:rPr>
        <w:t>istent (</w:t>
      </w:r>
      <w:proofErr w:type="spellStart"/>
      <w:r w:rsidR="00080711">
        <w:rPr>
          <w:rFonts w:ascii="Arial" w:eastAsia="Times New Roman" w:hAnsi="Arial" w:cs="Arial"/>
          <w:szCs w:val="24"/>
          <w:lang w:eastAsia="en-GB"/>
        </w:rPr>
        <w:t>Brooker</w:t>
      </w:r>
      <w:proofErr w:type="spellEnd"/>
      <w:r w:rsidR="00080711">
        <w:rPr>
          <w:rFonts w:ascii="Arial" w:eastAsia="Times New Roman" w:hAnsi="Arial" w:cs="Arial"/>
          <w:szCs w:val="24"/>
          <w:lang w:eastAsia="en-GB"/>
        </w:rPr>
        <w:t xml:space="preserve"> and Latham, 2015</w:t>
      </w:r>
      <w:r w:rsidRPr="00E745A9">
        <w:rPr>
          <w:rFonts w:ascii="Arial" w:eastAsia="Times New Roman" w:hAnsi="Arial" w:cs="Arial"/>
          <w:szCs w:val="24"/>
          <w:lang w:eastAsia="en-GB"/>
        </w:rPr>
        <w:t>). Staff can evaluate their work and change their approaches by using reflective practice models, like Gibbs' Reflective Cycle (1988)</w:t>
      </w:r>
      <w:r w:rsidR="008356BB" w:rsidRPr="00E745A9">
        <w:rPr>
          <w:rFonts w:ascii="Arial" w:eastAsia="Times New Roman" w:hAnsi="Arial" w:cs="Arial"/>
          <w:szCs w:val="24"/>
          <w:lang w:eastAsia="en-GB"/>
        </w:rPr>
        <w:t>.</w:t>
      </w:r>
    </w:p>
    <w:p w:rsidR="008356BB" w:rsidRPr="00E745A9" w:rsidRDefault="00012D6C"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Finally, help from the organisation is really important. To avoid exhaustion and give good care, caregivers need enough staff, guidance, and emotional support. Training for staff and the rules that follow include the theories of Erikson and Bandura, ensuring that psychological theories are used in everyday work. In the end, this helps people with dementia feel better emotionally, socialise with others, and maintain their respect</w:t>
      </w:r>
      <w:r w:rsidR="008356BB" w:rsidRPr="00E745A9">
        <w:rPr>
          <w:rFonts w:ascii="Arial" w:eastAsia="Times New Roman" w:hAnsi="Arial" w:cs="Arial"/>
          <w:szCs w:val="24"/>
          <w:lang w:eastAsia="en-GB"/>
        </w:rPr>
        <w:t>.</w:t>
      </w:r>
    </w:p>
    <w:p w:rsidR="008356BB" w:rsidRPr="008356BB" w:rsidRDefault="00012D6C" w:rsidP="00E745A9">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3" w:name="_Toc212946678"/>
      <w:bookmarkStart w:id="14" w:name="_Toc212948604"/>
      <w:bookmarkStart w:id="15" w:name="_Toc213450876"/>
      <w:r>
        <w:rPr>
          <w:rFonts w:ascii="Arial" w:eastAsia="Times New Roman" w:hAnsi="Arial" w:cs="Arial"/>
          <w:b/>
          <w:bCs/>
          <w:sz w:val="27"/>
          <w:szCs w:val="27"/>
          <w:lang w:eastAsia="en-GB"/>
        </w:rPr>
        <w:t>Conclusion</w:t>
      </w:r>
      <w:bookmarkEnd w:id="13"/>
      <w:bookmarkEnd w:id="14"/>
      <w:bookmarkEnd w:id="15"/>
    </w:p>
    <w:p w:rsidR="008356BB" w:rsidRPr="00E745A9" w:rsidRDefault="00F56C16"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 xml:space="preserve">Psychological theories help to understand the needs and experiences of older people who are </w:t>
      </w:r>
      <w:r w:rsidR="00B75ABB" w:rsidRPr="00E745A9">
        <w:rPr>
          <w:rFonts w:ascii="Arial" w:eastAsia="Times New Roman" w:hAnsi="Arial" w:cs="Arial"/>
          <w:szCs w:val="24"/>
          <w:lang w:eastAsia="en-GB"/>
        </w:rPr>
        <w:t>receiving</w:t>
      </w:r>
      <w:r w:rsidRPr="00E745A9">
        <w:rPr>
          <w:rFonts w:ascii="Arial" w:eastAsia="Times New Roman" w:hAnsi="Arial" w:cs="Arial"/>
          <w:szCs w:val="24"/>
          <w:lang w:eastAsia="en-GB"/>
        </w:rPr>
        <w:t xml:space="preserve"> care for dementia. Erikson's Psychosocial Theory focuses on the emotional journey </w:t>
      </w:r>
      <w:r w:rsidRPr="00E745A9">
        <w:rPr>
          <w:rFonts w:ascii="Arial" w:eastAsia="Times New Roman" w:hAnsi="Arial" w:cs="Arial"/>
          <w:szCs w:val="24"/>
          <w:lang w:eastAsia="en-GB"/>
        </w:rPr>
        <w:lastRenderedPageBreak/>
        <w:t>of growing older. It helps caregivers communicate in a way that respects the person and encourages them to reflect on their life, which can lead to feeling fulfilled and satisfied.  Bandura's Social Learning Theory helps professionals encourage positive social interactions and self-confidence by focusing on how people learn by watching and copying others</w:t>
      </w:r>
      <w:r w:rsidR="008356BB" w:rsidRPr="00E745A9">
        <w:rPr>
          <w:rFonts w:ascii="Arial" w:eastAsia="Times New Roman" w:hAnsi="Arial" w:cs="Arial"/>
          <w:szCs w:val="24"/>
          <w:lang w:eastAsia="en-GB"/>
        </w:rPr>
        <w:t>.</w:t>
      </w:r>
    </w:p>
    <w:p w:rsidR="008356BB" w:rsidRPr="00E745A9" w:rsidRDefault="00CF2466" w:rsidP="008356BB">
      <w:pPr>
        <w:spacing w:before="100" w:beforeAutospacing="1" w:after="100" w:afterAutospacing="1" w:line="360" w:lineRule="auto"/>
        <w:jc w:val="both"/>
        <w:rPr>
          <w:rFonts w:ascii="Arial" w:eastAsia="Times New Roman" w:hAnsi="Arial" w:cs="Arial"/>
          <w:szCs w:val="24"/>
          <w:lang w:eastAsia="en-GB"/>
        </w:rPr>
      </w:pPr>
      <w:r w:rsidRPr="00E745A9">
        <w:rPr>
          <w:rFonts w:ascii="Arial" w:eastAsia="Times New Roman" w:hAnsi="Arial" w:cs="Arial"/>
          <w:szCs w:val="24"/>
          <w:lang w:eastAsia="en-GB"/>
        </w:rPr>
        <w:t>Overall, these theories support an understanding of how cognition, emotions, and the environment work together in older age. By using these theories in health and social care settings, staff can make fun, welcoming, and caring spaces while also taking care of people's behaviour and mental health needs. Looking back at their work and continuing to learn can help solve long-lasting problems like not having enough staff and poor communication. Experts can really improve the lives of older people with dementia by using psychological knowledge and offering caring support</w:t>
      </w:r>
      <w:r w:rsidR="008356BB" w:rsidRPr="00E745A9">
        <w:rPr>
          <w:rFonts w:ascii="Arial" w:eastAsia="Times New Roman" w:hAnsi="Arial" w:cs="Arial"/>
          <w:szCs w:val="24"/>
          <w:lang w:eastAsia="en-GB"/>
        </w:rPr>
        <w:t>.</w:t>
      </w:r>
    </w:p>
    <w:p w:rsidR="00755DEF" w:rsidRDefault="00755DEF">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rsidR="008356BB" w:rsidRPr="00E745A9" w:rsidRDefault="008356BB" w:rsidP="00DB2677">
      <w:pPr>
        <w:spacing w:before="100" w:beforeAutospacing="1" w:after="100" w:afterAutospacing="1" w:line="240" w:lineRule="auto"/>
        <w:jc w:val="both"/>
        <w:outlineLvl w:val="2"/>
        <w:rPr>
          <w:rFonts w:ascii="Arial" w:eastAsia="Times New Roman" w:hAnsi="Arial" w:cs="Arial"/>
          <w:b/>
          <w:bCs/>
          <w:sz w:val="27"/>
          <w:szCs w:val="27"/>
          <w:lang w:eastAsia="en-GB"/>
        </w:rPr>
      </w:pPr>
      <w:bookmarkStart w:id="16" w:name="_Toc212946679"/>
      <w:bookmarkStart w:id="17" w:name="_Toc212948605"/>
      <w:bookmarkStart w:id="18" w:name="_Toc213450877"/>
      <w:r w:rsidRPr="00E745A9">
        <w:rPr>
          <w:rFonts w:ascii="Arial" w:eastAsia="Times New Roman" w:hAnsi="Arial" w:cs="Arial"/>
          <w:b/>
          <w:bCs/>
          <w:sz w:val="27"/>
          <w:szCs w:val="27"/>
          <w:lang w:eastAsia="en-GB"/>
        </w:rPr>
        <w:lastRenderedPageBreak/>
        <w:t>References</w:t>
      </w:r>
      <w:bookmarkEnd w:id="16"/>
      <w:bookmarkEnd w:id="17"/>
      <w:bookmarkEnd w:id="18"/>
      <w:r w:rsidRPr="00E745A9">
        <w:rPr>
          <w:rFonts w:ascii="Arial" w:eastAsia="Times New Roman" w:hAnsi="Arial" w:cs="Arial"/>
          <w:b/>
          <w:bCs/>
          <w:sz w:val="27"/>
          <w:szCs w:val="27"/>
          <w:lang w:eastAsia="en-GB"/>
        </w:rPr>
        <w:t xml:space="preserve"> </w:t>
      </w:r>
    </w:p>
    <w:p w:rsidR="002926E5" w:rsidRPr="002926E5" w:rsidRDefault="002926E5" w:rsidP="002926E5">
      <w:pPr>
        <w:rPr>
          <w:rFonts w:ascii="Arial" w:eastAsia="Times New Roman" w:hAnsi="Arial" w:cs="Arial"/>
          <w:lang w:eastAsia="en-GB"/>
        </w:rPr>
      </w:pPr>
      <w:r>
        <w:rPr>
          <w:rFonts w:ascii="Arial" w:eastAsia="Times New Roman" w:hAnsi="Arial" w:cs="Arial"/>
          <w:lang w:eastAsia="en-GB"/>
        </w:rPr>
        <w:t>Bandura, A. (1977)</w:t>
      </w:r>
      <w:r w:rsidRPr="002926E5">
        <w:rPr>
          <w:rFonts w:ascii="Arial" w:eastAsia="Times New Roman" w:hAnsi="Arial" w:cs="Arial"/>
          <w:lang w:eastAsia="en-GB"/>
        </w:rPr>
        <w:t xml:space="preserve"> </w:t>
      </w:r>
      <w:r w:rsidRPr="002926E5">
        <w:rPr>
          <w:rFonts w:ascii="Arial" w:eastAsia="Times New Roman" w:hAnsi="Arial" w:cs="Arial"/>
          <w:i/>
          <w:lang w:eastAsia="en-GB"/>
        </w:rPr>
        <w:t>Social learning theory</w:t>
      </w:r>
      <w:r w:rsidRPr="002926E5">
        <w:rPr>
          <w:rFonts w:ascii="Arial" w:eastAsia="Times New Roman" w:hAnsi="Arial" w:cs="Arial"/>
          <w:lang w:eastAsia="en-GB"/>
        </w:rPr>
        <w:t>. Englewood Cliffs, NJ: Prentice-Hall.</w:t>
      </w:r>
    </w:p>
    <w:p w:rsidR="008356BB" w:rsidRPr="00E745A9" w:rsidRDefault="00C175E3" w:rsidP="008356BB">
      <w:pPr>
        <w:spacing w:before="100" w:beforeAutospacing="1" w:after="100" w:afterAutospacing="1" w:line="360" w:lineRule="auto"/>
        <w:jc w:val="both"/>
        <w:rPr>
          <w:rFonts w:ascii="Arial" w:eastAsia="Times New Roman" w:hAnsi="Arial" w:cs="Arial"/>
          <w:lang w:eastAsia="en-GB"/>
        </w:rPr>
      </w:pPr>
      <w:proofErr w:type="spellStart"/>
      <w:r>
        <w:rPr>
          <w:rFonts w:ascii="Arial" w:eastAsia="Times New Roman" w:hAnsi="Arial" w:cs="Arial"/>
          <w:lang w:eastAsia="en-GB"/>
        </w:rPr>
        <w:t>Brooker</w:t>
      </w:r>
      <w:proofErr w:type="spellEnd"/>
      <w:r>
        <w:rPr>
          <w:rFonts w:ascii="Arial" w:eastAsia="Times New Roman" w:hAnsi="Arial" w:cs="Arial"/>
          <w:lang w:eastAsia="en-GB"/>
        </w:rPr>
        <w:t>, D. and Latham, G. (2015</w:t>
      </w:r>
      <w:r w:rsidR="008356BB" w:rsidRPr="00E745A9">
        <w:rPr>
          <w:rFonts w:ascii="Arial" w:eastAsia="Times New Roman" w:hAnsi="Arial" w:cs="Arial"/>
          <w:lang w:eastAsia="en-GB"/>
        </w:rPr>
        <w:t xml:space="preserve">) </w:t>
      </w:r>
      <w:r w:rsidR="008356BB" w:rsidRPr="00E745A9">
        <w:rPr>
          <w:rFonts w:ascii="Arial" w:eastAsia="Times New Roman" w:hAnsi="Arial" w:cs="Arial"/>
          <w:i/>
          <w:iCs/>
          <w:lang w:eastAsia="en-GB"/>
        </w:rPr>
        <w:t>Person-Centred Dementia Care: Making Services Better with the VIPS Framework.</w:t>
      </w:r>
      <w:r w:rsidR="008356BB" w:rsidRPr="00E745A9">
        <w:rPr>
          <w:rFonts w:ascii="Arial" w:eastAsia="Times New Roman" w:hAnsi="Arial" w:cs="Arial"/>
          <w:lang w:eastAsia="en-GB"/>
        </w:rPr>
        <w:t xml:space="preserve"> </w:t>
      </w:r>
      <w:r>
        <w:rPr>
          <w:rFonts w:ascii="Arial" w:eastAsia="Times New Roman" w:hAnsi="Arial" w:cs="Arial"/>
          <w:lang w:eastAsia="en-GB"/>
        </w:rPr>
        <w:t>(</w:t>
      </w:r>
      <w:r w:rsidR="008356BB" w:rsidRPr="00E745A9">
        <w:rPr>
          <w:rFonts w:ascii="Arial" w:eastAsia="Times New Roman" w:hAnsi="Arial" w:cs="Arial"/>
          <w:lang w:eastAsia="en-GB"/>
        </w:rPr>
        <w:t xml:space="preserve">2nd </w:t>
      </w:r>
      <w:proofErr w:type="spellStart"/>
      <w:r w:rsidR="008356BB" w:rsidRPr="00E745A9">
        <w:rPr>
          <w:rFonts w:ascii="Arial" w:eastAsia="Times New Roman" w:hAnsi="Arial" w:cs="Arial"/>
          <w:lang w:eastAsia="en-GB"/>
        </w:rPr>
        <w:t>edn</w:t>
      </w:r>
      <w:proofErr w:type="spellEnd"/>
      <w:r>
        <w:rPr>
          <w:rFonts w:ascii="Arial" w:eastAsia="Times New Roman" w:hAnsi="Arial" w:cs="Arial"/>
          <w:lang w:eastAsia="en-GB"/>
        </w:rPr>
        <w:t>)</w:t>
      </w:r>
      <w:r w:rsidR="008356BB" w:rsidRPr="00E745A9">
        <w:rPr>
          <w:rFonts w:ascii="Arial" w:eastAsia="Times New Roman" w:hAnsi="Arial" w:cs="Arial"/>
          <w:lang w:eastAsia="en-GB"/>
        </w:rPr>
        <w:t>. London: Jessica Kingsley Publishers.</w:t>
      </w:r>
    </w:p>
    <w:p w:rsidR="008356BB" w:rsidRPr="00B96E1B" w:rsidRDefault="00B96E1B" w:rsidP="008356BB">
      <w:pPr>
        <w:spacing w:before="100" w:beforeAutospacing="1" w:after="100" w:afterAutospacing="1" w:line="360" w:lineRule="auto"/>
        <w:jc w:val="both"/>
        <w:rPr>
          <w:rFonts w:ascii="Arial" w:eastAsia="Times New Roman" w:hAnsi="Arial" w:cs="Arial"/>
          <w:lang w:eastAsia="en-GB"/>
        </w:rPr>
      </w:pPr>
      <w:r>
        <w:rPr>
          <w:rFonts w:ascii="Arial" w:hAnsi="Arial" w:cs="Arial"/>
          <w:color w:val="212121"/>
          <w:shd w:val="clear" w:color="auto" w:fill="FFFFFF"/>
        </w:rPr>
        <w:t>Chung J. C. (2009)</w:t>
      </w:r>
      <w:r w:rsidRPr="00B96E1B">
        <w:rPr>
          <w:rFonts w:ascii="Arial" w:hAnsi="Arial" w:cs="Arial"/>
          <w:color w:val="212121"/>
          <w:shd w:val="clear" w:color="auto" w:fill="FFFFFF"/>
        </w:rPr>
        <w:t xml:space="preserve"> </w:t>
      </w:r>
      <w:r>
        <w:rPr>
          <w:rFonts w:ascii="Arial" w:hAnsi="Arial" w:cs="Arial"/>
          <w:color w:val="212121"/>
          <w:shd w:val="clear" w:color="auto" w:fill="FFFFFF"/>
        </w:rPr>
        <w:t>‘</w:t>
      </w:r>
      <w:proofErr w:type="gramStart"/>
      <w:r w:rsidRPr="00B96E1B">
        <w:rPr>
          <w:rFonts w:ascii="Arial" w:hAnsi="Arial" w:cs="Arial"/>
          <w:color w:val="212121"/>
          <w:shd w:val="clear" w:color="auto" w:fill="FFFFFF"/>
        </w:rPr>
        <w:t>An</w:t>
      </w:r>
      <w:proofErr w:type="gramEnd"/>
      <w:r w:rsidRPr="00B96E1B">
        <w:rPr>
          <w:rFonts w:ascii="Arial" w:hAnsi="Arial" w:cs="Arial"/>
          <w:color w:val="212121"/>
          <w:shd w:val="clear" w:color="auto" w:fill="FFFFFF"/>
        </w:rPr>
        <w:t xml:space="preserve"> intergenerational reminiscence programme for older adults with early dementia and youth volunteers: values and challenges</w:t>
      </w:r>
      <w:r>
        <w:rPr>
          <w:rFonts w:ascii="Arial" w:hAnsi="Arial" w:cs="Arial"/>
          <w:color w:val="212121"/>
          <w:shd w:val="clear" w:color="auto" w:fill="FFFFFF"/>
        </w:rPr>
        <w:t>’,</w:t>
      </w:r>
      <w:r w:rsidRPr="00B96E1B">
        <w:rPr>
          <w:rFonts w:ascii="Arial" w:hAnsi="Arial" w:cs="Arial"/>
          <w:color w:val="212121"/>
          <w:shd w:val="clear" w:color="auto" w:fill="FFFFFF"/>
        </w:rPr>
        <w:t> </w:t>
      </w:r>
      <w:r w:rsidRPr="00B96E1B">
        <w:rPr>
          <w:rFonts w:ascii="Arial" w:hAnsi="Arial" w:cs="Arial"/>
          <w:i/>
          <w:iCs/>
          <w:color w:val="212121"/>
          <w:shd w:val="clear" w:color="auto" w:fill="FFFFFF"/>
        </w:rPr>
        <w:t>Scandinavian journal of caring sciences</w:t>
      </w:r>
      <w:r w:rsidRPr="00B96E1B">
        <w:rPr>
          <w:rFonts w:ascii="Arial" w:hAnsi="Arial" w:cs="Arial"/>
          <w:color w:val="212121"/>
          <w:shd w:val="clear" w:color="auto" w:fill="FFFFFF"/>
        </w:rPr>
        <w:t>, </w:t>
      </w:r>
      <w:r w:rsidRPr="00B96E1B">
        <w:rPr>
          <w:rFonts w:ascii="Arial" w:hAnsi="Arial" w:cs="Arial"/>
          <w:iCs/>
          <w:color w:val="212121"/>
          <w:shd w:val="clear" w:color="auto" w:fill="FFFFFF"/>
        </w:rPr>
        <w:t>23</w:t>
      </w:r>
      <w:r w:rsidRPr="00B96E1B">
        <w:rPr>
          <w:rFonts w:ascii="Arial" w:hAnsi="Arial" w:cs="Arial"/>
          <w:color w:val="212121"/>
          <w:shd w:val="clear" w:color="auto" w:fill="FFFFFF"/>
        </w:rPr>
        <w:t>(2), 259–264.</w:t>
      </w:r>
    </w:p>
    <w:p w:rsidR="008356BB" w:rsidRDefault="006C6C02" w:rsidP="008356BB">
      <w:pPr>
        <w:spacing w:before="100" w:beforeAutospacing="1" w:after="100" w:afterAutospacing="1" w:line="360" w:lineRule="auto"/>
        <w:jc w:val="both"/>
        <w:rPr>
          <w:rFonts w:ascii="Arial" w:hAnsi="Arial" w:cs="Arial"/>
          <w:color w:val="212121"/>
          <w:shd w:val="clear" w:color="auto" w:fill="FFFFFF"/>
        </w:rPr>
      </w:pPr>
      <w:r>
        <w:rPr>
          <w:rFonts w:ascii="Arial" w:hAnsi="Arial" w:cs="Arial"/>
          <w:color w:val="212121"/>
          <w:shd w:val="clear" w:color="auto" w:fill="FFFFFF"/>
        </w:rPr>
        <w:t>Clarke, A., Hanson, E. J., and Ross, H. (2003)</w:t>
      </w:r>
      <w:r w:rsidRPr="006C6C02">
        <w:rPr>
          <w:rFonts w:ascii="Arial" w:hAnsi="Arial" w:cs="Arial"/>
          <w:color w:val="212121"/>
          <w:shd w:val="clear" w:color="auto" w:fill="FFFFFF"/>
        </w:rPr>
        <w:t xml:space="preserve"> </w:t>
      </w:r>
      <w:r>
        <w:rPr>
          <w:rFonts w:ascii="Arial" w:hAnsi="Arial" w:cs="Arial"/>
          <w:color w:val="212121"/>
          <w:shd w:val="clear" w:color="auto" w:fill="FFFFFF"/>
        </w:rPr>
        <w:t>‘</w:t>
      </w:r>
      <w:proofErr w:type="gramStart"/>
      <w:r w:rsidRPr="006C6C02">
        <w:rPr>
          <w:rFonts w:ascii="Arial" w:hAnsi="Arial" w:cs="Arial"/>
          <w:color w:val="212121"/>
          <w:shd w:val="clear" w:color="auto" w:fill="FFFFFF"/>
        </w:rPr>
        <w:t>Seeing</w:t>
      </w:r>
      <w:proofErr w:type="gramEnd"/>
      <w:r w:rsidRPr="006C6C02">
        <w:rPr>
          <w:rFonts w:ascii="Arial" w:hAnsi="Arial" w:cs="Arial"/>
          <w:color w:val="212121"/>
          <w:shd w:val="clear" w:color="auto" w:fill="FFFFFF"/>
        </w:rPr>
        <w:t xml:space="preserve"> the person behind the patient: enhancing the care of older people using a biographical approach</w:t>
      </w:r>
      <w:r>
        <w:rPr>
          <w:rFonts w:ascii="Arial" w:hAnsi="Arial" w:cs="Arial"/>
          <w:color w:val="212121"/>
          <w:shd w:val="clear" w:color="auto" w:fill="FFFFFF"/>
        </w:rPr>
        <w:t>’,</w:t>
      </w:r>
      <w:r w:rsidRPr="006C6C02">
        <w:rPr>
          <w:rFonts w:ascii="Arial" w:hAnsi="Arial" w:cs="Arial"/>
          <w:color w:val="212121"/>
          <w:shd w:val="clear" w:color="auto" w:fill="FFFFFF"/>
        </w:rPr>
        <w:t> </w:t>
      </w:r>
      <w:r w:rsidRPr="006C6C02">
        <w:rPr>
          <w:rFonts w:ascii="Arial" w:hAnsi="Arial" w:cs="Arial"/>
          <w:i/>
          <w:iCs/>
          <w:color w:val="212121"/>
          <w:shd w:val="clear" w:color="auto" w:fill="FFFFFF"/>
        </w:rPr>
        <w:t>Journal of clinical nursing</w:t>
      </w:r>
      <w:r w:rsidRPr="006C6C02">
        <w:rPr>
          <w:rFonts w:ascii="Arial" w:hAnsi="Arial" w:cs="Arial"/>
          <w:color w:val="212121"/>
          <w:shd w:val="clear" w:color="auto" w:fill="FFFFFF"/>
        </w:rPr>
        <w:t>, </w:t>
      </w:r>
      <w:r w:rsidRPr="006C6C02">
        <w:rPr>
          <w:rFonts w:ascii="Arial" w:hAnsi="Arial" w:cs="Arial"/>
          <w:iCs/>
          <w:color w:val="212121"/>
          <w:shd w:val="clear" w:color="auto" w:fill="FFFFFF"/>
        </w:rPr>
        <w:t>12</w:t>
      </w:r>
      <w:r w:rsidRPr="006C6C02">
        <w:rPr>
          <w:rFonts w:ascii="Arial" w:hAnsi="Arial" w:cs="Arial"/>
          <w:color w:val="212121"/>
          <w:shd w:val="clear" w:color="auto" w:fill="FFFFFF"/>
        </w:rPr>
        <w:t>(5), 697–706.</w:t>
      </w:r>
    </w:p>
    <w:p w:rsidR="003C3EAD" w:rsidRPr="00A055C6" w:rsidRDefault="003C3EAD" w:rsidP="008356BB">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Eastleigh Care Homes (2025) </w:t>
      </w:r>
      <w:proofErr w:type="gramStart"/>
      <w:r w:rsidRPr="00A055C6">
        <w:rPr>
          <w:rFonts w:ascii="Arial" w:eastAsia="Times New Roman" w:hAnsi="Arial" w:cs="Arial"/>
          <w:i/>
          <w:lang w:eastAsia="en-GB"/>
        </w:rPr>
        <w:t>What</w:t>
      </w:r>
      <w:proofErr w:type="gramEnd"/>
      <w:r w:rsidRPr="00A055C6">
        <w:rPr>
          <w:rFonts w:ascii="Arial" w:eastAsia="Times New Roman" w:hAnsi="Arial" w:cs="Arial"/>
          <w:i/>
          <w:lang w:eastAsia="en-GB"/>
        </w:rPr>
        <w:t xml:space="preserve"> are the Benefits for Dementia Patients of Being in Care Homes?</w:t>
      </w:r>
      <w:r w:rsidR="00A055C6">
        <w:rPr>
          <w:rFonts w:ascii="Arial" w:eastAsia="Times New Roman" w:hAnsi="Arial" w:cs="Arial"/>
          <w:i/>
          <w:lang w:eastAsia="en-GB"/>
        </w:rPr>
        <w:t xml:space="preserve"> </w:t>
      </w:r>
      <w:r w:rsidR="00A055C6">
        <w:rPr>
          <w:rFonts w:ascii="Arial" w:eastAsia="Times New Roman" w:hAnsi="Arial" w:cs="Arial"/>
          <w:lang w:eastAsia="en-GB"/>
        </w:rPr>
        <w:t xml:space="preserve">[Image]. Available at: </w:t>
      </w:r>
      <w:hyperlink r:id="rId10" w:history="1">
        <w:r w:rsidR="00A055C6" w:rsidRPr="00BE7A5A">
          <w:rPr>
            <w:rStyle w:val="Hyperlink"/>
            <w:rFonts w:ascii="Arial" w:eastAsia="Times New Roman" w:hAnsi="Arial" w:cs="Arial"/>
            <w:lang w:eastAsia="en-GB"/>
          </w:rPr>
          <w:t>https://eastleighcarehomes.co.uk/blog/what-are-the-benefits-for-dementia-patients-of-being-in-care-homes/</w:t>
        </w:r>
      </w:hyperlink>
      <w:r w:rsidR="00A055C6">
        <w:rPr>
          <w:rFonts w:ascii="Arial" w:eastAsia="Times New Roman" w:hAnsi="Arial" w:cs="Arial"/>
          <w:lang w:eastAsia="en-GB"/>
        </w:rPr>
        <w:t xml:space="preserve"> (Accessed: 17 Oct 2025). </w:t>
      </w:r>
    </w:p>
    <w:p w:rsidR="008356BB" w:rsidRPr="00E745A9" w:rsidRDefault="008356BB" w:rsidP="008356BB">
      <w:pPr>
        <w:spacing w:before="100" w:beforeAutospacing="1" w:after="100" w:afterAutospacing="1" w:line="360" w:lineRule="auto"/>
        <w:jc w:val="both"/>
        <w:rPr>
          <w:rFonts w:ascii="Arial" w:eastAsia="Times New Roman" w:hAnsi="Arial" w:cs="Arial"/>
          <w:lang w:eastAsia="en-GB"/>
        </w:rPr>
      </w:pPr>
      <w:r w:rsidRPr="00E745A9">
        <w:rPr>
          <w:rFonts w:ascii="Arial" w:eastAsia="Times New Roman" w:hAnsi="Arial" w:cs="Arial"/>
          <w:lang w:eastAsia="en-GB"/>
        </w:rPr>
        <w:t xml:space="preserve">Erikson, E.H. (1963) </w:t>
      </w:r>
      <w:r w:rsidRPr="00E745A9">
        <w:rPr>
          <w:rFonts w:ascii="Arial" w:eastAsia="Times New Roman" w:hAnsi="Arial" w:cs="Arial"/>
          <w:i/>
          <w:iCs/>
          <w:lang w:eastAsia="en-GB"/>
        </w:rPr>
        <w:t>Childhood and Society.</w:t>
      </w:r>
      <w:r w:rsidRPr="00E745A9">
        <w:rPr>
          <w:rFonts w:ascii="Arial" w:eastAsia="Times New Roman" w:hAnsi="Arial" w:cs="Arial"/>
          <w:lang w:eastAsia="en-GB"/>
        </w:rPr>
        <w:t xml:space="preserve"> </w:t>
      </w:r>
      <w:r w:rsidR="00A2390C">
        <w:rPr>
          <w:rFonts w:ascii="Arial" w:eastAsia="Times New Roman" w:hAnsi="Arial" w:cs="Arial"/>
          <w:lang w:eastAsia="en-GB"/>
        </w:rPr>
        <w:t>(</w:t>
      </w:r>
      <w:r w:rsidRPr="00E745A9">
        <w:rPr>
          <w:rFonts w:ascii="Arial" w:eastAsia="Times New Roman" w:hAnsi="Arial" w:cs="Arial"/>
          <w:lang w:eastAsia="en-GB"/>
        </w:rPr>
        <w:t xml:space="preserve">2nd </w:t>
      </w:r>
      <w:proofErr w:type="spellStart"/>
      <w:r w:rsidRPr="00E745A9">
        <w:rPr>
          <w:rFonts w:ascii="Arial" w:eastAsia="Times New Roman" w:hAnsi="Arial" w:cs="Arial"/>
          <w:lang w:eastAsia="en-GB"/>
        </w:rPr>
        <w:t>edn</w:t>
      </w:r>
      <w:proofErr w:type="spellEnd"/>
      <w:r w:rsidR="00A2390C">
        <w:rPr>
          <w:rFonts w:ascii="Arial" w:eastAsia="Times New Roman" w:hAnsi="Arial" w:cs="Arial"/>
          <w:lang w:eastAsia="en-GB"/>
        </w:rPr>
        <w:t>)</w:t>
      </w:r>
      <w:r w:rsidRPr="00E745A9">
        <w:rPr>
          <w:rFonts w:ascii="Arial" w:eastAsia="Times New Roman" w:hAnsi="Arial" w:cs="Arial"/>
          <w:lang w:eastAsia="en-GB"/>
        </w:rPr>
        <w:t>. New York: Norton.</w:t>
      </w:r>
    </w:p>
    <w:p w:rsidR="00264EEB" w:rsidRPr="00264EEB" w:rsidRDefault="00264EEB" w:rsidP="00264EEB">
      <w:pPr>
        <w:spacing w:line="360" w:lineRule="auto"/>
        <w:rPr>
          <w:rFonts w:ascii="Arial" w:eastAsia="Times New Roman" w:hAnsi="Arial" w:cs="Arial"/>
          <w:lang w:eastAsia="en-GB"/>
        </w:rPr>
      </w:pPr>
      <w:r w:rsidRPr="00264EEB">
        <w:rPr>
          <w:rFonts w:ascii="Arial" w:eastAsia="Times New Roman" w:hAnsi="Arial" w:cs="Arial"/>
          <w:lang w:eastAsia="en-GB"/>
        </w:rPr>
        <w:t xml:space="preserve">Gibbs, G. (1988) </w:t>
      </w:r>
      <w:r w:rsidRPr="00264EEB">
        <w:rPr>
          <w:rFonts w:ascii="Arial" w:eastAsia="Times New Roman" w:hAnsi="Arial" w:cs="Arial"/>
          <w:i/>
          <w:lang w:eastAsia="en-GB"/>
        </w:rPr>
        <w:t>Learning by doing: A guide to teaching and learning methods</w:t>
      </w:r>
      <w:r w:rsidRPr="00264EEB">
        <w:rPr>
          <w:rFonts w:ascii="Arial" w:eastAsia="Times New Roman" w:hAnsi="Arial" w:cs="Arial"/>
          <w:lang w:eastAsia="en-GB"/>
        </w:rPr>
        <w:t xml:space="preserve">. </w:t>
      </w:r>
      <w:r>
        <w:rPr>
          <w:rFonts w:ascii="Arial" w:eastAsia="Times New Roman" w:hAnsi="Arial" w:cs="Arial"/>
          <w:lang w:eastAsia="en-GB"/>
        </w:rPr>
        <w:t xml:space="preserve">Oxford: </w:t>
      </w:r>
      <w:r w:rsidRPr="00264EEB">
        <w:rPr>
          <w:rFonts w:ascii="Arial" w:eastAsia="Times New Roman" w:hAnsi="Arial" w:cs="Arial"/>
          <w:lang w:eastAsia="en-GB"/>
        </w:rPr>
        <w:t>Further Educational Unit, Oxford Polytechnic.</w:t>
      </w:r>
    </w:p>
    <w:p w:rsidR="008356BB" w:rsidRPr="00E745A9" w:rsidRDefault="004015B4" w:rsidP="008356BB">
      <w:pPr>
        <w:spacing w:before="100" w:beforeAutospacing="1" w:after="100" w:afterAutospacing="1" w:line="360" w:lineRule="auto"/>
        <w:jc w:val="both"/>
        <w:rPr>
          <w:rFonts w:ascii="Arial" w:eastAsia="Times New Roman" w:hAnsi="Arial" w:cs="Arial"/>
          <w:lang w:eastAsia="en-GB"/>
        </w:rPr>
      </w:pPr>
      <w:proofErr w:type="spellStart"/>
      <w:r w:rsidRPr="004015B4">
        <w:rPr>
          <w:rFonts w:ascii="Arial" w:eastAsia="Times New Roman" w:hAnsi="Arial" w:cs="Arial"/>
          <w:lang w:eastAsia="en-GB"/>
        </w:rPr>
        <w:t>Hanser</w:t>
      </w:r>
      <w:proofErr w:type="spellEnd"/>
      <w:r w:rsidRPr="004015B4">
        <w:rPr>
          <w:rFonts w:ascii="Arial" w:eastAsia="Times New Roman" w:hAnsi="Arial" w:cs="Arial"/>
          <w:lang w:eastAsia="en-GB"/>
        </w:rPr>
        <w:t xml:space="preserve">, </w:t>
      </w:r>
      <w:r w:rsidR="00497CD3">
        <w:rPr>
          <w:rFonts w:ascii="Arial" w:eastAsia="Times New Roman" w:hAnsi="Arial" w:cs="Arial"/>
          <w:lang w:eastAsia="en-GB"/>
        </w:rPr>
        <w:t>S. B., and</w:t>
      </w:r>
      <w:r>
        <w:rPr>
          <w:rFonts w:ascii="Arial" w:eastAsia="Times New Roman" w:hAnsi="Arial" w:cs="Arial"/>
          <w:lang w:eastAsia="en-GB"/>
        </w:rPr>
        <w:t xml:space="preserve"> Thompson, L. W. (1994)</w:t>
      </w:r>
      <w:r w:rsidRPr="004015B4">
        <w:rPr>
          <w:rFonts w:ascii="Arial" w:eastAsia="Times New Roman" w:hAnsi="Arial" w:cs="Arial"/>
          <w:lang w:eastAsia="en-GB"/>
        </w:rPr>
        <w:t xml:space="preserve"> </w:t>
      </w:r>
      <w:r>
        <w:rPr>
          <w:rFonts w:ascii="Arial" w:eastAsia="Times New Roman" w:hAnsi="Arial" w:cs="Arial"/>
          <w:lang w:eastAsia="en-GB"/>
        </w:rPr>
        <w:t>‘</w:t>
      </w:r>
      <w:r w:rsidRPr="004015B4">
        <w:rPr>
          <w:rFonts w:ascii="Arial" w:eastAsia="Times New Roman" w:hAnsi="Arial" w:cs="Arial"/>
          <w:lang w:eastAsia="en-GB"/>
        </w:rPr>
        <w:t>Effects of a music therapy strategy on depressed older adults</w:t>
      </w:r>
      <w:r>
        <w:rPr>
          <w:rFonts w:ascii="Arial" w:eastAsia="Times New Roman" w:hAnsi="Arial" w:cs="Arial"/>
          <w:lang w:eastAsia="en-GB"/>
        </w:rPr>
        <w:t>’,</w:t>
      </w:r>
      <w:r w:rsidRPr="004015B4">
        <w:rPr>
          <w:rFonts w:ascii="Arial" w:eastAsia="Times New Roman" w:hAnsi="Arial" w:cs="Arial"/>
          <w:lang w:eastAsia="en-GB"/>
        </w:rPr>
        <w:t xml:space="preserve"> </w:t>
      </w:r>
      <w:r w:rsidRPr="004015B4">
        <w:rPr>
          <w:rFonts w:ascii="Arial" w:eastAsia="Times New Roman" w:hAnsi="Arial" w:cs="Arial"/>
          <w:i/>
          <w:lang w:eastAsia="en-GB"/>
        </w:rPr>
        <w:t>Journal of gerontology</w:t>
      </w:r>
      <w:r>
        <w:rPr>
          <w:rFonts w:ascii="Arial" w:eastAsia="Times New Roman" w:hAnsi="Arial" w:cs="Arial"/>
          <w:lang w:eastAsia="en-GB"/>
        </w:rPr>
        <w:t>,</w:t>
      </w:r>
      <w:r w:rsidRPr="004015B4">
        <w:rPr>
          <w:rFonts w:ascii="Arial" w:eastAsia="Times New Roman" w:hAnsi="Arial" w:cs="Arial"/>
          <w:lang w:eastAsia="en-GB"/>
        </w:rPr>
        <w:t xml:space="preserve"> 49(6), P265–P269.</w:t>
      </w:r>
    </w:p>
    <w:p w:rsidR="006C3CC3" w:rsidRPr="00E745A9" w:rsidRDefault="006C3CC3" w:rsidP="006C3CC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Hoe, J., and Thompson, R. (2010)</w:t>
      </w:r>
      <w:r w:rsidRPr="00D13388">
        <w:rPr>
          <w:rFonts w:ascii="Arial" w:eastAsia="Times New Roman" w:hAnsi="Arial" w:cs="Arial"/>
          <w:lang w:eastAsia="en-GB"/>
        </w:rPr>
        <w:t xml:space="preserve"> </w:t>
      </w:r>
      <w:r>
        <w:rPr>
          <w:rFonts w:ascii="Arial" w:eastAsia="Times New Roman" w:hAnsi="Arial" w:cs="Arial"/>
          <w:lang w:eastAsia="en-GB"/>
        </w:rPr>
        <w:t>‘</w:t>
      </w:r>
      <w:r w:rsidRPr="00D13388">
        <w:rPr>
          <w:rFonts w:ascii="Arial" w:eastAsia="Times New Roman" w:hAnsi="Arial" w:cs="Arial"/>
          <w:lang w:eastAsia="en-GB"/>
        </w:rPr>
        <w:t>Promoting positive approaches to dementia care in nursing</w:t>
      </w:r>
      <w:r>
        <w:rPr>
          <w:rFonts w:ascii="Arial" w:eastAsia="Times New Roman" w:hAnsi="Arial" w:cs="Arial"/>
          <w:lang w:eastAsia="en-GB"/>
        </w:rPr>
        <w:t>’,</w:t>
      </w:r>
      <w:r w:rsidRPr="00D13388">
        <w:rPr>
          <w:rFonts w:ascii="Arial" w:eastAsia="Times New Roman" w:hAnsi="Arial" w:cs="Arial"/>
          <w:lang w:eastAsia="en-GB"/>
        </w:rPr>
        <w:t xml:space="preserve"> </w:t>
      </w:r>
      <w:proofErr w:type="gramStart"/>
      <w:r w:rsidRPr="00D13388">
        <w:rPr>
          <w:rFonts w:ascii="Arial" w:eastAsia="Times New Roman" w:hAnsi="Arial" w:cs="Arial"/>
          <w:i/>
          <w:lang w:eastAsia="en-GB"/>
        </w:rPr>
        <w:t>Nursing</w:t>
      </w:r>
      <w:proofErr w:type="gramEnd"/>
      <w:r w:rsidRPr="00D13388">
        <w:rPr>
          <w:rFonts w:ascii="Arial" w:eastAsia="Times New Roman" w:hAnsi="Arial" w:cs="Arial"/>
          <w:i/>
          <w:lang w:eastAsia="en-GB"/>
        </w:rPr>
        <w:t xml:space="preserve"> standard (Royal College of Nursing (Great Britain)</w:t>
      </w:r>
      <w:r>
        <w:rPr>
          <w:rFonts w:ascii="Arial" w:eastAsia="Times New Roman" w:hAnsi="Arial" w:cs="Arial"/>
          <w:lang w:eastAsia="en-GB"/>
        </w:rPr>
        <w:t>: 1987), 25(4), 47–58</w:t>
      </w:r>
      <w:r w:rsidRPr="00E745A9">
        <w:rPr>
          <w:rFonts w:ascii="Arial" w:eastAsia="Times New Roman" w:hAnsi="Arial" w:cs="Arial"/>
          <w:lang w:eastAsia="en-GB"/>
        </w:rPr>
        <w:t>.</w:t>
      </w:r>
    </w:p>
    <w:p w:rsidR="008356BB" w:rsidRPr="00E745A9" w:rsidRDefault="008356BB" w:rsidP="008356BB">
      <w:pPr>
        <w:spacing w:before="100" w:beforeAutospacing="1" w:after="100" w:afterAutospacing="1" w:line="360" w:lineRule="auto"/>
        <w:jc w:val="both"/>
        <w:rPr>
          <w:rFonts w:ascii="Arial" w:eastAsia="Times New Roman" w:hAnsi="Arial" w:cs="Arial"/>
          <w:lang w:eastAsia="en-GB"/>
        </w:rPr>
      </w:pPr>
      <w:proofErr w:type="spellStart"/>
      <w:r w:rsidRPr="00E745A9">
        <w:rPr>
          <w:rFonts w:ascii="Arial" w:eastAsia="Times New Roman" w:hAnsi="Arial" w:cs="Arial"/>
          <w:lang w:eastAsia="en-GB"/>
        </w:rPr>
        <w:t>Kitwood</w:t>
      </w:r>
      <w:proofErr w:type="spellEnd"/>
      <w:r w:rsidRPr="00E745A9">
        <w:rPr>
          <w:rFonts w:ascii="Arial" w:eastAsia="Times New Roman" w:hAnsi="Arial" w:cs="Arial"/>
          <w:lang w:eastAsia="en-GB"/>
        </w:rPr>
        <w:t xml:space="preserve">, T. (1997) </w:t>
      </w:r>
      <w:r w:rsidRPr="00E745A9">
        <w:rPr>
          <w:rFonts w:ascii="Arial" w:eastAsia="Times New Roman" w:hAnsi="Arial" w:cs="Arial"/>
          <w:i/>
          <w:iCs/>
          <w:lang w:eastAsia="en-GB"/>
        </w:rPr>
        <w:t>Dementia Reconsidered: The Person Comes First.</w:t>
      </w:r>
      <w:r w:rsidRPr="00E745A9">
        <w:rPr>
          <w:rFonts w:ascii="Arial" w:eastAsia="Times New Roman" w:hAnsi="Arial" w:cs="Arial"/>
          <w:lang w:eastAsia="en-GB"/>
        </w:rPr>
        <w:t xml:space="preserve"> Buckingham: Open University Press.</w:t>
      </w:r>
    </w:p>
    <w:p w:rsidR="008356BB" w:rsidRPr="00E47261" w:rsidRDefault="00E47261" w:rsidP="00E47261">
      <w:pPr>
        <w:spacing w:before="100" w:beforeAutospacing="1" w:after="100" w:afterAutospacing="1" w:line="360" w:lineRule="auto"/>
        <w:jc w:val="both"/>
        <w:rPr>
          <w:rFonts w:ascii="Arial" w:eastAsia="Times New Roman" w:hAnsi="Arial" w:cs="Arial"/>
          <w:lang w:eastAsia="en-GB"/>
        </w:rPr>
      </w:pPr>
      <w:r w:rsidRPr="00E47261">
        <w:rPr>
          <w:rFonts w:ascii="Arial" w:hAnsi="Arial" w:cs="Arial"/>
          <w:color w:val="333333"/>
          <w:shd w:val="clear" w:color="auto" w:fill="FFFFFF"/>
        </w:rPr>
        <w:t xml:space="preserve">Maier, S. F., </w:t>
      </w:r>
      <w:r>
        <w:rPr>
          <w:rFonts w:ascii="Arial" w:hAnsi="Arial" w:cs="Arial"/>
          <w:color w:val="333333"/>
          <w:shd w:val="clear" w:color="auto" w:fill="FFFFFF"/>
        </w:rPr>
        <w:t>and Seligman, M. E. (1976)</w:t>
      </w:r>
      <w:r w:rsidRPr="00E47261">
        <w:rPr>
          <w:rFonts w:ascii="Arial" w:hAnsi="Arial" w:cs="Arial"/>
          <w:color w:val="333333"/>
          <w:shd w:val="clear" w:color="auto" w:fill="FFFFFF"/>
        </w:rPr>
        <w:t xml:space="preserve"> </w:t>
      </w:r>
      <w:r>
        <w:rPr>
          <w:rFonts w:ascii="Arial" w:hAnsi="Arial" w:cs="Arial"/>
          <w:color w:val="333333"/>
          <w:shd w:val="clear" w:color="auto" w:fill="FFFFFF"/>
        </w:rPr>
        <w:t>‘</w:t>
      </w:r>
      <w:r w:rsidRPr="00E47261">
        <w:rPr>
          <w:rFonts w:ascii="Arial" w:hAnsi="Arial" w:cs="Arial"/>
          <w:color w:val="333333"/>
          <w:shd w:val="clear" w:color="auto" w:fill="FFFFFF"/>
        </w:rPr>
        <w:t>Learned helplessness: Theory and evidence</w:t>
      </w:r>
      <w:r>
        <w:rPr>
          <w:rFonts w:ascii="Arial" w:hAnsi="Arial" w:cs="Arial"/>
          <w:color w:val="333333"/>
          <w:shd w:val="clear" w:color="auto" w:fill="FFFFFF"/>
        </w:rPr>
        <w:t>’,</w:t>
      </w:r>
      <w:r w:rsidRPr="00E47261">
        <w:rPr>
          <w:rFonts w:ascii="Arial" w:hAnsi="Arial" w:cs="Arial"/>
          <w:color w:val="333333"/>
          <w:shd w:val="clear" w:color="auto" w:fill="FFFFFF"/>
        </w:rPr>
        <w:t> </w:t>
      </w:r>
      <w:r w:rsidRPr="00E47261">
        <w:rPr>
          <w:rStyle w:val="Emphasis"/>
          <w:rFonts w:ascii="Arial" w:hAnsi="Arial" w:cs="Arial"/>
          <w:color w:val="333333"/>
          <w:shd w:val="clear" w:color="auto" w:fill="FFFFFF"/>
        </w:rPr>
        <w:t xml:space="preserve">Journal of Experimental Psychology: General, </w:t>
      </w:r>
      <w:r w:rsidRPr="00E47261">
        <w:rPr>
          <w:rStyle w:val="Emphasis"/>
          <w:rFonts w:ascii="Arial" w:hAnsi="Arial" w:cs="Arial"/>
          <w:i w:val="0"/>
          <w:color w:val="333333"/>
          <w:shd w:val="clear" w:color="auto" w:fill="FFFFFF"/>
        </w:rPr>
        <w:t>105</w:t>
      </w:r>
      <w:r w:rsidRPr="00E47261">
        <w:rPr>
          <w:rFonts w:ascii="Arial" w:hAnsi="Arial" w:cs="Arial"/>
          <w:color w:val="333333"/>
          <w:shd w:val="clear" w:color="auto" w:fill="FFFFFF"/>
        </w:rPr>
        <w:t>(1), 3–46</w:t>
      </w:r>
      <w:r w:rsidR="008356BB" w:rsidRPr="00E47261">
        <w:rPr>
          <w:rFonts w:ascii="Arial" w:eastAsia="Times New Roman" w:hAnsi="Arial" w:cs="Arial"/>
          <w:lang w:eastAsia="en-GB"/>
        </w:rPr>
        <w:t>.</w:t>
      </w:r>
    </w:p>
    <w:p w:rsidR="00755DEF" w:rsidRDefault="00755DEF" w:rsidP="00BC7BC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Main, P. (202</w:t>
      </w:r>
      <w:r w:rsidR="009D232F">
        <w:rPr>
          <w:rFonts w:ascii="Arial" w:eastAsia="Times New Roman" w:hAnsi="Arial" w:cs="Arial"/>
          <w:lang w:eastAsia="en-GB"/>
        </w:rPr>
        <w:t>2</w:t>
      </w:r>
      <w:r>
        <w:rPr>
          <w:rFonts w:ascii="Arial" w:eastAsia="Times New Roman" w:hAnsi="Arial" w:cs="Arial"/>
          <w:lang w:eastAsia="en-GB"/>
        </w:rPr>
        <w:t xml:space="preserve">) </w:t>
      </w:r>
      <w:r w:rsidR="009D232F" w:rsidRPr="009D232F">
        <w:rPr>
          <w:rFonts w:ascii="Arial" w:eastAsia="Times New Roman" w:hAnsi="Arial" w:cs="Arial"/>
          <w:i/>
          <w:lang w:eastAsia="en-GB"/>
        </w:rPr>
        <w:t>Social Learning Theory - Bandura</w:t>
      </w:r>
      <w:r>
        <w:rPr>
          <w:rFonts w:ascii="Arial" w:eastAsia="Times New Roman" w:hAnsi="Arial" w:cs="Arial"/>
          <w:i/>
          <w:lang w:eastAsia="en-GB"/>
        </w:rPr>
        <w:t>.</w:t>
      </w:r>
      <w:r w:rsidR="009D232F">
        <w:rPr>
          <w:rFonts w:ascii="Arial" w:eastAsia="Times New Roman" w:hAnsi="Arial" w:cs="Arial"/>
          <w:lang w:eastAsia="en-GB"/>
        </w:rPr>
        <w:t xml:space="preserve"> [Image].</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11" w:history="1">
        <w:r w:rsidR="009D232F" w:rsidRPr="00BE7A5A">
          <w:rPr>
            <w:rStyle w:val="Hyperlink"/>
            <w:rFonts w:ascii="Arial" w:eastAsia="Times New Roman" w:hAnsi="Arial" w:cs="Arial"/>
            <w:lang w:eastAsia="en-GB"/>
          </w:rPr>
          <w:t>https://www.structural-learning.com/post/social-learning-theory-bandura</w:t>
        </w:r>
      </w:hyperlink>
      <w:r w:rsidR="009D232F">
        <w:rPr>
          <w:rFonts w:ascii="Arial" w:eastAsia="Times New Roman" w:hAnsi="Arial" w:cs="Arial"/>
          <w:lang w:eastAsia="en-GB"/>
        </w:rPr>
        <w:t xml:space="preserve"> </w:t>
      </w:r>
      <w:r>
        <w:rPr>
          <w:rFonts w:ascii="Arial" w:eastAsia="Times New Roman" w:hAnsi="Arial" w:cs="Arial"/>
          <w:lang w:eastAsia="en-GB"/>
        </w:rPr>
        <w:t>(Accessed: 20 Oct 2025).</w:t>
      </w:r>
    </w:p>
    <w:p w:rsidR="009D232F" w:rsidRPr="00755DEF" w:rsidRDefault="009D232F" w:rsidP="009D232F">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lastRenderedPageBreak/>
        <w:t>Main, P. (2023</w:t>
      </w:r>
      <w:r>
        <w:rPr>
          <w:rFonts w:ascii="Arial" w:eastAsia="Times New Roman" w:hAnsi="Arial" w:cs="Arial"/>
          <w:lang w:eastAsia="en-GB"/>
        </w:rPr>
        <w:t xml:space="preserve">) </w:t>
      </w:r>
      <w:r w:rsidRPr="00755DEF">
        <w:rPr>
          <w:rFonts w:ascii="Arial" w:eastAsia="Times New Roman" w:hAnsi="Arial" w:cs="Arial"/>
          <w:i/>
          <w:lang w:eastAsia="en-GB"/>
        </w:rPr>
        <w:t>Erikson's Psychosocial Development Stages</w:t>
      </w:r>
      <w:r>
        <w:rPr>
          <w:rFonts w:ascii="Arial" w:eastAsia="Times New Roman" w:hAnsi="Arial" w:cs="Arial"/>
          <w:i/>
          <w:lang w:eastAsia="en-GB"/>
        </w:rPr>
        <w:t>.</w:t>
      </w:r>
      <w:r>
        <w:rPr>
          <w:rFonts w:ascii="Arial" w:eastAsia="Times New Roman" w:hAnsi="Arial" w:cs="Arial"/>
          <w:lang w:eastAsia="en-GB"/>
        </w:rPr>
        <w:t xml:space="preserve"> [Image].</w:t>
      </w:r>
      <w:r>
        <w:rPr>
          <w:rFonts w:ascii="Arial" w:eastAsia="Times New Roman" w:hAnsi="Arial" w:cs="Arial"/>
          <w:i/>
          <w:lang w:eastAsia="en-GB"/>
        </w:rPr>
        <w:t xml:space="preserve"> </w:t>
      </w:r>
      <w:r>
        <w:rPr>
          <w:rFonts w:ascii="Arial" w:eastAsia="Times New Roman" w:hAnsi="Arial" w:cs="Arial"/>
          <w:lang w:eastAsia="en-GB"/>
        </w:rPr>
        <w:t xml:space="preserve">Available at: </w:t>
      </w:r>
      <w:hyperlink r:id="rId12" w:history="1">
        <w:r w:rsidRPr="00BE7A5A">
          <w:rPr>
            <w:rStyle w:val="Hyperlink"/>
            <w:rFonts w:ascii="Arial" w:eastAsia="Times New Roman" w:hAnsi="Arial" w:cs="Arial"/>
            <w:lang w:eastAsia="en-GB"/>
          </w:rPr>
          <w:t>https://www.structural-learning.com/post/eriksons-psychosocial-development-stages</w:t>
        </w:r>
      </w:hyperlink>
      <w:r>
        <w:rPr>
          <w:rFonts w:ascii="Arial" w:eastAsia="Times New Roman" w:hAnsi="Arial" w:cs="Arial"/>
          <w:lang w:eastAsia="en-GB"/>
        </w:rPr>
        <w:t xml:space="preserve"> (Accessed: 20 Oct 2025).</w:t>
      </w:r>
    </w:p>
    <w:p w:rsidR="008356BB" w:rsidRPr="00E745A9" w:rsidRDefault="00472CB6" w:rsidP="008356BB">
      <w:pPr>
        <w:spacing w:before="100" w:beforeAutospacing="1" w:after="100" w:afterAutospacing="1" w:line="360" w:lineRule="auto"/>
        <w:jc w:val="both"/>
        <w:rPr>
          <w:rFonts w:ascii="Arial" w:eastAsia="Times New Roman" w:hAnsi="Arial" w:cs="Arial"/>
          <w:lang w:eastAsia="en-GB"/>
        </w:rPr>
      </w:pPr>
      <w:r w:rsidRPr="00472CB6">
        <w:rPr>
          <w:rFonts w:ascii="Arial" w:eastAsia="Times New Roman" w:hAnsi="Arial" w:cs="Arial"/>
          <w:lang w:eastAsia="en-GB"/>
        </w:rPr>
        <w:t xml:space="preserve">Woods, B., </w:t>
      </w:r>
      <w:proofErr w:type="spellStart"/>
      <w:r w:rsidRPr="00472CB6">
        <w:rPr>
          <w:rFonts w:ascii="Arial" w:eastAsia="Times New Roman" w:hAnsi="Arial" w:cs="Arial"/>
          <w:lang w:eastAsia="en-GB"/>
        </w:rPr>
        <w:t>O'Philbin</w:t>
      </w:r>
      <w:proofErr w:type="spellEnd"/>
      <w:r w:rsidRPr="00472CB6">
        <w:rPr>
          <w:rFonts w:ascii="Arial" w:eastAsia="Times New Roman" w:hAnsi="Arial" w:cs="Arial"/>
          <w:lang w:eastAsia="en-GB"/>
        </w:rPr>
        <w:t>, L., Farrell, E. M., Spec</w:t>
      </w:r>
      <w:r>
        <w:rPr>
          <w:rFonts w:ascii="Arial" w:eastAsia="Times New Roman" w:hAnsi="Arial" w:cs="Arial"/>
          <w:lang w:eastAsia="en-GB"/>
        </w:rPr>
        <w:t xml:space="preserve">tor, A. E., &amp; </w:t>
      </w:r>
      <w:proofErr w:type="spellStart"/>
      <w:r>
        <w:rPr>
          <w:rFonts w:ascii="Arial" w:eastAsia="Times New Roman" w:hAnsi="Arial" w:cs="Arial"/>
          <w:lang w:eastAsia="en-GB"/>
        </w:rPr>
        <w:t>Orrell</w:t>
      </w:r>
      <w:proofErr w:type="spellEnd"/>
      <w:r>
        <w:rPr>
          <w:rFonts w:ascii="Arial" w:eastAsia="Times New Roman" w:hAnsi="Arial" w:cs="Arial"/>
          <w:lang w:eastAsia="en-GB"/>
        </w:rPr>
        <w:t>, M. (2018)</w:t>
      </w:r>
      <w:r w:rsidRPr="00472CB6">
        <w:rPr>
          <w:rFonts w:ascii="Arial" w:eastAsia="Times New Roman" w:hAnsi="Arial" w:cs="Arial"/>
          <w:lang w:eastAsia="en-GB"/>
        </w:rPr>
        <w:t xml:space="preserve"> </w:t>
      </w:r>
      <w:r>
        <w:rPr>
          <w:rFonts w:ascii="Arial" w:eastAsia="Times New Roman" w:hAnsi="Arial" w:cs="Arial"/>
          <w:lang w:eastAsia="en-GB"/>
        </w:rPr>
        <w:t>‘</w:t>
      </w:r>
      <w:r w:rsidRPr="00472CB6">
        <w:rPr>
          <w:rFonts w:ascii="Arial" w:eastAsia="Times New Roman" w:hAnsi="Arial" w:cs="Arial"/>
          <w:lang w:eastAsia="en-GB"/>
        </w:rPr>
        <w:t>Reminiscence therapy for dementia</w:t>
      </w:r>
      <w:r>
        <w:rPr>
          <w:rFonts w:ascii="Arial" w:eastAsia="Times New Roman" w:hAnsi="Arial" w:cs="Arial"/>
          <w:lang w:eastAsia="en-GB"/>
        </w:rPr>
        <w:t>’,</w:t>
      </w:r>
      <w:r w:rsidRPr="00472CB6">
        <w:rPr>
          <w:rFonts w:ascii="Arial" w:eastAsia="Times New Roman" w:hAnsi="Arial" w:cs="Arial"/>
          <w:lang w:eastAsia="en-GB"/>
        </w:rPr>
        <w:t xml:space="preserve"> </w:t>
      </w:r>
      <w:r w:rsidRPr="00472CB6">
        <w:rPr>
          <w:rFonts w:ascii="Arial" w:eastAsia="Times New Roman" w:hAnsi="Arial" w:cs="Arial"/>
          <w:i/>
          <w:lang w:eastAsia="en-GB"/>
        </w:rPr>
        <w:t>The Cochrane database of systematic reviews</w:t>
      </w:r>
      <w:r w:rsidRPr="00472CB6">
        <w:rPr>
          <w:rFonts w:ascii="Arial" w:eastAsia="Times New Roman" w:hAnsi="Arial" w:cs="Arial"/>
          <w:lang w:eastAsia="en-GB"/>
        </w:rPr>
        <w:t>, 3(3), CD001120.</w:t>
      </w:r>
    </w:p>
    <w:p w:rsidR="00735F75" w:rsidRDefault="000F0ECE" w:rsidP="008356BB">
      <w:pPr>
        <w:spacing w:line="360" w:lineRule="auto"/>
        <w:jc w:val="both"/>
      </w:pPr>
    </w:p>
    <w:sectPr w:rsidR="00735F75">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F0ECE" w:rsidRDefault="000F0ECE" w:rsidP="00DD2D4E">
      <w:pPr>
        <w:spacing w:after="0" w:line="240" w:lineRule="auto"/>
      </w:pPr>
      <w:r>
        <w:separator/>
      </w:r>
    </w:p>
  </w:endnote>
  <w:endnote w:type="continuationSeparator" w:id="0">
    <w:p w:rsidR="000F0ECE" w:rsidRDefault="000F0ECE" w:rsidP="00DD2D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2D4E" w:rsidRDefault="00DD2D4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2D4E" w:rsidRDefault="00DD2D4E">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2D4E" w:rsidRDefault="00DD2D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F0ECE" w:rsidRDefault="000F0ECE" w:rsidP="00DD2D4E">
      <w:pPr>
        <w:spacing w:after="0" w:line="240" w:lineRule="auto"/>
      </w:pPr>
      <w:r>
        <w:separator/>
      </w:r>
    </w:p>
  </w:footnote>
  <w:footnote w:type="continuationSeparator" w:id="0">
    <w:p w:rsidR="000F0ECE" w:rsidRDefault="000F0ECE" w:rsidP="00DD2D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2D4E" w:rsidRDefault="00DD2D4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9229928"/>
      <w:docPartObj>
        <w:docPartGallery w:val="Page Numbers (Top of Page)"/>
        <w:docPartUnique/>
      </w:docPartObj>
    </w:sdtPr>
    <w:sdtEndPr>
      <w:rPr>
        <w:noProof/>
      </w:rPr>
    </w:sdtEndPr>
    <w:sdtContent>
      <w:p w:rsidR="00DD2D4E" w:rsidRDefault="00DD2D4E">
        <w:pPr>
          <w:pStyle w:val="Header"/>
          <w:jc w:val="right"/>
        </w:pPr>
        <w:r>
          <w:fldChar w:fldCharType="begin"/>
        </w:r>
        <w:r>
          <w:instrText xml:space="preserve"> PAGE   \* MERGEFORMAT </w:instrText>
        </w:r>
        <w:r>
          <w:fldChar w:fldCharType="separate"/>
        </w:r>
        <w:r>
          <w:rPr>
            <w:noProof/>
          </w:rPr>
          <w:t>4</w:t>
        </w:r>
        <w:r>
          <w:rPr>
            <w:noProof/>
          </w:rPr>
          <w:fldChar w:fldCharType="end"/>
        </w:r>
      </w:p>
    </w:sdtContent>
  </w:sdt>
  <w:p w:rsidR="00DD2D4E" w:rsidRDefault="00DD2D4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2D4E" w:rsidRDefault="00DD2D4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C35AE"/>
    <w:rsid w:val="00012D6C"/>
    <w:rsid w:val="00080711"/>
    <w:rsid w:val="000A78AE"/>
    <w:rsid w:val="000D6395"/>
    <w:rsid w:val="000D7A79"/>
    <w:rsid w:val="000F0ECE"/>
    <w:rsid w:val="000F72C3"/>
    <w:rsid w:val="00136A66"/>
    <w:rsid w:val="001450F4"/>
    <w:rsid w:val="00192866"/>
    <w:rsid w:val="001B1E22"/>
    <w:rsid w:val="001B3DEC"/>
    <w:rsid w:val="001B469A"/>
    <w:rsid w:val="001C4D21"/>
    <w:rsid w:val="001E5554"/>
    <w:rsid w:val="001F395D"/>
    <w:rsid w:val="0020281F"/>
    <w:rsid w:val="00256A1A"/>
    <w:rsid w:val="00264EEB"/>
    <w:rsid w:val="00274288"/>
    <w:rsid w:val="002926E5"/>
    <w:rsid w:val="002971E9"/>
    <w:rsid w:val="002D5E88"/>
    <w:rsid w:val="00373360"/>
    <w:rsid w:val="003C3EAD"/>
    <w:rsid w:val="003D6917"/>
    <w:rsid w:val="004015B4"/>
    <w:rsid w:val="00404E42"/>
    <w:rsid w:val="00430A85"/>
    <w:rsid w:val="00445743"/>
    <w:rsid w:val="00472CB6"/>
    <w:rsid w:val="00476A99"/>
    <w:rsid w:val="00477AD9"/>
    <w:rsid w:val="00497CD3"/>
    <w:rsid w:val="004A644C"/>
    <w:rsid w:val="004E008B"/>
    <w:rsid w:val="00510452"/>
    <w:rsid w:val="00547EEF"/>
    <w:rsid w:val="005C35AE"/>
    <w:rsid w:val="005D2A92"/>
    <w:rsid w:val="005E0C07"/>
    <w:rsid w:val="00600FFA"/>
    <w:rsid w:val="0067424C"/>
    <w:rsid w:val="006C3CC3"/>
    <w:rsid w:val="006C6C02"/>
    <w:rsid w:val="006E5DC8"/>
    <w:rsid w:val="007062C8"/>
    <w:rsid w:val="0071514F"/>
    <w:rsid w:val="00755DEF"/>
    <w:rsid w:val="007B7B0A"/>
    <w:rsid w:val="007E7BB0"/>
    <w:rsid w:val="007E7C72"/>
    <w:rsid w:val="008356BB"/>
    <w:rsid w:val="00863058"/>
    <w:rsid w:val="00905150"/>
    <w:rsid w:val="00952244"/>
    <w:rsid w:val="00962E40"/>
    <w:rsid w:val="009D232F"/>
    <w:rsid w:val="009E1DD3"/>
    <w:rsid w:val="009E41F1"/>
    <w:rsid w:val="009F2424"/>
    <w:rsid w:val="00A055C6"/>
    <w:rsid w:val="00A2390C"/>
    <w:rsid w:val="00A307EC"/>
    <w:rsid w:val="00A456FF"/>
    <w:rsid w:val="00A650EA"/>
    <w:rsid w:val="00AC049D"/>
    <w:rsid w:val="00B20361"/>
    <w:rsid w:val="00B75ABB"/>
    <w:rsid w:val="00B95177"/>
    <w:rsid w:val="00B96E1B"/>
    <w:rsid w:val="00BC7BC3"/>
    <w:rsid w:val="00C15A64"/>
    <w:rsid w:val="00C175E3"/>
    <w:rsid w:val="00C24A09"/>
    <w:rsid w:val="00C655BA"/>
    <w:rsid w:val="00C67C73"/>
    <w:rsid w:val="00CC7016"/>
    <w:rsid w:val="00CE3361"/>
    <w:rsid w:val="00CF2466"/>
    <w:rsid w:val="00D13388"/>
    <w:rsid w:val="00D8119D"/>
    <w:rsid w:val="00D91DD9"/>
    <w:rsid w:val="00D94559"/>
    <w:rsid w:val="00DB2677"/>
    <w:rsid w:val="00DD2D4E"/>
    <w:rsid w:val="00E33E1C"/>
    <w:rsid w:val="00E47261"/>
    <w:rsid w:val="00E736A5"/>
    <w:rsid w:val="00E745A9"/>
    <w:rsid w:val="00EC3BD7"/>
    <w:rsid w:val="00EF24BA"/>
    <w:rsid w:val="00F010DF"/>
    <w:rsid w:val="00F16394"/>
    <w:rsid w:val="00F37019"/>
    <w:rsid w:val="00F40900"/>
    <w:rsid w:val="00F56C16"/>
    <w:rsid w:val="00F71EFE"/>
    <w:rsid w:val="00FA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9D5EE587-AF37-4B3E-A045-59016F8CE7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745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356B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356BB"/>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56BB"/>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356BB"/>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8356BB"/>
    <w:rPr>
      <w:b/>
      <w:bCs/>
    </w:rPr>
  </w:style>
  <w:style w:type="paragraph" w:styleId="NormalWeb">
    <w:name w:val="Normal (Web)"/>
    <w:basedOn w:val="Normal"/>
    <w:uiPriority w:val="99"/>
    <w:semiHidden/>
    <w:unhideWhenUsed/>
    <w:rsid w:val="008356B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356BB"/>
    <w:rPr>
      <w:i/>
      <w:iCs/>
    </w:rPr>
  </w:style>
  <w:style w:type="table" w:styleId="TableGrid">
    <w:name w:val="Table Grid"/>
    <w:basedOn w:val="TableNormal"/>
    <w:uiPriority w:val="39"/>
    <w:rsid w:val="008356B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stTable2-Accent5">
    <w:name w:val="List Table 2 Accent 5"/>
    <w:basedOn w:val="TableNormal"/>
    <w:uiPriority w:val="47"/>
    <w:rsid w:val="008356BB"/>
    <w:pPr>
      <w:spacing w:after="0" w:line="240" w:lineRule="auto"/>
    </w:pPr>
    <w:tblPr>
      <w:tblStyleRowBandSize w:val="1"/>
      <w:tblStyleColBandSize w:val="1"/>
      <w:tblInd w:w="0" w:type="dxa"/>
      <w:tblBorders>
        <w:top w:val="single" w:sz="4" w:space="0" w:color="8EAADB" w:themeColor="accent5" w:themeTint="99"/>
        <w:bottom w:val="single" w:sz="4" w:space="0" w:color="8EAADB" w:themeColor="accent5" w:themeTint="99"/>
        <w:insideH w:val="single" w:sz="4" w:space="0" w:color="8EAADB" w:themeColor="accent5" w:themeTint="99"/>
      </w:tblBorders>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ListTable5Dark-Accent6">
    <w:name w:val="List Table 5 Dark Accent 6"/>
    <w:basedOn w:val="TableNormal"/>
    <w:uiPriority w:val="50"/>
    <w:rsid w:val="008356BB"/>
    <w:pPr>
      <w:spacing w:after="0" w:line="240" w:lineRule="auto"/>
    </w:pPr>
    <w:rPr>
      <w:color w:val="FFFFFF" w:themeColor="background1"/>
    </w:rPr>
    <w:tblPr>
      <w:tblStyleRowBandSize w:val="1"/>
      <w:tblStyleColBandSize w:val="1"/>
      <w:tblInd w:w="0" w:type="dxa"/>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CellMar>
        <w:top w:w="0" w:type="dxa"/>
        <w:left w:w="108" w:type="dxa"/>
        <w:bottom w:w="0" w:type="dxa"/>
        <w:right w:w="108" w:type="dxa"/>
      </w:tblCellMar>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customStyle="1" w:styleId="Heading1Char">
    <w:name w:val="Heading 1 Char"/>
    <w:basedOn w:val="DefaultParagraphFont"/>
    <w:link w:val="Heading1"/>
    <w:uiPriority w:val="9"/>
    <w:rsid w:val="00E745A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745A9"/>
    <w:pPr>
      <w:outlineLvl w:val="9"/>
    </w:pPr>
    <w:rPr>
      <w:lang w:val="en-US"/>
    </w:rPr>
  </w:style>
  <w:style w:type="paragraph" w:styleId="TOC3">
    <w:name w:val="toc 3"/>
    <w:basedOn w:val="Normal"/>
    <w:next w:val="Normal"/>
    <w:autoRedefine/>
    <w:uiPriority w:val="39"/>
    <w:unhideWhenUsed/>
    <w:rsid w:val="00E745A9"/>
    <w:pPr>
      <w:spacing w:after="100"/>
      <w:ind w:left="440"/>
    </w:pPr>
  </w:style>
  <w:style w:type="character" w:styleId="Hyperlink">
    <w:name w:val="Hyperlink"/>
    <w:basedOn w:val="DefaultParagraphFont"/>
    <w:uiPriority w:val="99"/>
    <w:unhideWhenUsed/>
    <w:rsid w:val="00E745A9"/>
    <w:rPr>
      <w:color w:val="0563C1" w:themeColor="hyperlink"/>
      <w:u w:val="single"/>
    </w:rPr>
  </w:style>
  <w:style w:type="paragraph" w:styleId="Header">
    <w:name w:val="header"/>
    <w:basedOn w:val="Normal"/>
    <w:link w:val="HeaderChar"/>
    <w:uiPriority w:val="99"/>
    <w:unhideWhenUsed/>
    <w:rsid w:val="00DD2D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D4E"/>
  </w:style>
  <w:style w:type="paragraph" w:styleId="Footer">
    <w:name w:val="footer"/>
    <w:basedOn w:val="Normal"/>
    <w:link w:val="FooterChar"/>
    <w:uiPriority w:val="99"/>
    <w:unhideWhenUsed/>
    <w:rsid w:val="00DD2D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D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691376">
      <w:bodyDiv w:val="1"/>
      <w:marLeft w:val="0"/>
      <w:marRight w:val="0"/>
      <w:marTop w:val="0"/>
      <w:marBottom w:val="0"/>
      <w:divBdr>
        <w:top w:val="none" w:sz="0" w:space="0" w:color="auto"/>
        <w:left w:val="none" w:sz="0" w:space="0" w:color="auto"/>
        <w:bottom w:val="none" w:sz="0" w:space="0" w:color="auto"/>
        <w:right w:val="none" w:sz="0" w:space="0" w:color="auto"/>
      </w:divBdr>
    </w:div>
    <w:div w:id="512232971">
      <w:bodyDiv w:val="1"/>
      <w:marLeft w:val="0"/>
      <w:marRight w:val="0"/>
      <w:marTop w:val="0"/>
      <w:marBottom w:val="0"/>
      <w:divBdr>
        <w:top w:val="none" w:sz="0" w:space="0" w:color="auto"/>
        <w:left w:val="none" w:sz="0" w:space="0" w:color="auto"/>
        <w:bottom w:val="none" w:sz="0" w:space="0" w:color="auto"/>
        <w:right w:val="none" w:sz="0" w:space="0" w:color="auto"/>
      </w:divBdr>
    </w:div>
    <w:div w:id="523639399">
      <w:bodyDiv w:val="1"/>
      <w:marLeft w:val="0"/>
      <w:marRight w:val="0"/>
      <w:marTop w:val="0"/>
      <w:marBottom w:val="0"/>
      <w:divBdr>
        <w:top w:val="none" w:sz="0" w:space="0" w:color="auto"/>
        <w:left w:val="none" w:sz="0" w:space="0" w:color="auto"/>
        <w:bottom w:val="none" w:sz="0" w:space="0" w:color="auto"/>
        <w:right w:val="none" w:sz="0" w:space="0" w:color="auto"/>
      </w:divBdr>
    </w:div>
    <w:div w:id="631638967">
      <w:bodyDiv w:val="1"/>
      <w:marLeft w:val="0"/>
      <w:marRight w:val="0"/>
      <w:marTop w:val="0"/>
      <w:marBottom w:val="0"/>
      <w:divBdr>
        <w:top w:val="none" w:sz="0" w:space="0" w:color="auto"/>
        <w:left w:val="none" w:sz="0" w:space="0" w:color="auto"/>
        <w:bottom w:val="none" w:sz="0" w:space="0" w:color="auto"/>
        <w:right w:val="none" w:sz="0" w:space="0" w:color="auto"/>
      </w:divBdr>
    </w:div>
    <w:div w:id="642394588">
      <w:bodyDiv w:val="1"/>
      <w:marLeft w:val="0"/>
      <w:marRight w:val="0"/>
      <w:marTop w:val="0"/>
      <w:marBottom w:val="0"/>
      <w:divBdr>
        <w:top w:val="none" w:sz="0" w:space="0" w:color="auto"/>
        <w:left w:val="none" w:sz="0" w:space="0" w:color="auto"/>
        <w:bottom w:val="none" w:sz="0" w:space="0" w:color="auto"/>
        <w:right w:val="none" w:sz="0" w:space="0" w:color="auto"/>
      </w:divBdr>
    </w:div>
    <w:div w:id="851645687">
      <w:bodyDiv w:val="1"/>
      <w:marLeft w:val="0"/>
      <w:marRight w:val="0"/>
      <w:marTop w:val="0"/>
      <w:marBottom w:val="0"/>
      <w:divBdr>
        <w:top w:val="none" w:sz="0" w:space="0" w:color="auto"/>
        <w:left w:val="none" w:sz="0" w:space="0" w:color="auto"/>
        <w:bottom w:val="none" w:sz="0" w:space="0" w:color="auto"/>
        <w:right w:val="none" w:sz="0" w:space="0" w:color="auto"/>
      </w:divBdr>
    </w:div>
    <w:div w:id="863325742">
      <w:bodyDiv w:val="1"/>
      <w:marLeft w:val="0"/>
      <w:marRight w:val="0"/>
      <w:marTop w:val="0"/>
      <w:marBottom w:val="0"/>
      <w:divBdr>
        <w:top w:val="none" w:sz="0" w:space="0" w:color="auto"/>
        <w:left w:val="none" w:sz="0" w:space="0" w:color="auto"/>
        <w:bottom w:val="none" w:sz="0" w:space="0" w:color="auto"/>
        <w:right w:val="none" w:sz="0" w:space="0" w:color="auto"/>
      </w:divBdr>
    </w:div>
    <w:div w:id="865483837">
      <w:bodyDiv w:val="1"/>
      <w:marLeft w:val="0"/>
      <w:marRight w:val="0"/>
      <w:marTop w:val="0"/>
      <w:marBottom w:val="0"/>
      <w:divBdr>
        <w:top w:val="none" w:sz="0" w:space="0" w:color="auto"/>
        <w:left w:val="none" w:sz="0" w:space="0" w:color="auto"/>
        <w:bottom w:val="none" w:sz="0" w:space="0" w:color="auto"/>
        <w:right w:val="none" w:sz="0" w:space="0" w:color="auto"/>
      </w:divBdr>
    </w:div>
    <w:div w:id="953950407">
      <w:bodyDiv w:val="1"/>
      <w:marLeft w:val="0"/>
      <w:marRight w:val="0"/>
      <w:marTop w:val="0"/>
      <w:marBottom w:val="0"/>
      <w:divBdr>
        <w:top w:val="none" w:sz="0" w:space="0" w:color="auto"/>
        <w:left w:val="none" w:sz="0" w:space="0" w:color="auto"/>
        <w:bottom w:val="none" w:sz="0" w:space="0" w:color="auto"/>
        <w:right w:val="none" w:sz="0" w:space="0" w:color="auto"/>
      </w:divBdr>
    </w:div>
    <w:div w:id="1051273890">
      <w:bodyDiv w:val="1"/>
      <w:marLeft w:val="0"/>
      <w:marRight w:val="0"/>
      <w:marTop w:val="0"/>
      <w:marBottom w:val="0"/>
      <w:divBdr>
        <w:top w:val="none" w:sz="0" w:space="0" w:color="auto"/>
        <w:left w:val="none" w:sz="0" w:space="0" w:color="auto"/>
        <w:bottom w:val="none" w:sz="0" w:space="0" w:color="auto"/>
        <w:right w:val="none" w:sz="0" w:space="0" w:color="auto"/>
      </w:divBdr>
    </w:div>
    <w:div w:id="1177186480">
      <w:bodyDiv w:val="1"/>
      <w:marLeft w:val="0"/>
      <w:marRight w:val="0"/>
      <w:marTop w:val="0"/>
      <w:marBottom w:val="0"/>
      <w:divBdr>
        <w:top w:val="none" w:sz="0" w:space="0" w:color="auto"/>
        <w:left w:val="none" w:sz="0" w:space="0" w:color="auto"/>
        <w:bottom w:val="none" w:sz="0" w:space="0" w:color="auto"/>
        <w:right w:val="none" w:sz="0" w:space="0" w:color="auto"/>
      </w:divBdr>
    </w:div>
    <w:div w:id="124669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ructural-learning.com/post/eriksons-psychosocial-development-stages"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tructural-learning.com/post/social-learning-theory-bandura"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eastleighcarehomes.co.uk/blog/what-are-the-benefits-for-dementia-patients-of-being-in-care-home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F17B3-C233-4E89-82EE-BFD6B6429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10</Pages>
  <Words>2067</Words>
  <Characters>11870</Characters>
  <Application>Microsoft Office Word</Application>
  <DocSecurity>0</DocSecurity>
  <Lines>211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64</cp:revision>
  <dcterms:created xsi:type="dcterms:W3CDTF">2025-10-31T18:24:00Z</dcterms:created>
  <dcterms:modified xsi:type="dcterms:W3CDTF">2025-11-07T18:36:00Z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1be60943-1490-4b28-afd5-9a7d4848611c</vt:lpwstr>
  </property>
</Properties>
</file>