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ED620D3" w14:textId="77777777" w:rsidR="00F6472E" w:rsidRDefault="00F6472E" w:rsidP="00F6472E">
      <w:pPr>
        <w:spacing w:after="117"/>
        <w:ind w:left="2295"/>
      </w:pPr>
      <w:r>
        <w:rPr>
          <w:noProof/>
        </w:rPr>
        <w:drawing>
          <wp:inline distT="0" distB="0" distL="0" distR="0" wp14:anchorId="5D3A4EB1" wp14:editId="20E9C98D">
            <wp:extent cx="2816225" cy="673100"/>
            <wp:effectExtent l="0" t="0" r="0" b="0"/>
            <wp:docPr id="47" name="Picture 47"/>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8"/>
                    <a:stretch>
                      <a:fillRect/>
                    </a:stretch>
                  </pic:blipFill>
                  <pic:spPr>
                    <a:xfrm>
                      <a:off x="0" y="0"/>
                      <a:ext cx="2816225" cy="673100"/>
                    </a:xfrm>
                    <a:prstGeom prst="rect">
                      <a:avLst/>
                    </a:prstGeom>
                  </pic:spPr>
                </pic:pic>
              </a:graphicData>
            </a:graphic>
          </wp:inline>
        </w:drawing>
      </w:r>
      <w:r>
        <w:rPr>
          <w:sz w:val="34"/>
        </w:rPr>
        <w:t xml:space="preserve"> </w:t>
      </w:r>
    </w:p>
    <w:p w14:paraId="77B64D17" w14:textId="77777777" w:rsidR="00F6472E" w:rsidRDefault="00F6472E" w:rsidP="00F6472E">
      <w:pPr>
        <w:spacing w:after="64"/>
        <w:ind w:left="1721"/>
      </w:pPr>
      <w:r>
        <w:rPr>
          <w:sz w:val="38"/>
        </w:rPr>
        <w:t xml:space="preserve">Master of Business Administration </w:t>
      </w:r>
    </w:p>
    <w:p w14:paraId="27B850BC" w14:textId="77777777" w:rsidR="00F6472E" w:rsidRDefault="00F6472E" w:rsidP="00F6472E">
      <w:pPr>
        <w:spacing w:after="93"/>
        <w:ind w:left="2356"/>
      </w:pPr>
      <w:r>
        <w:rPr>
          <w:sz w:val="32"/>
        </w:rPr>
        <w:t xml:space="preserve">International Business pathway </w:t>
      </w:r>
    </w:p>
    <w:p w14:paraId="64FE0CFE" w14:textId="77777777" w:rsidR="00F6472E" w:rsidRDefault="00F6472E" w:rsidP="00F6472E">
      <w:pPr>
        <w:spacing w:after="185"/>
        <w:ind w:left="49"/>
        <w:jc w:val="center"/>
      </w:pPr>
      <w:r>
        <w:rPr>
          <w:sz w:val="28"/>
        </w:rPr>
        <w:t xml:space="preserve"> </w:t>
      </w:r>
    </w:p>
    <w:p w14:paraId="01455E2B" w14:textId="77777777" w:rsidR="00F6472E" w:rsidRDefault="00F6472E" w:rsidP="00F6472E">
      <w:pPr>
        <w:spacing w:after="297"/>
        <w:ind w:left="50"/>
        <w:jc w:val="center"/>
      </w:pPr>
      <w:r>
        <w:rPr>
          <w:noProof/>
        </w:rPr>
        <w:drawing>
          <wp:inline distT="0" distB="0" distL="0" distR="0" wp14:anchorId="43E5DEB8" wp14:editId="649E1108">
            <wp:extent cx="2257425" cy="2257425"/>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9"/>
                    <a:stretch>
                      <a:fillRect/>
                    </a:stretch>
                  </pic:blipFill>
                  <pic:spPr>
                    <a:xfrm>
                      <a:off x="0" y="0"/>
                      <a:ext cx="2257425" cy="2257425"/>
                    </a:xfrm>
                    <a:prstGeom prst="rect">
                      <a:avLst/>
                    </a:prstGeom>
                  </pic:spPr>
                </pic:pic>
              </a:graphicData>
            </a:graphic>
          </wp:inline>
        </w:drawing>
      </w:r>
      <w:r>
        <w:rPr>
          <w:sz w:val="28"/>
        </w:rPr>
        <w:t xml:space="preserve"> </w:t>
      </w:r>
    </w:p>
    <w:p w14:paraId="2D594B55" w14:textId="55ABCC93" w:rsidR="00F6472E" w:rsidRDefault="00F6472E" w:rsidP="00F6472E">
      <w:pPr>
        <w:pStyle w:val="Title"/>
        <w:rPr>
          <w:rFonts w:ascii="Arial" w:eastAsia="Arial" w:hAnsi="Arial" w:cs="Arial"/>
          <w:sz w:val="28"/>
          <w:szCs w:val="28"/>
        </w:rPr>
      </w:pPr>
      <w:r w:rsidRPr="00F6472E">
        <w:rPr>
          <w:rFonts w:ascii="Arial" w:eastAsia="Arial" w:hAnsi="Arial" w:cs="Arial"/>
          <w:sz w:val="28"/>
          <w:szCs w:val="28"/>
        </w:rPr>
        <w:t>Contemporary employability skills</w:t>
      </w:r>
    </w:p>
    <w:p w14:paraId="75C9EF74" w14:textId="77777777" w:rsidR="00F6472E" w:rsidRPr="00F6472E" w:rsidRDefault="00F6472E" w:rsidP="00F6472E"/>
    <w:p w14:paraId="2FA36E35" w14:textId="77777777"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 xml:space="preserve">Assessment 1: Individual report. Weight: 100% </w:t>
      </w:r>
    </w:p>
    <w:p w14:paraId="2BC7B182" w14:textId="77777777"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Module name: International Business Concept</w:t>
      </w:r>
    </w:p>
    <w:p w14:paraId="26F1A24B" w14:textId="77777777"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Module code: LCMB7034</w:t>
      </w:r>
    </w:p>
    <w:p w14:paraId="1EEBD776" w14:textId="77777777" w:rsid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Lecturer name:  Jean Wang</w:t>
      </w:r>
    </w:p>
    <w:p w14:paraId="58BDCD94" w14:textId="77777777" w:rsidR="00F6472E" w:rsidRPr="00F6472E" w:rsidRDefault="00F6472E" w:rsidP="00F6472E"/>
    <w:p w14:paraId="496A9E8A" w14:textId="3AD4154B"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 xml:space="preserve"> Student name: Arpit Khatra</w:t>
      </w:r>
    </w:p>
    <w:p w14:paraId="1A50FBB0" w14:textId="77777777"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Student ID: 2526504</w:t>
      </w:r>
    </w:p>
    <w:p w14:paraId="2FD44377" w14:textId="77777777"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 xml:space="preserve"> </w:t>
      </w:r>
    </w:p>
    <w:p w14:paraId="7D2CEC5E" w14:textId="77777777" w:rsidR="00F6472E" w:rsidRPr="00F6472E" w:rsidRDefault="00F6472E" w:rsidP="00F6472E">
      <w:pPr>
        <w:pStyle w:val="Title"/>
        <w:jc w:val="left"/>
        <w:rPr>
          <w:rFonts w:ascii="Arial" w:eastAsia="Arial" w:hAnsi="Arial" w:cs="Arial"/>
          <w:sz w:val="28"/>
          <w:szCs w:val="28"/>
        </w:rPr>
      </w:pPr>
      <w:r w:rsidRPr="00F6472E">
        <w:rPr>
          <w:rFonts w:ascii="Arial" w:eastAsia="Arial" w:hAnsi="Arial" w:cs="Arial"/>
          <w:sz w:val="28"/>
          <w:szCs w:val="28"/>
        </w:rPr>
        <w:t>Word count: 5276</w:t>
      </w:r>
    </w:p>
    <w:p w14:paraId="2A9ADFBE" w14:textId="3F74BE92" w:rsidR="002F0667" w:rsidRDefault="00F6472E" w:rsidP="00F6472E">
      <w:pPr>
        <w:pStyle w:val="Title"/>
        <w:jc w:val="left"/>
        <w:rPr>
          <w:rFonts w:ascii="Arial" w:eastAsia="Arial" w:hAnsi="Arial" w:cs="Arial"/>
        </w:rPr>
      </w:pPr>
      <w:r w:rsidRPr="00F6472E">
        <w:rPr>
          <w:rFonts w:ascii="Arial" w:eastAsia="Arial" w:hAnsi="Arial" w:cs="Arial"/>
          <w:sz w:val="28"/>
          <w:szCs w:val="28"/>
        </w:rPr>
        <w:t>Submission date: 14th August 2026</w:t>
      </w:r>
    </w:p>
    <w:p w14:paraId="12864ED3" w14:textId="77777777" w:rsidR="002F0667" w:rsidRDefault="00000000">
      <w:pPr>
        <w:rPr>
          <w:rFonts w:ascii="Arial" w:eastAsia="Arial" w:hAnsi="Arial" w:cs="Arial"/>
          <w:b/>
          <w:bCs/>
          <w:sz w:val="32"/>
          <w:szCs w:val="32"/>
        </w:rPr>
      </w:pPr>
      <w:r>
        <w:br w:type="page"/>
      </w:r>
    </w:p>
    <w:p w14:paraId="458A9D1D" w14:textId="77777777" w:rsidR="002F0667" w:rsidRDefault="00000000">
      <w:pPr>
        <w:pStyle w:val="Title"/>
        <w:jc w:val="both"/>
        <w:rPr>
          <w:rFonts w:ascii="Arial" w:eastAsia="Arial" w:hAnsi="Arial" w:cs="Arial"/>
          <w:sz w:val="28"/>
          <w:szCs w:val="28"/>
        </w:rPr>
      </w:pPr>
      <w:r>
        <w:rPr>
          <w:rFonts w:ascii="Arial" w:eastAsia="Arial" w:hAnsi="Arial" w:cs="Arial"/>
          <w:sz w:val="28"/>
          <w:szCs w:val="28"/>
        </w:rPr>
        <w:lastRenderedPageBreak/>
        <w:t xml:space="preserve">AI use acknowledgement </w:t>
      </w:r>
    </w:p>
    <w:p w14:paraId="71BA3EAB" w14:textId="77777777" w:rsidR="002F0667" w:rsidRDefault="002F0667">
      <w:pPr>
        <w:rPr>
          <w:rFonts w:ascii="Arial" w:eastAsia="Arial" w:hAnsi="Arial" w:cs="Arial"/>
        </w:rPr>
      </w:pPr>
    </w:p>
    <w:p w14:paraId="11031DDC" w14:textId="77777777" w:rsidR="002F0667" w:rsidRDefault="00000000">
      <w:pPr>
        <w:pStyle w:val="Title"/>
        <w:jc w:val="both"/>
        <w:rPr>
          <w:rFonts w:ascii="Arial" w:eastAsia="Arial" w:hAnsi="Arial" w:cs="Arial"/>
          <w:b w:val="0"/>
          <w:bCs w:val="0"/>
          <w:sz w:val="24"/>
          <w:szCs w:val="24"/>
        </w:rPr>
      </w:pPr>
      <w:r>
        <w:rPr>
          <w:rFonts w:ascii="Arial" w:eastAsia="Arial" w:hAnsi="Arial" w:cs="Arial"/>
          <w:b w:val="0"/>
          <w:bCs w:val="0"/>
          <w:sz w:val="24"/>
          <w:szCs w:val="24"/>
        </w:rPr>
        <w:t xml:space="preserve">“I confirm that I have not presented any AI generated text as my own work.” </w:t>
      </w:r>
    </w:p>
    <w:p w14:paraId="3F9D3E97" w14:textId="77777777" w:rsidR="002F0667" w:rsidRDefault="002F0667">
      <w:pPr>
        <w:rPr>
          <w:rFonts w:ascii="Arial" w:eastAsia="Arial" w:hAnsi="Arial" w:cs="Arial"/>
        </w:rPr>
      </w:pPr>
    </w:p>
    <w:p w14:paraId="0E76ED24" w14:textId="77777777" w:rsidR="002F0667" w:rsidRDefault="00000000">
      <w:pPr>
        <w:pStyle w:val="Title"/>
        <w:jc w:val="both"/>
        <w:rPr>
          <w:rFonts w:ascii="Arial" w:eastAsia="Arial" w:hAnsi="Arial" w:cs="Arial"/>
          <w:b w:val="0"/>
          <w:bCs w:val="0"/>
          <w:sz w:val="24"/>
          <w:szCs w:val="24"/>
        </w:rPr>
      </w:pPr>
      <w:r>
        <w:rPr>
          <w:rFonts w:ascii="Arial" w:eastAsia="Arial" w:hAnsi="Arial" w:cs="Arial"/>
          <w:b w:val="0"/>
          <w:bCs w:val="0"/>
          <w:sz w:val="24"/>
          <w:szCs w:val="24"/>
        </w:rPr>
        <w:t>“I confirm I have copies of my drafts, notes, and other resources I used before, and after the use of AI tools which I may be asked to provide in evidence.”</w:t>
      </w:r>
      <w:r>
        <w:br w:type="page"/>
      </w:r>
    </w:p>
    <w:p w14:paraId="03744018" w14:textId="77777777" w:rsidR="002F0667" w:rsidRDefault="00000000">
      <w:pPr>
        <w:jc w:val="center"/>
        <w:rPr>
          <w:rFonts w:ascii="Arial" w:eastAsia="Arial" w:hAnsi="Arial" w:cs="Arial"/>
          <w:b/>
          <w:bCs/>
        </w:rPr>
      </w:pPr>
      <w:r>
        <w:rPr>
          <w:rFonts w:ascii="Arial" w:eastAsia="Arial" w:hAnsi="Arial" w:cs="Arial"/>
          <w:b/>
          <w:bCs/>
        </w:rPr>
        <w:lastRenderedPageBreak/>
        <w:t>Executive Summary</w:t>
      </w:r>
    </w:p>
    <w:p w14:paraId="1DCB8D2C" w14:textId="77777777" w:rsidR="002F0667" w:rsidRDefault="002F0667">
      <w:pPr>
        <w:jc w:val="center"/>
        <w:rPr>
          <w:rFonts w:ascii="Arial" w:eastAsia="Arial" w:hAnsi="Arial" w:cs="Arial"/>
          <w:b/>
          <w:bCs/>
        </w:rPr>
      </w:pPr>
    </w:p>
    <w:p w14:paraId="24F38A28" w14:textId="77777777" w:rsidR="002F0667" w:rsidRDefault="00000000">
      <w:pPr>
        <w:rPr>
          <w:rFonts w:ascii="Arial" w:eastAsia="Arial" w:hAnsi="Arial" w:cs="Arial"/>
        </w:rPr>
      </w:pPr>
      <w:r>
        <w:rPr>
          <w:rFonts w:ascii="Arial" w:eastAsia="Arial" w:hAnsi="Arial" w:cs="Arial"/>
        </w:rPr>
        <w:t xml:space="preserve">International market entry of Walmart Inc. in Germany has been the main focus of this report. Organisational power of Walmart has been analysed, along with a brief analysis of its international strategy so as to assess attractiveness of the German retail sector. The Bartlett and Ghoshal model has revealed suitability of the transnational strategy, owing to the fact that Walmart can keep up its procurement efficiency, technology and supply chain. Even though it failed to operate in the German retail sector in 2006, its excellent customer services are likely to meet the demands of German consumers in current times. Analysis of the macro environment has revealed that knowledge of Walmart about artificial intelligence (AI), automated fulfilment centres, and omnichannel retailing fits well with priorities of the German retail sector. It is true that Germany is facing political and economic strain due to conservative-social democratic coalition of the Chancellor, Friedrich Merz. However, these have also caused retailers to adapt quickly, which will likely separate winners from the rest. The broader retail and wholesale environment continues to be advantageous for MNCs like Walmart that are capable of integrating traditional models of retailing with digital channels, efficient distribution and tech-powered operations. Being a developed country, Germany prefers its separate social and workplace norms, which often clashes with modern American-style retail formats. Dunning's OLI paradigm has, however, confirmed scopes of Walmart to expand in Germany by means of FDI. </w:t>
      </w:r>
    </w:p>
    <w:p w14:paraId="2E07EAB6" w14:textId="77777777" w:rsidR="002F0667" w:rsidRDefault="00000000">
      <w:pPr>
        <w:rPr>
          <w:rFonts w:ascii="Arial" w:eastAsia="Arial" w:hAnsi="Arial" w:cs="Arial"/>
        </w:rPr>
      </w:pPr>
      <w:r>
        <w:rPr>
          <w:rFonts w:ascii="Arial" w:eastAsia="Arial" w:hAnsi="Arial" w:cs="Arial"/>
        </w:rPr>
        <w:t>Germany may be an appealing expansion market for Walmart, provided it can do so at an affordable cost and is locally responsive. An 100% subsidiary company in partnership with German suppliers and logistics would give the possibility of controlling the business and having the local expert at hand. Staged entry strategy may reduce the potential of cultural, competitive, regulatory and financial risks. Walmart's buying power might help in supplier negotiations, and advanced logistics can lead to better product availability, manage inventory, and create cost advantages, all of which can strengthen Walmart's position in the German retail market.</w:t>
      </w:r>
      <w:r>
        <w:br w:type="page"/>
      </w:r>
    </w:p>
    <w:p w14:paraId="00C41B38" w14:textId="77777777" w:rsidR="002F0667" w:rsidRDefault="00000000">
      <w:pPr>
        <w:jc w:val="center"/>
        <w:rPr>
          <w:rFonts w:ascii="Arial" w:eastAsia="Arial" w:hAnsi="Arial" w:cs="Arial"/>
          <w:b/>
          <w:bCs/>
          <w:color w:val="000000"/>
        </w:rPr>
      </w:pPr>
      <w:r>
        <w:rPr>
          <w:rFonts w:ascii="Arial" w:eastAsia="Arial" w:hAnsi="Arial" w:cs="Arial"/>
          <w:b/>
          <w:bCs/>
          <w:color w:val="000000"/>
        </w:rPr>
        <w:lastRenderedPageBreak/>
        <w:t>Table of Contents</w:t>
      </w:r>
    </w:p>
    <w:sdt>
      <w:sdtPr>
        <w:id w:val="-470171808"/>
        <w:docPartObj>
          <w:docPartGallery w:val="Table of Contents"/>
          <w:docPartUnique/>
        </w:docPartObj>
      </w:sdtPr>
      <w:sdtContent>
        <w:p w14:paraId="7E54D150" w14:textId="77777777" w:rsidR="002F0667" w:rsidRDefault="00000000">
          <w:pPr>
            <w:widowControl w:val="0"/>
            <w:tabs>
              <w:tab w:val="right" w:leader="dot" w:pos="12000"/>
            </w:tabs>
            <w:spacing w:before="60"/>
            <w:jc w:val="left"/>
            <w:rPr>
              <w:rFonts w:ascii="Arial" w:eastAsia="Arial" w:hAnsi="Arial" w:cs="Arial"/>
              <w:b/>
              <w:bCs/>
              <w:color w:val="000000"/>
            </w:rPr>
          </w:pPr>
          <w:r>
            <w:fldChar w:fldCharType="begin"/>
          </w:r>
          <w:r>
            <w:instrText xml:space="preserve"> TOC \h \u \z \t "Heading 1,1,Heading 2,2,Heading 3,3,"</w:instrText>
          </w:r>
          <w:r>
            <w:fldChar w:fldCharType="separate"/>
          </w:r>
          <w:hyperlink w:anchor="_heading=h.v5kdoysfspf5">
            <w:r>
              <w:rPr>
                <w:rFonts w:ascii="Arial" w:eastAsia="Arial" w:hAnsi="Arial" w:cs="Arial"/>
                <w:color w:val="000000"/>
              </w:rPr>
              <w:t>Section 1: Report</w:t>
            </w:r>
            <w:r>
              <w:rPr>
                <w:rFonts w:ascii="Arial" w:eastAsia="Arial" w:hAnsi="Arial" w:cs="Arial"/>
                <w:color w:val="000000"/>
              </w:rPr>
              <w:tab/>
              <w:t>5</w:t>
            </w:r>
          </w:hyperlink>
        </w:p>
        <w:p w14:paraId="16EEDD15" w14:textId="77777777" w:rsidR="002F0667" w:rsidRDefault="00000000">
          <w:pPr>
            <w:widowControl w:val="0"/>
            <w:tabs>
              <w:tab w:val="right" w:leader="dot" w:pos="12000"/>
            </w:tabs>
            <w:spacing w:before="60"/>
            <w:ind w:left="360"/>
            <w:jc w:val="left"/>
            <w:rPr>
              <w:rFonts w:ascii="Arial" w:eastAsia="Arial" w:hAnsi="Arial" w:cs="Arial"/>
              <w:color w:val="000000"/>
            </w:rPr>
          </w:pPr>
          <w:hyperlink w:anchor="_heading=h.14mfr4bpj0vv">
            <w:r>
              <w:rPr>
                <w:rFonts w:ascii="Arial" w:eastAsia="Arial" w:hAnsi="Arial" w:cs="Arial"/>
                <w:color w:val="000000"/>
              </w:rPr>
              <w:t>1. Introduction</w:t>
            </w:r>
            <w:r>
              <w:rPr>
                <w:rFonts w:ascii="Arial" w:eastAsia="Arial" w:hAnsi="Arial" w:cs="Arial"/>
                <w:color w:val="000000"/>
              </w:rPr>
              <w:tab/>
              <w:t>5</w:t>
            </w:r>
          </w:hyperlink>
        </w:p>
        <w:p w14:paraId="64A426C0" w14:textId="77777777" w:rsidR="002F0667" w:rsidRDefault="00000000">
          <w:pPr>
            <w:widowControl w:val="0"/>
            <w:tabs>
              <w:tab w:val="right" w:leader="dot" w:pos="12000"/>
            </w:tabs>
            <w:spacing w:before="60"/>
            <w:ind w:left="360"/>
            <w:jc w:val="left"/>
            <w:rPr>
              <w:rFonts w:ascii="Arial" w:eastAsia="Arial" w:hAnsi="Arial" w:cs="Arial"/>
              <w:color w:val="000000"/>
            </w:rPr>
          </w:pPr>
          <w:hyperlink w:anchor="_heading=h.6f2qsfj4dqz6">
            <w:r>
              <w:rPr>
                <w:rFonts w:ascii="Arial" w:eastAsia="Arial" w:hAnsi="Arial" w:cs="Arial"/>
                <w:color w:val="000000"/>
              </w:rPr>
              <w:t>2. Organisational Classification and Global Strategy</w:t>
            </w:r>
            <w:r>
              <w:rPr>
                <w:rFonts w:ascii="Arial" w:eastAsia="Arial" w:hAnsi="Arial" w:cs="Arial"/>
                <w:color w:val="000000"/>
              </w:rPr>
              <w:tab/>
              <w:t>5</w:t>
            </w:r>
          </w:hyperlink>
        </w:p>
        <w:p w14:paraId="086F6F77"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4pne0g2b3953">
            <w:r>
              <w:rPr>
                <w:rFonts w:ascii="Arial" w:eastAsia="Arial" w:hAnsi="Arial" w:cs="Arial"/>
                <w:color w:val="000000"/>
              </w:rPr>
              <w:t>2.1 Overview of the business of Walmart</w:t>
            </w:r>
            <w:r>
              <w:rPr>
                <w:rFonts w:ascii="Arial" w:eastAsia="Arial" w:hAnsi="Arial" w:cs="Arial"/>
                <w:color w:val="000000"/>
              </w:rPr>
              <w:tab/>
              <w:t>5</w:t>
            </w:r>
          </w:hyperlink>
        </w:p>
        <w:p w14:paraId="3613E84C"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7gvcaqh9fu2k">
            <w:r>
              <w:rPr>
                <w:rFonts w:ascii="Arial" w:eastAsia="Arial" w:hAnsi="Arial" w:cs="Arial"/>
                <w:color w:val="000000"/>
              </w:rPr>
              <w:t>2.2 Analysis of the international strategy using Bartlett and Ghoshal Framework</w:t>
            </w:r>
            <w:r>
              <w:rPr>
                <w:rFonts w:ascii="Arial" w:eastAsia="Arial" w:hAnsi="Arial" w:cs="Arial"/>
                <w:color w:val="000000"/>
              </w:rPr>
              <w:tab/>
              <w:t>6</w:t>
            </w:r>
          </w:hyperlink>
        </w:p>
        <w:p w14:paraId="34C36AB3"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yoc30r8fek2l">
            <w:r>
              <w:rPr>
                <w:rFonts w:ascii="Arial" w:eastAsia="Arial" w:hAnsi="Arial" w:cs="Arial"/>
                <w:color w:val="000000"/>
              </w:rPr>
              <w:t>2.3 Global configuration and competitive advantage of Walmart</w:t>
            </w:r>
            <w:r>
              <w:rPr>
                <w:rFonts w:ascii="Arial" w:eastAsia="Arial" w:hAnsi="Arial" w:cs="Arial"/>
                <w:color w:val="000000"/>
              </w:rPr>
              <w:tab/>
              <w:t>7</w:t>
            </w:r>
          </w:hyperlink>
        </w:p>
        <w:p w14:paraId="47E12C9E" w14:textId="77777777" w:rsidR="002F0667" w:rsidRDefault="00000000">
          <w:pPr>
            <w:widowControl w:val="0"/>
            <w:tabs>
              <w:tab w:val="right" w:leader="dot" w:pos="12000"/>
            </w:tabs>
            <w:spacing w:before="60"/>
            <w:ind w:left="360"/>
            <w:jc w:val="left"/>
            <w:rPr>
              <w:rFonts w:ascii="Arial" w:eastAsia="Arial" w:hAnsi="Arial" w:cs="Arial"/>
              <w:color w:val="000000"/>
            </w:rPr>
          </w:pPr>
          <w:hyperlink w:anchor="_heading=h.dgavobtxl3up">
            <w:r>
              <w:rPr>
                <w:rFonts w:ascii="Arial" w:eastAsia="Arial" w:hAnsi="Arial" w:cs="Arial"/>
                <w:color w:val="000000"/>
              </w:rPr>
              <w:t>3. Macro Environmental Appraisal and Market Attractiveness of Walmart</w:t>
            </w:r>
            <w:r>
              <w:rPr>
                <w:rFonts w:ascii="Arial" w:eastAsia="Arial" w:hAnsi="Arial" w:cs="Arial"/>
                <w:color w:val="000000"/>
              </w:rPr>
              <w:tab/>
              <w:t>7</w:t>
            </w:r>
          </w:hyperlink>
        </w:p>
        <w:p w14:paraId="24799034"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k77i2m32005m">
            <w:r>
              <w:rPr>
                <w:rFonts w:ascii="Arial" w:eastAsia="Arial" w:hAnsi="Arial" w:cs="Arial"/>
                <w:color w:val="000000"/>
              </w:rPr>
              <w:t>3.1 Political factors</w:t>
            </w:r>
            <w:r>
              <w:rPr>
                <w:rFonts w:ascii="Arial" w:eastAsia="Arial" w:hAnsi="Arial" w:cs="Arial"/>
                <w:color w:val="000000"/>
              </w:rPr>
              <w:tab/>
              <w:t>8</w:t>
            </w:r>
          </w:hyperlink>
        </w:p>
        <w:p w14:paraId="669DD675"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n1lrje9id9bj">
            <w:r>
              <w:rPr>
                <w:rFonts w:ascii="Arial" w:eastAsia="Arial" w:hAnsi="Arial" w:cs="Arial"/>
                <w:color w:val="000000"/>
              </w:rPr>
              <w:t>3.2 Economic factors</w:t>
            </w:r>
            <w:r>
              <w:rPr>
                <w:rFonts w:ascii="Arial" w:eastAsia="Arial" w:hAnsi="Arial" w:cs="Arial"/>
                <w:color w:val="000000"/>
              </w:rPr>
              <w:tab/>
              <w:t>9</w:t>
            </w:r>
          </w:hyperlink>
        </w:p>
        <w:p w14:paraId="50392FDA"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9betyo69oi5e">
            <w:r>
              <w:rPr>
                <w:rFonts w:ascii="Arial" w:eastAsia="Arial" w:hAnsi="Arial" w:cs="Arial"/>
                <w:color w:val="000000"/>
              </w:rPr>
              <w:t>3.3 Legal factors</w:t>
            </w:r>
            <w:r>
              <w:rPr>
                <w:rFonts w:ascii="Arial" w:eastAsia="Arial" w:hAnsi="Arial" w:cs="Arial"/>
                <w:color w:val="000000"/>
              </w:rPr>
              <w:tab/>
              <w:t>10</w:t>
            </w:r>
          </w:hyperlink>
        </w:p>
        <w:p w14:paraId="3CEDA6DF"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x4jjcc85u64x">
            <w:r>
              <w:rPr>
                <w:rFonts w:ascii="Arial" w:eastAsia="Arial" w:hAnsi="Arial" w:cs="Arial"/>
                <w:color w:val="000000"/>
              </w:rPr>
              <w:t>3.4 Cultural factors</w:t>
            </w:r>
            <w:r>
              <w:rPr>
                <w:rFonts w:ascii="Arial" w:eastAsia="Arial" w:hAnsi="Arial" w:cs="Arial"/>
                <w:color w:val="000000"/>
              </w:rPr>
              <w:tab/>
              <w:t>12</w:t>
            </w:r>
          </w:hyperlink>
        </w:p>
        <w:p w14:paraId="04278957"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udaz2zdswl9u">
            <w:r>
              <w:rPr>
                <w:rFonts w:ascii="Arial" w:eastAsia="Arial" w:hAnsi="Arial" w:cs="Arial"/>
                <w:color w:val="000000"/>
              </w:rPr>
              <w:t>3.5 Industry Attractiveness</w:t>
            </w:r>
            <w:r>
              <w:rPr>
                <w:rFonts w:ascii="Arial" w:eastAsia="Arial" w:hAnsi="Arial" w:cs="Arial"/>
                <w:color w:val="000000"/>
              </w:rPr>
              <w:tab/>
              <w:t>13</w:t>
            </w:r>
          </w:hyperlink>
        </w:p>
        <w:p w14:paraId="7BCC774A"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vyby4wo2ydn1">
            <w:r>
              <w:rPr>
                <w:rFonts w:ascii="Arial" w:eastAsia="Arial" w:hAnsi="Arial" w:cs="Arial"/>
                <w:color w:val="000000"/>
              </w:rPr>
              <w:t>3.6 Dunning's Eclectic (OLI) Paradigm</w:t>
            </w:r>
            <w:r>
              <w:rPr>
                <w:rFonts w:ascii="Arial" w:eastAsia="Arial" w:hAnsi="Arial" w:cs="Arial"/>
                <w:color w:val="000000"/>
              </w:rPr>
              <w:tab/>
              <w:t>15</w:t>
            </w:r>
          </w:hyperlink>
        </w:p>
        <w:p w14:paraId="6E0943EC" w14:textId="77777777" w:rsidR="002F0667" w:rsidRDefault="00000000">
          <w:pPr>
            <w:widowControl w:val="0"/>
            <w:tabs>
              <w:tab w:val="right" w:leader="dot" w:pos="12000"/>
            </w:tabs>
            <w:spacing w:before="60"/>
            <w:ind w:left="360"/>
            <w:jc w:val="left"/>
            <w:rPr>
              <w:rFonts w:ascii="Arial" w:eastAsia="Arial" w:hAnsi="Arial" w:cs="Arial"/>
              <w:color w:val="000000"/>
            </w:rPr>
          </w:pPr>
          <w:hyperlink w:anchor="_heading=h.n0hbbz33hchc">
            <w:r>
              <w:rPr>
                <w:rFonts w:ascii="Arial" w:eastAsia="Arial" w:hAnsi="Arial" w:cs="Arial"/>
                <w:color w:val="000000"/>
              </w:rPr>
              <w:t>4. Entry Mode Strategy and Strategic Synthesis</w:t>
            </w:r>
            <w:r>
              <w:rPr>
                <w:rFonts w:ascii="Arial" w:eastAsia="Arial" w:hAnsi="Arial" w:cs="Arial"/>
                <w:color w:val="000000"/>
              </w:rPr>
              <w:tab/>
              <w:t>17</w:t>
            </w:r>
          </w:hyperlink>
        </w:p>
        <w:p w14:paraId="747FA041"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l2chc2pyblvv">
            <w:r>
              <w:rPr>
                <w:rFonts w:ascii="Arial" w:eastAsia="Arial" w:hAnsi="Arial" w:cs="Arial"/>
                <w:color w:val="000000"/>
              </w:rPr>
              <w:t>4.1 Walmart's Historical Entry Patterns</w:t>
            </w:r>
            <w:r>
              <w:rPr>
                <w:rFonts w:ascii="Arial" w:eastAsia="Arial" w:hAnsi="Arial" w:cs="Arial"/>
                <w:color w:val="000000"/>
              </w:rPr>
              <w:tab/>
              <w:t>17</w:t>
            </w:r>
          </w:hyperlink>
        </w:p>
        <w:p w14:paraId="5F33D0A0"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7q2ojzcmearz">
            <w:r>
              <w:rPr>
                <w:rFonts w:ascii="Arial" w:eastAsia="Arial" w:hAnsi="Arial" w:cs="Arial"/>
                <w:color w:val="000000"/>
              </w:rPr>
              <w:t>4.2 Recommended Entry Mode</w:t>
            </w:r>
            <w:r>
              <w:rPr>
                <w:rFonts w:ascii="Arial" w:eastAsia="Arial" w:hAnsi="Arial" w:cs="Arial"/>
                <w:color w:val="000000"/>
              </w:rPr>
              <w:tab/>
              <w:t>17</w:t>
            </w:r>
          </w:hyperlink>
        </w:p>
        <w:p w14:paraId="61D7836F"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j6vcu8qqmxyf">
            <w:r>
              <w:rPr>
                <w:rFonts w:ascii="Arial" w:eastAsia="Arial" w:hAnsi="Arial" w:cs="Arial"/>
                <w:color w:val="000000"/>
              </w:rPr>
              <w:t>4.3 Risk Assessment</w:t>
            </w:r>
            <w:r>
              <w:rPr>
                <w:rFonts w:ascii="Arial" w:eastAsia="Arial" w:hAnsi="Arial" w:cs="Arial"/>
                <w:color w:val="000000"/>
              </w:rPr>
              <w:tab/>
              <w:t>18</w:t>
            </w:r>
          </w:hyperlink>
        </w:p>
        <w:p w14:paraId="23DA1616" w14:textId="77777777" w:rsidR="002F0667" w:rsidRDefault="00000000">
          <w:pPr>
            <w:widowControl w:val="0"/>
            <w:tabs>
              <w:tab w:val="right" w:leader="dot" w:pos="12000"/>
            </w:tabs>
            <w:spacing w:before="60"/>
            <w:ind w:left="360"/>
            <w:jc w:val="left"/>
            <w:rPr>
              <w:rFonts w:ascii="Arial" w:eastAsia="Arial" w:hAnsi="Arial" w:cs="Arial"/>
              <w:color w:val="000000"/>
            </w:rPr>
          </w:pPr>
          <w:hyperlink w:anchor="_heading=h.7g3dg99t0km2">
            <w:r>
              <w:rPr>
                <w:rFonts w:ascii="Arial" w:eastAsia="Arial" w:hAnsi="Arial" w:cs="Arial"/>
                <w:color w:val="000000"/>
              </w:rPr>
              <w:t>5. Conclusion and Strategic Recommendations</w:t>
            </w:r>
            <w:r>
              <w:rPr>
                <w:rFonts w:ascii="Arial" w:eastAsia="Arial" w:hAnsi="Arial" w:cs="Arial"/>
                <w:color w:val="000000"/>
              </w:rPr>
              <w:tab/>
              <w:t>19</w:t>
            </w:r>
          </w:hyperlink>
        </w:p>
        <w:p w14:paraId="008E1EE4" w14:textId="77777777" w:rsidR="002F0667" w:rsidRDefault="00000000">
          <w:pPr>
            <w:widowControl w:val="0"/>
            <w:tabs>
              <w:tab w:val="right" w:leader="dot" w:pos="12000"/>
            </w:tabs>
            <w:spacing w:before="60"/>
            <w:jc w:val="left"/>
            <w:rPr>
              <w:rFonts w:ascii="Arial" w:eastAsia="Arial" w:hAnsi="Arial" w:cs="Arial"/>
              <w:b/>
              <w:bCs/>
              <w:color w:val="000000"/>
            </w:rPr>
          </w:pPr>
          <w:hyperlink w:anchor="_heading=h.3oasmwianbtc">
            <w:r>
              <w:rPr>
                <w:rFonts w:ascii="Arial" w:eastAsia="Arial" w:hAnsi="Arial" w:cs="Arial"/>
                <w:color w:val="000000"/>
              </w:rPr>
              <w:t>Section 2: Reflective Analysis Using Gibbs’ Reflective Cycle</w:t>
            </w:r>
            <w:r>
              <w:rPr>
                <w:rFonts w:ascii="Arial" w:eastAsia="Arial" w:hAnsi="Arial" w:cs="Arial"/>
                <w:color w:val="000000"/>
              </w:rPr>
              <w:tab/>
              <w:t>20</w:t>
            </w:r>
          </w:hyperlink>
        </w:p>
        <w:p w14:paraId="6743BC96"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aa9mhc1aei9v">
            <w:r>
              <w:rPr>
                <w:rFonts w:ascii="Arial" w:eastAsia="Arial" w:hAnsi="Arial" w:cs="Arial"/>
                <w:color w:val="000000"/>
              </w:rPr>
              <w:t>Description</w:t>
            </w:r>
            <w:r>
              <w:rPr>
                <w:rFonts w:ascii="Arial" w:eastAsia="Arial" w:hAnsi="Arial" w:cs="Arial"/>
                <w:color w:val="000000"/>
              </w:rPr>
              <w:tab/>
              <w:t>20</w:t>
            </w:r>
          </w:hyperlink>
        </w:p>
        <w:p w14:paraId="2CA6A355"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nj4kp57iwacb">
            <w:r>
              <w:rPr>
                <w:rFonts w:ascii="Arial" w:eastAsia="Arial" w:hAnsi="Arial" w:cs="Arial"/>
                <w:color w:val="000000"/>
              </w:rPr>
              <w:t>Feelings</w:t>
            </w:r>
            <w:r>
              <w:rPr>
                <w:rFonts w:ascii="Arial" w:eastAsia="Arial" w:hAnsi="Arial" w:cs="Arial"/>
                <w:color w:val="000000"/>
              </w:rPr>
              <w:tab/>
              <w:t>21</w:t>
            </w:r>
          </w:hyperlink>
        </w:p>
        <w:p w14:paraId="0FD4B4D8"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hg2zyj9wsoj5">
            <w:r>
              <w:rPr>
                <w:rFonts w:ascii="Arial" w:eastAsia="Arial" w:hAnsi="Arial" w:cs="Arial"/>
                <w:color w:val="000000"/>
              </w:rPr>
              <w:t>Evaluation</w:t>
            </w:r>
            <w:r>
              <w:rPr>
                <w:rFonts w:ascii="Arial" w:eastAsia="Arial" w:hAnsi="Arial" w:cs="Arial"/>
                <w:color w:val="000000"/>
              </w:rPr>
              <w:tab/>
              <w:t>21</w:t>
            </w:r>
          </w:hyperlink>
        </w:p>
        <w:p w14:paraId="6E2A8873"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u69vdqpxllov">
            <w:r>
              <w:rPr>
                <w:rFonts w:ascii="Arial" w:eastAsia="Arial" w:hAnsi="Arial" w:cs="Arial"/>
                <w:color w:val="000000"/>
              </w:rPr>
              <w:t>Analysis</w:t>
            </w:r>
            <w:r>
              <w:rPr>
                <w:rFonts w:ascii="Arial" w:eastAsia="Arial" w:hAnsi="Arial" w:cs="Arial"/>
                <w:color w:val="000000"/>
              </w:rPr>
              <w:tab/>
              <w:t>21</w:t>
            </w:r>
          </w:hyperlink>
        </w:p>
        <w:p w14:paraId="70C196A4"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lh1m5x7toz1w">
            <w:r>
              <w:rPr>
                <w:rFonts w:ascii="Arial" w:eastAsia="Arial" w:hAnsi="Arial" w:cs="Arial"/>
                <w:color w:val="000000"/>
              </w:rPr>
              <w:t>Conclusion</w:t>
            </w:r>
            <w:r>
              <w:rPr>
                <w:rFonts w:ascii="Arial" w:eastAsia="Arial" w:hAnsi="Arial" w:cs="Arial"/>
                <w:color w:val="000000"/>
              </w:rPr>
              <w:tab/>
              <w:t>22</w:t>
            </w:r>
          </w:hyperlink>
        </w:p>
        <w:p w14:paraId="4DBCFCF3" w14:textId="77777777" w:rsidR="002F0667" w:rsidRDefault="00000000">
          <w:pPr>
            <w:widowControl w:val="0"/>
            <w:tabs>
              <w:tab w:val="right" w:leader="dot" w:pos="12000"/>
            </w:tabs>
            <w:spacing w:before="60"/>
            <w:ind w:left="720"/>
            <w:jc w:val="left"/>
            <w:rPr>
              <w:rFonts w:ascii="Arial" w:eastAsia="Arial" w:hAnsi="Arial" w:cs="Arial"/>
              <w:color w:val="000000"/>
            </w:rPr>
          </w:pPr>
          <w:hyperlink w:anchor="_heading=h.ga3y1g3dha7l">
            <w:r>
              <w:rPr>
                <w:rFonts w:ascii="Arial" w:eastAsia="Arial" w:hAnsi="Arial" w:cs="Arial"/>
                <w:color w:val="000000"/>
              </w:rPr>
              <w:t>Action Plan</w:t>
            </w:r>
            <w:r>
              <w:rPr>
                <w:rFonts w:ascii="Arial" w:eastAsia="Arial" w:hAnsi="Arial" w:cs="Arial"/>
                <w:color w:val="000000"/>
              </w:rPr>
              <w:tab/>
              <w:t>22</w:t>
            </w:r>
          </w:hyperlink>
        </w:p>
        <w:p w14:paraId="6640DB5B" w14:textId="77777777" w:rsidR="002F0667" w:rsidRDefault="00000000">
          <w:pPr>
            <w:widowControl w:val="0"/>
            <w:tabs>
              <w:tab w:val="right" w:leader="dot" w:pos="12000"/>
            </w:tabs>
            <w:spacing w:before="60"/>
            <w:jc w:val="left"/>
            <w:rPr>
              <w:rFonts w:ascii="Arial" w:eastAsia="Arial" w:hAnsi="Arial" w:cs="Arial"/>
              <w:b/>
              <w:bCs/>
              <w:color w:val="000000"/>
            </w:rPr>
          </w:pPr>
          <w:hyperlink w:anchor="_heading=h.wacdyvsqugcy">
            <w:r>
              <w:rPr>
                <w:rFonts w:ascii="Arial" w:eastAsia="Arial" w:hAnsi="Arial" w:cs="Arial"/>
                <w:color w:val="000000"/>
              </w:rPr>
              <w:t>References</w:t>
            </w:r>
            <w:r>
              <w:rPr>
                <w:rFonts w:ascii="Arial" w:eastAsia="Arial" w:hAnsi="Arial" w:cs="Arial"/>
                <w:color w:val="000000"/>
              </w:rPr>
              <w:tab/>
              <w:t>24</w:t>
            </w:r>
          </w:hyperlink>
          <w:r>
            <w:fldChar w:fldCharType="end"/>
          </w:r>
        </w:p>
      </w:sdtContent>
    </w:sdt>
    <w:p w14:paraId="612C0D2B" w14:textId="77777777" w:rsidR="002F0667" w:rsidRDefault="002F0667">
      <w:pPr>
        <w:rPr>
          <w:rFonts w:ascii="Arial" w:eastAsia="Arial" w:hAnsi="Arial" w:cs="Arial"/>
        </w:rPr>
      </w:pPr>
    </w:p>
    <w:p w14:paraId="72022606" w14:textId="77777777" w:rsidR="002F0667" w:rsidRDefault="00000000">
      <w:pPr>
        <w:rPr>
          <w:rFonts w:ascii="Arial" w:eastAsia="Arial" w:hAnsi="Arial" w:cs="Arial"/>
          <w:b/>
          <w:bCs/>
        </w:rPr>
      </w:pPr>
      <w:r>
        <w:br w:type="page"/>
      </w:r>
    </w:p>
    <w:p w14:paraId="5779BA9A" w14:textId="77777777" w:rsidR="002F0667" w:rsidRDefault="00000000">
      <w:pPr>
        <w:pStyle w:val="Heading1"/>
        <w:rPr>
          <w:rFonts w:ascii="Arial" w:eastAsia="Arial" w:hAnsi="Arial" w:cs="Arial"/>
        </w:rPr>
      </w:pPr>
      <w:bookmarkStart w:id="0" w:name="_heading=h.v5kdoysfspf5" w:colFirst="0" w:colLast="0"/>
      <w:bookmarkEnd w:id="0"/>
      <w:r>
        <w:rPr>
          <w:rFonts w:ascii="Arial" w:eastAsia="Arial" w:hAnsi="Arial" w:cs="Arial"/>
        </w:rPr>
        <w:lastRenderedPageBreak/>
        <w:t>Section 1: Report</w:t>
      </w:r>
    </w:p>
    <w:p w14:paraId="73F87AB0" w14:textId="77777777" w:rsidR="002F0667" w:rsidRDefault="00000000">
      <w:pPr>
        <w:pStyle w:val="Heading2"/>
      </w:pPr>
      <w:bookmarkStart w:id="1" w:name="_heading=h.14mfr4bpj0vv" w:colFirst="0" w:colLast="0"/>
      <w:bookmarkEnd w:id="1"/>
      <w:r>
        <w:t>1. Introduction</w:t>
      </w:r>
    </w:p>
    <w:p w14:paraId="1E879C7D" w14:textId="77777777" w:rsidR="002F0667" w:rsidRDefault="00000000">
      <w:pPr>
        <w:rPr>
          <w:rFonts w:ascii="Arial" w:eastAsia="Arial" w:hAnsi="Arial" w:cs="Arial"/>
        </w:rPr>
      </w:pPr>
      <w:r>
        <w:rPr>
          <w:rFonts w:ascii="Arial" w:eastAsia="Arial" w:hAnsi="Arial" w:cs="Arial"/>
        </w:rPr>
        <w:t>The concept of international business is referred to as the list of commercial activities that are used while operating overseas. There are several macro environmental factors that turn out to be either challenging or bring in opportunities and scopes for international expansion. Taking this into account, this study has focused on internationalisation of Walmart in the European retail sector by focusing on the German market. Being a developed country, Germany has been an established consumer market. Its retail sector is matured enough, as compared to several other European countries. When it comes to internationalisation and expanding in any international locations, it is always indispensable to assess consumers' preferences. In this case, it has become essential for Walmart to focus on its operations on a global scale, being cost effective and most importantly, competitive. It is, however, a fact that sustainable development is most significant in a transnational approach, being integrated with connections to local partners.</w:t>
      </w:r>
    </w:p>
    <w:p w14:paraId="538B2646" w14:textId="77777777" w:rsidR="002F0667" w:rsidRDefault="002F0667">
      <w:pPr>
        <w:rPr>
          <w:rFonts w:ascii="Arial" w:eastAsia="Arial" w:hAnsi="Arial" w:cs="Arial"/>
        </w:rPr>
      </w:pPr>
    </w:p>
    <w:p w14:paraId="1C48347B" w14:textId="77777777" w:rsidR="002F0667" w:rsidRDefault="00000000">
      <w:pPr>
        <w:pStyle w:val="Heading2"/>
      </w:pPr>
      <w:bookmarkStart w:id="2" w:name="_heading=h.6f2qsfj4dqz6" w:colFirst="0" w:colLast="0"/>
      <w:bookmarkEnd w:id="2"/>
      <w:r>
        <w:t>2. Organisational Classification and Global Strategy</w:t>
      </w:r>
    </w:p>
    <w:p w14:paraId="19121F7D" w14:textId="77777777" w:rsidR="002F0667" w:rsidRDefault="00000000">
      <w:pPr>
        <w:pStyle w:val="Heading3"/>
        <w:rPr>
          <w:rFonts w:ascii="Arial" w:eastAsia="Arial" w:hAnsi="Arial" w:cs="Arial"/>
        </w:rPr>
      </w:pPr>
      <w:bookmarkStart w:id="3" w:name="_heading=h.4pne0g2b3953" w:colFirst="0" w:colLast="0"/>
      <w:bookmarkEnd w:id="3"/>
      <w:r>
        <w:rPr>
          <w:rFonts w:ascii="Arial" w:eastAsia="Arial" w:hAnsi="Arial" w:cs="Arial"/>
        </w:rPr>
        <w:t>2.1 Overview of the business of Walmart</w:t>
      </w:r>
    </w:p>
    <w:p w14:paraId="674EB8DA" w14:textId="77777777" w:rsidR="002F0667" w:rsidRDefault="00000000">
      <w:pPr>
        <w:rPr>
          <w:rFonts w:ascii="Arial" w:eastAsia="Arial" w:hAnsi="Arial" w:cs="Arial"/>
        </w:rPr>
      </w:pPr>
      <w:r>
        <w:rPr>
          <w:rFonts w:ascii="Arial" w:eastAsia="Arial" w:hAnsi="Arial" w:cs="Arial"/>
        </w:rPr>
        <w:t>Walmart is a tech-powered and consumer-led omnichannel retailer that is constantly innovating and changing itself to align with its timeless values. Being a Multinational Corporation (MNC), Walmart is into retailing, sourcing, logistics and technology-enabled activities beyond its home market. Walmart made a total revenue of US$725.3 billion, along with return on assets of 8.4% as on April 30, 2026 (Investing, 2026). This retailer serves approximately 280 million customers and members on a weekly basis (Walmart, 2026). These real-time statistical figures reveal its remarkable financial conditions. This, in turn, assures availability of adequate resources for expansion in international locations, with Walmart being required to focus on financial analysis while entering into the new market of Germany. The findings of Mrozek (2022) showed that Walmart provides a wide range of competitive offers, apart from availability of global products. When it comes to increasing competitiveness of international business, it is always required to conduct research on firms' capacities and leverage such across international boundaries (</w:t>
      </w:r>
      <w:proofErr w:type="spellStart"/>
      <w:r>
        <w:rPr>
          <w:rFonts w:ascii="Arial" w:eastAsia="Arial" w:hAnsi="Arial" w:cs="Arial"/>
        </w:rPr>
        <w:t>Vorzhakova</w:t>
      </w:r>
      <w:proofErr w:type="spellEnd"/>
      <w:r>
        <w:rPr>
          <w:rFonts w:ascii="Arial" w:eastAsia="Arial" w:hAnsi="Arial" w:cs="Arial"/>
        </w:rPr>
        <w:t xml:space="preserve"> and Redko, 2022). In this digital era, technology has shown a significant imprint on the organisation. For instance, integration of blockchain with services of “Scan &amp; Go” has revealed the capacity of Walmart to </w:t>
      </w:r>
      <w:r>
        <w:rPr>
          <w:rFonts w:ascii="Arial" w:eastAsia="Arial" w:hAnsi="Arial" w:cs="Arial"/>
        </w:rPr>
        <w:lastRenderedPageBreak/>
        <w:t xml:space="preserve">leverage digital technologies for a modern omnichannel shopping experience and better supply chain (Walmart, 2026). </w:t>
      </w:r>
    </w:p>
    <w:p w14:paraId="5216771C" w14:textId="77777777" w:rsidR="002F0667" w:rsidRDefault="00000000">
      <w:pPr>
        <w:pStyle w:val="Heading3"/>
        <w:rPr>
          <w:rFonts w:ascii="Arial" w:eastAsia="Arial" w:hAnsi="Arial" w:cs="Arial"/>
        </w:rPr>
      </w:pPr>
      <w:bookmarkStart w:id="4" w:name="_heading=h.7gvcaqh9fu2k" w:colFirst="0" w:colLast="0"/>
      <w:bookmarkEnd w:id="4"/>
      <w:r>
        <w:rPr>
          <w:rFonts w:ascii="Arial" w:eastAsia="Arial" w:hAnsi="Arial" w:cs="Arial"/>
        </w:rPr>
        <w:t>2.2 Analysis of the international strategy using Bartlett and Ghoshal Framework</w:t>
      </w:r>
    </w:p>
    <w:p w14:paraId="42E446F0" w14:textId="77777777" w:rsidR="002F0667" w:rsidRDefault="00000000">
      <w:pPr>
        <w:jc w:val="center"/>
        <w:rPr>
          <w:rFonts w:ascii="Arial" w:eastAsia="Arial" w:hAnsi="Arial" w:cs="Arial"/>
        </w:rPr>
      </w:pPr>
      <w:r>
        <w:rPr>
          <w:rFonts w:ascii="Arial" w:eastAsia="Arial" w:hAnsi="Arial" w:cs="Arial"/>
          <w:noProof/>
        </w:rPr>
        <w:drawing>
          <wp:inline distT="0" distB="0" distL="0" distR="0" wp14:anchorId="65102C2C" wp14:editId="387B7D1C">
            <wp:extent cx="3882863" cy="3400019"/>
            <wp:effectExtent l="0" t="0" r="0" b="0"/>
            <wp:docPr id="1649446957" name="image2.png" descr="AQA | Teaching guide: Bartlett and Ghoshal's international, multi-domestic,  transnational and global strategies (for last exams in 2024)"/>
            <wp:cNvGraphicFramePr/>
            <a:graphic xmlns:a="http://schemas.openxmlformats.org/drawingml/2006/main">
              <a:graphicData uri="http://schemas.openxmlformats.org/drawingml/2006/picture">
                <pic:pic xmlns:pic="http://schemas.openxmlformats.org/drawingml/2006/picture">
                  <pic:nvPicPr>
                    <pic:cNvPr id="0" name="image2.png" descr="AQA | Teaching guide: Bartlett and Ghoshal's international, multi-domestic,  transnational and global strategies (for last exams in 2024)"/>
                    <pic:cNvPicPr preferRelativeResize="0"/>
                  </pic:nvPicPr>
                  <pic:blipFill>
                    <a:blip r:embed="rId10"/>
                    <a:srcRect/>
                    <a:stretch>
                      <a:fillRect/>
                    </a:stretch>
                  </pic:blipFill>
                  <pic:spPr>
                    <a:xfrm>
                      <a:off x="0" y="0"/>
                      <a:ext cx="3882863" cy="3400019"/>
                    </a:xfrm>
                    <a:prstGeom prst="rect">
                      <a:avLst/>
                    </a:prstGeom>
                    <a:ln/>
                  </pic:spPr>
                </pic:pic>
              </a:graphicData>
            </a:graphic>
          </wp:inline>
        </w:drawing>
      </w:r>
    </w:p>
    <w:p w14:paraId="4A822FE4" w14:textId="77777777" w:rsidR="002F0667" w:rsidRDefault="00000000">
      <w:pPr>
        <w:jc w:val="center"/>
        <w:rPr>
          <w:rFonts w:ascii="Arial" w:eastAsia="Arial" w:hAnsi="Arial" w:cs="Arial"/>
          <w:b/>
          <w:bCs/>
        </w:rPr>
      </w:pPr>
      <w:r>
        <w:rPr>
          <w:rFonts w:ascii="Arial" w:eastAsia="Arial" w:hAnsi="Arial" w:cs="Arial"/>
          <w:b/>
          <w:bCs/>
        </w:rPr>
        <w:t>Figure 1: Barlett and Ghosal’s Model (1989)</w:t>
      </w:r>
    </w:p>
    <w:p w14:paraId="7F741B56" w14:textId="77777777" w:rsidR="002F0667" w:rsidRDefault="00000000">
      <w:pPr>
        <w:jc w:val="center"/>
        <w:rPr>
          <w:rFonts w:ascii="Arial" w:eastAsia="Arial" w:hAnsi="Arial" w:cs="Arial"/>
        </w:rPr>
      </w:pPr>
      <w:r>
        <w:rPr>
          <w:rFonts w:ascii="Arial" w:eastAsia="Arial" w:hAnsi="Arial" w:cs="Arial"/>
        </w:rPr>
        <w:t>(Source: Inspired by the ideas of Benabed, 2024)</w:t>
      </w:r>
    </w:p>
    <w:p w14:paraId="2449A675" w14:textId="77777777" w:rsidR="002F0667" w:rsidRDefault="00000000">
      <w:pPr>
        <w:rPr>
          <w:rFonts w:ascii="Arial" w:eastAsia="Arial" w:hAnsi="Arial" w:cs="Arial"/>
        </w:rPr>
      </w:pPr>
      <w:r>
        <w:rPr>
          <w:rFonts w:ascii="Arial" w:eastAsia="Arial" w:hAnsi="Arial" w:cs="Arial"/>
        </w:rPr>
        <w:t>The Bartlett and Ghoshal Model is a strategic business framework that assists international organisations to take crucial decisions related to running operations across different overseas locations. As inspired by the ideas of Benabed (2024), this model helps in dealing with global integration complexities and overcome local responsiveness issues. In this context of expanding in Germany, the most suitable strategy is assessed to be the transnational approach that combines global efficiency with local adaptation. In contrast to this, the global approach is likely to help Walmart with effective logistics planning, rationalising purchases, and creating economies of scale. Since German consumers have shown preferences for local and regional products, thereby revealing a high level of standardization to be ineffective here. It is a mandate for international businesses to contend with the nature of the foreign market before expansion (</w:t>
      </w:r>
      <w:proofErr w:type="spellStart"/>
      <w:r>
        <w:rPr>
          <w:rFonts w:ascii="Arial" w:eastAsia="Arial" w:hAnsi="Arial" w:cs="Arial"/>
        </w:rPr>
        <w:t>Kormakova</w:t>
      </w:r>
      <w:proofErr w:type="spellEnd"/>
      <w:r>
        <w:rPr>
          <w:rFonts w:ascii="Arial" w:eastAsia="Arial" w:hAnsi="Arial" w:cs="Arial"/>
        </w:rPr>
        <w:t xml:space="preserve"> et al., 2023). It is true that the international approach will give local responsiveness. However, distribution from overseas locations will most significantly result in higher costs. In this context, it is essential for organisations that prefer local market conditions (DesRoches, 2022).</w:t>
      </w:r>
    </w:p>
    <w:p w14:paraId="3883A5DB" w14:textId="77777777" w:rsidR="002F0667" w:rsidRDefault="00000000">
      <w:pPr>
        <w:rPr>
          <w:rFonts w:ascii="Arial" w:eastAsia="Arial" w:hAnsi="Arial" w:cs="Arial"/>
        </w:rPr>
      </w:pPr>
      <w:r>
        <w:rPr>
          <w:rFonts w:ascii="Arial" w:eastAsia="Arial" w:hAnsi="Arial" w:cs="Arial"/>
        </w:rPr>
        <w:lastRenderedPageBreak/>
        <w:t>In context to the above discussions, the most suitable strategic option for Walmart to create a better balance in Germany will be the transnational approach. This company already has global procurement, and innovative technologies being integrated with supply chain management. Therefore, adjusting to stock offerings, and promotions will be much easier to achieve, which will then help to deliver excellent customer services. This is applicable to Germany to a great extent wherein preferences for local products shape competitiveness. However, to yield maximum benefits out of this model, Walmart would need to opt for a low-cost strategy while adapting to the local markets of Germany. In this case, its EDLP (Everyday Low Price) strategy can subsequently help to adjust its product range to fit the German retail market (Walmart, 2026b).</w:t>
      </w:r>
    </w:p>
    <w:p w14:paraId="2D7E83BF" w14:textId="77777777" w:rsidR="002F0667" w:rsidRDefault="00000000">
      <w:pPr>
        <w:pStyle w:val="Heading3"/>
        <w:rPr>
          <w:rFonts w:ascii="Arial" w:eastAsia="Arial" w:hAnsi="Arial" w:cs="Arial"/>
        </w:rPr>
      </w:pPr>
      <w:bookmarkStart w:id="5" w:name="_heading=h.yoc30r8fek2l" w:colFirst="0" w:colLast="0"/>
      <w:bookmarkEnd w:id="5"/>
      <w:r>
        <w:rPr>
          <w:rFonts w:ascii="Arial" w:eastAsia="Arial" w:hAnsi="Arial" w:cs="Arial"/>
        </w:rPr>
        <w:t xml:space="preserve">2.3 Global configuration and competitive advantage </w:t>
      </w:r>
      <w:r>
        <w:t>of Walmart</w:t>
      </w:r>
    </w:p>
    <w:p w14:paraId="69911146" w14:textId="77777777" w:rsidR="002F0667" w:rsidRDefault="00000000">
      <w:pPr>
        <w:rPr>
          <w:rFonts w:ascii="Arial" w:eastAsia="Arial" w:hAnsi="Arial" w:cs="Arial"/>
        </w:rPr>
      </w:pPr>
      <w:r>
        <w:rPr>
          <w:rFonts w:ascii="Arial" w:eastAsia="Arial" w:hAnsi="Arial" w:cs="Arial"/>
        </w:rPr>
        <w:t xml:space="preserve">Walmart operates </w:t>
      </w:r>
      <w:r>
        <w:rPr>
          <w:rFonts w:ascii="Arial" w:eastAsia="Arial" w:hAnsi="Arial" w:cs="Arial"/>
          <w:color w:val="333333"/>
          <w:sz w:val="27"/>
          <w:szCs w:val="27"/>
        </w:rPr>
        <w:t>across the USA and internationally by relying on the needs of customers who want “</w:t>
      </w:r>
      <w:r>
        <w:rPr>
          <w:rFonts w:ascii="Arial" w:eastAsia="Arial" w:hAnsi="Arial" w:cs="Arial"/>
          <w:i/>
          <w:iCs/>
          <w:color w:val="333333"/>
          <w:sz w:val="27"/>
          <w:szCs w:val="27"/>
        </w:rPr>
        <w:t>1. value, a broad assortment of quality items and 2. services, a convenient and enjoyable shopping experience, and to do business with a company they trust</w:t>
      </w:r>
      <w:r>
        <w:rPr>
          <w:rFonts w:ascii="Arial" w:eastAsia="Arial" w:hAnsi="Arial" w:cs="Arial"/>
          <w:color w:val="333333"/>
          <w:sz w:val="27"/>
          <w:szCs w:val="27"/>
        </w:rPr>
        <w:t>” (</w:t>
      </w:r>
      <w:r>
        <w:rPr>
          <w:rFonts w:ascii="Arial" w:eastAsia="Arial" w:hAnsi="Arial" w:cs="Arial"/>
        </w:rPr>
        <w:t>Walmart, 2026</w:t>
      </w:r>
      <w:r>
        <w:rPr>
          <w:rFonts w:ascii="Arial" w:eastAsia="Arial" w:hAnsi="Arial" w:cs="Arial"/>
          <w:color w:val="333333"/>
          <w:sz w:val="27"/>
          <w:szCs w:val="27"/>
        </w:rPr>
        <w:t xml:space="preserve">). It is currently operating in </w:t>
      </w:r>
      <w:r>
        <w:rPr>
          <w:rFonts w:ascii="Arial" w:eastAsia="Arial" w:hAnsi="Arial" w:cs="Arial"/>
          <w:sz w:val="27"/>
          <w:szCs w:val="27"/>
          <w:shd w:val="clear" w:color="auto" w:fill="FAFAFA"/>
        </w:rPr>
        <w:t>19 countries</w:t>
      </w:r>
      <w:r>
        <w:rPr>
          <w:rFonts w:ascii="Arial" w:eastAsia="Arial" w:hAnsi="Arial" w:cs="Arial"/>
          <w:color w:val="333333"/>
          <w:sz w:val="27"/>
          <w:szCs w:val="27"/>
        </w:rPr>
        <w:t xml:space="preserve"> globally, with a total of more than </w:t>
      </w:r>
      <w:r>
        <w:rPr>
          <w:rFonts w:ascii="Arial" w:eastAsia="Arial" w:hAnsi="Arial" w:cs="Arial"/>
          <w:color w:val="333333"/>
          <w:sz w:val="27"/>
          <w:szCs w:val="27"/>
          <w:shd w:val="clear" w:color="auto" w:fill="FAFAFA"/>
        </w:rPr>
        <w:t>10,9</w:t>
      </w:r>
      <w:r>
        <w:rPr>
          <w:rFonts w:ascii="Arial" w:eastAsia="Arial" w:hAnsi="Arial" w:cs="Arial"/>
          <w:color w:val="333333"/>
          <w:sz w:val="27"/>
          <w:szCs w:val="27"/>
        </w:rPr>
        <w:t>00 stores.</w:t>
      </w:r>
      <w:r>
        <w:rPr>
          <w:rFonts w:ascii="Arial" w:eastAsia="Arial" w:hAnsi="Arial" w:cs="Arial"/>
          <w:sz w:val="27"/>
          <w:szCs w:val="27"/>
        </w:rPr>
        <w:t xml:space="preserve"> Its global competitive advantage can be understood from its investment of $350 billion on items that are manufactured and assembled across the US. With this, it has supported 750,000+ jobs between 2021 - 2026 </w:t>
      </w:r>
      <w:r>
        <w:rPr>
          <w:rFonts w:ascii="Arial" w:eastAsia="Arial" w:hAnsi="Arial" w:cs="Arial"/>
          <w:color w:val="333333"/>
          <w:sz w:val="27"/>
          <w:szCs w:val="27"/>
        </w:rPr>
        <w:t>(</w:t>
      </w:r>
      <w:r>
        <w:rPr>
          <w:rFonts w:ascii="Arial" w:eastAsia="Arial" w:hAnsi="Arial" w:cs="Arial"/>
        </w:rPr>
        <w:t>Walmart, 2026</w:t>
      </w:r>
      <w:r>
        <w:rPr>
          <w:rFonts w:ascii="Arial" w:eastAsia="Arial" w:hAnsi="Arial" w:cs="Arial"/>
          <w:color w:val="333333"/>
          <w:sz w:val="27"/>
          <w:szCs w:val="27"/>
        </w:rPr>
        <w:t>)</w:t>
      </w:r>
      <w:r>
        <w:rPr>
          <w:rFonts w:ascii="Arial" w:eastAsia="Arial" w:hAnsi="Arial" w:cs="Arial"/>
          <w:sz w:val="27"/>
          <w:szCs w:val="27"/>
        </w:rPr>
        <w:t xml:space="preserve">. Its </w:t>
      </w:r>
      <w:r>
        <w:rPr>
          <w:rFonts w:ascii="Arial" w:eastAsia="Arial" w:hAnsi="Arial" w:cs="Arial"/>
          <w:color w:val="333333"/>
          <w:sz w:val="27"/>
          <w:szCs w:val="27"/>
        </w:rPr>
        <w:t xml:space="preserve">timeless organisational values are reflected from its </w:t>
      </w:r>
      <w:proofErr w:type="gramStart"/>
      <w:r>
        <w:rPr>
          <w:rFonts w:ascii="Arial" w:eastAsia="Arial" w:hAnsi="Arial" w:cs="Arial"/>
          <w:sz w:val="27"/>
          <w:szCs w:val="27"/>
        </w:rPr>
        <w:t>zero carbon</w:t>
      </w:r>
      <w:proofErr w:type="gramEnd"/>
      <w:r>
        <w:rPr>
          <w:rFonts w:ascii="Arial" w:eastAsia="Arial" w:hAnsi="Arial" w:cs="Arial"/>
          <w:sz w:val="27"/>
          <w:szCs w:val="27"/>
        </w:rPr>
        <w:t xml:space="preserve"> emission target of 2040 without carbon offsets and reliance on 100% renewable energy across its operations by 2035.</w:t>
      </w:r>
      <w:r>
        <w:rPr>
          <w:rFonts w:ascii="Arial" w:eastAsia="Arial" w:hAnsi="Arial" w:cs="Arial"/>
          <w:color w:val="333333"/>
          <w:sz w:val="27"/>
          <w:szCs w:val="27"/>
        </w:rPr>
        <w:t xml:space="preserve"> Not only these, but Walmart prioritises innovation across the operating markets, besides making a positive impact in the communities where it operates. </w:t>
      </w:r>
    </w:p>
    <w:p w14:paraId="7D5090EE" w14:textId="77777777" w:rsidR="002F0667" w:rsidRDefault="002F0667">
      <w:pPr>
        <w:rPr>
          <w:rFonts w:ascii="Arial" w:eastAsia="Arial" w:hAnsi="Arial" w:cs="Arial"/>
        </w:rPr>
      </w:pPr>
    </w:p>
    <w:p w14:paraId="16D4E6E3" w14:textId="77777777" w:rsidR="002F0667" w:rsidRDefault="00000000">
      <w:pPr>
        <w:pStyle w:val="Heading2"/>
      </w:pPr>
      <w:bookmarkStart w:id="6" w:name="_heading=h.dgavobtxl3up" w:colFirst="0" w:colLast="0"/>
      <w:bookmarkEnd w:id="6"/>
      <w:r>
        <w:t>3. Macro Environmental Appraisal and Market Attractiveness of Walmart</w:t>
      </w:r>
    </w:p>
    <w:tbl>
      <w:tblPr>
        <w:tblStyle w:val="af"/>
        <w:tblW w:w="9570" w:type="dxa"/>
        <w:tblBorders>
          <w:top w:val="nil"/>
          <w:left w:val="nil"/>
          <w:bottom w:val="nil"/>
          <w:right w:val="nil"/>
          <w:insideH w:val="nil"/>
          <w:insideV w:val="nil"/>
        </w:tblBorders>
        <w:tblLayout w:type="fixed"/>
        <w:tblLook w:val="0600" w:firstRow="0" w:lastRow="0" w:firstColumn="0" w:lastColumn="0" w:noHBand="1" w:noVBand="1"/>
      </w:tblPr>
      <w:tblGrid>
        <w:gridCol w:w="2340"/>
        <w:gridCol w:w="3435"/>
        <w:gridCol w:w="3795"/>
      </w:tblGrid>
      <w:tr w:rsidR="002F0667" w14:paraId="3CBD9BC7" w14:textId="77777777">
        <w:trPr>
          <w:trHeight w:val="51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A3FA7" w14:textId="77777777" w:rsidR="002F0667" w:rsidRDefault="00000000">
            <w:pPr>
              <w:jc w:val="center"/>
              <w:rPr>
                <w:rFonts w:ascii="Arial" w:eastAsia="Arial" w:hAnsi="Arial" w:cs="Arial"/>
              </w:rPr>
            </w:pPr>
            <w:r>
              <w:rPr>
                <w:rFonts w:ascii="Arial" w:eastAsia="Arial" w:hAnsi="Arial" w:cs="Arial"/>
                <w:b/>
                <w:bCs/>
              </w:rPr>
              <w:t>Indicator</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88B17" w14:textId="77777777" w:rsidR="002F0667" w:rsidRDefault="00000000">
            <w:pPr>
              <w:jc w:val="center"/>
              <w:rPr>
                <w:rFonts w:ascii="Arial" w:eastAsia="Arial" w:hAnsi="Arial" w:cs="Arial"/>
              </w:rPr>
            </w:pPr>
            <w:r>
              <w:rPr>
                <w:rFonts w:ascii="Arial" w:eastAsia="Arial" w:hAnsi="Arial" w:cs="Arial"/>
                <w:b/>
                <w:bCs/>
              </w:rPr>
              <w:t>Latest Figure</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CA548" w14:textId="77777777" w:rsidR="002F0667" w:rsidRDefault="00000000">
            <w:pPr>
              <w:jc w:val="center"/>
              <w:rPr>
                <w:rFonts w:ascii="Arial" w:eastAsia="Arial" w:hAnsi="Arial" w:cs="Arial"/>
              </w:rPr>
            </w:pPr>
            <w:r>
              <w:rPr>
                <w:rFonts w:ascii="Arial" w:eastAsia="Arial" w:hAnsi="Arial" w:cs="Arial"/>
                <w:b/>
                <w:bCs/>
              </w:rPr>
              <w:t>Strategic implication</w:t>
            </w:r>
          </w:p>
        </w:tc>
      </w:tr>
      <w:tr w:rsidR="002F0667" w14:paraId="1BA386AD" w14:textId="77777777">
        <w:trPr>
          <w:trHeight w:val="1070"/>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0DF091" w14:textId="77777777" w:rsidR="002F0667" w:rsidRDefault="00000000">
            <w:pPr>
              <w:rPr>
                <w:rFonts w:ascii="Arial" w:eastAsia="Arial" w:hAnsi="Arial" w:cs="Arial"/>
              </w:rPr>
            </w:pPr>
            <w:r>
              <w:rPr>
                <w:rFonts w:ascii="Arial" w:eastAsia="Arial" w:hAnsi="Arial" w:cs="Arial"/>
              </w:rPr>
              <w:t>EU membership</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2CB43" w14:textId="77777777" w:rsidR="002F0667" w:rsidRDefault="00000000">
            <w:pPr>
              <w:rPr>
                <w:rFonts w:ascii="Arial" w:eastAsia="Arial" w:hAnsi="Arial" w:cs="Arial"/>
              </w:rPr>
            </w:pPr>
            <w:r>
              <w:rPr>
                <w:rFonts w:ascii="Arial" w:eastAsia="Arial" w:hAnsi="Arial" w:cs="Arial"/>
              </w:rPr>
              <w:t xml:space="preserve">Since </w:t>
            </w:r>
            <w:r>
              <w:rPr>
                <w:rFonts w:ascii="Arial" w:eastAsia="Arial" w:hAnsi="Arial" w:cs="Arial"/>
                <w:b/>
                <w:bCs/>
              </w:rPr>
              <w:t>1958</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C81FD" w14:textId="77777777" w:rsidR="002F0667" w:rsidRDefault="00000000">
            <w:pPr>
              <w:rPr>
                <w:rFonts w:ascii="Arial" w:eastAsia="Arial" w:hAnsi="Arial" w:cs="Arial"/>
              </w:rPr>
            </w:pPr>
            <w:r>
              <w:rPr>
                <w:rFonts w:ascii="Arial" w:eastAsia="Arial" w:hAnsi="Arial" w:cs="Arial"/>
              </w:rPr>
              <w:t xml:space="preserve">Access of approx. </w:t>
            </w:r>
            <w:r>
              <w:rPr>
                <w:rFonts w:ascii="Arial" w:eastAsia="Arial" w:hAnsi="Arial" w:cs="Arial"/>
                <w:b/>
                <w:bCs/>
              </w:rPr>
              <w:t xml:space="preserve">84 million high-spending </w:t>
            </w:r>
            <w:r>
              <w:rPr>
                <w:rFonts w:ascii="Arial" w:eastAsia="Arial" w:hAnsi="Arial" w:cs="Arial"/>
              </w:rPr>
              <w:t>European consumers</w:t>
            </w:r>
          </w:p>
        </w:tc>
      </w:tr>
      <w:tr w:rsidR="002F0667" w14:paraId="7BF5E6E8" w14:textId="77777777">
        <w:trPr>
          <w:trHeight w:val="1070"/>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2646D" w14:textId="77777777" w:rsidR="002F0667" w:rsidRDefault="00000000">
            <w:pPr>
              <w:rPr>
                <w:rFonts w:ascii="Arial" w:eastAsia="Arial" w:hAnsi="Arial" w:cs="Arial"/>
              </w:rPr>
            </w:pPr>
            <w:r>
              <w:rPr>
                <w:rFonts w:ascii="Arial" w:eastAsia="Arial" w:hAnsi="Arial" w:cs="Arial"/>
              </w:rPr>
              <w:lastRenderedPageBreak/>
              <w:t>Population</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391AD" w14:textId="77777777" w:rsidR="002F0667" w:rsidRDefault="00000000">
            <w:pPr>
              <w:rPr>
                <w:rFonts w:ascii="Arial" w:eastAsia="Arial" w:hAnsi="Arial" w:cs="Arial"/>
              </w:rPr>
            </w:pPr>
            <w:r>
              <w:rPr>
                <w:rFonts w:ascii="Arial" w:eastAsia="Arial" w:hAnsi="Arial" w:cs="Arial"/>
                <w:b/>
                <w:bCs/>
              </w:rPr>
              <w:t xml:space="preserve">83.55 million </w:t>
            </w:r>
            <w:r>
              <w:rPr>
                <w:rFonts w:ascii="Arial" w:eastAsia="Arial" w:hAnsi="Arial" w:cs="Arial"/>
              </w:rPr>
              <w:t>as of 12th August 2026 (</w:t>
            </w:r>
            <w:proofErr w:type="spellStart"/>
            <w:r>
              <w:rPr>
                <w:rFonts w:ascii="Arial" w:eastAsia="Arial" w:hAnsi="Arial" w:cs="Arial"/>
              </w:rPr>
              <w:t>Worldmeters</w:t>
            </w:r>
            <w:proofErr w:type="spellEnd"/>
            <w:r>
              <w:rPr>
                <w:rFonts w:ascii="Arial" w:eastAsia="Arial" w:hAnsi="Arial" w:cs="Arial"/>
              </w:rPr>
              <w:t>, 2026)</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858DD" w14:textId="77777777" w:rsidR="002F0667" w:rsidRDefault="00000000">
            <w:pPr>
              <w:rPr>
                <w:rFonts w:ascii="Arial" w:eastAsia="Arial" w:hAnsi="Arial" w:cs="Arial"/>
              </w:rPr>
            </w:pPr>
            <w:r>
              <w:rPr>
                <w:rFonts w:ascii="Arial" w:eastAsia="Arial" w:hAnsi="Arial" w:cs="Arial"/>
              </w:rPr>
              <w:t>Strong domestic consumer base for potential national growth</w:t>
            </w:r>
          </w:p>
        </w:tc>
      </w:tr>
      <w:tr w:rsidR="002F0667" w14:paraId="1AB92854" w14:textId="77777777">
        <w:trPr>
          <w:trHeight w:val="1070"/>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83D35" w14:textId="77777777" w:rsidR="002F0667" w:rsidRDefault="00000000">
            <w:pPr>
              <w:rPr>
                <w:rFonts w:ascii="Arial" w:eastAsia="Arial" w:hAnsi="Arial" w:cs="Arial"/>
              </w:rPr>
            </w:pPr>
            <w:r>
              <w:rPr>
                <w:rFonts w:ascii="Arial" w:eastAsia="Arial" w:hAnsi="Arial" w:cs="Arial"/>
              </w:rPr>
              <w:t>GDP growth (2025)</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0D587" w14:textId="77777777" w:rsidR="002F0667" w:rsidRDefault="00000000">
            <w:pPr>
              <w:rPr>
                <w:rFonts w:ascii="Arial" w:eastAsia="Arial" w:hAnsi="Arial" w:cs="Arial"/>
              </w:rPr>
            </w:pPr>
            <w:r>
              <w:rPr>
                <w:rFonts w:ascii="Arial" w:eastAsia="Arial" w:hAnsi="Arial" w:cs="Arial"/>
                <w:b/>
                <w:bCs/>
              </w:rPr>
              <w:t>0.2%</w:t>
            </w:r>
            <w:r>
              <w:rPr>
                <w:rFonts w:ascii="Arial" w:eastAsia="Arial" w:hAnsi="Arial" w:cs="Arial"/>
              </w:rPr>
              <w:t xml:space="preserve"> (World Bank, 2026)</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C4328" w14:textId="77777777" w:rsidR="002F0667" w:rsidRDefault="00000000">
            <w:pPr>
              <w:rPr>
                <w:rFonts w:ascii="Arial" w:eastAsia="Arial" w:hAnsi="Arial" w:cs="Arial"/>
              </w:rPr>
            </w:pPr>
            <w:r>
              <w:rPr>
                <w:rFonts w:ascii="Arial" w:eastAsia="Arial" w:hAnsi="Arial" w:cs="Arial"/>
              </w:rPr>
              <w:t xml:space="preserve">Demonstrates resilient economic performance after 2 years of recession and weak growth </w:t>
            </w:r>
          </w:p>
        </w:tc>
      </w:tr>
      <w:tr w:rsidR="002F0667" w14:paraId="07E41F93" w14:textId="77777777">
        <w:trPr>
          <w:trHeight w:val="1070"/>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4CED57" w14:textId="77777777" w:rsidR="002F0667" w:rsidRDefault="00000000">
            <w:pPr>
              <w:rPr>
                <w:rFonts w:ascii="Arial" w:eastAsia="Arial" w:hAnsi="Arial" w:cs="Arial"/>
              </w:rPr>
            </w:pPr>
            <w:r>
              <w:rPr>
                <w:rFonts w:ascii="Arial" w:eastAsia="Arial" w:hAnsi="Arial" w:cs="Arial"/>
              </w:rPr>
              <w:t xml:space="preserve">Retail sales </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9FFBE" w14:textId="77777777" w:rsidR="002F0667" w:rsidRDefault="00000000">
            <w:pPr>
              <w:rPr>
                <w:rFonts w:ascii="Arial" w:eastAsia="Arial" w:hAnsi="Arial" w:cs="Arial"/>
              </w:rPr>
            </w:pPr>
            <w:r>
              <w:rPr>
                <w:rFonts w:ascii="Arial" w:eastAsia="Arial" w:hAnsi="Arial" w:cs="Arial"/>
              </w:rPr>
              <w:t xml:space="preserve">Net revenue of German retail trade amounted to </w:t>
            </w:r>
            <w:r>
              <w:rPr>
                <w:rFonts w:ascii="Arial" w:eastAsia="Arial" w:hAnsi="Arial" w:cs="Arial"/>
                <w:b/>
                <w:bCs/>
              </w:rPr>
              <w:t>€813 billion</w:t>
            </w:r>
            <w:r>
              <w:rPr>
                <w:rFonts w:ascii="Arial" w:eastAsia="Arial" w:hAnsi="Arial" w:cs="Arial"/>
              </w:rPr>
              <w:t xml:space="preserve"> in 2024 (Statista, 2026)</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14ED65" w14:textId="77777777" w:rsidR="002F0667" w:rsidRDefault="00000000">
            <w:pPr>
              <w:rPr>
                <w:rFonts w:ascii="Arial" w:eastAsia="Arial" w:hAnsi="Arial" w:cs="Arial"/>
              </w:rPr>
            </w:pPr>
            <w:r>
              <w:rPr>
                <w:rFonts w:ascii="Arial" w:eastAsia="Arial" w:hAnsi="Arial" w:cs="Arial"/>
              </w:rPr>
              <w:t xml:space="preserve">Buyer hesitation, price pressures and energy costs </w:t>
            </w:r>
          </w:p>
        </w:tc>
      </w:tr>
      <w:tr w:rsidR="002F0667" w14:paraId="0364562E" w14:textId="77777777">
        <w:trPr>
          <w:trHeight w:val="785"/>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9C02BF" w14:textId="77777777" w:rsidR="002F0667" w:rsidRDefault="00000000">
            <w:pPr>
              <w:rPr>
                <w:rFonts w:ascii="Arial" w:eastAsia="Arial" w:hAnsi="Arial" w:cs="Arial"/>
              </w:rPr>
            </w:pPr>
            <w:r>
              <w:rPr>
                <w:rFonts w:ascii="Arial" w:eastAsia="Arial" w:hAnsi="Arial" w:cs="Arial"/>
              </w:rPr>
              <w:t>Prime retail vacancy (Q1 2026)</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24A01" w14:textId="77777777" w:rsidR="002F0667" w:rsidRDefault="00000000">
            <w:pPr>
              <w:rPr>
                <w:rFonts w:ascii="Arial" w:eastAsia="Arial" w:hAnsi="Arial" w:cs="Arial"/>
              </w:rPr>
            </w:pPr>
            <w:r>
              <w:rPr>
                <w:rFonts w:ascii="Arial" w:eastAsia="Arial" w:hAnsi="Arial" w:cs="Arial"/>
                <w:b/>
                <w:bCs/>
              </w:rPr>
              <w:t xml:space="preserve">Above 15% </w:t>
            </w:r>
            <w:r>
              <w:rPr>
                <w:rFonts w:ascii="Arial" w:eastAsia="Arial" w:hAnsi="Arial" w:cs="Arial"/>
              </w:rPr>
              <w:t>in terms of area as of mid-2026</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DE26E" w14:textId="77777777" w:rsidR="002F0667" w:rsidRDefault="00000000">
            <w:pPr>
              <w:rPr>
                <w:rFonts w:ascii="Arial" w:eastAsia="Arial" w:hAnsi="Arial" w:cs="Arial"/>
              </w:rPr>
            </w:pPr>
            <w:r>
              <w:rPr>
                <w:rFonts w:ascii="Arial" w:eastAsia="Arial" w:hAnsi="Arial" w:cs="Arial"/>
              </w:rPr>
              <w:t xml:space="preserve">Inner-city demands, with significant competition in prime high-street locations </w:t>
            </w:r>
          </w:p>
        </w:tc>
      </w:tr>
    </w:tbl>
    <w:p w14:paraId="3B4AC960" w14:textId="77777777" w:rsidR="002F0667" w:rsidRDefault="00000000">
      <w:pPr>
        <w:jc w:val="center"/>
        <w:rPr>
          <w:rFonts w:ascii="Arial" w:eastAsia="Arial" w:hAnsi="Arial" w:cs="Arial"/>
        </w:rPr>
      </w:pPr>
      <w:r>
        <w:rPr>
          <w:rFonts w:ascii="Arial" w:eastAsia="Arial" w:hAnsi="Arial" w:cs="Arial"/>
          <w:b/>
          <w:bCs/>
        </w:rPr>
        <w:t>Table 1: Key Political and Economic Indicators supporting expansion of Walmart in Germany</w:t>
      </w:r>
    </w:p>
    <w:p w14:paraId="3F1C3739" w14:textId="77777777" w:rsidR="002F0667" w:rsidRDefault="00000000">
      <w:pPr>
        <w:pStyle w:val="Heading3"/>
        <w:rPr>
          <w:rFonts w:ascii="Arial" w:eastAsia="Arial" w:hAnsi="Arial" w:cs="Arial"/>
        </w:rPr>
      </w:pPr>
      <w:bookmarkStart w:id="7" w:name="_heading=h.k77i2m32005m" w:colFirst="0" w:colLast="0"/>
      <w:bookmarkEnd w:id="7"/>
      <w:r>
        <w:rPr>
          <w:rFonts w:ascii="Arial" w:eastAsia="Arial" w:hAnsi="Arial" w:cs="Arial"/>
        </w:rPr>
        <w:t>3.1 Political factors</w:t>
      </w:r>
    </w:p>
    <w:p w14:paraId="387F6D42" w14:textId="77777777" w:rsidR="002F0667" w:rsidRDefault="00000000">
      <w:pPr>
        <w:rPr>
          <w:rFonts w:ascii="Arial" w:eastAsia="Arial" w:hAnsi="Arial" w:cs="Arial"/>
        </w:rPr>
      </w:pPr>
      <w:r>
        <w:rPr>
          <w:rFonts w:ascii="Arial" w:eastAsia="Arial" w:hAnsi="Arial" w:cs="Arial"/>
        </w:rPr>
        <w:t>One of the main reasons behind successful expansion in the retail market depends on the political environment. It is true that Walmart had once attempted to expand in Germany in 2006. It was, however, a failed attempt, owing to lack of scope of considering cultural differences in its marketing strategy (</w:t>
      </w:r>
      <w:r>
        <w:rPr>
          <w:rFonts w:ascii="Arial" w:eastAsia="Arial" w:hAnsi="Arial" w:cs="Arial"/>
          <w:color w:val="222222"/>
        </w:rPr>
        <w:t>Zhou</w:t>
      </w:r>
      <w:r>
        <w:rPr>
          <w:rFonts w:ascii="Arial" w:eastAsia="Arial" w:hAnsi="Arial" w:cs="Arial"/>
        </w:rPr>
        <w:t>, 2024). In current times, changes in political and trading aspects can turn out to be opportunistic for Walmart. Being an EU Member State since January 1958, Germany has been a federal parliamentary republic (Europa, 2025). In a country with stable political conditions and institutional transparency, MNCs are likely to thrive and achieve sustainable competitive advantage. These factors altogether made Germany a considerable location to expand to. Germany provides matured access to the EU Retail Market with 83.55 million consumers (</w:t>
      </w:r>
      <w:proofErr w:type="spellStart"/>
      <w:r>
        <w:rPr>
          <w:rFonts w:ascii="Arial" w:eastAsia="Arial" w:hAnsi="Arial" w:cs="Arial"/>
        </w:rPr>
        <w:t>Worldmeters</w:t>
      </w:r>
      <w:proofErr w:type="spellEnd"/>
      <w:r>
        <w:rPr>
          <w:rFonts w:ascii="Arial" w:eastAsia="Arial" w:hAnsi="Arial" w:cs="Arial"/>
        </w:rPr>
        <w:t xml:space="preserve">, 2026). </w:t>
      </w:r>
    </w:p>
    <w:p w14:paraId="0B8F57DE" w14:textId="77777777" w:rsidR="002F0667" w:rsidRDefault="00000000">
      <w:pPr>
        <w:rPr>
          <w:rFonts w:ascii="Arial" w:eastAsia="Arial" w:hAnsi="Arial" w:cs="Arial"/>
        </w:rPr>
      </w:pPr>
      <w:r>
        <w:rPr>
          <w:rFonts w:ascii="Arial" w:eastAsia="Arial" w:hAnsi="Arial" w:cs="Arial"/>
        </w:rPr>
        <w:t xml:space="preserve">With effective regulatory systems, the German government's encouragement of “foreign direct investment” (FDI) in the manufacturing sector was valued at approximately $37 billion in 2023 (State, 2025). Xuan (2025) claimed that FDI helps enterprise innovation via technology transfer and productivity improvement. Newly reformed political aspects can offer Walmart to invest in setting up advanced </w:t>
      </w:r>
      <w:r>
        <w:rPr>
          <w:rFonts w:ascii="Arial" w:eastAsia="Arial" w:hAnsi="Arial" w:cs="Arial"/>
        </w:rPr>
        <w:lastRenderedPageBreak/>
        <w:t xml:space="preserve">distribution centres, which will then deepen its regional supply chain network. With increased investment in technological infrastructure by governments, digitalisation is a new source of international competitiveness (Rogaczewski, 2025). </w:t>
      </w:r>
    </w:p>
    <w:p w14:paraId="152A9FCA" w14:textId="77777777" w:rsidR="002F0667" w:rsidRDefault="00000000">
      <w:pPr>
        <w:pStyle w:val="Heading3"/>
        <w:rPr>
          <w:rFonts w:ascii="Arial" w:eastAsia="Arial" w:hAnsi="Arial" w:cs="Arial"/>
        </w:rPr>
      </w:pPr>
      <w:bookmarkStart w:id="8" w:name="_heading=h.n1lrje9id9bj" w:colFirst="0" w:colLast="0"/>
      <w:bookmarkEnd w:id="8"/>
      <w:r>
        <w:rPr>
          <w:rFonts w:ascii="Arial" w:eastAsia="Arial" w:hAnsi="Arial" w:cs="Arial"/>
        </w:rPr>
        <w:t>3.2 Economic factors</w:t>
      </w:r>
    </w:p>
    <w:p w14:paraId="1F40CE71" w14:textId="77777777" w:rsidR="002F0667" w:rsidRDefault="00000000">
      <w:pPr>
        <w:rPr>
          <w:rFonts w:ascii="Arial" w:eastAsia="Arial" w:hAnsi="Arial" w:cs="Arial"/>
        </w:rPr>
      </w:pPr>
      <w:r>
        <w:rPr>
          <w:rFonts w:ascii="Arial" w:eastAsia="Arial" w:hAnsi="Arial" w:cs="Arial"/>
        </w:rPr>
        <w:t>As per Ali et al. (2025), analysing uncertainties oriented to financial stability, purchasing power and cost structure of the new market, along with forecast demands and financial volatility are considered as essential economic factors. Germany has a robust economy, with a GDP of €4,329 billion in 2024 (Germany Trade &amp; Invest, 2026). This is, therefore, likely to boast advantages for intended market entry of Walmart in Germany. Markets where investment risk are less and long-term profitability is enhanced due to economic performance are considered to be the ones with long-term economic growth (Aytekin et al. 2023). As analysed from table 1, Germany has been the “</w:t>
      </w:r>
      <w:r>
        <w:rPr>
          <w:rFonts w:ascii="Arial" w:eastAsia="Arial" w:hAnsi="Arial" w:cs="Arial"/>
          <w:i/>
          <w:iCs/>
        </w:rPr>
        <w:t>Europe’s leading economy</w:t>
      </w:r>
      <w:r>
        <w:rPr>
          <w:rFonts w:ascii="Arial" w:eastAsia="Arial" w:hAnsi="Arial" w:cs="Arial"/>
        </w:rPr>
        <w:t xml:space="preserve">” (Germany Trade &amp; Invest, 2026). The YoY GDP growth, however, reduced to 0.2% in 2025 amid general European economic uncertainty (World Bank, 2026). This is likely to increase to 0.6% this year. Retail sales are recording consumer spending growth, with a net revenue of €813 billion in 2024 (Statista, 2026). In this context, average monthly household spendings are analysed to be on consumer goods, which is the plus point of Walmart here. This significantly suggests that consumer demand is good enough to support Walmart's EDLP strategy. Supermarkets are seen to be the main point of consumers’ grocery shopping experience in Germany (Statista, 2026). These trends are crucial, given that the retail sector is the main industry abroad. </w:t>
      </w:r>
    </w:p>
    <w:p w14:paraId="143C9886" w14:textId="77777777" w:rsidR="002F0667" w:rsidRDefault="00000000">
      <w:pPr>
        <w:rPr>
          <w:rFonts w:ascii="Arial" w:eastAsia="Arial" w:hAnsi="Arial" w:cs="Arial"/>
        </w:rPr>
      </w:pPr>
      <w:r>
        <w:rPr>
          <w:rFonts w:ascii="Arial" w:eastAsia="Arial" w:hAnsi="Arial" w:cs="Arial"/>
        </w:rPr>
        <w:t xml:space="preserve">Competence in digitalisation increases competitiveness of the German market. Germany itself accounts for 10% of manufacturing companies of Europe, thereby generating 29% of the EU's gross value added alone (Germany Trade &amp; Invest, 2026). Apart from this, the capital market along with portfolio investments operate freely, with zero cases of discrimination of German with any foreign firms (State, 2025). Reardon et al. (2021) revealed that the Internet is the main channel for eCommerce in Central Europe, showcasing increased accessibility on digital platforms. It is significantly driven by the tendency of local customers to value convenience, competitive prices and instant home delivery. To stay ahead in the competition, Walmart has optimized 60% of its stores to receive automated freight. Increased demands for consumer goods and the German retail sector, therefore, offer a substantial market opportunity for Walmart to consider expanding. Huge competition from established retailers in this </w:t>
      </w:r>
      <w:r>
        <w:rPr>
          <w:rFonts w:ascii="Arial" w:eastAsia="Arial" w:hAnsi="Arial" w:cs="Arial"/>
        </w:rPr>
        <w:lastRenderedPageBreak/>
        <w:t>host market has reduced scopes for Walmart to offer lowest prices. Rather, it has become essential for this retailer to differentiate itself by being “</w:t>
      </w:r>
      <w:r>
        <w:rPr>
          <w:rFonts w:ascii="Arial" w:eastAsia="Arial" w:hAnsi="Arial" w:cs="Arial"/>
          <w:i/>
          <w:iCs/>
        </w:rPr>
        <w:t>more efficient, innovative with digital tools, and preparing the workforce to deliver seamless and personalized customer experiences</w:t>
      </w:r>
      <w:r>
        <w:rPr>
          <w:rFonts w:ascii="Arial" w:eastAsia="Arial" w:hAnsi="Arial" w:cs="Arial"/>
        </w:rPr>
        <w:t>”.</w:t>
      </w:r>
    </w:p>
    <w:p w14:paraId="73B40D7D" w14:textId="77777777" w:rsidR="002F0667" w:rsidRDefault="00000000">
      <w:pPr>
        <w:pStyle w:val="Heading3"/>
        <w:rPr>
          <w:rFonts w:ascii="Arial" w:eastAsia="Arial" w:hAnsi="Arial" w:cs="Arial"/>
        </w:rPr>
      </w:pPr>
      <w:bookmarkStart w:id="9" w:name="_heading=h.9betyo69oi5e" w:colFirst="0" w:colLast="0"/>
      <w:bookmarkEnd w:id="9"/>
      <w:r>
        <w:rPr>
          <w:rFonts w:ascii="Arial" w:eastAsia="Arial" w:hAnsi="Arial" w:cs="Arial"/>
        </w:rPr>
        <w:t>3.3 Legal factors</w:t>
      </w:r>
    </w:p>
    <w:tbl>
      <w:tblPr>
        <w:tblStyle w:val="af0"/>
        <w:tblW w:w="9698" w:type="dxa"/>
        <w:tblInd w:w="-210" w:type="dxa"/>
        <w:tblBorders>
          <w:top w:val="nil"/>
          <w:left w:val="nil"/>
          <w:bottom w:val="nil"/>
          <w:right w:val="nil"/>
          <w:insideH w:val="nil"/>
          <w:insideV w:val="nil"/>
        </w:tblBorders>
        <w:tblLayout w:type="fixed"/>
        <w:tblLook w:val="0600" w:firstRow="0" w:lastRow="0" w:firstColumn="0" w:lastColumn="0" w:noHBand="1" w:noVBand="1"/>
      </w:tblPr>
      <w:tblGrid>
        <w:gridCol w:w="2610"/>
        <w:gridCol w:w="4253"/>
        <w:gridCol w:w="2835"/>
      </w:tblGrid>
      <w:tr w:rsidR="002F0667" w14:paraId="772E4708" w14:textId="77777777">
        <w:trPr>
          <w:trHeight w:val="785"/>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6792E" w14:textId="77777777" w:rsidR="002F0667" w:rsidRDefault="00000000">
            <w:pPr>
              <w:jc w:val="center"/>
              <w:rPr>
                <w:rFonts w:ascii="Arial" w:eastAsia="Arial" w:hAnsi="Arial" w:cs="Arial"/>
              </w:rPr>
            </w:pPr>
            <w:r>
              <w:rPr>
                <w:rFonts w:ascii="Arial" w:eastAsia="Arial" w:hAnsi="Arial" w:cs="Arial"/>
                <w:b/>
                <w:bCs/>
              </w:rPr>
              <w:t>Legal Area</w:t>
            </w:r>
          </w:p>
        </w:tc>
        <w:tc>
          <w:tcPr>
            <w:tcW w:w="4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3D4D2" w14:textId="77777777" w:rsidR="002F0667" w:rsidRDefault="00000000">
            <w:pPr>
              <w:jc w:val="center"/>
              <w:rPr>
                <w:rFonts w:ascii="Arial" w:eastAsia="Arial" w:hAnsi="Arial" w:cs="Arial"/>
              </w:rPr>
            </w:pPr>
            <w:r>
              <w:rPr>
                <w:rFonts w:ascii="Arial" w:eastAsia="Arial" w:hAnsi="Arial" w:cs="Arial"/>
                <w:b/>
                <w:bCs/>
              </w:rPr>
              <w:t>Description</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8407A" w14:textId="77777777" w:rsidR="002F0667" w:rsidRDefault="00000000">
            <w:pPr>
              <w:jc w:val="center"/>
              <w:rPr>
                <w:rFonts w:ascii="Arial" w:eastAsia="Arial" w:hAnsi="Arial" w:cs="Arial"/>
              </w:rPr>
            </w:pPr>
            <w:r>
              <w:rPr>
                <w:rFonts w:ascii="Arial" w:eastAsia="Arial" w:hAnsi="Arial" w:cs="Arial"/>
                <w:b/>
                <w:bCs/>
              </w:rPr>
              <w:t>Opportunity/Challenge</w:t>
            </w:r>
          </w:p>
        </w:tc>
      </w:tr>
      <w:tr w:rsidR="002F0667" w14:paraId="68E06598" w14:textId="77777777">
        <w:trPr>
          <w:trHeight w:val="107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7FF62" w14:textId="77777777" w:rsidR="002F0667" w:rsidRDefault="00000000">
            <w:pPr>
              <w:rPr>
                <w:rFonts w:ascii="Arial" w:eastAsia="Arial" w:hAnsi="Arial" w:cs="Arial"/>
              </w:rPr>
            </w:pPr>
            <w:r>
              <w:rPr>
                <w:rFonts w:ascii="Arial" w:eastAsia="Arial" w:hAnsi="Arial" w:cs="Arial"/>
              </w:rPr>
              <w:t xml:space="preserve">Law on unfair competition </w:t>
            </w:r>
          </w:p>
        </w:tc>
        <w:tc>
          <w:tcPr>
            <w:tcW w:w="4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D27A5" w14:textId="77777777" w:rsidR="002F0667" w:rsidRDefault="00000000">
            <w:pPr>
              <w:rPr>
                <w:rFonts w:ascii="Arial" w:eastAsia="Arial" w:hAnsi="Arial" w:cs="Arial"/>
              </w:rPr>
            </w:pPr>
            <w:r>
              <w:rPr>
                <w:rFonts w:ascii="Arial" w:eastAsia="Arial" w:hAnsi="Arial" w:cs="Arial"/>
              </w:rPr>
              <w:t xml:space="preserve">Competition law in Germany is regulated by the </w:t>
            </w:r>
            <w:r>
              <w:rPr>
                <w:rFonts w:ascii="Arial" w:eastAsia="Arial" w:hAnsi="Arial" w:cs="Arial"/>
                <w:i/>
                <w:iCs/>
              </w:rPr>
              <w:t>Restriction of Competition Act (GWB)</w:t>
            </w:r>
            <w:r>
              <w:rPr>
                <w:rFonts w:ascii="Arial" w:eastAsia="Arial" w:hAnsi="Arial" w:cs="Arial"/>
              </w:rPr>
              <w:t xml:space="preserve">, and is divided into 1. unfair competition law for regulating individual market </w:t>
            </w:r>
            <w:proofErr w:type="spellStart"/>
            <w:r>
              <w:rPr>
                <w:rFonts w:ascii="Arial" w:eastAsia="Arial" w:hAnsi="Arial" w:cs="Arial"/>
              </w:rPr>
              <w:t>behavior</w:t>
            </w:r>
            <w:proofErr w:type="spellEnd"/>
            <w:r>
              <w:rPr>
                <w:rFonts w:ascii="Arial" w:eastAsia="Arial" w:hAnsi="Arial" w:cs="Arial"/>
              </w:rPr>
              <w:t xml:space="preserve"> and 2. anti-trust law for protecting market competition </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6C501" w14:textId="77777777" w:rsidR="002F0667" w:rsidRDefault="00000000">
            <w:pPr>
              <w:rPr>
                <w:rFonts w:ascii="Arial" w:eastAsia="Arial" w:hAnsi="Arial" w:cs="Arial"/>
              </w:rPr>
            </w:pPr>
            <w:r>
              <w:rPr>
                <w:rFonts w:ascii="Arial" w:eastAsia="Arial" w:hAnsi="Arial" w:cs="Arial"/>
              </w:rPr>
              <w:t xml:space="preserve">There is a strict ban on unfair means of business practices by competitors that can by any means, distort fair competition </w:t>
            </w:r>
          </w:p>
        </w:tc>
      </w:tr>
      <w:tr w:rsidR="002F0667" w14:paraId="28ED2566" w14:textId="77777777">
        <w:trPr>
          <w:trHeight w:val="1070"/>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654D6" w14:textId="77777777" w:rsidR="002F0667" w:rsidRDefault="00000000">
            <w:pPr>
              <w:rPr>
                <w:rFonts w:ascii="Arial" w:eastAsia="Arial" w:hAnsi="Arial" w:cs="Arial"/>
              </w:rPr>
            </w:pPr>
            <w:r>
              <w:rPr>
                <w:rFonts w:ascii="Arial" w:eastAsia="Arial" w:hAnsi="Arial" w:cs="Arial"/>
              </w:rPr>
              <w:t xml:space="preserve">General Data Protection Regulation (GDPR) </w:t>
            </w:r>
          </w:p>
        </w:tc>
        <w:tc>
          <w:tcPr>
            <w:tcW w:w="4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113657" w14:textId="77777777" w:rsidR="002F0667" w:rsidRDefault="00000000">
            <w:pPr>
              <w:rPr>
                <w:rFonts w:ascii="Arial" w:eastAsia="Arial" w:hAnsi="Arial" w:cs="Arial"/>
              </w:rPr>
            </w:pPr>
            <w:r>
              <w:rPr>
                <w:rFonts w:ascii="Arial" w:eastAsia="Arial" w:hAnsi="Arial" w:cs="Arial"/>
              </w:rPr>
              <w:t>Strong consumer trust with its new German Federal Data Protection Act (</w:t>
            </w:r>
            <w:proofErr w:type="spellStart"/>
            <w:r>
              <w:rPr>
                <w:rFonts w:ascii="Arial" w:eastAsia="Arial" w:hAnsi="Arial" w:cs="Arial"/>
                <w:i/>
                <w:iCs/>
              </w:rPr>
              <w:t>Bundesdatenschutzgesetz</w:t>
            </w:r>
            <w:proofErr w:type="spellEnd"/>
            <w:r>
              <w:rPr>
                <w:rFonts w:ascii="Arial" w:eastAsia="Arial" w:hAnsi="Arial" w:cs="Arial"/>
              </w:rPr>
              <w:t xml:space="preserve"> – "BDSG") and compliance with Law Enforcement Directive (EU) 2016/680 </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E5B9A" w14:textId="77777777" w:rsidR="002F0667" w:rsidRDefault="00000000">
            <w:pPr>
              <w:rPr>
                <w:rFonts w:ascii="Arial" w:eastAsia="Arial" w:hAnsi="Arial" w:cs="Arial"/>
              </w:rPr>
            </w:pPr>
            <w:r>
              <w:rPr>
                <w:rFonts w:ascii="Arial" w:eastAsia="Arial" w:hAnsi="Arial" w:cs="Arial"/>
              </w:rPr>
              <w:t xml:space="preserve">Challenging because sector-specific laws are embedded for data protection </w:t>
            </w:r>
          </w:p>
        </w:tc>
      </w:tr>
      <w:tr w:rsidR="002F0667" w14:paraId="44F7D812" w14:textId="77777777">
        <w:trPr>
          <w:trHeight w:val="785"/>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076AC" w14:textId="77777777" w:rsidR="002F0667" w:rsidRDefault="00000000">
            <w:pPr>
              <w:rPr>
                <w:rFonts w:ascii="Arial" w:eastAsia="Arial" w:hAnsi="Arial" w:cs="Arial"/>
              </w:rPr>
            </w:pPr>
            <w:r>
              <w:rPr>
                <w:rFonts w:ascii="Arial" w:eastAsia="Arial" w:hAnsi="Arial" w:cs="Arial"/>
              </w:rPr>
              <w:t>Supply Chain Regulation</w:t>
            </w:r>
          </w:p>
        </w:tc>
        <w:tc>
          <w:tcPr>
            <w:tcW w:w="4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57C4C" w14:textId="77777777" w:rsidR="002F0667" w:rsidRDefault="00000000">
            <w:pPr>
              <w:rPr>
                <w:rFonts w:ascii="Arial" w:eastAsia="Arial" w:hAnsi="Arial" w:cs="Arial"/>
              </w:rPr>
            </w:pPr>
            <w:r>
              <w:rPr>
                <w:rFonts w:ascii="Arial" w:eastAsia="Arial" w:hAnsi="Arial" w:cs="Arial"/>
              </w:rPr>
              <w:t>Blockchain improves traceability and food safety</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E6B50" w14:textId="77777777" w:rsidR="002F0667" w:rsidRDefault="00000000">
            <w:pPr>
              <w:rPr>
                <w:rFonts w:ascii="Arial" w:eastAsia="Arial" w:hAnsi="Arial" w:cs="Arial"/>
              </w:rPr>
            </w:pPr>
            <w:r>
              <w:rPr>
                <w:rFonts w:ascii="Arial" w:eastAsia="Arial" w:hAnsi="Arial" w:cs="Arial"/>
              </w:rPr>
              <w:t>Continuous monitoring of supplier compliance</w:t>
            </w:r>
          </w:p>
        </w:tc>
      </w:tr>
      <w:tr w:rsidR="002F0667" w14:paraId="42F1717E" w14:textId="77777777">
        <w:trPr>
          <w:trHeight w:val="1466"/>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8F5B0" w14:textId="77777777" w:rsidR="002F0667" w:rsidRDefault="00000000">
            <w:pPr>
              <w:rPr>
                <w:rFonts w:ascii="Arial" w:eastAsia="Arial" w:hAnsi="Arial" w:cs="Arial"/>
              </w:rPr>
            </w:pPr>
            <w:r>
              <w:rPr>
                <w:rFonts w:ascii="Arial" w:eastAsia="Arial" w:hAnsi="Arial" w:cs="Arial"/>
              </w:rPr>
              <w:t xml:space="preserve">Environmental Regulation with the Federal Climate Protection Act </w:t>
            </w:r>
          </w:p>
        </w:tc>
        <w:tc>
          <w:tcPr>
            <w:tcW w:w="4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66843" w14:textId="77777777" w:rsidR="002F0667" w:rsidRDefault="00000000">
            <w:pPr>
              <w:rPr>
                <w:rFonts w:ascii="Arial" w:eastAsia="Arial" w:hAnsi="Arial" w:cs="Arial"/>
              </w:rPr>
            </w:pPr>
            <w:r>
              <w:rPr>
                <w:rFonts w:ascii="Arial" w:eastAsia="Arial" w:hAnsi="Arial" w:cs="Arial"/>
              </w:rPr>
              <w:t xml:space="preserve">Showcases a highly demanding market, with chances of binding operational hurdles, rather than entry incentives </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A879D" w14:textId="77777777" w:rsidR="002F0667" w:rsidRDefault="00000000">
            <w:pPr>
              <w:rPr>
                <w:rFonts w:ascii="Arial" w:eastAsia="Arial" w:hAnsi="Arial" w:cs="Arial"/>
              </w:rPr>
            </w:pPr>
            <w:r>
              <w:rPr>
                <w:rFonts w:ascii="Arial" w:eastAsia="Arial" w:hAnsi="Arial" w:cs="Arial"/>
              </w:rPr>
              <w:t xml:space="preserve">Incompatible regulatory environment of Germany with Walmart's EDLP and hypermarket expansion strategies </w:t>
            </w:r>
          </w:p>
        </w:tc>
      </w:tr>
    </w:tbl>
    <w:p w14:paraId="439BD859" w14:textId="77777777" w:rsidR="002F0667" w:rsidRDefault="00000000">
      <w:pPr>
        <w:jc w:val="center"/>
        <w:rPr>
          <w:rFonts w:ascii="Arial" w:eastAsia="Arial" w:hAnsi="Arial" w:cs="Arial"/>
          <w:b/>
          <w:bCs/>
        </w:rPr>
      </w:pPr>
      <w:r>
        <w:rPr>
          <w:rFonts w:ascii="Arial" w:eastAsia="Arial" w:hAnsi="Arial" w:cs="Arial"/>
          <w:b/>
          <w:bCs/>
        </w:rPr>
        <w:t>Table 2: Legal Opportunities and Challenges for Walmart's Entry in Germany</w:t>
      </w:r>
    </w:p>
    <w:p w14:paraId="4CC7A58C" w14:textId="77777777" w:rsidR="002F0667" w:rsidRDefault="00000000">
      <w:pPr>
        <w:rPr>
          <w:rFonts w:ascii="Arial" w:eastAsia="Arial" w:hAnsi="Arial" w:cs="Arial"/>
        </w:rPr>
      </w:pPr>
      <w:r>
        <w:rPr>
          <w:rFonts w:ascii="Arial" w:eastAsia="Arial" w:hAnsi="Arial" w:cs="Arial"/>
        </w:rPr>
        <w:t>In Germany, the law against unfair means of competition provides protection from cases of “</w:t>
      </w:r>
      <w:r>
        <w:rPr>
          <w:rFonts w:ascii="Arial" w:eastAsia="Arial" w:hAnsi="Arial" w:cs="Arial"/>
          <w:i/>
          <w:iCs/>
        </w:rPr>
        <w:t>distortion, misrepresentation and unfair practices in the interests of competitors, consumers and other operators</w:t>
      </w:r>
      <w:r>
        <w:rPr>
          <w:rFonts w:ascii="Arial" w:eastAsia="Arial" w:hAnsi="Arial" w:cs="Arial"/>
        </w:rPr>
        <w:t xml:space="preserve">” (Guide, 2026). It includes </w:t>
      </w:r>
      <w:r>
        <w:rPr>
          <w:rFonts w:ascii="Arial" w:eastAsia="Arial" w:hAnsi="Arial" w:cs="Arial"/>
          <w:i/>
          <w:iCs/>
        </w:rPr>
        <w:t>inter alia</w:t>
      </w:r>
      <w:r>
        <w:rPr>
          <w:rFonts w:ascii="Arial" w:eastAsia="Arial" w:hAnsi="Arial" w:cs="Arial"/>
        </w:rPr>
        <w:t xml:space="preserve"> advertising law, unwanted advertising by means of e-mail spam, along with misleading </w:t>
      </w:r>
      <w:r>
        <w:rPr>
          <w:rFonts w:ascii="Arial" w:eastAsia="Arial" w:hAnsi="Arial" w:cs="Arial"/>
        </w:rPr>
        <w:lastRenderedPageBreak/>
        <w:t>advertising, misrepresentation of information, and illegal terms and conditions on the website. Additionally, any cases of anti-competitive behaviour and abuses of dominant market position are dealt with by the anti-trust law. It maintains substantial harmonisation between German competition law and European competition law. In terms of data protection, Germany has adjusted its legal framework by adhering to the GDPR with its new German Federal Data Protection Act. This regulatory framework has implemented the “Law Enforcement Directive (EU) 2016/680” for governing data processing for law enforcement purposes (DLA Piper, 2026). Therefore, it is challenging to adhere to GDPR obligations, which involves collection, storage and processing of customer data in the European Union. Germany has considered environmental and climate change policies to be a constitutional value. The Federal Climate Protection Act (</w:t>
      </w:r>
      <w:proofErr w:type="spellStart"/>
      <w:r>
        <w:rPr>
          <w:rFonts w:ascii="Arial" w:eastAsia="Arial" w:hAnsi="Arial" w:cs="Arial"/>
          <w:i/>
          <w:iCs/>
        </w:rPr>
        <w:t>Bundesklimaschutzgesetz</w:t>
      </w:r>
      <w:proofErr w:type="spellEnd"/>
      <w:r>
        <w:rPr>
          <w:rFonts w:ascii="Arial" w:eastAsia="Arial" w:hAnsi="Arial" w:cs="Arial"/>
        </w:rPr>
        <w:t>)</w:t>
      </w:r>
      <w:r>
        <w:rPr>
          <w:rFonts w:ascii="Arial" w:eastAsia="Arial" w:hAnsi="Arial" w:cs="Arial"/>
          <w:i/>
          <w:iCs/>
        </w:rPr>
        <w:t xml:space="preserve"> </w:t>
      </w:r>
      <w:r>
        <w:rPr>
          <w:rFonts w:ascii="Arial" w:eastAsia="Arial" w:hAnsi="Arial" w:cs="Arial"/>
        </w:rPr>
        <w:t xml:space="preserve">has mandated reduction of greenhouse gas emissions by 65% in 2030 and 88% in 2040 (Spieth et al., 2026). It is also a mandate to achieve (net) climate neutrality by 2045. </w:t>
      </w:r>
    </w:p>
    <w:p w14:paraId="2226D62F" w14:textId="77777777" w:rsidR="002F0667" w:rsidRDefault="00000000">
      <w:pPr>
        <w:rPr>
          <w:rFonts w:ascii="Arial" w:eastAsia="Arial" w:hAnsi="Arial" w:cs="Arial"/>
        </w:rPr>
      </w:pPr>
      <w:r>
        <w:rPr>
          <w:rFonts w:ascii="Arial" w:eastAsia="Arial" w:hAnsi="Arial" w:cs="Arial"/>
        </w:rPr>
        <w:t xml:space="preserve">Despite a challenging legal environment, there are some </w:t>
      </w:r>
      <w:proofErr w:type="spellStart"/>
      <w:r>
        <w:rPr>
          <w:rFonts w:ascii="Arial" w:eastAsia="Arial" w:hAnsi="Arial" w:cs="Arial"/>
        </w:rPr>
        <w:t>favorable</w:t>
      </w:r>
      <w:proofErr w:type="spellEnd"/>
      <w:r>
        <w:rPr>
          <w:rFonts w:ascii="Arial" w:eastAsia="Arial" w:hAnsi="Arial" w:cs="Arial"/>
        </w:rPr>
        <w:t xml:space="preserve"> conditions that will support Walmart’s expansion. As per </w:t>
      </w:r>
      <w:proofErr w:type="spellStart"/>
      <w:r>
        <w:rPr>
          <w:rFonts w:ascii="Arial" w:eastAsia="Arial" w:hAnsi="Arial" w:cs="Arial"/>
          <w:color w:val="222222"/>
          <w:sz w:val="20"/>
          <w:szCs w:val="20"/>
        </w:rPr>
        <w:t>Choper</w:t>
      </w:r>
      <w:proofErr w:type="spellEnd"/>
      <w:r>
        <w:rPr>
          <w:rFonts w:ascii="Arial" w:eastAsia="Arial" w:hAnsi="Arial" w:cs="Arial"/>
        </w:rPr>
        <w:t xml:space="preserve"> et al. (2026), it consists of government incentives for FDI, pro-business trade agreements, transparent intellectual property e-commerce frameworks, along with stable corporate tax policies. Apart from reducing overall operational costs, these regulations are likely to streamline supply chain Walmart and, in turn, will protect its digital growth. In context to investment, these regulatory chords will win back the confidence of investors. Such conditions will facilitate long-term strategic investments of MNCs. German Competition Law has already banned the concept of Below-Cost Pricing. This made it illegal for Walmart to sell products below cost and has already restricted it to use its signature low-pricing strategy in 2006 to undercut local discounters like Aldi (Zhou, 2024). However, to ensure legal compliance in current times, integration of blockchain technologies would help to reduce food wastes, optimise food resources, and increase transparency of the food supply chain (Rajput et al., 2025). Digital sophistication of Walmart is, therefore, the string that would help it to meet legal and environmental requirements in Germany.</w:t>
      </w:r>
    </w:p>
    <w:p w14:paraId="46F3993F" w14:textId="77777777" w:rsidR="002F0667" w:rsidRDefault="00000000">
      <w:pPr>
        <w:pStyle w:val="Heading3"/>
        <w:rPr>
          <w:rFonts w:ascii="Arial" w:eastAsia="Arial" w:hAnsi="Arial" w:cs="Arial"/>
        </w:rPr>
      </w:pPr>
      <w:bookmarkStart w:id="10" w:name="_heading=h.x4jjcc85u64x" w:colFirst="0" w:colLast="0"/>
      <w:bookmarkEnd w:id="10"/>
      <w:r>
        <w:rPr>
          <w:rFonts w:ascii="Arial" w:eastAsia="Arial" w:hAnsi="Arial" w:cs="Arial"/>
        </w:rPr>
        <w:t>3.4 Cultural factors</w:t>
      </w:r>
    </w:p>
    <w:p w14:paraId="0A4AED5E" w14:textId="77777777" w:rsidR="002F0667" w:rsidRDefault="00000000">
      <w:pPr>
        <w:rPr>
          <w:rFonts w:ascii="Arial" w:eastAsia="Arial" w:hAnsi="Arial" w:cs="Arial"/>
        </w:rPr>
      </w:pPr>
      <w:r>
        <w:rPr>
          <w:rFonts w:ascii="Arial" w:eastAsia="Arial" w:hAnsi="Arial" w:cs="Arial"/>
        </w:rPr>
        <w:t xml:space="preserve">Consideration of cultural factors is one of the most crucial aspects for businesses when it comes to expanding into an </w:t>
      </w:r>
      <w:proofErr w:type="spellStart"/>
      <w:r>
        <w:rPr>
          <w:rFonts w:ascii="Arial" w:eastAsia="Arial" w:hAnsi="Arial" w:cs="Arial"/>
        </w:rPr>
        <w:t>unfavorable</w:t>
      </w:r>
      <w:proofErr w:type="spellEnd"/>
      <w:r>
        <w:rPr>
          <w:rFonts w:ascii="Arial" w:eastAsia="Arial" w:hAnsi="Arial" w:cs="Arial"/>
        </w:rPr>
        <w:t xml:space="preserve"> market such as that of Germany. The findings of Zhou (2024) revealed that this retailer has once lost around $1 billion </w:t>
      </w:r>
      <w:r>
        <w:rPr>
          <w:rFonts w:ascii="Arial" w:eastAsia="Arial" w:hAnsi="Arial" w:cs="Arial"/>
        </w:rPr>
        <w:lastRenderedPageBreak/>
        <w:t xml:space="preserve">before. Taking this into account, Walmart's expansion in Germany needs to prioritise value orientation of consumers, apart from ensuring proper cultural alignment with attitude, and shopping habits. </w:t>
      </w:r>
      <w:proofErr w:type="spellStart"/>
      <w:r>
        <w:rPr>
          <w:rFonts w:ascii="Arial" w:eastAsia="Arial" w:hAnsi="Arial" w:cs="Arial"/>
        </w:rPr>
        <w:t>Parboteeah</w:t>
      </w:r>
      <w:proofErr w:type="spellEnd"/>
      <w:r>
        <w:rPr>
          <w:rFonts w:ascii="Arial" w:eastAsia="Arial" w:hAnsi="Arial" w:cs="Arial"/>
        </w:rPr>
        <w:t xml:space="preserve"> et al. (2024) stated that market acceptance level of MNCs can be significant in case products, and marketing strategies are adapted on the basis culture of the target/host country. Preferences of German customers for local discounters like Aldi and Lidl depict Walmart to showcase its EDLP strategy. With the emergence of e-commerce, there has been an immense increase in online shopping in and around Central Europe because of convenient and competitive prices and a wider range of choices (</w:t>
      </w:r>
      <w:proofErr w:type="spellStart"/>
      <w:r>
        <w:rPr>
          <w:rFonts w:ascii="Arial" w:eastAsia="Arial" w:hAnsi="Arial" w:cs="Arial"/>
        </w:rPr>
        <w:t>Grabiwoda</w:t>
      </w:r>
      <w:proofErr w:type="spellEnd"/>
      <w:r>
        <w:rPr>
          <w:rFonts w:ascii="Arial" w:eastAsia="Arial" w:hAnsi="Arial" w:cs="Arial"/>
        </w:rPr>
        <w:t xml:space="preserve"> and Mróz, 2022). The omnichannel model of Walmart is worth mentioning here that integrates the concept of “physical stores, e-commerce and instant home delivery”. Findings of Singh and Misra (2021) confirmed that CSR (Corporate Social Responsibility) has turned out to be an important strategy to drive consumer trust and loyalty. </w:t>
      </w:r>
    </w:p>
    <w:p w14:paraId="7780DCB4" w14:textId="77777777" w:rsidR="002F0667" w:rsidRDefault="00000000">
      <w:pPr>
        <w:jc w:val="center"/>
        <w:rPr>
          <w:rFonts w:ascii="Arial" w:eastAsia="Arial" w:hAnsi="Arial" w:cs="Arial"/>
        </w:rPr>
      </w:pPr>
      <w:r>
        <w:rPr>
          <w:rFonts w:ascii="Arial" w:eastAsia="Arial" w:hAnsi="Arial" w:cs="Arial"/>
          <w:noProof/>
        </w:rPr>
        <w:drawing>
          <wp:inline distT="114300" distB="114300" distL="114300" distR="114300" wp14:anchorId="747B6EF0" wp14:editId="3E5BF03D">
            <wp:extent cx="5929313" cy="2647950"/>
            <wp:effectExtent l="0" t="0" r="0" b="0"/>
            <wp:docPr id="164944695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29313" cy="2647950"/>
                    </a:xfrm>
                    <a:prstGeom prst="rect">
                      <a:avLst/>
                    </a:prstGeom>
                    <a:ln/>
                  </pic:spPr>
                </pic:pic>
              </a:graphicData>
            </a:graphic>
          </wp:inline>
        </w:drawing>
      </w:r>
    </w:p>
    <w:p w14:paraId="259FD004" w14:textId="77777777" w:rsidR="002F0667" w:rsidRDefault="00000000">
      <w:pPr>
        <w:jc w:val="center"/>
        <w:rPr>
          <w:rFonts w:ascii="Arial" w:eastAsia="Arial" w:hAnsi="Arial" w:cs="Arial"/>
          <w:b/>
          <w:bCs/>
        </w:rPr>
      </w:pPr>
      <w:r>
        <w:rPr>
          <w:rFonts w:ascii="Arial" w:eastAsia="Arial" w:hAnsi="Arial" w:cs="Arial"/>
          <w:b/>
          <w:bCs/>
        </w:rPr>
        <w:t>Figure 2: Hofstede Cultural Dimension of Germany</w:t>
      </w:r>
    </w:p>
    <w:p w14:paraId="7EFBEF35" w14:textId="77777777" w:rsidR="002F0667" w:rsidRDefault="00000000">
      <w:pPr>
        <w:jc w:val="center"/>
        <w:rPr>
          <w:rFonts w:ascii="Arial" w:eastAsia="Arial" w:hAnsi="Arial" w:cs="Arial"/>
        </w:rPr>
      </w:pPr>
      <w:r>
        <w:rPr>
          <w:rFonts w:ascii="Arial" w:eastAsia="Arial" w:hAnsi="Arial" w:cs="Arial"/>
        </w:rPr>
        <w:t>(Source: TCF, 2026)</w:t>
      </w:r>
    </w:p>
    <w:p w14:paraId="2214C894" w14:textId="77777777" w:rsidR="002F0667" w:rsidRDefault="00000000">
      <w:pPr>
        <w:rPr>
          <w:rFonts w:ascii="Arial" w:eastAsia="Arial" w:hAnsi="Arial" w:cs="Arial"/>
        </w:rPr>
      </w:pPr>
      <w:r>
        <w:rPr>
          <w:rFonts w:ascii="Arial" w:eastAsia="Arial" w:hAnsi="Arial" w:cs="Arial"/>
        </w:rPr>
        <w:t xml:space="preserve">To assess behaviour of German consumers, cultural dimensions as stated by Hofstede's model are assessed. It was evident that Germany, with high Individualism (79) and Motivation towards Achievement and Success (66). These depict that Germany is a truly Individualist society, along with achievement-oriented (high-MAS) culture - decisive in terms of behavioural aspects (TCF, 2026). With this, consumers highly value performance and results are expected early, and tend to </w:t>
      </w:r>
      <w:r>
        <w:rPr>
          <w:rFonts w:ascii="Arial" w:eastAsia="Arial" w:hAnsi="Arial" w:cs="Arial"/>
          <w:i/>
          <w:iCs/>
        </w:rPr>
        <w:t>"live in order to work</w:t>
      </w:r>
      <w:r>
        <w:rPr>
          <w:rFonts w:ascii="Arial" w:eastAsia="Arial" w:hAnsi="Arial" w:cs="Arial"/>
        </w:rPr>
        <w:t xml:space="preserve">".  It further reflects appreciation of quality, performance, and value. There are </w:t>
      </w:r>
      <w:r>
        <w:rPr>
          <w:rFonts w:ascii="Arial" w:eastAsia="Arial" w:hAnsi="Arial" w:cs="Arial"/>
        </w:rPr>
        <w:lastRenderedPageBreak/>
        <w:t xml:space="preserve">also preferences for deductive thinking approaches, presenting and planning, which are mirrored in the detailed legal system. </w:t>
      </w:r>
    </w:p>
    <w:p w14:paraId="125FA737" w14:textId="77777777" w:rsidR="002F0667" w:rsidRDefault="00000000">
      <w:pPr>
        <w:rPr>
          <w:rFonts w:ascii="Arial" w:eastAsia="Arial" w:hAnsi="Arial" w:cs="Arial"/>
        </w:rPr>
      </w:pPr>
      <w:r>
        <w:rPr>
          <w:rFonts w:ascii="Arial" w:eastAsia="Arial" w:hAnsi="Arial" w:cs="Arial"/>
        </w:rPr>
        <w:t>Relatively lower levels of “Long-Term Orientation” (57) and “Indulgence” (40) revealed that it is crucial for Walmart to ensure offering useful “value, affordability and responsible consumption”. Doing so will be helpful to support its EDLP proposition. However, there will still be a need for cultural adaptation, owing to the fact that German consumers are loyal to well-known local brands. To win customer trust and be successful, it will be essential for Walmart to cooperate with local suppliers and adjust its product ranges accordingly. This will help retain the position of cost-leadership. Michalke et al. (2023) has confirmed that differences in prices of organic and conventional products leads to the dire need to reconcile price and food value aspects.</w:t>
      </w:r>
    </w:p>
    <w:p w14:paraId="7A9EAD76" w14:textId="77777777" w:rsidR="002F0667" w:rsidRDefault="00000000">
      <w:pPr>
        <w:pStyle w:val="Heading3"/>
        <w:rPr>
          <w:rFonts w:ascii="Arial" w:eastAsia="Arial" w:hAnsi="Arial" w:cs="Arial"/>
        </w:rPr>
      </w:pPr>
      <w:bookmarkStart w:id="11" w:name="_heading=h.udaz2zdswl9u" w:colFirst="0" w:colLast="0"/>
      <w:bookmarkEnd w:id="11"/>
      <w:r>
        <w:rPr>
          <w:rFonts w:ascii="Arial" w:eastAsia="Arial" w:hAnsi="Arial" w:cs="Arial"/>
        </w:rPr>
        <w:t>3.5 Industry Attractiveness</w:t>
      </w:r>
    </w:p>
    <w:p w14:paraId="347188D2" w14:textId="77777777" w:rsidR="002F0667" w:rsidRDefault="00000000">
      <w:r>
        <w:rPr>
          <w:rFonts w:ascii="Arial" w:eastAsia="Arial" w:hAnsi="Arial" w:cs="Arial"/>
        </w:rPr>
        <w:t xml:space="preserve">The findings of </w:t>
      </w:r>
      <w:proofErr w:type="spellStart"/>
      <w:r>
        <w:rPr>
          <w:rFonts w:ascii="Arial" w:eastAsia="Arial" w:hAnsi="Arial" w:cs="Arial"/>
        </w:rPr>
        <w:t>Brzeziński</w:t>
      </w:r>
      <w:proofErr w:type="spellEnd"/>
      <w:r>
        <w:rPr>
          <w:rFonts w:ascii="Arial" w:eastAsia="Arial" w:hAnsi="Arial" w:cs="Arial"/>
        </w:rPr>
        <w:t xml:space="preserve"> (2024) revealed sustainable development to be a constant need for international companies, as it reflects efficient resource management, and innovation. In 2022, net sales of Walmart </w:t>
      </w:r>
      <w:proofErr w:type="gramStart"/>
      <w:r>
        <w:rPr>
          <w:rFonts w:ascii="Arial" w:eastAsia="Arial" w:hAnsi="Arial" w:cs="Arial"/>
        </w:rPr>
        <w:t>is</w:t>
      </w:r>
      <w:proofErr w:type="gramEnd"/>
      <w:r>
        <w:rPr>
          <w:rFonts w:ascii="Arial" w:eastAsia="Arial" w:hAnsi="Arial" w:cs="Arial"/>
        </w:rPr>
        <w:t xml:space="preserve"> analysed to have increased from US$555.233 billion (2021) to US$567.762 billion (Mrozek, 2022). When it comes to global expansion, underlying risks of the foreign market cannot be avoided. However, Walmart is equipped enough to invest in foreign markets with its advanced level of technologies and infrastructures, thereby putting it ahead of competition. As per Rogaczewski (2025), digitalisation is a significant driver of international expansion, as it brings in operational efficiency, better engagement and responsiveness. However, in Germany, Walmart can create an 'omnichannel' proposition with its brick-and-mortar outlet infrastructure and online presence. </w:t>
      </w:r>
    </w:p>
    <w:tbl>
      <w:tblPr>
        <w:tblStyle w:val="af1"/>
        <w:tblW w:w="9510" w:type="dxa"/>
        <w:tblBorders>
          <w:top w:val="nil"/>
          <w:left w:val="nil"/>
          <w:bottom w:val="nil"/>
          <w:right w:val="nil"/>
          <w:insideH w:val="nil"/>
          <w:insideV w:val="nil"/>
        </w:tblBorders>
        <w:tblLayout w:type="fixed"/>
        <w:tblLook w:val="0600" w:firstRow="0" w:lastRow="0" w:firstColumn="0" w:lastColumn="0" w:noHBand="1" w:noVBand="1"/>
      </w:tblPr>
      <w:tblGrid>
        <w:gridCol w:w="2865"/>
        <w:gridCol w:w="2070"/>
        <w:gridCol w:w="4575"/>
      </w:tblGrid>
      <w:tr w:rsidR="002F0667" w14:paraId="1F987449" w14:textId="77777777">
        <w:trPr>
          <w:trHeight w:val="515"/>
        </w:trPr>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9AAAFF" w14:textId="77777777" w:rsidR="002F0667" w:rsidRDefault="00000000">
            <w:pPr>
              <w:jc w:val="center"/>
              <w:rPr>
                <w:rFonts w:ascii="Arial" w:eastAsia="Arial" w:hAnsi="Arial" w:cs="Arial"/>
              </w:rPr>
            </w:pPr>
            <w:r>
              <w:rPr>
                <w:rFonts w:ascii="Arial" w:eastAsia="Arial" w:hAnsi="Arial" w:cs="Arial"/>
                <w:b/>
                <w:bCs/>
              </w:rPr>
              <w:t>Indicator</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9EAFCA" w14:textId="77777777" w:rsidR="002F0667" w:rsidRDefault="00000000">
            <w:pPr>
              <w:jc w:val="center"/>
              <w:rPr>
                <w:rFonts w:ascii="Arial" w:eastAsia="Arial" w:hAnsi="Arial" w:cs="Arial"/>
              </w:rPr>
            </w:pPr>
            <w:r>
              <w:rPr>
                <w:rFonts w:ascii="Arial" w:eastAsia="Arial" w:hAnsi="Arial" w:cs="Arial"/>
                <w:b/>
                <w:bCs/>
              </w:rPr>
              <w:t>Latest Figure</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A7FE0" w14:textId="77777777" w:rsidR="002F0667" w:rsidRDefault="00000000">
            <w:pPr>
              <w:jc w:val="center"/>
              <w:rPr>
                <w:rFonts w:ascii="Arial" w:eastAsia="Arial" w:hAnsi="Arial" w:cs="Arial"/>
              </w:rPr>
            </w:pPr>
            <w:r>
              <w:rPr>
                <w:rFonts w:ascii="Arial" w:eastAsia="Arial" w:hAnsi="Arial" w:cs="Arial"/>
                <w:b/>
                <w:bCs/>
              </w:rPr>
              <w:t>Strategic Implication</w:t>
            </w:r>
          </w:p>
        </w:tc>
      </w:tr>
      <w:tr w:rsidR="002F0667" w14:paraId="790D186D" w14:textId="77777777">
        <w:trPr>
          <w:trHeight w:val="785"/>
        </w:trPr>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B1E465" w14:textId="77777777" w:rsidR="002F0667" w:rsidRDefault="00000000">
            <w:pPr>
              <w:rPr>
                <w:rFonts w:ascii="Arial" w:eastAsia="Arial" w:hAnsi="Arial" w:cs="Arial"/>
              </w:rPr>
            </w:pPr>
            <w:r>
              <w:rPr>
                <w:rFonts w:ascii="Arial" w:eastAsia="Arial" w:hAnsi="Arial" w:cs="Arial"/>
              </w:rPr>
              <w:t>Total population in Germany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3C24B" w14:textId="77777777" w:rsidR="002F0667" w:rsidRDefault="00000000">
            <w:pPr>
              <w:rPr>
                <w:rFonts w:ascii="Arial" w:eastAsia="Arial" w:hAnsi="Arial" w:cs="Arial"/>
              </w:rPr>
            </w:pPr>
            <w:r>
              <w:rPr>
                <w:rFonts w:ascii="Arial" w:eastAsia="Arial" w:hAnsi="Arial" w:cs="Arial"/>
                <w:b/>
                <w:bCs/>
              </w:rPr>
              <w:t xml:space="preserve">83.55 million </w:t>
            </w:r>
            <w:r>
              <w:rPr>
                <w:rFonts w:ascii="Arial" w:eastAsia="Arial" w:hAnsi="Arial" w:cs="Arial"/>
              </w:rPr>
              <w:t>(</w:t>
            </w:r>
            <w:proofErr w:type="spellStart"/>
            <w:r>
              <w:rPr>
                <w:rFonts w:ascii="Arial" w:eastAsia="Arial" w:hAnsi="Arial" w:cs="Arial"/>
              </w:rPr>
              <w:t>Worldmeters</w:t>
            </w:r>
            <w:proofErr w:type="spellEnd"/>
            <w:r>
              <w:rPr>
                <w:rFonts w:ascii="Arial" w:eastAsia="Arial" w:hAnsi="Arial" w:cs="Arial"/>
              </w:rPr>
              <w:t>, 2026)</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19BA6" w14:textId="77777777" w:rsidR="002F0667" w:rsidRDefault="00000000">
            <w:pPr>
              <w:rPr>
                <w:rFonts w:ascii="Arial" w:eastAsia="Arial" w:hAnsi="Arial" w:cs="Arial"/>
              </w:rPr>
            </w:pPr>
            <w:r>
              <w:rPr>
                <w:rFonts w:ascii="Arial" w:eastAsia="Arial" w:hAnsi="Arial" w:cs="Arial"/>
              </w:rPr>
              <w:t>Large consumer market supporting retail expansion</w:t>
            </w:r>
          </w:p>
        </w:tc>
      </w:tr>
      <w:tr w:rsidR="002F0667" w14:paraId="1B85026D" w14:textId="77777777">
        <w:trPr>
          <w:trHeight w:val="785"/>
        </w:trPr>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F07CF" w14:textId="77777777" w:rsidR="002F0667" w:rsidRDefault="00000000">
            <w:pPr>
              <w:rPr>
                <w:rFonts w:ascii="Arial" w:eastAsia="Arial" w:hAnsi="Arial" w:cs="Arial"/>
              </w:rPr>
            </w:pPr>
            <w:r>
              <w:rPr>
                <w:rFonts w:ascii="Arial" w:eastAsia="Arial" w:hAnsi="Arial" w:cs="Arial"/>
              </w:rPr>
              <w:t>German retail market growth (2024–2029)</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B4D90" w14:textId="77777777" w:rsidR="002F0667" w:rsidRDefault="00000000">
            <w:pPr>
              <w:rPr>
                <w:rFonts w:ascii="Arial" w:eastAsia="Arial" w:hAnsi="Arial" w:cs="Arial"/>
              </w:rPr>
            </w:pPr>
            <w:r>
              <w:rPr>
                <w:rFonts w:ascii="Arial" w:eastAsia="Arial" w:hAnsi="Arial" w:cs="Arial"/>
                <w:b/>
                <w:bCs/>
              </w:rPr>
              <w:t>2.0% CAGR</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B8473" w14:textId="77777777" w:rsidR="002F0667" w:rsidRDefault="00000000">
            <w:pPr>
              <w:rPr>
                <w:rFonts w:ascii="Arial" w:eastAsia="Arial" w:hAnsi="Arial" w:cs="Arial"/>
              </w:rPr>
            </w:pPr>
            <w:r>
              <w:rPr>
                <w:rFonts w:ascii="Arial" w:eastAsia="Arial" w:hAnsi="Arial" w:cs="Arial"/>
              </w:rPr>
              <w:t xml:space="preserve">Sustained long-term industry expansion, besides high food inflation due to tariffs on US exports and geopolitical tensions in Europe   </w:t>
            </w:r>
          </w:p>
        </w:tc>
      </w:tr>
      <w:tr w:rsidR="002F0667" w14:paraId="753EF743" w14:textId="77777777">
        <w:trPr>
          <w:trHeight w:val="1070"/>
        </w:trPr>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AD07C" w14:textId="77777777" w:rsidR="002F0667" w:rsidRDefault="00000000">
            <w:pPr>
              <w:rPr>
                <w:rFonts w:ascii="Arial" w:eastAsia="Arial" w:hAnsi="Arial" w:cs="Arial"/>
              </w:rPr>
            </w:pPr>
            <w:r>
              <w:rPr>
                <w:rFonts w:ascii="Arial" w:eastAsia="Arial" w:hAnsi="Arial" w:cs="Arial"/>
              </w:rPr>
              <w:lastRenderedPageBreak/>
              <w:t>Global consumer products and retail market</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D0A6E" w14:textId="77777777" w:rsidR="002F0667" w:rsidRDefault="00000000">
            <w:pPr>
              <w:rPr>
                <w:rFonts w:ascii="Arial" w:eastAsia="Arial" w:hAnsi="Arial" w:cs="Arial"/>
              </w:rPr>
            </w:pPr>
            <w:r>
              <w:rPr>
                <w:rFonts w:ascii="Arial" w:eastAsia="Arial" w:hAnsi="Arial" w:cs="Arial"/>
                <w:b/>
                <w:bCs/>
              </w:rPr>
              <w:t>USD 48.1 trillion by 2030</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5C838" w14:textId="77777777" w:rsidR="002F0667" w:rsidRDefault="00000000">
            <w:pPr>
              <w:rPr>
                <w:rFonts w:ascii="Arial" w:eastAsia="Arial" w:hAnsi="Arial" w:cs="Arial"/>
              </w:rPr>
            </w:pPr>
            <w:r>
              <w:rPr>
                <w:rFonts w:ascii="Arial" w:eastAsia="Arial" w:hAnsi="Arial" w:cs="Arial"/>
              </w:rPr>
              <w:t>Expanding global retail demand</w:t>
            </w:r>
          </w:p>
        </w:tc>
      </w:tr>
    </w:tbl>
    <w:p w14:paraId="0BA0CD43" w14:textId="77777777" w:rsidR="002F0667" w:rsidRDefault="00000000">
      <w:pPr>
        <w:jc w:val="center"/>
        <w:rPr>
          <w:rFonts w:ascii="Arial" w:eastAsia="Arial" w:hAnsi="Arial" w:cs="Arial"/>
          <w:b/>
          <w:bCs/>
        </w:rPr>
      </w:pPr>
      <w:r>
        <w:rPr>
          <w:rFonts w:ascii="Arial" w:eastAsia="Arial" w:hAnsi="Arial" w:cs="Arial"/>
          <w:b/>
          <w:bCs/>
        </w:rPr>
        <w:t>Table 3: Attractiveness of the German and global retail industry for expansion of Walmart</w:t>
      </w:r>
    </w:p>
    <w:p w14:paraId="32EF4A00" w14:textId="77777777" w:rsidR="002F0667" w:rsidRDefault="00000000">
      <w:pPr>
        <w:jc w:val="center"/>
        <w:rPr>
          <w:rFonts w:ascii="Arial" w:eastAsia="Arial" w:hAnsi="Arial" w:cs="Arial"/>
          <w:b/>
          <w:bCs/>
        </w:rPr>
      </w:pPr>
      <w:r>
        <w:rPr>
          <w:rFonts w:ascii="Arial" w:eastAsia="Arial" w:hAnsi="Arial" w:cs="Arial"/>
          <w:b/>
          <w:bCs/>
          <w:noProof/>
        </w:rPr>
        <w:drawing>
          <wp:inline distT="0" distB="0" distL="0" distR="0" wp14:anchorId="681C2229" wp14:editId="1A575C1C">
            <wp:extent cx="4656300" cy="3027040"/>
            <wp:effectExtent l="9525" t="9525" r="9525" b="9525"/>
            <wp:docPr id="164944695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t="17907" r="9419"/>
                    <a:stretch>
                      <a:fillRect/>
                    </a:stretch>
                  </pic:blipFill>
                  <pic:spPr>
                    <a:xfrm>
                      <a:off x="0" y="0"/>
                      <a:ext cx="4656300" cy="3027040"/>
                    </a:xfrm>
                    <a:prstGeom prst="rect">
                      <a:avLst/>
                    </a:prstGeom>
                    <a:ln w="9525">
                      <a:solidFill>
                        <a:srgbClr val="000000"/>
                      </a:solidFill>
                      <a:prstDash val="solid"/>
                    </a:ln>
                  </pic:spPr>
                </pic:pic>
              </a:graphicData>
            </a:graphic>
          </wp:inline>
        </w:drawing>
      </w:r>
    </w:p>
    <w:p w14:paraId="20F6A07E" w14:textId="77777777" w:rsidR="002F0667" w:rsidRDefault="00000000">
      <w:pPr>
        <w:jc w:val="center"/>
        <w:rPr>
          <w:rFonts w:ascii="Arial" w:eastAsia="Arial" w:hAnsi="Arial" w:cs="Arial"/>
          <w:b/>
          <w:bCs/>
        </w:rPr>
      </w:pPr>
      <w:r>
        <w:rPr>
          <w:rFonts w:ascii="Arial" w:eastAsia="Arial" w:hAnsi="Arial" w:cs="Arial"/>
          <w:b/>
          <w:bCs/>
        </w:rPr>
        <w:t>Figure 3: Size of the global retail market</w:t>
      </w:r>
    </w:p>
    <w:p w14:paraId="3077C7FC" w14:textId="77777777" w:rsidR="002F0667" w:rsidRDefault="00000000">
      <w:pPr>
        <w:jc w:val="center"/>
        <w:rPr>
          <w:rFonts w:ascii="Arial" w:eastAsia="Arial" w:hAnsi="Arial" w:cs="Arial"/>
        </w:rPr>
      </w:pPr>
      <w:r>
        <w:rPr>
          <w:rFonts w:ascii="Arial" w:eastAsia="Arial" w:hAnsi="Arial" w:cs="Arial"/>
        </w:rPr>
        <w:t>(Source: CMI, 2026)</w:t>
      </w:r>
    </w:p>
    <w:p w14:paraId="7E3FC996" w14:textId="77777777" w:rsidR="002F0667" w:rsidRDefault="00000000">
      <w:pPr>
        <w:rPr>
          <w:rFonts w:ascii="Arial" w:eastAsia="Arial" w:hAnsi="Arial" w:cs="Arial"/>
        </w:rPr>
      </w:pPr>
      <w:r>
        <w:rPr>
          <w:rFonts w:ascii="Arial" w:eastAsia="Arial" w:hAnsi="Arial" w:cs="Arial"/>
        </w:rPr>
        <w:t xml:space="preserve">As can be seen from the above figure, there is growth potential for Walmart to expand. However, Aytekin et al. (2023) added that selection of foreign markets requires considering the current size of the market, level of growth and competitive intensity, which are responsible for long-term profitability. The global retail market is expected to hit a compound annual growth rate (CAGR) of 5.8% in between 2025 and 2035, whereas it is 2.0% for the German retail sector in 2024-2029 (EMR, 2026; Global Data, 2025). Similarly, this sector is projected to become a global market by 2030 with a valuation of USD 48.1 trillion by 2030 (CMI, 2026). The retail property environment of Germany significantly provides opportunities for new market participants, although Walmart would need to select locations by considering factors of accessibility, consumer demand and distribution efficiency. One of the recent online reports has led to the finding that the retail environment is reshaped by constantly changing expectations of consumer, technological innovation, and omnichannel business </w:t>
      </w:r>
      <w:r>
        <w:rPr>
          <w:rFonts w:ascii="Arial" w:eastAsia="Arial" w:hAnsi="Arial" w:cs="Arial"/>
        </w:rPr>
        <w:lastRenderedPageBreak/>
        <w:t>models (Deloitte, 2026). These have altogether revealed scopes and opportunities for retailers with strong digital capabilities, such as Walmart.</w:t>
      </w:r>
    </w:p>
    <w:p w14:paraId="702584C9" w14:textId="77777777" w:rsidR="002F0667" w:rsidRDefault="00000000">
      <w:pPr>
        <w:pStyle w:val="Heading3"/>
        <w:rPr>
          <w:rFonts w:ascii="Arial" w:eastAsia="Arial" w:hAnsi="Arial" w:cs="Arial"/>
        </w:rPr>
      </w:pPr>
      <w:bookmarkStart w:id="12" w:name="_heading=h.vyby4wo2ydn1" w:colFirst="0" w:colLast="0"/>
      <w:bookmarkEnd w:id="12"/>
      <w:r>
        <w:rPr>
          <w:rFonts w:ascii="Arial" w:eastAsia="Arial" w:hAnsi="Arial" w:cs="Arial"/>
        </w:rPr>
        <w:t>3.6 Dunning's Eclectic (OLI) Paradigm</w:t>
      </w:r>
    </w:p>
    <w:p w14:paraId="6A64189D" w14:textId="77777777" w:rsidR="002F0667" w:rsidRDefault="00000000">
      <w:pPr>
        <w:jc w:val="center"/>
        <w:rPr>
          <w:rFonts w:ascii="Arial" w:eastAsia="Arial" w:hAnsi="Arial" w:cs="Arial"/>
        </w:rPr>
      </w:pPr>
      <w:r>
        <w:rPr>
          <w:rFonts w:ascii="Arial" w:eastAsia="Arial" w:hAnsi="Arial" w:cs="Arial"/>
          <w:noProof/>
        </w:rPr>
        <w:drawing>
          <wp:inline distT="0" distB="0" distL="0" distR="0" wp14:anchorId="24755027" wp14:editId="4390A190">
            <wp:extent cx="6000750" cy="2466045"/>
            <wp:effectExtent l="0" t="0" r="0" b="0"/>
            <wp:docPr id="1649446958" name="image3.png" descr="Eclectic Paradigm"/>
            <wp:cNvGraphicFramePr/>
            <a:graphic xmlns:a="http://schemas.openxmlformats.org/drawingml/2006/main">
              <a:graphicData uri="http://schemas.openxmlformats.org/drawingml/2006/picture">
                <pic:pic xmlns:pic="http://schemas.openxmlformats.org/drawingml/2006/picture">
                  <pic:nvPicPr>
                    <pic:cNvPr id="0" name="image3.png" descr="Eclectic Paradigm"/>
                    <pic:cNvPicPr preferRelativeResize="0"/>
                  </pic:nvPicPr>
                  <pic:blipFill>
                    <a:blip r:embed="rId13"/>
                    <a:srcRect l="9188" t="22860" r="9766" b="22857"/>
                    <a:stretch>
                      <a:fillRect/>
                    </a:stretch>
                  </pic:blipFill>
                  <pic:spPr>
                    <a:xfrm>
                      <a:off x="0" y="0"/>
                      <a:ext cx="6000750" cy="2466045"/>
                    </a:xfrm>
                    <a:prstGeom prst="rect">
                      <a:avLst/>
                    </a:prstGeom>
                    <a:ln/>
                  </pic:spPr>
                </pic:pic>
              </a:graphicData>
            </a:graphic>
          </wp:inline>
        </w:drawing>
      </w:r>
    </w:p>
    <w:p w14:paraId="1D113A25" w14:textId="77777777" w:rsidR="002F0667" w:rsidRDefault="00000000">
      <w:pPr>
        <w:jc w:val="center"/>
        <w:rPr>
          <w:rFonts w:ascii="Arial" w:eastAsia="Arial" w:hAnsi="Arial" w:cs="Arial"/>
          <w:b/>
          <w:bCs/>
        </w:rPr>
      </w:pPr>
      <w:r>
        <w:rPr>
          <w:rFonts w:ascii="Arial" w:eastAsia="Arial" w:hAnsi="Arial" w:cs="Arial"/>
          <w:b/>
          <w:bCs/>
        </w:rPr>
        <w:t>Figure 4: OLI Framework</w:t>
      </w:r>
    </w:p>
    <w:p w14:paraId="38F061A0" w14:textId="77777777" w:rsidR="002F0667" w:rsidRDefault="00000000">
      <w:pPr>
        <w:jc w:val="center"/>
        <w:rPr>
          <w:rFonts w:ascii="Arial" w:eastAsia="Arial" w:hAnsi="Arial" w:cs="Arial"/>
        </w:rPr>
      </w:pPr>
      <w:r>
        <w:rPr>
          <w:rFonts w:ascii="Arial" w:eastAsia="Arial" w:hAnsi="Arial" w:cs="Arial"/>
        </w:rPr>
        <w:t xml:space="preserve">(Source: Inspired by the ideas of </w:t>
      </w:r>
      <w:proofErr w:type="spellStart"/>
      <w:r>
        <w:rPr>
          <w:rFonts w:ascii="Arial" w:eastAsia="Arial" w:hAnsi="Arial" w:cs="Arial"/>
        </w:rPr>
        <w:t>Collidu</w:t>
      </w:r>
      <w:proofErr w:type="spellEnd"/>
      <w:r>
        <w:rPr>
          <w:rFonts w:ascii="Arial" w:eastAsia="Arial" w:hAnsi="Arial" w:cs="Arial"/>
        </w:rPr>
        <w:t>, 2026)</w:t>
      </w:r>
    </w:p>
    <w:p w14:paraId="78DE1C33" w14:textId="77777777" w:rsidR="002F0667" w:rsidRDefault="00000000">
      <w:pPr>
        <w:rPr>
          <w:rFonts w:ascii="Arial" w:eastAsia="Arial" w:hAnsi="Arial" w:cs="Arial"/>
        </w:rPr>
      </w:pPr>
      <w:r>
        <w:rPr>
          <w:rFonts w:ascii="Arial" w:eastAsia="Arial" w:hAnsi="Arial" w:cs="Arial"/>
        </w:rPr>
        <w:t>The Eclectic (Ownership- Location-Internalisation) Paradigm model of Dunning has been used to assess Walmart's intention to expand FDI into Germany. It is widely used by international businesses to examine whether MNCs can expand through FDI (</w:t>
      </w:r>
      <w:proofErr w:type="spellStart"/>
      <w:r>
        <w:rPr>
          <w:rFonts w:ascii="Arial" w:eastAsia="Arial" w:hAnsi="Arial" w:cs="Arial"/>
        </w:rPr>
        <w:t>Collidu</w:t>
      </w:r>
      <w:proofErr w:type="spellEnd"/>
      <w:r>
        <w:rPr>
          <w:rFonts w:ascii="Arial" w:eastAsia="Arial" w:hAnsi="Arial" w:cs="Arial"/>
        </w:rPr>
        <w:t xml:space="preserve">, 2026). </w:t>
      </w:r>
      <w:proofErr w:type="spellStart"/>
      <w:r>
        <w:rPr>
          <w:rFonts w:ascii="Arial" w:eastAsia="Arial" w:hAnsi="Arial" w:cs="Arial"/>
        </w:rPr>
        <w:t>Shenkar</w:t>
      </w:r>
      <w:proofErr w:type="spellEnd"/>
      <w:r>
        <w:rPr>
          <w:rFonts w:ascii="Arial" w:eastAsia="Arial" w:hAnsi="Arial" w:cs="Arial"/>
        </w:rPr>
        <w:t xml:space="preserve"> et al. (2021) added that investors are likely to proceed only when they seem to have ownership advantages, and can assess attractive location-specific advantages. Instead of licensing and franchising, investors prefer achieving greater efficiency when they internalise. Table 4 discusses the </w:t>
      </w:r>
      <w:proofErr w:type="spellStart"/>
      <w:r>
        <w:rPr>
          <w:rFonts w:ascii="Arial" w:eastAsia="Arial" w:hAnsi="Arial" w:cs="Arial"/>
        </w:rPr>
        <w:t>fulfillment</w:t>
      </w:r>
      <w:proofErr w:type="spellEnd"/>
      <w:r>
        <w:rPr>
          <w:rFonts w:ascii="Arial" w:eastAsia="Arial" w:hAnsi="Arial" w:cs="Arial"/>
        </w:rPr>
        <w:t xml:space="preserve"> of three factors of the OLI framework to confirm whether the decision of Walmart to expand in Germany is in the right direction. As stated by </w:t>
      </w:r>
      <w:r>
        <w:rPr>
          <w:rFonts w:ascii="Arial" w:eastAsia="Arial" w:hAnsi="Arial" w:cs="Arial"/>
          <w:color w:val="222222"/>
        </w:rPr>
        <w:t>LARADI</w:t>
      </w:r>
      <w:r>
        <w:rPr>
          <w:rFonts w:ascii="Arial" w:eastAsia="Arial" w:hAnsi="Arial" w:cs="Arial"/>
        </w:rPr>
        <w:t xml:space="preserve"> et al. (2026), uniqueness of resources and competitive capabilities that cannot be easily matched by competitors is assessed in the first component, Ownership (O). Walmart has revealed significant ownership advantages. It has become a worldwide brand, with several eCommerce websites, and more than 10,750 stores operating in 19 countries (Walmart, 2026). It is succeeding itself to shift from a traditional box retailer to tech-powered retailer with its investments in AI, and automation, which has ensured better operational efficiency. </w:t>
      </w:r>
    </w:p>
    <w:tbl>
      <w:tblPr>
        <w:tblStyle w:val="af2"/>
        <w:tblW w:w="9690" w:type="dxa"/>
        <w:tblInd w:w="-360" w:type="dxa"/>
        <w:tblBorders>
          <w:top w:val="nil"/>
          <w:left w:val="nil"/>
          <w:bottom w:val="nil"/>
          <w:right w:val="nil"/>
          <w:insideH w:val="nil"/>
          <w:insideV w:val="nil"/>
        </w:tblBorders>
        <w:tblLayout w:type="fixed"/>
        <w:tblLook w:val="0600" w:firstRow="0" w:lastRow="0" w:firstColumn="0" w:lastColumn="0" w:noHBand="1" w:noVBand="1"/>
      </w:tblPr>
      <w:tblGrid>
        <w:gridCol w:w="2070"/>
        <w:gridCol w:w="4710"/>
        <w:gridCol w:w="2910"/>
      </w:tblGrid>
      <w:tr w:rsidR="002F0667" w14:paraId="4B149A92" w14:textId="77777777">
        <w:trPr>
          <w:trHeight w:val="785"/>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CD200" w14:textId="77777777" w:rsidR="002F0667" w:rsidRDefault="00000000">
            <w:pPr>
              <w:jc w:val="center"/>
              <w:rPr>
                <w:rFonts w:ascii="Arial" w:eastAsia="Arial" w:hAnsi="Arial" w:cs="Arial"/>
              </w:rPr>
            </w:pPr>
            <w:r>
              <w:rPr>
                <w:rFonts w:ascii="Arial" w:eastAsia="Arial" w:hAnsi="Arial" w:cs="Arial"/>
                <w:b/>
                <w:bCs/>
              </w:rPr>
              <w:t>OLI Component</w:t>
            </w:r>
          </w:p>
        </w:tc>
        <w:tc>
          <w:tcPr>
            <w:tcW w:w="4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14568" w14:textId="77777777" w:rsidR="002F0667" w:rsidRDefault="00000000">
            <w:pPr>
              <w:jc w:val="center"/>
              <w:rPr>
                <w:rFonts w:ascii="Arial" w:eastAsia="Arial" w:hAnsi="Arial" w:cs="Arial"/>
              </w:rPr>
            </w:pPr>
            <w:r>
              <w:rPr>
                <w:rFonts w:ascii="Arial" w:eastAsia="Arial" w:hAnsi="Arial" w:cs="Arial"/>
                <w:b/>
                <w:bCs/>
              </w:rPr>
              <w:t>Evidence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086EA" w14:textId="77777777" w:rsidR="002F0667" w:rsidRDefault="00000000">
            <w:pPr>
              <w:jc w:val="center"/>
              <w:rPr>
                <w:rFonts w:ascii="Arial" w:eastAsia="Arial" w:hAnsi="Arial" w:cs="Arial"/>
              </w:rPr>
            </w:pPr>
            <w:r>
              <w:rPr>
                <w:rFonts w:ascii="Arial" w:eastAsia="Arial" w:hAnsi="Arial" w:cs="Arial"/>
                <w:b/>
                <w:bCs/>
              </w:rPr>
              <w:t>Strategic Implication</w:t>
            </w:r>
          </w:p>
        </w:tc>
      </w:tr>
      <w:tr w:rsidR="002F0667" w14:paraId="7D5AD4BE" w14:textId="77777777">
        <w:trPr>
          <w:trHeight w:val="1070"/>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7AAB87" w14:textId="77777777" w:rsidR="002F0667" w:rsidRDefault="00000000">
            <w:pPr>
              <w:rPr>
                <w:rFonts w:ascii="Arial" w:eastAsia="Arial" w:hAnsi="Arial" w:cs="Arial"/>
              </w:rPr>
            </w:pPr>
            <w:r>
              <w:rPr>
                <w:rFonts w:ascii="Arial" w:eastAsia="Arial" w:hAnsi="Arial" w:cs="Arial"/>
                <w:b/>
                <w:bCs/>
              </w:rPr>
              <w:lastRenderedPageBreak/>
              <w:t>Ownership (O)</w:t>
            </w:r>
          </w:p>
        </w:tc>
        <w:tc>
          <w:tcPr>
            <w:tcW w:w="4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347BD" w14:textId="77777777" w:rsidR="002F0667" w:rsidRDefault="00000000">
            <w:pPr>
              <w:numPr>
                <w:ilvl w:val="0"/>
                <w:numId w:val="2"/>
              </w:numPr>
              <w:rPr>
                <w:rFonts w:ascii="Arial" w:eastAsia="Arial" w:hAnsi="Arial" w:cs="Arial"/>
              </w:rPr>
            </w:pPr>
            <w:r>
              <w:rPr>
                <w:rFonts w:ascii="Arial" w:eastAsia="Arial" w:hAnsi="Arial" w:cs="Arial"/>
                <w:b/>
                <w:bCs/>
              </w:rPr>
              <w:t>10,750+ stores</w:t>
            </w:r>
            <w:r>
              <w:rPr>
                <w:rFonts w:ascii="Arial" w:eastAsia="Arial" w:hAnsi="Arial" w:cs="Arial"/>
              </w:rPr>
              <w:t xml:space="preserve"> across </w:t>
            </w:r>
            <w:r>
              <w:rPr>
                <w:rFonts w:ascii="Arial" w:eastAsia="Arial" w:hAnsi="Arial" w:cs="Arial"/>
                <w:b/>
                <w:bCs/>
              </w:rPr>
              <w:t>19 countries</w:t>
            </w:r>
            <w:r>
              <w:rPr>
                <w:rFonts w:ascii="Arial" w:eastAsia="Arial" w:hAnsi="Arial" w:cs="Arial"/>
              </w:rPr>
              <w:t xml:space="preserve"> (Walmart, 2026)</w:t>
            </w:r>
          </w:p>
          <w:p w14:paraId="57B3F480" w14:textId="77777777" w:rsidR="002F0667" w:rsidRDefault="00000000">
            <w:pPr>
              <w:numPr>
                <w:ilvl w:val="0"/>
                <w:numId w:val="2"/>
              </w:numPr>
              <w:rPr>
                <w:rFonts w:ascii="Arial" w:eastAsia="Arial" w:hAnsi="Arial" w:cs="Arial"/>
              </w:rPr>
            </w:pPr>
            <w:r>
              <w:rPr>
                <w:rFonts w:ascii="Arial" w:eastAsia="Arial" w:hAnsi="Arial" w:cs="Arial"/>
              </w:rPr>
              <w:t>Global brand, and AI-enabled supply chain</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7C059" w14:textId="77777777" w:rsidR="002F0667" w:rsidRDefault="00000000">
            <w:pPr>
              <w:rPr>
                <w:rFonts w:ascii="Arial" w:eastAsia="Arial" w:hAnsi="Arial" w:cs="Arial"/>
              </w:rPr>
            </w:pPr>
            <w:r>
              <w:rPr>
                <w:rFonts w:ascii="Arial" w:eastAsia="Arial" w:hAnsi="Arial" w:cs="Arial"/>
              </w:rPr>
              <w:t xml:space="preserve">Renowned retailer with strong brand image </w:t>
            </w:r>
          </w:p>
        </w:tc>
      </w:tr>
      <w:tr w:rsidR="002F0667" w14:paraId="1AA0F5FC" w14:textId="77777777">
        <w:trPr>
          <w:trHeight w:val="1355"/>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088FE" w14:textId="77777777" w:rsidR="002F0667" w:rsidRDefault="00000000">
            <w:pPr>
              <w:rPr>
                <w:rFonts w:ascii="Arial" w:eastAsia="Arial" w:hAnsi="Arial" w:cs="Arial"/>
              </w:rPr>
            </w:pPr>
            <w:r>
              <w:rPr>
                <w:rFonts w:ascii="Arial" w:eastAsia="Arial" w:hAnsi="Arial" w:cs="Arial"/>
                <w:b/>
                <w:bCs/>
              </w:rPr>
              <w:t>Location (L)</w:t>
            </w:r>
          </w:p>
        </w:tc>
        <w:tc>
          <w:tcPr>
            <w:tcW w:w="4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43770" w14:textId="77777777" w:rsidR="002F0667" w:rsidRDefault="00000000">
            <w:pPr>
              <w:numPr>
                <w:ilvl w:val="0"/>
                <w:numId w:val="1"/>
              </w:numPr>
              <w:rPr>
                <w:rFonts w:ascii="Arial" w:eastAsia="Arial" w:hAnsi="Arial" w:cs="Arial"/>
              </w:rPr>
            </w:pPr>
            <w:r>
              <w:rPr>
                <w:rFonts w:ascii="Arial" w:eastAsia="Arial" w:hAnsi="Arial" w:cs="Arial"/>
              </w:rPr>
              <w:t>Total population of Germany is</w:t>
            </w:r>
            <w:r>
              <w:rPr>
                <w:rFonts w:ascii="Arial" w:eastAsia="Arial" w:hAnsi="Arial" w:cs="Arial"/>
                <w:b/>
                <w:bCs/>
              </w:rPr>
              <w:t xml:space="preserve"> 83.55 million</w:t>
            </w:r>
            <w:r>
              <w:rPr>
                <w:rFonts w:ascii="Arial" w:eastAsia="Arial" w:hAnsi="Arial" w:cs="Arial"/>
              </w:rPr>
              <w:t xml:space="preserve"> (</w:t>
            </w:r>
            <w:proofErr w:type="spellStart"/>
            <w:r>
              <w:rPr>
                <w:rFonts w:ascii="Arial" w:eastAsia="Arial" w:hAnsi="Arial" w:cs="Arial"/>
              </w:rPr>
              <w:t>Worldmeters</w:t>
            </w:r>
            <w:proofErr w:type="spellEnd"/>
            <w:r>
              <w:rPr>
                <w:rFonts w:ascii="Arial" w:eastAsia="Arial" w:hAnsi="Arial" w:cs="Arial"/>
              </w:rPr>
              <w:t>, 2026)</w:t>
            </w:r>
          </w:p>
          <w:p w14:paraId="21BFA240" w14:textId="77777777" w:rsidR="002F0667" w:rsidRDefault="00000000">
            <w:pPr>
              <w:numPr>
                <w:ilvl w:val="0"/>
                <w:numId w:val="1"/>
              </w:numPr>
              <w:rPr>
                <w:rFonts w:ascii="Arial" w:eastAsia="Arial" w:hAnsi="Arial" w:cs="Arial"/>
              </w:rPr>
            </w:pPr>
            <w:r>
              <w:rPr>
                <w:rFonts w:ascii="Arial" w:eastAsia="Arial" w:hAnsi="Arial" w:cs="Arial"/>
                <w:b/>
                <w:bCs/>
              </w:rPr>
              <w:t xml:space="preserve">0.2% GDP growth </w:t>
            </w:r>
            <w:r>
              <w:rPr>
                <w:rFonts w:ascii="Arial" w:eastAsia="Arial" w:hAnsi="Arial" w:cs="Arial"/>
              </w:rPr>
              <w:t>(World Bank, 2026)</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02D91" w14:textId="77777777" w:rsidR="002F0667" w:rsidRDefault="00000000">
            <w:pPr>
              <w:rPr>
                <w:rFonts w:ascii="Arial" w:eastAsia="Arial" w:hAnsi="Arial" w:cs="Arial"/>
              </w:rPr>
            </w:pPr>
            <w:r>
              <w:rPr>
                <w:rFonts w:ascii="Arial" w:eastAsia="Arial" w:hAnsi="Arial" w:cs="Arial"/>
              </w:rPr>
              <w:t>Good business demand and investment conditions.</w:t>
            </w:r>
          </w:p>
        </w:tc>
      </w:tr>
      <w:tr w:rsidR="002F0667" w14:paraId="5CC56429" w14:textId="77777777">
        <w:trPr>
          <w:trHeight w:val="1355"/>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98403" w14:textId="77777777" w:rsidR="002F0667" w:rsidRDefault="00000000">
            <w:pPr>
              <w:rPr>
                <w:rFonts w:ascii="Arial" w:eastAsia="Arial" w:hAnsi="Arial" w:cs="Arial"/>
              </w:rPr>
            </w:pPr>
            <w:r>
              <w:rPr>
                <w:rFonts w:ascii="Arial" w:eastAsia="Arial" w:hAnsi="Arial" w:cs="Arial"/>
                <w:b/>
                <w:bCs/>
              </w:rPr>
              <w:t>Internalisation (I)</w:t>
            </w:r>
          </w:p>
        </w:tc>
        <w:tc>
          <w:tcPr>
            <w:tcW w:w="4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1A3B2A" w14:textId="77777777" w:rsidR="002F0667" w:rsidRDefault="00000000">
            <w:pPr>
              <w:rPr>
                <w:rFonts w:ascii="Arial" w:eastAsia="Arial" w:hAnsi="Arial" w:cs="Arial"/>
              </w:rPr>
            </w:pPr>
            <w:r>
              <w:rPr>
                <w:rFonts w:ascii="Arial" w:eastAsia="Arial" w:hAnsi="Arial" w:cs="Arial"/>
              </w:rPr>
              <w:t>Blockchain-based traceability, inbuilt logistics and robust operational control</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C6616" w14:textId="77777777" w:rsidR="002F0667" w:rsidRDefault="00000000">
            <w:pPr>
              <w:rPr>
                <w:rFonts w:ascii="Arial" w:eastAsia="Arial" w:hAnsi="Arial" w:cs="Arial"/>
              </w:rPr>
            </w:pPr>
            <w:r>
              <w:rPr>
                <w:rFonts w:ascii="Arial" w:eastAsia="Arial" w:hAnsi="Arial" w:cs="Arial"/>
              </w:rPr>
              <w:t>Protects technology, quality and increases supply-chain efficiency</w:t>
            </w:r>
          </w:p>
        </w:tc>
      </w:tr>
    </w:tbl>
    <w:p w14:paraId="1BA050A3" w14:textId="77777777" w:rsidR="002F0667" w:rsidRDefault="00000000">
      <w:pPr>
        <w:jc w:val="center"/>
        <w:rPr>
          <w:rFonts w:ascii="Arial" w:eastAsia="Arial" w:hAnsi="Arial" w:cs="Arial"/>
          <w:b/>
          <w:bCs/>
        </w:rPr>
      </w:pPr>
      <w:r>
        <w:rPr>
          <w:rFonts w:ascii="Arial" w:eastAsia="Arial" w:hAnsi="Arial" w:cs="Arial"/>
          <w:b/>
          <w:bCs/>
        </w:rPr>
        <w:t>Table 4: Application of Dunning's OLI Paradigm to Walmart's Expansion in Germany</w:t>
      </w:r>
    </w:p>
    <w:p w14:paraId="70424B96" w14:textId="77777777" w:rsidR="002F0667" w:rsidRDefault="00000000">
      <w:pPr>
        <w:rPr>
          <w:rFonts w:ascii="Arial" w:eastAsia="Arial" w:hAnsi="Arial" w:cs="Arial"/>
        </w:rPr>
      </w:pPr>
      <w:r>
        <w:rPr>
          <w:rFonts w:ascii="Arial" w:eastAsia="Arial" w:hAnsi="Arial" w:cs="Arial"/>
        </w:rPr>
        <w:t>The next element, Location (L), evaluated whether Germany can provide adequate market advantages to warrant foreign investment. In today's globalized world, selection of suitable markets has become more vital as "economic stability, favourable investment conditions and long-term growth potential" are combined (</w:t>
      </w:r>
      <w:proofErr w:type="spellStart"/>
      <w:r>
        <w:rPr>
          <w:rFonts w:ascii="Arial" w:eastAsia="Arial" w:hAnsi="Arial" w:cs="Arial"/>
        </w:rPr>
        <w:t>Kormakova</w:t>
      </w:r>
      <w:proofErr w:type="spellEnd"/>
      <w:r>
        <w:rPr>
          <w:rFonts w:ascii="Arial" w:eastAsia="Arial" w:hAnsi="Arial" w:cs="Arial"/>
        </w:rPr>
        <w:t xml:space="preserve"> et al. 2023). However, this country is fundamentally difficult to expand to due to catastrophic localization failures, rigid </w:t>
      </w:r>
      <w:proofErr w:type="spellStart"/>
      <w:r>
        <w:rPr>
          <w:rFonts w:ascii="Arial" w:eastAsia="Arial" w:hAnsi="Arial" w:cs="Arial"/>
        </w:rPr>
        <w:t>labor</w:t>
      </w:r>
      <w:proofErr w:type="spellEnd"/>
      <w:r>
        <w:rPr>
          <w:rFonts w:ascii="Arial" w:eastAsia="Arial" w:hAnsi="Arial" w:cs="Arial"/>
        </w:rPr>
        <w:t xml:space="preserve"> laws, and a consolidated local discount market. </w:t>
      </w:r>
    </w:p>
    <w:p w14:paraId="3A5AB98C" w14:textId="77777777" w:rsidR="002F0667" w:rsidRDefault="00000000">
      <w:pPr>
        <w:rPr>
          <w:rFonts w:ascii="Arial" w:eastAsia="Arial" w:hAnsi="Arial" w:cs="Arial"/>
        </w:rPr>
      </w:pPr>
      <w:r>
        <w:rPr>
          <w:rFonts w:ascii="Arial" w:eastAsia="Arial" w:hAnsi="Arial" w:cs="Arial"/>
        </w:rPr>
        <w:t xml:space="preserve">The Internalisation (I) of Dunning's OLI framework is used here to examine the question of whether Walmart should manage businesses directly or through licensing or franchising. The internalisation would safeguard Walmart's proprietary technologies, keep quality standards and give consistent service to the Germans. Rosado-Serrano and Navarro-García (2022) suggest that adoption of high-control entry modes increases the flexibility of adjusting response when fundamental conditions of these markets change and decreases contractual dependence. This is essential given that Walmart relies on integrated logistics, inventory management and blockchain-based supply chain processes. Direct control would also help coordinate these capabilities in an effective manner at Walmart. Blockchain technology can enhance product tracing and traceability, food safety, and supplier verification, which can contribute to creating consistent operations with markets (Pawlicka and Bal, </w:t>
      </w:r>
      <w:r>
        <w:rPr>
          <w:rFonts w:ascii="Arial" w:eastAsia="Arial" w:hAnsi="Arial" w:cs="Arial"/>
        </w:rPr>
        <w:lastRenderedPageBreak/>
        <w:t>2021). Therefore, the OLI framework would allow Walmart to go forward with FDI in Germany as they have utilised its organisational abilities along with the market place in Germany as well as the benefits of operating it their way justify a completely owned operation.</w:t>
      </w:r>
    </w:p>
    <w:p w14:paraId="458CF3AB" w14:textId="77777777" w:rsidR="002F0667" w:rsidRDefault="002F0667">
      <w:pPr>
        <w:rPr>
          <w:rFonts w:ascii="Arial" w:eastAsia="Arial" w:hAnsi="Arial" w:cs="Arial"/>
        </w:rPr>
      </w:pPr>
    </w:p>
    <w:p w14:paraId="4B6CCFB8" w14:textId="77777777" w:rsidR="002F0667" w:rsidRDefault="00000000">
      <w:pPr>
        <w:pStyle w:val="Heading2"/>
      </w:pPr>
      <w:bookmarkStart w:id="13" w:name="_heading=h.n0hbbz33hchc" w:colFirst="0" w:colLast="0"/>
      <w:bookmarkEnd w:id="13"/>
      <w:r>
        <w:t>4. Entry Mode Strategy and Strategic Synthesis</w:t>
      </w:r>
    </w:p>
    <w:p w14:paraId="2869B590" w14:textId="77777777" w:rsidR="002F0667" w:rsidRDefault="00000000">
      <w:pPr>
        <w:pStyle w:val="Heading3"/>
        <w:rPr>
          <w:rFonts w:ascii="Arial" w:eastAsia="Arial" w:hAnsi="Arial" w:cs="Arial"/>
        </w:rPr>
      </w:pPr>
      <w:bookmarkStart w:id="14" w:name="_heading=h.l2chc2pyblvv" w:colFirst="0" w:colLast="0"/>
      <w:bookmarkEnd w:id="14"/>
      <w:r>
        <w:rPr>
          <w:rFonts w:ascii="Arial" w:eastAsia="Arial" w:hAnsi="Arial" w:cs="Arial"/>
        </w:rPr>
        <w:t>4.1 Walmart's Historical Entry Patterns</w:t>
      </w:r>
    </w:p>
    <w:p w14:paraId="7A67287B" w14:textId="77777777" w:rsidR="002F0667" w:rsidRDefault="00000000">
      <w:pPr>
        <w:rPr>
          <w:rFonts w:ascii="Arial" w:eastAsia="Arial" w:hAnsi="Arial" w:cs="Arial"/>
        </w:rPr>
      </w:pPr>
      <w:r>
        <w:rPr>
          <w:rFonts w:ascii="Arial" w:eastAsia="Arial" w:hAnsi="Arial" w:cs="Arial"/>
        </w:rPr>
        <w:t xml:space="preserve">The example of Walmart illustrates the importance of thinking about control, local knowledge, investment exposure, and the market when deciding on an entry mode. Multinational firms can select out a wholly owned subsidiary, an acquisition, a joint venture, a partnership or franchising. </w:t>
      </w:r>
      <w:proofErr w:type="spellStart"/>
      <w:r>
        <w:rPr>
          <w:rFonts w:ascii="Arial" w:eastAsia="Arial" w:hAnsi="Arial" w:cs="Arial"/>
        </w:rPr>
        <w:t>Kruhlyanko</w:t>
      </w:r>
      <w:proofErr w:type="spellEnd"/>
      <w:r>
        <w:rPr>
          <w:rFonts w:ascii="Arial" w:eastAsia="Arial" w:hAnsi="Arial" w:cs="Arial"/>
        </w:rPr>
        <w:t xml:space="preserve"> et al (2023) state that flexible strategies are necessities for international expansion due to the variance of economic, institutional and competitive conditions. </w:t>
      </w:r>
      <w:proofErr w:type="gramStart"/>
      <w:r>
        <w:rPr>
          <w:rFonts w:ascii="Arial" w:eastAsia="Arial" w:hAnsi="Arial" w:cs="Arial"/>
        </w:rPr>
        <w:t>Therefore</w:t>
      </w:r>
      <w:proofErr w:type="gramEnd"/>
      <w:r>
        <w:rPr>
          <w:rFonts w:ascii="Arial" w:eastAsia="Arial" w:hAnsi="Arial" w:cs="Arial"/>
        </w:rPr>
        <w:t xml:space="preserve"> a proper balance of exposure and control must be established when making entry decisions. As Rosado-Serrano and Navarro-García (2022) outlined, various entry options offer varying degrees of control and unexpected events. Walmart, accordingly, ought not to use the same model in every country. In Germany, it will be more appropriate to combine global versatility with local knowledge. Tan (2024) notes that for companies to thrive in new markets, their organisational characteristics must match the demands of their target market.</w:t>
      </w:r>
    </w:p>
    <w:p w14:paraId="6288E859" w14:textId="77777777" w:rsidR="002F0667" w:rsidRDefault="00000000">
      <w:pPr>
        <w:pStyle w:val="Heading3"/>
        <w:rPr>
          <w:rFonts w:ascii="Arial" w:eastAsia="Arial" w:hAnsi="Arial" w:cs="Arial"/>
        </w:rPr>
      </w:pPr>
      <w:bookmarkStart w:id="15" w:name="_heading=h.7q2ojzcmearz" w:colFirst="0" w:colLast="0"/>
      <w:bookmarkEnd w:id="15"/>
      <w:r>
        <w:rPr>
          <w:rFonts w:ascii="Arial" w:eastAsia="Arial" w:hAnsi="Arial" w:cs="Arial"/>
        </w:rPr>
        <w:t>4.2 Recommended Entry Mode</w:t>
      </w:r>
    </w:p>
    <w:p w14:paraId="39468D4D" w14:textId="77777777" w:rsidR="002F0667" w:rsidRDefault="00000000">
      <w:pPr>
        <w:rPr>
          <w:rFonts w:ascii="Arial" w:eastAsia="Arial" w:hAnsi="Arial" w:cs="Arial"/>
        </w:rPr>
      </w:pPr>
      <w:r>
        <w:rPr>
          <w:rFonts w:ascii="Arial" w:eastAsia="Arial" w:hAnsi="Arial" w:cs="Arial"/>
        </w:rPr>
        <w:t xml:space="preserve">It is recommended to have one wholly-owned subsidiary that is backed by both strategic partnerships with German suppliers and logistics companies. This structure would give Walmart control over pricing and branding, technological innovation, and procurement and supply-chain operations, as well as local expertise services. Wal-Mart's competitive edge relies largely on the integrated organizational systems, and keeping control of them would aid in protecting them. Faster expansion via franchising may be associated with lower investment, but control over standards of performance and company resources may be compromised. Rosado-Serrano and Navarro-García (2022) argued that more control is beneficial under uncertainty and when strategic assets are in question. Thus, direct ownership is a suitable option for Walmart's technology use applications with the retailing model. German suppliers might offer local preferences, knowledge and help in adapting a product. Application of Walmart's Blockchain for supply chain could enhance tracking, supplier collaboration, and information transparency (Pawlicka and Bal, 2021). It would also enhance market </w:t>
      </w:r>
      <w:r>
        <w:rPr>
          <w:rFonts w:ascii="Arial" w:eastAsia="Arial" w:hAnsi="Arial" w:cs="Arial"/>
        </w:rPr>
        <w:lastRenderedPageBreak/>
        <w:t xml:space="preserve">acceptance without giving Walmart's critical resources away. Walmart's omnichannel retailing approach is also fostered by the German digital retail landscape. Végh et al. (2025) and </w:t>
      </w:r>
      <w:proofErr w:type="spellStart"/>
      <w:r>
        <w:rPr>
          <w:rFonts w:ascii="Arial" w:eastAsia="Arial" w:hAnsi="Arial" w:cs="Arial"/>
        </w:rPr>
        <w:t>Jürgensmeier</w:t>
      </w:r>
      <w:proofErr w:type="spellEnd"/>
      <w:r>
        <w:rPr>
          <w:rFonts w:ascii="Arial" w:eastAsia="Arial" w:hAnsi="Arial" w:cs="Arial"/>
        </w:rPr>
        <w:t xml:space="preserve"> et al. (2024) identify the novel opportunities and convenience that digital retail creates and that international online marketplaces offer. However, competition from Aldi, Lidl, REWE, Otto Group, Amazon and IKEA would put significant pressure on the market. Zolinski (2023) emphasizes the rising importance of technological platforms in e-commerce competition. Therefore, Walmart would have to merge digital technology, logistics, competitive pricing and customer service. Apart from the above, effective fulfilment and delivery systems are crucial for online grocery expansion (</w:t>
      </w:r>
      <w:proofErr w:type="spellStart"/>
      <w:r>
        <w:rPr>
          <w:rFonts w:ascii="Arial" w:eastAsia="Arial" w:hAnsi="Arial" w:cs="Arial"/>
        </w:rPr>
        <w:t>Seuri</w:t>
      </w:r>
      <w:proofErr w:type="spellEnd"/>
      <w:r>
        <w:rPr>
          <w:rFonts w:ascii="Arial" w:eastAsia="Arial" w:hAnsi="Arial" w:cs="Arial"/>
        </w:rPr>
        <w:t>, 2024).</w:t>
      </w:r>
    </w:p>
    <w:p w14:paraId="62A79D2F" w14:textId="77777777" w:rsidR="002F0667" w:rsidRDefault="00000000">
      <w:pPr>
        <w:pStyle w:val="Heading3"/>
        <w:rPr>
          <w:rFonts w:ascii="Arial" w:eastAsia="Arial" w:hAnsi="Arial" w:cs="Arial"/>
        </w:rPr>
      </w:pPr>
      <w:bookmarkStart w:id="16" w:name="_heading=h.j6vcu8qqmxyf" w:colFirst="0" w:colLast="0"/>
      <w:bookmarkEnd w:id="16"/>
      <w:r>
        <w:rPr>
          <w:rFonts w:ascii="Arial" w:eastAsia="Arial" w:hAnsi="Arial" w:cs="Arial"/>
        </w:rPr>
        <w:t>4.3 Risk Assessment</w:t>
      </w:r>
    </w:p>
    <w:p w14:paraId="53460896" w14:textId="77777777" w:rsidR="002F0667" w:rsidRDefault="00000000">
      <w:pPr>
        <w:rPr>
          <w:rFonts w:ascii="Arial" w:eastAsia="Arial" w:hAnsi="Arial" w:cs="Arial"/>
        </w:rPr>
      </w:pPr>
      <w:r>
        <w:rPr>
          <w:rFonts w:ascii="Arial" w:eastAsia="Arial" w:hAnsi="Arial" w:cs="Arial"/>
        </w:rPr>
        <w:t>Walmart would be risking multiple things in Germany. Competitive risk will be substantial since there are existing retailers with strong relationship and distribution network with customers. Walmart must differentiate online on price, convenience, quality and digital. If Wal-Mart's practices fail to consistently meet consumer expectations, then there may be some cultural risk. Local positioning is highlighted as crucial by Safeer et al. (2022). Walmart must therefore change their products, promotions, and customer interactions in order to maintain cost efficiency. There would also be more digital and regulatory risks as Walmart moves deeper into the e-commerce field and stores customer data. Robust cybersecurity, data governance and compliance would be required, respectively. Additional risks include disruption and coordination issues in the supply chain, especially in more complex international networks (Bal and Pawlicka, 2021). The use of Walmart's blockchain technology could enhance visibility and coordination. Thirdly, investment will be extensive in storing, distributing, technology and marketing systems have to be established. A gradual approach would lessen exposure via learning about customer acceptance; establish local partnerships and improve the operations before expanding further.</w:t>
      </w:r>
    </w:p>
    <w:p w14:paraId="40C44DA4" w14:textId="77777777" w:rsidR="002F0667" w:rsidRDefault="002F0667">
      <w:pPr>
        <w:rPr>
          <w:rFonts w:ascii="Arial" w:eastAsia="Arial" w:hAnsi="Arial" w:cs="Arial"/>
        </w:rPr>
      </w:pPr>
    </w:p>
    <w:p w14:paraId="45E35CAD" w14:textId="77777777" w:rsidR="002F0667" w:rsidRDefault="00000000">
      <w:pPr>
        <w:pStyle w:val="Heading2"/>
      </w:pPr>
      <w:bookmarkStart w:id="17" w:name="_heading=h.7g3dg99t0km2" w:colFirst="0" w:colLast="0"/>
      <w:bookmarkEnd w:id="17"/>
      <w:r>
        <w:t>5. Conclusion and Strategic Recommendations</w:t>
      </w:r>
    </w:p>
    <w:p w14:paraId="3E67395B" w14:textId="77777777" w:rsidR="002F0667" w:rsidRDefault="00000000">
      <w:pPr>
        <w:rPr>
          <w:rFonts w:ascii="Arial" w:eastAsia="Arial" w:hAnsi="Arial" w:cs="Arial"/>
        </w:rPr>
      </w:pPr>
      <w:r>
        <w:rPr>
          <w:rFonts w:ascii="Arial" w:eastAsia="Arial" w:hAnsi="Arial" w:cs="Arial"/>
        </w:rPr>
        <w:t xml:space="preserve">Walmart has excellent organisation abilities to go into the area, but as far as </w:t>
      </w:r>
      <w:proofErr w:type="spellStart"/>
      <w:proofErr w:type="gramStart"/>
      <w:r>
        <w:rPr>
          <w:rFonts w:ascii="Arial" w:eastAsia="Arial" w:hAnsi="Arial" w:cs="Arial"/>
        </w:rPr>
        <w:t>its</w:t>
      </w:r>
      <w:proofErr w:type="spellEnd"/>
      <w:proofErr w:type="gramEnd"/>
      <w:r>
        <w:rPr>
          <w:rFonts w:ascii="Arial" w:eastAsia="Arial" w:hAnsi="Arial" w:cs="Arial"/>
        </w:rPr>
        <w:t xml:space="preserve"> known to rely on local </w:t>
      </w:r>
      <w:proofErr w:type="spellStart"/>
      <w:r>
        <w:rPr>
          <w:rFonts w:ascii="Arial" w:eastAsia="Arial" w:hAnsi="Arial" w:cs="Arial"/>
        </w:rPr>
        <w:t>neighborhood</w:t>
      </w:r>
      <w:proofErr w:type="spellEnd"/>
      <w:r>
        <w:rPr>
          <w:rFonts w:ascii="Arial" w:eastAsia="Arial" w:hAnsi="Arial" w:cs="Arial"/>
        </w:rPr>
        <w:t xml:space="preserve">, therefore that is a barrier in Germany. It has financial strength, business model, knowledge of business supply chain, and has a skilled workforce that is an excellent foundation to compete internationally. These are assets, but need to be balanced by an insight into the very specific consumer and market </w:t>
      </w:r>
      <w:r>
        <w:rPr>
          <w:rFonts w:ascii="Arial" w:eastAsia="Arial" w:hAnsi="Arial" w:cs="Arial"/>
        </w:rPr>
        <w:lastRenderedPageBreak/>
        <w:t>behaviour in Germany. Carefully chosen partnerships based on a transnational strategy and a full-scale subsidiary business are accordingly recommended, with a local basis. Walmart should not be disseminated but product lines, supplier contracts, marketing and customer service should be adapted to the German practices and expectations. A phased expansion would minimize risk, monetary and competitive, and provide Wal-Mart with local market knowledge and relationships. Overall, strategy should focus on achieving a balance between global efficiency and local responsiveness to maximize and leverage Wal-Mart's international capabilities and build German partnerships and expertise to realize Wal-Mart competitive advantage.</w:t>
      </w:r>
    </w:p>
    <w:p w14:paraId="1910301A" w14:textId="77777777" w:rsidR="002F0667" w:rsidRDefault="00000000">
      <w:pPr>
        <w:pStyle w:val="Heading1"/>
        <w:rPr>
          <w:rFonts w:ascii="Arial" w:eastAsia="Arial" w:hAnsi="Arial" w:cs="Arial"/>
        </w:rPr>
      </w:pPr>
      <w:bookmarkStart w:id="18" w:name="_heading=h.ffwz6a4k4bqw" w:colFirst="0" w:colLast="0"/>
      <w:bookmarkEnd w:id="18"/>
      <w:r>
        <w:br w:type="page"/>
      </w:r>
    </w:p>
    <w:p w14:paraId="1D121955" w14:textId="77777777" w:rsidR="002F0667" w:rsidRDefault="00000000">
      <w:pPr>
        <w:pStyle w:val="Heading1"/>
        <w:rPr>
          <w:rFonts w:ascii="Arial" w:eastAsia="Arial" w:hAnsi="Arial" w:cs="Arial"/>
        </w:rPr>
      </w:pPr>
      <w:bookmarkStart w:id="19" w:name="_heading=h.3oasmwianbtc" w:colFirst="0" w:colLast="0"/>
      <w:bookmarkEnd w:id="19"/>
      <w:r>
        <w:rPr>
          <w:rFonts w:ascii="Arial" w:eastAsia="Arial" w:hAnsi="Arial" w:cs="Arial"/>
        </w:rPr>
        <w:lastRenderedPageBreak/>
        <w:t>Section 2: Reflective Analysis Using Gibbs’ Reflective Cycle</w:t>
      </w:r>
    </w:p>
    <w:p w14:paraId="5A629B15" w14:textId="77777777" w:rsidR="002F0667" w:rsidRDefault="00000000">
      <w:pPr>
        <w:jc w:val="center"/>
        <w:rPr>
          <w:rFonts w:ascii="Arial" w:eastAsia="Arial" w:hAnsi="Arial" w:cs="Arial"/>
        </w:rPr>
      </w:pPr>
      <w:r>
        <w:rPr>
          <w:rFonts w:ascii="Arial" w:eastAsia="Arial" w:hAnsi="Arial" w:cs="Arial"/>
          <w:noProof/>
        </w:rPr>
        <w:drawing>
          <wp:inline distT="0" distB="0" distL="0" distR="0" wp14:anchorId="1E92F066" wp14:editId="061D3FCA">
            <wp:extent cx="3685245" cy="3685245"/>
            <wp:effectExtent l="0" t="0" r="0" b="0"/>
            <wp:docPr id="1649446960" name="image5.jpg" descr="Gibbs' Reflective Cycle: A 6-Step Framework for Growth | Anubha Dubey  posted on the topic | LinkedIn"/>
            <wp:cNvGraphicFramePr/>
            <a:graphic xmlns:a="http://schemas.openxmlformats.org/drawingml/2006/main">
              <a:graphicData uri="http://schemas.openxmlformats.org/drawingml/2006/picture">
                <pic:pic xmlns:pic="http://schemas.openxmlformats.org/drawingml/2006/picture">
                  <pic:nvPicPr>
                    <pic:cNvPr id="0" name="image5.jpg" descr="Gibbs' Reflective Cycle: A 6-Step Framework for Growth | Anubha Dubey  posted on the topic | LinkedIn"/>
                    <pic:cNvPicPr preferRelativeResize="0"/>
                  </pic:nvPicPr>
                  <pic:blipFill>
                    <a:blip r:embed="rId14"/>
                    <a:srcRect/>
                    <a:stretch>
                      <a:fillRect/>
                    </a:stretch>
                  </pic:blipFill>
                  <pic:spPr>
                    <a:xfrm>
                      <a:off x="0" y="0"/>
                      <a:ext cx="3685245" cy="3685245"/>
                    </a:xfrm>
                    <a:prstGeom prst="rect">
                      <a:avLst/>
                    </a:prstGeom>
                    <a:ln/>
                  </pic:spPr>
                </pic:pic>
              </a:graphicData>
            </a:graphic>
          </wp:inline>
        </w:drawing>
      </w:r>
    </w:p>
    <w:p w14:paraId="13E4603B" w14:textId="77777777" w:rsidR="002F0667" w:rsidRDefault="00000000">
      <w:pPr>
        <w:jc w:val="center"/>
        <w:rPr>
          <w:rFonts w:ascii="Arial" w:eastAsia="Arial" w:hAnsi="Arial" w:cs="Arial"/>
          <w:b/>
          <w:bCs/>
        </w:rPr>
      </w:pPr>
      <w:r>
        <w:rPr>
          <w:rFonts w:ascii="Arial" w:eastAsia="Arial" w:hAnsi="Arial" w:cs="Arial"/>
          <w:b/>
          <w:bCs/>
        </w:rPr>
        <w:t>Figure 5: Framework of the Gibbs Reflective Cycle</w:t>
      </w:r>
    </w:p>
    <w:p w14:paraId="3B4C649E" w14:textId="77777777" w:rsidR="002F0667" w:rsidRDefault="00000000">
      <w:pPr>
        <w:jc w:val="center"/>
        <w:rPr>
          <w:rFonts w:ascii="Arial" w:eastAsia="Arial" w:hAnsi="Arial" w:cs="Arial"/>
        </w:rPr>
      </w:pPr>
      <w:r>
        <w:rPr>
          <w:rFonts w:ascii="Arial" w:eastAsia="Arial" w:hAnsi="Arial" w:cs="Arial"/>
        </w:rPr>
        <w:t xml:space="preserve">(Source: Inspired by the ideas of </w:t>
      </w:r>
      <w:proofErr w:type="spellStart"/>
      <w:r>
        <w:rPr>
          <w:rFonts w:ascii="Arial" w:eastAsia="Arial" w:hAnsi="Arial" w:cs="Arial"/>
        </w:rPr>
        <w:t>Nurlatifah</w:t>
      </w:r>
      <w:proofErr w:type="spellEnd"/>
      <w:r>
        <w:rPr>
          <w:rFonts w:ascii="Arial" w:eastAsia="Arial" w:hAnsi="Arial" w:cs="Arial"/>
        </w:rPr>
        <w:t xml:space="preserve"> et al., 2023)</w:t>
      </w:r>
    </w:p>
    <w:p w14:paraId="7CBCC92D" w14:textId="77777777" w:rsidR="002F0667" w:rsidRDefault="00000000">
      <w:pPr>
        <w:pStyle w:val="Heading3"/>
        <w:rPr>
          <w:rFonts w:ascii="Arial" w:eastAsia="Arial" w:hAnsi="Arial" w:cs="Arial"/>
        </w:rPr>
      </w:pPr>
      <w:bookmarkStart w:id="20" w:name="_heading=h.aa9mhc1aei9v" w:colFirst="0" w:colLast="0"/>
      <w:bookmarkEnd w:id="20"/>
      <w:r>
        <w:rPr>
          <w:rFonts w:ascii="Arial" w:eastAsia="Arial" w:hAnsi="Arial" w:cs="Arial"/>
        </w:rPr>
        <w:t>Description</w:t>
      </w:r>
    </w:p>
    <w:p w14:paraId="717EC3FF" w14:textId="77777777" w:rsidR="002F0667" w:rsidRDefault="00000000">
      <w:pPr>
        <w:rPr>
          <w:rFonts w:ascii="Arial" w:eastAsia="Arial" w:hAnsi="Arial" w:cs="Arial"/>
        </w:rPr>
      </w:pPr>
      <w:r>
        <w:rPr>
          <w:rFonts w:ascii="Arial" w:eastAsia="Arial" w:hAnsi="Arial" w:cs="Arial"/>
        </w:rPr>
        <w:t xml:space="preserve">In the process of conducting my international business analysis on Walmart's proposed international expansion to Germany, I was able to consider my research, analysis and </w:t>
      </w:r>
      <w:proofErr w:type="gramStart"/>
      <w:r>
        <w:rPr>
          <w:rFonts w:ascii="Arial" w:eastAsia="Arial" w:hAnsi="Arial" w:cs="Arial"/>
        </w:rPr>
        <w:t>decision making</w:t>
      </w:r>
      <w:proofErr w:type="gramEnd"/>
      <w:r>
        <w:rPr>
          <w:rFonts w:ascii="Arial" w:eastAsia="Arial" w:hAnsi="Arial" w:cs="Arial"/>
        </w:rPr>
        <w:t xml:space="preserve"> skills. In the assignment, I needed to </w:t>
      </w:r>
      <w:proofErr w:type="spellStart"/>
      <w:r>
        <w:rPr>
          <w:rFonts w:ascii="Arial" w:eastAsia="Arial" w:hAnsi="Arial" w:cs="Arial"/>
        </w:rPr>
        <w:t>analyze</w:t>
      </w:r>
      <w:proofErr w:type="spellEnd"/>
      <w:r>
        <w:rPr>
          <w:rFonts w:ascii="Arial" w:eastAsia="Arial" w:hAnsi="Arial" w:cs="Arial"/>
        </w:rPr>
        <w:t xml:space="preserve"> the political, economic, legal and cultural landscape in Germany and evaluate industry attractiveness and use the Bartlett and Ghoshal framework and Dunning's OLI paradigm to recommend an appropriate market entry strategy. Initially I searched academic literature and other sources that the industry uses. I quickly saw, though, that getting evidence to support a coherent strategic narrative would be more difficult. I had to break away from just describing information and understand its implications in relation to Walmart's possible expansion. Ingham-Broomfield (2021) states that the reflective models are used to structure approaches and experiences, a learning, and reflecting on improvements. As such, Gibbs' recursive model enabled me to both assess my research process and my own growth.</w:t>
      </w:r>
    </w:p>
    <w:p w14:paraId="27320932" w14:textId="77777777" w:rsidR="002F0667" w:rsidRDefault="00000000">
      <w:pPr>
        <w:pStyle w:val="Heading3"/>
        <w:rPr>
          <w:rFonts w:ascii="Arial" w:eastAsia="Arial" w:hAnsi="Arial" w:cs="Arial"/>
        </w:rPr>
      </w:pPr>
      <w:bookmarkStart w:id="21" w:name="_heading=h.nj4kp57iwacb" w:colFirst="0" w:colLast="0"/>
      <w:bookmarkEnd w:id="21"/>
      <w:r>
        <w:rPr>
          <w:rFonts w:ascii="Arial" w:eastAsia="Arial" w:hAnsi="Arial" w:cs="Arial"/>
        </w:rPr>
        <w:lastRenderedPageBreak/>
        <w:t>Feelings</w:t>
      </w:r>
    </w:p>
    <w:p w14:paraId="45978ADF" w14:textId="77777777" w:rsidR="002F0667" w:rsidRDefault="00000000">
      <w:pPr>
        <w:rPr>
          <w:rFonts w:ascii="Arial" w:eastAsia="Arial" w:hAnsi="Arial" w:cs="Arial"/>
        </w:rPr>
      </w:pPr>
      <w:r>
        <w:rPr>
          <w:rFonts w:ascii="Arial" w:eastAsia="Arial" w:hAnsi="Arial" w:cs="Arial"/>
        </w:rPr>
        <w:t>Initially, I was fairly secure from what I knew about the stores and overseas business. This confidence decreased after seeing that the task would not only involve just company description, but practical use of concepts applying to the task. Links between evidence relating to Germany and Bartlett and Ghoshal's framework, together with the OLI paradigm, were most difficult. I also had some grievances with multiple sources giving conflicting data or points of view. At first, I spent a great deal of time gathering numerical evidence as I felt that statistical data would automatically add strength to my analysis. Over time I began to sense that, taken in isolation, figures were of little value without being placed in the context of decisions made during the strategic process. As I continued research, I became more and more certain of my capacity to assess evidence, relate theory to results, and form suitable recommendations. Ocampo et al. (2025) illustrate the use of Gibbs' reflective cycle to help learners systematically reflect on experiences and find opportunities for improvement.</w:t>
      </w:r>
    </w:p>
    <w:p w14:paraId="61B76055" w14:textId="77777777" w:rsidR="002F0667" w:rsidRDefault="00000000">
      <w:pPr>
        <w:pStyle w:val="Heading3"/>
        <w:rPr>
          <w:rFonts w:ascii="Arial" w:eastAsia="Arial" w:hAnsi="Arial" w:cs="Arial"/>
        </w:rPr>
      </w:pPr>
      <w:bookmarkStart w:id="22" w:name="_heading=h.hg2zyj9wsoj5" w:colFirst="0" w:colLast="0"/>
      <w:bookmarkEnd w:id="22"/>
      <w:r>
        <w:rPr>
          <w:rFonts w:ascii="Arial" w:eastAsia="Arial" w:hAnsi="Arial" w:cs="Arial"/>
        </w:rPr>
        <w:t>Evaluation</w:t>
      </w:r>
    </w:p>
    <w:p w14:paraId="52F7761E" w14:textId="77777777" w:rsidR="002F0667" w:rsidRDefault="00000000">
      <w:pPr>
        <w:rPr>
          <w:rFonts w:ascii="Arial" w:eastAsia="Arial" w:hAnsi="Arial" w:cs="Arial"/>
        </w:rPr>
      </w:pPr>
      <w:r>
        <w:rPr>
          <w:rFonts w:ascii="Arial" w:eastAsia="Arial" w:hAnsi="Arial" w:cs="Arial"/>
        </w:rPr>
        <w:t>The use of well-</w:t>
      </w:r>
      <w:proofErr w:type="spellStart"/>
      <w:r>
        <w:rPr>
          <w:rFonts w:ascii="Arial" w:eastAsia="Arial" w:hAnsi="Arial" w:cs="Arial"/>
        </w:rPr>
        <w:t>forveloped</w:t>
      </w:r>
      <w:proofErr w:type="spellEnd"/>
      <w:r>
        <w:rPr>
          <w:rFonts w:ascii="Arial" w:eastAsia="Arial" w:hAnsi="Arial" w:cs="Arial"/>
        </w:rPr>
        <w:t xml:space="preserve"> theoretical frameworks was one of the most impressive features of my work. Bartlett and Ghoshal assisted me to an appreciation of the competing concepts between global integration and local responsiveness, and the OLI paradigm gave me a structured framework for analysing the ownership strengths, the location advantages of Germany and the advantages of internalisation for Walmart. I also enhanced my ability to identify and assess academic and industry sources. Using numbers in my arguments behind a strategy enhanced the belief of my conversation. However, I was very descriptive in the first approach. I provided data without a thorough analysis of its implications on Walmart's strategic decisions. It took me a long time to gather materials that might have been critically read at the outset. Pieper et al. (2021) emphasize the benefits of reflective writing and feedback to enhance students' reflective practice. This was to reinforce the concept of self-evaluation and feedback as critical component elements of research, not just at the end.</w:t>
      </w:r>
    </w:p>
    <w:p w14:paraId="7A7B438C" w14:textId="77777777" w:rsidR="002F0667" w:rsidRDefault="00000000">
      <w:pPr>
        <w:pStyle w:val="Heading3"/>
        <w:rPr>
          <w:rFonts w:ascii="Arial" w:eastAsia="Arial" w:hAnsi="Arial" w:cs="Arial"/>
        </w:rPr>
      </w:pPr>
      <w:bookmarkStart w:id="23" w:name="_heading=h.u69vdqpxllov" w:colFirst="0" w:colLast="0"/>
      <w:bookmarkEnd w:id="23"/>
      <w:r>
        <w:rPr>
          <w:rFonts w:ascii="Arial" w:eastAsia="Arial" w:hAnsi="Arial" w:cs="Arial"/>
        </w:rPr>
        <w:t>Analysis</w:t>
      </w:r>
    </w:p>
    <w:p w14:paraId="65DB4C37" w14:textId="77777777" w:rsidR="002F0667" w:rsidRDefault="00000000">
      <w:pPr>
        <w:rPr>
          <w:rFonts w:ascii="Arial" w:eastAsia="Arial" w:hAnsi="Arial" w:cs="Arial"/>
        </w:rPr>
      </w:pPr>
      <w:r>
        <w:rPr>
          <w:rFonts w:ascii="Arial" w:eastAsia="Arial" w:hAnsi="Arial" w:cs="Arial"/>
        </w:rPr>
        <w:t xml:space="preserve">The experience highlighted the importance of combining evidence, theory and managerial judgement with regards effective international business analysis. At </w:t>
      </w:r>
      <w:proofErr w:type="gramStart"/>
      <w:r>
        <w:rPr>
          <w:rFonts w:ascii="Arial" w:eastAsia="Arial" w:hAnsi="Arial" w:cs="Arial"/>
        </w:rPr>
        <w:t>first</w:t>
      </w:r>
      <w:proofErr w:type="gramEnd"/>
      <w:r>
        <w:rPr>
          <w:rFonts w:ascii="Arial" w:eastAsia="Arial" w:hAnsi="Arial" w:cs="Arial"/>
        </w:rPr>
        <w:t xml:space="preserve"> I approached PESTEL analysis as well as Bartlett and Ghoshal and the OLI paradigm individually. Their synthesis gave rise to more powerful strategic findings, as I continued my research. The macro-environmental assessment sharpened my focus </w:t>
      </w:r>
      <w:r>
        <w:rPr>
          <w:rFonts w:ascii="Arial" w:eastAsia="Arial" w:hAnsi="Arial" w:cs="Arial"/>
        </w:rPr>
        <w:lastRenderedPageBreak/>
        <w:t>on opportunities and threats in Germany, and meant that Bartlett and Ghoshal could help consider how Walmart can not only be very efficient worldwide, but also adapt its needs to local settings. The OLI framework was then used to give a theoretical explanation for choosing an entry mode.</w:t>
      </w:r>
    </w:p>
    <w:p w14:paraId="2907CBA6" w14:textId="77777777" w:rsidR="002F0667" w:rsidRDefault="00000000">
      <w:pPr>
        <w:rPr>
          <w:rFonts w:ascii="Arial" w:eastAsia="Arial" w:hAnsi="Arial" w:cs="Arial"/>
        </w:rPr>
      </w:pPr>
      <w:r>
        <w:rPr>
          <w:rFonts w:ascii="Arial" w:eastAsia="Arial" w:hAnsi="Arial" w:cs="Arial"/>
        </w:rPr>
        <w:t xml:space="preserve">Linking these together reinforced the general basis of my recommendations and expanded my critical thinking and </w:t>
      </w:r>
      <w:proofErr w:type="gramStart"/>
      <w:r>
        <w:rPr>
          <w:rFonts w:ascii="Arial" w:eastAsia="Arial" w:hAnsi="Arial" w:cs="Arial"/>
        </w:rPr>
        <w:t>decision making</w:t>
      </w:r>
      <w:proofErr w:type="gramEnd"/>
      <w:r>
        <w:rPr>
          <w:rFonts w:ascii="Arial" w:eastAsia="Arial" w:hAnsi="Arial" w:cs="Arial"/>
        </w:rPr>
        <w:t xml:space="preserve"> skills. Mello and </w:t>
      </w:r>
      <w:proofErr w:type="spellStart"/>
      <w:r>
        <w:rPr>
          <w:rFonts w:ascii="Arial" w:eastAsia="Arial" w:hAnsi="Arial" w:cs="Arial"/>
        </w:rPr>
        <w:t>Wattret</w:t>
      </w:r>
      <w:proofErr w:type="spellEnd"/>
      <w:r>
        <w:rPr>
          <w:rFonts w:ascii="Arial" w:eastAsia="Arial" w:hAnsi="Arial" w:cs="Arial"/>
        </w:rPr>
        <w:t xml:space="preserve"> (2021) stress the importance of reflective learning to develop transferable skills. I knew that these were skills that would prove useful outside of school as managers need to evaluate information, consider options and make decisions in the face of uncertainty. I also grew in the sense of communication. Evidence, interpretation and conclusions must be linked in a clear way for strategic recommendations. According to Ahmadpour et al. (2025) narrative writing with Gibbs' model can be used to enhance communication development. As a result, I discovered that good business communication has to have convincing facts and appropriate interpretation.</w:t>
      </w:r>
    </w:p>
    <w:p w14:paraId="2B1C67D6" w14:textId="77777777" w:rsidR="002F0667" w:rsidRDefault="00000000">
      <w:pPr>
        <w:pStyle w:val="Heading3"/>
        <w:rPr>
          <w:rFonts w:ascii="Arial" w:eastAsia="Arial" w:hAnsi="Arial" w:cs="Arial"/>
        </w:rPr>
      </w:pPr>
      <w:bookmarkStart w:id="24" w:name="_heading=h.lh1m5x7toz1w" w:colFirst="0" w:colLast="0"/>
      <w:bookmarkEnd w:id="24"/>
      <w:r>
        <w:rPr>
          <w:rFonts w:ascii="Arial" w:eastAsia="Arial" w:hAnsi="Arial" w:cs="Arial"/>
        </w:rPr>
        <w:t>Conclusion</w:t>
      </w:r>
    </w:p>
    <w:p w14:paraId="7BC84FFC" w14:textId="77777777" w:rsidR="002F0667" w:rsidRDefault="00000000">
      <w:pPr>
        <w:rPr>
          <w:rFonts w:ascii="Arial" w:eastAsia="Arial" w:hAnsi="Arial" w:cs="Arial"/>
        </w:rPr>
      </w:pPr>
      <w:r>
        <w:rPr>
          <w:rFonts w:ascii="Arial" w:eastAsia="Arial" w:hAnsi="Arial" w:cs="Arial"/>
        </w:rPr>
        <w:t xml:space="preserve">This assignment helped me to reinforce my knowledge on international business analysis and the ability to learn through reflection. I learned that conclusions must be based upon evidence that is critically </w:t>
      </w:r>
      <w:proofErr w:type="spellStart"/>
      <w:r>
        <w:rPr>
          <w:rFonts w:ascii="Arial" w:eastAsia="Arial" w:hAnsi="Arial" w:cs="Arial"/>
        </w:rPr>
        <w:t>analyzed</w:t>
      </w:r>
      <w:proofErr w:type="spellEnd"/>
      <w:r>
        <w:rPr>
          <w:rFonts w:ascii="Arial" w:eastAsia="Arial" w:hAnsi="Arial" w:cs="Arial"/>
        </w:rPr>
        <w:t xml:space="preserve"> and that is related to some theory. I learned to appreciate that what works in one country does not always work in another for cultural, institutional and competitive reasons. The learning point of utmost importance was the ability to identify the need to be able to flex the global competencies of Walmart to Germany's market needs. I also realized that critical evaluation is not something to wait until the end, but may happen during the research process.</w:t>
      </w:r>
    </w:p>
    <w:p w14:paraId="4EB16F2E" w14:textId="77777777" w:rsidR="002F0667" w:rsidRDefault="00000000">
      <w:pPr>
        <w:pStyle w:val="Heading3"/>
        <w:rPr>
          <w:rFonts w:ascii="Arial" w:eastAsia="Arial" w:hAnsi="Arial" w:cs="Arial"/>
        </w:rPr>
      </w:pPr>
      <w:bookmarkStart w:id="25" w:name="_heading=h.ga3y1g3dha7l" w:colFirst="0" w:colLast="0"/>
      <w:bookmarkEnd w:id="25"/>
      <w:r>
        <w:rPr>
          <w:rFonts w:ascii="Arial" w:eastAsia="Arial" w:hAnsi="Arial" w:cs="Arial"/>
        </w:rPr>
        <w:t>Action Plan</w:t>
      </w:r>
    </w:p>
    <w:p w14:paraId="080322A3" w14:textId="77777777" w:rsidR="002F0667" w:rsidRDefault="00000000">
      <w:pPr>
        <w:rPr>
          <w:rFonts w:ascii="Arial" w:eastAsia="Arial" w:hAnsi="Arial" w:cs="Arial"/>
        </w:rPr>
      </w:pPr>
      <w:r>
        <w:rPr>
          <w:rFonts w:ascii="Arial" w:eastAsia="Arial" w:hAnsi="Arial" w:cs="Arial"/>
        </w:rPr>
        <w:t>In future work, I will first formulate an analytical pattern, and then source a significant body of information. I will identify in each part what information is required and will be using reliable academic and industry sources. I will also keep an organised evidence table that'll capture sources of evidence, findings and numbers, limiting repetition of text and increasing accuracy. I will always ask myself the question, “What does this mean for the organisation?” when presenting evidence. This will help me to shift focus from description to a more robust evaluation. I will also jot down some short reflective notes throughout large assignments to ensure weaknesses are identified earlier.</w:t>
      </w:r>
      <w:r>
        <w:br w:type="page"/>
      </w:r>
    </w:p>
    <w:p w14:paraId="7B548268" w14:textId="77777777" w:rsidR="002F0667" w:rsidRDefault="00000000">
      <w:pPr>
        <w:pStyle w:val="Heading1"/>
        <w:rPr>
          <w:rFonts w:ascii="Arial" w:eastAsia="Arial" w:hAnsi="Arial" w:cs="Arial"/>
        </w:rPr>
      </w:pPr>
      <w:bookmarkStart w:id="26" w:name="_heading=h.wacdyvsqugcy" w:colFirst="0" w:colLast="0"/>
      <w:bookmarkEnd w:id="26"/>
      <w:r>
        <w:rPr>
          <w:rFonts w:ascii="Arial" w:eastAsia="Arial" w:hAnsi="Arial" w:cs="Arial"/>
        </w:rPr>
        <w:lastRenderedPageBreak/>
        <w:t>References</w:t>
      </w:r>
    </w:p>
    <w:p w14:paraId="741BBCA6" w14:textId="77777777" w:rsidR="002F0667" w:rsidRDefault="00000000">
      <w:pPr>
        <w:spacing w:after="240"/>
        <w:rPr>
          <w:rFonts w:ascii="Arial" w:eastAsia="Arial" w:hAnsi="Arial" w:cs="Arial"/>
          <w:color w:val="222222"/>
        </w:rPr>
      </w:pPr>
      <w:r>
        <w:rPr>
          <w:rFonts w:ascii="Arial" w:eastAsia="Arial" w:hAnsi="Arial" w:cs="Arial"/>
          <w:color w:val="222222"/>
        </w:rPr>
        <w:t>Ahmadpour, N., Shariati, A. and Moghadam, M.P., (2025). Effect of narrative writing based on Gibbs’ reflective model on the empathy and communication skills of nursing students. </w:t>
      </w:r>
      <w:r>
        <w:rPr>
          <w:rFonts w:ascii="Arial" w:eastAsia="Arial" w:hAnsi="Arial" w:cs="Arial"/>
          <w:i/>
          <w:iCs/>
          <w:color w:val="222222"/>
        </w:rPr>
        <w:t>BMC medical education</w:t>
      </w:r>
      <w:r>
        <w:rPr>
          <w:rFonts w:ascii="Arial" w:eastAsia="Arial" w:hAnsi="Arial" w:cs="Arial"/>
          <w:color w:val="222222"/>
        </w:rPr>
        <w:t>, </w:t>
      </w:r>
      <w:r>
        <w:rPr>
          <w:rFonts w:ascii="Arial" w:eastAsia="Arial" w:hAnsi="Arial" w:cs="Arial"/>
          <w:i/>
          <w:iCs/>
          <w:color w:val="222222"/>
        </w:rPr>
        <w:t>25</w:t>
      </w:r>
      <w:r>
        <w:rPr>
          <w:rFonts w:ascii="Arial" w:eastAsia="Arial" w:hAnsi="Arial" w:cs="Arial"/>
          <w:color w:val="222222"/>
        </w:rPr>
        <w:t xml:space="preserve">(1), p.10. </w:t>
      </w:r>
      <w:hyperlink r:id="rId15">
        <w:r>
          <w:rPr>
            <w:rFonts w:ascii="Arial" w:eastAsia="Arial" w:hAnsi="Arial" w:cs="Arial"/>
            <w:color w:val="0000FF"/>
            <w:u w:val="single"/>
          </w:rPr>
          <w:t>https://link.springer.com/article/10.1186/s12909-024-06593-7</w:t>
        </w:r>
      </w:hyperlink>
    </w:p>
    <w:p w14:paraId="672129A8" w14:textId="77777777" w:rsidR="002F0667" w:rsidRDefault="00000000">
      <w:pPr>
        <w:spacing w:after="240"/>
        <w:rPr>
          <w:rFonts w:ascii="Arial" w:eastAsia="Arial" w:hAnsi="Arial" w:cs="Arial"/>
          <w:color w:val="222222"/>
        </w:rPr>
      </w:pPr>
      <w:r>
        <w:rPr>
          <w:rFonts w:ascii="Arial" w:eastAsia="Arial" w:hAnsi="Arial" w:cs="Arial"/>
          <w:color w:val="222222"/>
        </w:rPr>
        <w:t xml:space="preserve">Ali, S., Nazar, R. and </w:t>
      </w:r>
      <w:proofErr w:type="spellStart"/>
      <w:r>
        <w:rPr>
          <w:rFonts w:ascii="Arial" w:eastAsia="Arial" w:hAnsi="Arial" w:cs="Arial"/>
          <w:color w:val="222222"/>
        </w:rPr>
        <w:t>Anser</w:t>
      </w:r>
      <w:proofErr w:type="spellEnd"/>
      <w:r>
        <w:rPr>
          <w:rFonts w:ascii="Arial" w:eastAsia="Arial" w:hAnsi="Arial" w:cs="Arial"/>
          <w:color w:val="222222"/>
        </w:rPr>
        <w:t xml:space="preserve">, M.K., (2025). Impact of world uncertainty on financial stability in emerging markets. </w:t>
      </w:r>
      <w:r>
        <w:rPr>
          <w:rFonts w:ascii="Arial" w:eastAsia="Arial" w:hAnsi="Arial" w:cs="Arial"/>
          <w:i/>
          <w:iCs/>
          <w:color w:val="222222"/>
        </w:rPr>
        <w:t>SN Business &amp; Economics</w:t>
      </w:r>
      <w:r>
        <w:rPr>
          <w:rFonts w:ascii="Arial" w:eastAsia="Arial" w:hAnsi="Arial" w:cs="Arial"/>
          <w:color w:val="222222"/>
        </w:rPr>
        <w:t xml:space="preserve">, </w:t>
      </w:r>
      <w:r>
        <w:rPr>
          <w:rFonts w:ascii="Arial" w:eastAsia="Arial" w:hAnsi="Arial" w:cs="Arial"/>
          <w:i/>
          <w:iCs/>
          <w:color w:val="222222"/>
        </w:rPr>
        <w:t>5</w:t>
      </w:r>
      <w:r>
        <w:rPr>
          <w:rFonts w:ascii="Arial" w:eastAsia="Arial" w:hAnsi="Arial" w:cs="Arial"/>
          <w:color w:val="222222"/>
        </w:rPr>
        <w:t xml:space="preserve">(12), p.203. </w:t>
      </w:r>
      <w:hyperlink r:id="rId16">
        <w:r>
          <w:rPr>
            <w:rFonts w:ascii="Arial" w:eastAsia="Arial" w:hAnsi="Arial" w:cs="Arial"/>
            <w:color w:val="1155CC"/>
            <w:u w:val="single"/>
          </w:rPr>
          <w:t>https://link.springer.com/article/10.1007/s43546-025-00974-w</w:t>
        </w:r>
      </w:hyperlink>
      <w:r>
        <w:rPr>
          <w:rFonts w:ascii="Arial" w:eastAsia="Arial" w:hAnsi="Arial" w:cs="Arial"/>
          <w:color w:val="222222"/>
        </w:rPr>
        <w:t xml:space="preserve"> </w:t>
      </w:r>
    </w:p>
    <w:p w14:paraId="7E480DE2" w14:textId="77777777" w:rsidR="002F0667" w:rsidRDefault="00000000">
      <w:pPr>
        <w:spacing w:after="240"/>
        <w:rPr>
          <w:rFonts w:ascii="Arial" w:eastAsia="Arial" w:hAnsi="Arial" w:cs="Arial"/>
        </w:rPr>
      </w:pPr>
      <w:r>
        <w:rPr>
          <w:rFonts w:ascii="Arial" w:eastAsia="Arial" w:hAnsi="Arial" w:cs="Arial"/>
        </w:rPr>
        <w:t xml:space="preserve">Aytekin, A., </w:t>
      </w:r>
      <w:proofErr w:type="spellStart"/>
      <w:r>
        <w:rPr>
          <w:rFonts w:ascii="Arial" w:eastAsia="Arial" w:hAnsi="Arial" w:cs="Arial"/>
        </w:rPr>
        <w:t>Görçün</w:t>
      </w:r>
      <w:proofErr w:type="spellEnd"/>
      <w:r>
        <w:rPr>
          <w:rFonts w:ascii="Arial" w:eastAsia="Arial" w:hAnsi="Arial" w:cs="Arial"/>
        </w:rPr>
        <w:t xml:space="preserve">, Ö.F., </w:t>
      </w:r>
      <w:proofErr w:type="spellStart"/>
      <w:r>
        <w:rPr>
          <w:rFonts w:ascii="Arial" w:eastAsia="Arial" w:hAnsi="Arial" w:cs="Arial"/>
        </w:rPr>
        <w:t>Ecer</w:t>
      </w:r>
      <w:proofErr w:type="spellEnd"/>
      <w:r>
        <w:rPr>
          <w:rFonts w:ascii="Arial" w:eastAsia="Arial" w:hAnsi="Arial" w:cs="Arial"/>
        </w:rPr>
        <w:t xml:space="preserve">, F., </w:t>
      </w:r>
      <w:proofErr w:type="spellStart"/>
      <w:r>
        <w:rPr>
          <w:rFonts w:ascii="Arial" w:eastAsia="Arial" w:hAnsi="Arial" w:cs="Arial"/>
        </w:rPr>
        <w:t>Pamucar</w:t>
      </w:r>
      <w:proofErr w:type="spellEnd"/>
      <w:r>
        <w:rPr>
          <w:rFonts w:ascii="Arial" w:eastAsia="Arial" w:hAnsi="Arial" w:cs="Arial"/>
        </w:rPr>
        <w:t xml:space="preserve">, D. and </w:t>
      </w:r>
      <w:proofErr w:type="spellStart"/>
      <w:r>
        <w:rPr>
          <w:rFonts w:ascii="Arial" w:eastAsia="Arial" w:hAnsi="Arial" w:cs="Arial"/>
        </w:rPr>
        <w:t>Karamaşa</w:t>
      </w:r>
      <w:proofErr w:type="spellEnd"/>
      <w:r>
        <w:rPr>
          <w:rFonts w:ascii="Arial" w:eastAsia="Arial" w:hAnsi="Arial" w:cs="Arial"/>
        </w:rPr>
        <w:t>, Ç., (2023). Foreign market selection of suppliers through a novel REF-Sort technique. </w:t>
      </w:r>
      <w:proofErr w:type="spellStart"/>
      <w:r>
        <w:rPr>
          <w:rFonts w:ascii="Arial" w:eastAsia="Arial" w:hAnsi="Arial" w:cs="Arial"/>
          <w:i/>
          <w:iCs/>
        </w:rPr>
        <w:t>Kybernetes</w:t>
      </w:r>
      <w:proofErr w:type="spellEnd"/>
      <w:r>
        <w:rPr>
          <w:rFonts w:ascii="Arial" w:eastAsia="Arial" w:hAnsi="Arial" w:cs="Arial"/>
        </w:rPr>
        <w:t>, </w:t>
      </w:r>
      <w:r>
        <w:rPr>
          <w:rFonts w:ascii="Arial" w:eastAsia="Arial" w:hAnsi="Arial" w:cs="Arial"/>
          <w:i/>
          <w:iCs/>
        </w:rPr>
        <w:t>52</w:t>
      </w:r>
      <w:r>
        <w:rPr>
          <w:rFonts w:ascii="Arial" w:eastAsia="Arial" w:hAnsi="Arial" w:cs="Arial"/>
        </w:rPr>
        <w:t xml:space="preserve">(11), pp.4958-4992. </w:t>
      </w:r>
      <w:hyperlink r:id="rId17">
        <w:r>
          <w:rPr>
            <w:rFonts w:ascii="Arial" w:eastAsia="Arial" w:hAnsi="Arial" w:cs="Arial"/>
            <w:color w:val="0000FF"/>
            <w:u w:val="single"/>
          </w:rPr>
          <w:t>https://www.emerald.com/k/article/52/11/4958/459246</w:t>
        </w:r>
      </w:hyperlink>
    </w:p>
    <w:p w14:paraId="2D49A0F9" w14:textId="77777777" w:rsidR="002F0667" w:rsidRDefault="00000000">
      <w:pPr>
        <w:spacing w:after="240"/>
        <w:rPr>
          <w:rFonts w:ascii="Arial" w:eastAsia="Arial" w:hAnsi="Arial" w:cs="Arial"/>
          <w:color w:val="0000FF"/>
          <w:u w:val="single"/>
        </w:rPr>
      </w:pPr>
      <w:r>
        <w:rPr>
          <w:rFonts w:ascii="Arial" w:eastAsia="Arial" w:hAnsi="Arial" w:cs="Arial"/>
        </w:rPr>
        <w:t>Bal, M. and Pawlicka, K., (2021). Supply chain finance and challenges of modern supply chains. </w:t>
      </w:r>
      <w:proofErr w:type="spellStart"/>
      <w:r>
        <w:rPr>
          <w:rFonts w:ascii="Arial" w:eastAsia="Arial" w:hAnsi="Arial" w:cs="Arial"/>
          <w:i/>
          <w:iCs/>
        </w:rPr>
        <w:t>LogForum</w:t>
      </w:r>
      <w:proofErr w:type="spellEnd"/>
      <w:r>
        <w:rPr>
          <w:rFonts w:ascii="Arial" w:eastAsia="Arial" w:hAnsi="Arial" w:cs="Arial"/>
        </w:rPr>
        <w:t>, </w:t>
      </w:r>
      <w:r>
        <w:rPr>
          <w:rFonts w:ascii="Arial" w:eastAsia="Arial" w:hAnsi="Arial" w:cs="Arial"/>
          <w:i/>
          <w:iCs/>
        </w:rPr>
        <w:t>17</w:t>
      </w:r>
      <w:r>
        <w:rPr>
          <w:rFonts w:ascii="Arial" w:eastAsia="Arial" w:hAnsi="Arial" w:cs="Arial"/>
        </w:rPr>
        <w:t xml:space="preserve">(1), pp.71-82. </w:t>
      </w:r>
      <w:hyperlink r:id="rId18">
        <w:r>
          <w:rPr>
            <w:rFonts w:ascii="Arial" w:eastAsia="Arial" w:hAnsi="Arial" w:cs="Arial"/>
            <w:color w:val="0000FF"/>
            <w:u w:val="single"/>
          </w:rPr>
          <w:t>https://bibliotekanauki.pl/articles/1835528.pdf</w:t>
        </w:r>
      </w:hyperlink>
    </w:p>
    <w:p w14:paraId="7CB12C52" w14:textId="77777777" w:rsidR="002F0667" w:rsidRDefault="00000000">
      <w:pPr>
        <w:spacing w:after="240"/>
        <w:rPr>
          <w:rFonts w:ascii="Arial" w:eastAsia="Arial" w:hAnsi="Arial" w:cs="Arial"/>
        </w:rPr>
      </w:pPr>
      <w:r>
        <w:rPr>
          <w:rFonts w:ascii="Arial" w:eastAsia="Arial" w:hAnsi="Arial" w:cs="Arial"/>
          <w:color w:val="222222"/>
        </w:rPr>
        <w:t xml:space="preserve">Benabed, A., (2024). The Importance of Multinational Companies (MNCS) and Small and Medium Sized Enterprises'(SMES') Internationalization as Business Drivers </w:t>
      </w:r>
      <w:proofErr w:type="spellStart"/>
      <w:r>
        <w:rPr>
          <w:rFonts w:ascii="Arial" w:eastAsia="Arial" w:hAnsi="Arial" w:cs="Arial"/>
          <w:color w:val="222222"/>
        </w:rPr>
        <w:t>în</w:t>
      </w:r>
      <w:proofErr w:type="spellEnd"/>
      <w:r>
        <w:rPr>
          <w:rFonts w:ascii="Arial" w:eastAsia="Arial" w:hAnsi="Arial" w:cs="Arial"/>
          <w:color w:val="222222"/>
        </w:rPr>
        <w:t xml:space="preserve"> Globalization and </w:t>
      </w:r>
      <w:proofErr w:type="spellStart"/>
      <w:r>
        <w:rPr>
          <w:rFonts w:ascii="Arial" w:eastAsia="Arial" w:hAnsi="Arial" w:cs="Arial"/>
          <w:color w:val="222222"/>
        </w:rPr>
        <w:t>Slowbalization</w:t>
      </w:r>
      <w:proofErr w:type="spellEnd"/>
      <w:r>
        <w:rPr>
          <w:rFonts w:ascii="Arial" w:eastAsia="Arial" w:hAnsi="Arial" w:cs="Arial"/>
          <w:color w:val="222222"/>
        </w:rPr>
        <w:t>: Mutual Survival and Growth for Business Values. </w:t>
      </w:r>
      <w:r>
        <w:rPr>
          <w:rFonts w:ascii="Arial" w:eastAsia="Arial" w:hAnsi="Arial" w:cs="Arial"/>
          <w:i/>
          <w:iCs/>
          <w:color w:val="222222"/>
        </w:rPr>
        <w:t>Eastern European Journal for Regional Studies (EEJRS)</w:t>
      </w:r>
      <w:r>
        <w:rPr>
          <w:rFonts w:ascii="Arial" w:eastAsia="Arial" w:hAnsi="Arial" w:cs="Arial"/>
          <w:color w:val="222222"/>
        </w:rPr>
        <w:t>, </w:t>
      </w:r>
      <w:r>
        <w:rPr>
          <w:rFonts w:ascii="Arial" w:eastAsia="Arial" w:hAnsi="Arial" w:cs="Arial"/>
          <w:i/>
          <w:iCs/>
          <w:color w:val="222222"/>
        </w:rPr>
        <w:t>10</w:t>
      </w:r>
      <w:r>
        <w:rPr>
          <w:rFonts w:ascii="Arial" w:eastAsia="Arial" w:hAnsi="Arial" w:cs="Arial"/>
          <w:color w:val="222222"/>
        </w:rPr>
        <w:t xml:space="preserve">(2), pp.9-33. </w:t>
      </w:r>
      <w:hyperlink r:id="rId19">
        <w:r>
          <w:rPr>
            <w:rFonts w:ascii="Arial" w:eastAsia="Arial" w:hAnsi="Arial" w:cs="Arial"/>
            <w:color w:val="0000FF"/>
            <w:u w:val="single"/>
          </w:rPr>
          <w:t>https://ibn.idsi.md/sites/default/files/imag_file/19-33_4.pdf</w:t>
        </w:r>
      </w:hyperlink>
      <w:r>
        <w:rPr>
          <w:rFonts w:ascii="Arial" w:eastAsia="Arial" w:hAnsi="Arial" w:cs="Arial"/>
          <w:color w:val="222222"/>
        </w:rPr>
        <w:t xml:space="preserve"> </w:t>
      </w:r>
    </w:p>
    <w:p w14:paraId="33FE4B03" w14:textId="77777777" w:rsidR="002F0667" w:rsidRDefault="00000000">
      <w:pPr>
        <w:spacing w:after="240"/>
        <w:rPr>
          <w:rFonts w:ascii="Arial" w:eastAsia="Arial" w:hAnsi="Arial" w:cs="Arial"/>
        </w:rPr>
      </w:pPr>
      <w:r>
        <w:rPr>
          <w:rFonts w:ascii="Arial" w:eastAsia="Arial" w:hAnsi="Arial" w:cs="Arial"/>
        </w:rPr>
        <w:t>Brzeziński, Ł., (2024). Enterprise development management. </w:t>
      </w:r>
      <w:proofErr w:type="spellStart"/>
      <w:r>
        <w:rPr>
          <w:rFonts w:ascii="Arial" w:eastAsia="Arial" w:hAnsi="Arial" w:cs="Arial"/>
          <w:i/>
          <w:iCs/>
        </w:rPr>
        <w:t>Encyclopedia</w:t>
      </w:r>
      <w:proofErr w:type="spellEnd"/>
      <w:r>
        <w:rPr>
          <w:rFonts w:ascii="Arial" w:eastAsia="Arial" w:hAnsi="Arial" w:cs="Arial"/>
        </w:rPr>
        <w:t>, </w:t>
      </w:r>
      <w:r>
        <w:rPr>
          <w:rFonts w:ascii="Arial" w:eastAsia="Arial" w:hAnsi="Arial" w:cs="Arial"/>
          <w:i/>
          <w:iCs/>
        </w:rPr>
        <w:t>4</w:t>
      </w:r>
      <w:r>
        <w:rPr>
          <w:rFonts w:ascii="Arial" w:eastAsia="Arial" w:hAnsi="Arial" w:cs="Arial"/>
        </w:rPr>
        <w:t xml:space="preserve">(4), pp.1396-1410. </w:t>
      </w:r>
      <w:hyperlink r:id="rId20">
        <w:r>
          <w:rPr>
            <w:rFonts w:ascii="Arial" w:eastAsia="Arial" w:hAnsi="Arial" w:cs="Arial"/>
            <w:color w:val="0000FF"/>
            <w:u w:val="single"/>
          </w:rPr>
          <w:t>https://www.mdpi.com/2673-8392/4/4/91</w:t>
        </w:r>
      </w:hyperlink>
    </w:p>
    <w:p w14:paraId="3D908A6E" w14:textId="77777777" w:rsidR="002F0667" w:rsidRDefault="00000000">
      <w:pPr>
        <w:spacing w:after="240"/>
        <w:rPr>
          <w:rFonts w:ascii="Arial" w:eastAsia="Arial" w:hAnsi="Arial" w:cs="Arial"/>
          <w:color w:val="222222"/>
        </w:rPr>
      </w:pPr>
      <w:proofErr w:type="spellStart"/>
      <w:r>
        <w:rPr>
          <w:rFonts w:ascii="Arial" w:eastAsia="Arial" w:hAnsi="Arial" w:cs="Arial"/>
          <w:color w:val="222222"/>
        </w:rPr>
        <w:t>Choper</w:t>
      </w:r>
      <w:proofErr w:type="spellEnd"/>
      <w:r>
        <w:rPr>
          <w:rFonts w:ascii="Arial" w:eastAsia="Arial" w:hAnsi="Arial" w:cs="Arial"/>
          <w:color w:val="222222"/>
        </w:rPr>
        <w:t xml:space="preserve">, J., Lehner, L. and Parolin, Z., 2026. Countervailing Powers: Labor Unions Against the Buyer Power of Walmart </w:t>
      </w:r>
      <w:proofErr w:type="spellStart"/>
      <w:r>
        <w:rPr>
          <w:rFonts w:ascii="Arial" w:eastAsia="Arial" w:hAnsi="Arial" w:cs="Arial"/>
          <w:color w:val="222222"/>
        </w:rPr>
        <w:t>Supercenters</w:t>
      </w:r>
      <w:proofErr w:type="spellEnd"/>
      <w:r>
        <w:rPr>
          <w:rFonts w:ascii="Arial" w:eastAsia="Arial" w:hAnsi="Arial" w:cs="Arial"/>
          <w:color w:val="222222"/>
        </w:rPr>
        <w:t xml:space="preserve">. </w:t>
      </w:r>
      <w:r>
        <w:rPr>
          <w:rFonts w:ascii="Arial" w:eastAsia="Arial" w:hAnsi="Arial" w:cs="Arial"/>
          <w:i/>
          <w:iCs/>
          <w:color w:val="222222"/>
        </w:rPr>
        <w:t>American Sociological Review</w:t>
      </w:r>
      <w:r>
        <w:rPr>
          <w:rFonts w:ascii="Arial" w:eastAsia="Arial" w:hAnsi="Arial" w:cs="Arial"/>
          <w:color w:val="222222"/>
        </w:rPr>
        <w:t xml:space="preserve">, </w:t>
      </w:r>
      <w:r>
        <w:rPr>
          <w:rFonts w:ascii="Arial" w:eastAsia="Arial" w:hAnsi="Arial" w:cs="Arial"/>
          <w:i/>
          <w:iCs/>
          <w:color w:val="222222"/>
        </w:rPr>
        <w:t>91</w:t>
      </w:r>
      <w:r>
        <w:rPr>
          <w:rFonts w:ascii="Arial" w:eastAsia="Arial" w:hAnsi="Arial" w:cs="Arial"/>
          <w:color w:val="222222"/>
        </w:rPr>
        <w:t xml:space="preserve">(3), pp.435-463. </w:t>
      </w:r>
      <w:hyperlink r:id="rId21">
        <w:r>
          <w:rPr>
            <w:rFonts w:ascii="Arial" w:eastAsia="Arial" w:hAnsi="Arial" w:cs="Arial"/>
            <w:color w:val="1155CC"/>
            <w:u w:val="single"/>
          </w:rPr>
          <w:t>https://journals.sagepub.com/doi/pdf/10.1177/00031224261437057</w:t>
        </w:r>
      </w:hyperlink>
      <w:r>
        <w:rPr>
          <w:rFonts w:ascii="Arial" w:eastAsia="Arial" w:hAnsi="Arial" w:cs="Arial"/>
          <w:color w:val="222222"/>
        </w:rPr>
        <w:t xml:space="preserve"> </w:t>
      </w:r>
    </w:p>
    <w:p w14:paraId="6D1B7DB8" w14:textId="77777777" w:rsidR="002F0667" w:rsidRDefault="00000000">
      <w:pPr>
        <w:spacing w:after="240"/>
        <w:rPr>
          <w:rFonts w:ascii="Arial" w:eastAsia="Arial" w:hAnsi="Arial" w:cs="Arial"/>
        </w:rPr>
      </w:pPr>
      <w:r>
        <w:rPr>
          <w:rFonts w:ascii="Arial" w:eastAsia="Arial" w:hAnsi="Arial" w:cs="Arial"/>
        </w:rPr>
        <w:t xml:space="preserve">CMI, (2026). </w:t>
      </w:r>
      <w:r>
        <w:rPr>
          <w:rFonts w:ascii="Arial" w:eastAsia="Arial" w:hAnsi="Arial" w:cs="Arial"/>
          <w:i/>
          <w:iCs/>
        </w:rPr>
        <w:t xml:space="preserve">Consumer Product </w:t>
      </w:r>
      <w:proofErr w:type="gramStart"/>
      <w:r>
        <w:rPr>
          <w:rFonts w:ascii="Arial" w:eastAsia="Arial" w:hAnsi="Arial" w:cs="Arial"/>
          <w:i/>
          <w:iCs/>
        </w:rPr>
        <w:t>And</w:t>
      </w:r>
      <w:proofErr w:type="gramEnd"/>
      <w:r>
        <w:rPr>
          <w:rFonts w:ascii="Arial" w:eastAsia="Arial" w:hAnsi="Arial" w:cs="Arial"/>
          <w:i/>
          <w:iCs/>
        </w:rPr>
        <w:t xml:space="preserve"> Retail Market Size &amp; Forecast 2026.</w:t>
      </w:r>
      <w:r>
        <w:rPr>
          <w:rFonts w:ascii="Arial" w:eastAsia="Arial" w:hAnsi="Arial" w:cs="Arial"/>
        </w:rPr>
        <w:t xml:space="preserve"> </w:t>
      </w:r>
      <w:r>
        <w:rPr>
          <w:rFonts w:ascii="Arial" w:eastAsia="Arial" w:hAnsi="Arial" w:cs="Arial"/>
          <w:color w:val="1B1B1B"/>
        </w:rPr>
        <w:t xml:space="preserve">Available at: </w:t>
      </w:r>
      <w:hyperlink r:id="rId22">
        <w:r>
          <w:rPr>
            <w:rFonts w:ascii="Arial" w:eastAsia="Arial" w:hAnsi="Arial" w:cs="Arial"/>
            <w:color w:val="0000FF"/>
            <w:u w:val="single"/>
          </w:rPr>
          <w:t>https://www.coherentmarketinsights.com/market-insight/consumer-product-and-retail-market-4759</w:t>
        </w:r>
      </w:hyperlink>
      <w:r>
        <w:rPr>
          <w:rFonts w:ascii="Arial" w:eastAsia="Arial" w:hAnsi="Arial" w:cs="Arial"/>
        </w:rPr>
        <w:t xml:space="preserve"> [Accessed on 10.08.2026].</w:t>
      </w:r>
    </w:p>
    <w:p w14:paraId="52B2DAED" w14:textId="77777777" w:rsidR="002F0667" w:rsidRDefault="00000000">
      <w:pPr>
        <w:spacing w:after="240"/>
        <w:rPr>
          <w:rFonts w:ascii="Arial" w:eastAsia="Arial" w:hAnsi="Arial" w:cs="Arial"/>
        </w:rPr>
      </w:pPr>
      <w:r>
        <w:rPr>
          <w:rFonts w:ascii="Arial" w:eastAsia="Arial" w:hAnsi="Arial" w:cs="Arial"/>
        </w:rPr>
        <w:lastRenderedPageBreak/>
        <w:t>Deloitte, (2026).</w:t>
      </w:r>
      <w:r>
        <w:rPr>
          <w:rFonts w:ascii="Arial" w:eastAsia="Arial" w:hAnsi="Arial" w:cs="Arial"/>
          <w:i/>
          <w:iCs/>
        </w:rPr>
        <w:t xml:space="preserve"> 2026 Retail Industry Global Outlook | Deloitte Insights. </w:t>
      </w:r>
      <w:r>
        <w:rPr>
          <w:rFonts w:ascii="Arial" w:eastAsia="Arial" w:hAnsi="Arial" w:cs="Arial"/>
          <w:color w:val="1B1B1B"/>
        </w:rPr>
        <w:t xml:space="preserve">Available at: </w:t>
      </w:r>
      <w:hyperlink r:id="rId23">
        <w:r>
          <w:rPr>
            <w:rFonts w:ascii="Arial" w:eastAsia="Arial" w:hAnsi="Arial" w:cs="Arial"/>
            <w:color w:val="0000FF"/>
            <w:u w:val="single"/>
          </w:rPr>
          <w:t>https://www.deloitte.com/us/en/insights/industry/retail-distribution/retail-distribution-industry-outlook.html</w:t>
        </w:r>
      </w:hyperlink>
      <w:r>
        <w:rPr>
          <w:rFonts w:ascii="Arial" w:eastAsia="Arial" w:hAnsi="Arial" w:cs="Arial"/>
        </w:rPr>
        <w:t xml:space="preserve"> [Accessed on 01.08.2026].</w:t>
      </w:r>
    </w:p>
    <w:p w14:paraId="3285A345" w14:textId="77777777" w:rsidR="002F0667" w:rsidRDefault="00000000">
      <w:pPr>
        <w:spacing w:after="240"/>
        <w:rPr>
          <w:rFonts w:ascii="Arial" w:eastAsia="Arial" w:hAnsi="Arial" w:cs="Arial"/>
        </w:rPr>
      </w:pPr>
      <w:r>
        <w:rPr>
          <w:rFonts w:ascii="Arial" w:eastAsia="Arial" w:hAnsi="Arial" w:cs="Arial"/>
        </w:rPr>
        <w:t>DesRoches, K.L., (2022). Competing in International Markets. </w:t>
      </w:r>
      <w:r>
        <w:rPr>
          <w:rFonts w:ascii="Arial" w:eastAsia="Arial" w:hAnsi="Arial" w:cs="Arial"/>
          <w:i/>
          <w:iCs/>
        </w:rPr>
        <w:t>Emergence of a Strategic Leader</w:t>
      </w:r>
      <w:r>
        <w:rPr>
          <w:rFonts w:ascii="Arial" w:eastAsia="Arial" w:hAnsi="Arial" w:cs="Arial"/>
        </w:rPr>
        <w:t xml:space="preserve">. </w:t>
      </w:r>
      <w:hyperlink r:id="rId24">
        <w:r>
          <w:rPr>
            <w:rFonts w:ascii="Arial" w:eastAsia="Arial" w:hAnsi="Arial" w:cs="Arial"/>
            <w:color w:val="0000FF"/>
            <w:u w:val="single"/>
          </w:rPr>
          <w:t>https://pressbooks.usnh.edu/ld823/chapter/19/</w:t>
        </w:r>
      </w:hyperlink>
    </w:p>
    <w:p w14:paraId="4BD55A7E" w14:textId="77777777" w:rsidR="002F0667" w:rsidRDefault="00000000">
      <w:pPr>
        <w:rPr>
          <w:rFonts w:ascii="Arial" w:eastAsia="Arial" w:hAnsi="Arial" w:cs="Arial"/>
        </w:rPr>
      </w:pPr>
      <w:r>
        <w:rPr>
          <w:rFonts w:ascii="Arial" w:eastAsia="Arial" w:hAnsi="Arial" w:cs="Arial"/>
        </w:rPr>
        <w:t>DLA Piper. (</w:t>
      </w:r>
      <w:r>
        <w:rPr>
          <w:rFonts w:ascii="Arial" w:eastAsia="Arial" w:hAnsi="Arial" w:cs="Arial"/>
          <w:color w:val="333333"/>
        </w:rPr>
        <w:t xml:space="preserve">2026). </w:t>
      </w:r>
      <w:r>
        <w:rPr>
          <w:rFonts w:ascii="Arial" w:eastAsia="Arial" w:hAnsi="Arial" w:cs="Arial"/>
          <w:i/>
          <w:iCs/>
          <w:color w:val="333333"/>
        </w:rPr>
        <w:t>Data protection laws in Germany.</w:t>
      </w:r>
      <w:r>
        <w:rPr>
          <w:rFonts w:ascii="Arial" w:eastAsia="Arial" w:hAnsi="Arial" w:cs="Arial"/>
          <w:color w:val="333333"/>
        </w:rPr>
        <w:t xml:space="preserve"> </w:t>
      </w:r>
      <w:r>
        <w:rPr>
          <w:rFonts w:ascii="Arial" w:eastAsia="Arial" w:hAnsi="Arial" w:cs="Arial"/>
          <w:color w:val="1B1B1B"/>
        </w:rPr>
        <w:t xml:space="preserve">Available at: </w:t>
      </w:r>
      <w:hyperlink r:id="rId25">
        <w:r>
          <w:rPr>
            <w:rFonts w:ascii="Arial" w:eastAsia="Arial" w:hAnsi="Arial" w:cs="Arial"/>
            <w:color w:val="1155CC"/>
            <w:u w:val="single"/>
          </w:rPr>
          <w:t>https://www.dlapiperdataprotection.com/?c=DE</w:t>
        </w:r>
      </w:hyperlink>
      <w:r>
        <w:rPr>
          <w:rFonts w:ascii="Arial" w:eastAsia="Arial" w:hAnsi="Arial" w:cs="Arial"/>
        </w:rPr>
        <w:t xml:space="preserve"> [Accessed on 05.08.2026].</w:t>
      </w:r>
    </w:p>
    <w:p w14:paraId="52FD781A" w14:textId="77777777" w:rsidR="002F0667" w:rsidRDefault="00000000">
      <w:pPr>
        <w:spacing w:after="240"/>
        <w:rPr>
          <w:rFonts w:ascii="Arial" w:eastAsia="Arial" w:hAnsi="Arial" w:cs="Arial"/>
        </w:rPr>
      </w:pPr>
      <w:r>
        <w:rPr>
          <w:rFonts w:ascii="Arial" w:eastAsia="Arial" w:hAnsi="Arial" w:cs="Arial"/>
        </w:rPr>
        <w:t xml:space="preserve">EMR, (2026). </w:t>
      </w:r>
      <w:r>
        <w:rPr>
          <w:rFonts w:ascii="Arial" w:eastAsia="Arial" w:hAnsi="Arial" w:cs="Arial"/>
          <w:i/>
          <w:iCs/>
        </w:rPr>
        <w:t xml:space="preserve">Retail Market Size, Share, Value &amp; Forecast 2035. </w:t>
      </w:r>
      <w:r>
        <w:rPr>
          <w:rFonts w:ascii="Arial" w:eastAsia="Arial" w:hAnsi="Arial" w:cs="Arial"/>
          <w:color w:val="1B1B1B"/>
        </w:rPr>
        <w:t xml:space="preserve">Available at: </w:t>
      </w:r>
      <w:hyperlink r:id="rId26">
        <w:r>
          <w:rPr>
            <w:rFonts w:ascii="Arial" w:eastAsia="Arial" w:hAnsi="Arial" w:cs="Arial"/>
            <w:color w:val="0000FF"/>
            <w:u w:val="single"/>
          </w:rPr>
          <w:t>https://www.expertmarketresearch.com/reports/retail-market</w:t>
        </w:r>
      </w:hyperlink>
      <w:r>
        <w:rPr>
          <w:rFonts w:ascii="Arial" w:eastAsia="Arial" w:hAnsi="Arial" w:cs="Arial"/>
        </w:rPr>
        <w:t xml:space="preserve"> [Accessed on 02.08.2026].</w:t>
      </w:r>
    </w:p>
    <w:p w14:paraId="60F55F9A" w14:textId="77777777" w:rsidR="002F0667" w:rsidRDefault="00000000">
      <w:pPr>
        <w:rPr>
          <w:rFonts w:ascii="Arial" w:eastAsia="Arial" w:hAnsi="Arial" w:cs="Arial"/>
        </w:rPr>
      </w:pPr>
      <w:r>
        <w:rPr>
          <w:rFonts w:ascii="Arial" w:eastAsia="Arial" w:hAnsi="Arial" w:cs="Arial"/>
        </w:rPr>
        <w:t xml:space="preserve">Europa, (2025). </w:t>
      </w:r>
      <w:r>
        <w:rPr>
          <w:rFonts w:ascii="Arial" w:eastAsia="Arial" w:hAnsi="Arial" w:cs="Arial"/>
          <w:i/>
          <w:iCs/>
        </w:rPr>
        <w:t xml:space="preserve">Germany. </w:t>
      </w:r>
      <w:r>
        <w:rPr>
          <w:rFonts w:ascii="Arial" w:eastAsia="Arial" w:hAnsi="Arial" w:cs="Arial"/>
          <w:color w:val="1B1B1B"/>
        </w:rPr>
        <w:t xml:space="preserve">Available at: </w:t>
      </w:r>
      <w:hyperlink r:id="rId27">
        <w:r>
          <w:rPr>
            <w:rFonts w:ascii="Arial" w:eastAsia="Arial" w:hAnsi="Arial" w:cs="Arial"/>
            <w:color w:val="1155CC"/>
            <w:u w:val="single"/>
          </w:rPr>
          <w:t>https://european-union.europa.eu/principles-countries-history/eu-countries/germany_en</w:t>
        </w:r>
      </w:hyperlink>
      <w:r>
        <w:rPr>
          <w:rFonts w:ascii="Arial" w:eastAsia="Arial" w:hAnsi="Arial" w:cs="Arial"/>
          <w:color w:val="1B1B1B"/>
        </w:rPr>
        <w:t xml:space="preserve"> </w:t>
      </w:r>
      <w:r>
        <w:rPr>
          <w:rFonts w:ascii="Arial" w:eastAsia="Arial" w:hAnsi="Arial" w:cs="Arial"/>
        </w:rPr>
        <w:t>[Accessed on 02.08.2026].</w:t>
      </w:r>
    </w:p>
    <w:p w14:paraId="40616ED6" w14:textId="77777777" w:rsidR="002F0667" w:rsidRDefault="00000000">
      <w:pPr>
        <w:rPr>
          <w:rFonts w:ascii="Arial" w:eastAsia="Arial" w:hAnsi="Arial" w:cs="Arial"/>
        </w:rPr>
      </w:pPr>
      <w:r>
        <w:rPr>
          <w:rFonts w:ascii="Arial" w:eastAsia="Arial" w:hAnsi="Arial" w:cs="Arial"/>
        </w:rPr>
        <w:t xml:space="preserve">Germany Trade &amp; Invest. (2026). </w:t>
      </w:r>
      <w:r>
        <w:rPr>
          <w:rFonts w:ascii="Arial" w:eastAsia="Arial" w:hAnsi="Arial" w:cs="Arial"/>
          <w:i/>
          <w:iCs/>
          <w:color w:val="5A5A5A"/>
        </w:rPr>
        <w:t>The German Market - Europe’s Economic Hub</w:t>
      </w:r>
      <w:r>
        <w:rPr>
          <w:rFonts w:ascii="Arial" w:eastAsia="Arial" w:hAnsi="Arial" w:cs="Arial"/>
          <w:i/>
          <w:iCs/>
        </w:rPr>
        <w:t>.</w:t>
      </w:r>
      <w:r>
        <w:rPr>
          <w:rFonts w:ascii="Arial" w:eastAsia="Arial" w:hAnsi="Arial" w:cs="Arial"/>
        </w:rPr>
        <w:t xml:space="preserve"> </w:t>
      </w:r>
      <w:r>
        <w:rPr>
          <w:rFonts w:ascii="Arial" w:eastAsia="Arial" w:hAnsi="Arial" w:cs="Arial"/>
          <w:color w:val="1B1B1B"/>
        </w:rPr>
        <w:t xml:space="preserve">Available at: </w:t>
      </w:r>
      <w:hyperlink r:id="rId28">
        <w:r>
          <w:rPr>
            <w:rFonts w:ascii="Arial" w:eastAsia="Arial" w:hAnsi="Arial" w:cs="Arial"/>
            <w:color w:val="1155CC"/>
            <w:u w:val="single"/>
          </w:rPr>
          <w:t>https://www.gtai.de/en/invest/business-location-germany/market-germany-europe-s-economic-hub</w:t>
        </w:r>
      </w:hyperlink>
      <w:r>
        <w:rPr>
          <w:rFonts w:ascii="Arial" w:eastAsia="Arial" w:hAnsi="Arial" w:cs="Arial"/>
        </w:rPr>
        <w:t xml:space="preserve"> [Accessed on 01.08.2026].</w:t>
      </w:r>
    </w:p>
    <w:p w14:paraId="74E5E40D" w14:textId="77777777" w:rsidR="002F0667" w:rsidRDefault="00000000">
      <w:pPr>
        <w:rPr>
          <w:rFonts w:ascii="Arial" w:eastAsia="Arial" w:hAnsi="Arial" w:cs="Arial"/>
        </w:rPr>
      </w:pPr>
      <w:r>
        <w:rPr>
          <w:rFonts w:ascii="Arial" w:eastAsia="Arial" w:hAnsi="Arial" w:cs="Arial"/>
        </w:rPr>
        <w:t xml:space="preserve">Global Data, (2025). </w:t>
      </w:r>
      <w:r>
        <w:rPr>
          <w:rFonts w:ascii="Arial" w:eastAsia="Arial" w:hAnsi="Arial" w:cs="Arial"/>
          <w:i/>
          <w:iCs/>
        </w:rPr>
        <w:t xml:space="preserve">Germany Retail Market, Consumer Insights and Competitive Landscape to 2029. </w:t>
      </w:r>
      <w:r>
        <w:rPr>
          <w:rFonts w:ascii="Arial" w:eastAsia="Arial" w:hAnsi="Arial" w:cs="Arial"/>
          <w:color w:val="1B1B1B"/>
        </w:rPr>
        <w:t xml:space="preserve">Available at: </w:t>
      </w:r>
      <w:hyperlink r:id="rId29">
        <w:r>
          <w:rPr>
            <w:rFonts w:ascii="Arial" w:eastAsia="Arial" w:hAnsi="Arial" w:cs="Arial"/>
            <w:color w:val="1155CC"/>
            <w:u w:val="single"/>
          </w:rPr>
          <w:t>https://www.globaldata.com/store/report/germany-retail-market-analysis/</w:t>
        </w:r>
      </w:hyperlink>
      <w:r>
        <w:rPr>
          <w:rFonts w:ascii="Arial" w:eastAsia="Arial" w:hAnsi="Arial" w:cs="Arial"/>
          <w:color w:val="1B1B1B"/>
        </w:rPr>
        <w:t xml:space="preserve"> </w:t>
      </w:r>
      <w:r>
        <w:rPr>
          <w:rFonts w:ascii="Arial" w:eastAsia="Arial" w:hAnsi="Arial" w:cs="Arial"/>
        </w:rPr>
        <w:t>[Accessed on 08.08.2026].</w:t>
      </w:r>
    </w:p>
    <w:p w14:paraId="326ABE89" w14:textId="77777777" w:rsidR="002F0667" w:rsidRDefault="00000000">
      <w:pPr>
        <w:spacing w:after="240"/>
        <w:rPr>
          <w:rFonts w:ascii="Arial" w:eastAsia="Arial" w:hAnsi="Arial" w:cs="Arial"/>
        </w:rPr>
      </w:pPr>
      <w:proofErr w:type="spellStart"/>
      <w:r>
        <w:rPr>
          <w:rFonts w:ascii="Arial" w:eastAsia="Arial" w:hAnsi="Arial" w:cs="Arial"/>
        </w:rPr>
        <w:t>Grabiwoda</w:t>
      </w:r>
      <w:proofErr w:type="spellEnd"/>
      <w:r>
        <w:rPr>
          <w:rFonts w:ascii="Arial" w:eastAsia="Arial" w:hAnsi="Arial" w:cs="Arial"/>
        </w:rPr>
        <w:t>, B. and Mróz, B., (2022). </w:t>
      </w:r>
      <w:r>
        <w:rPr>
          <w:rFonts w:ascii="Arial" w:eastAsia="Arial" w:hAnsi="Arial" w:cs="Arial"/>
          <w:i/>
          <w:iCs/>
        </w:rPr>
        <w:t>The Economics of Digital Shopping in Central and Eastern Europe</w:t>
      </w:r>
      <w:r>
        <w:rPr>
          <w:rFonts w:ascii="Arial" w:eastAsia="Arial" w:hAnsi="Arial" w:cs="Arial"/>
        </w:rPr>
        <w:t xml:space="preserve">. Cambridge University Press. </w:t>
      </w:r>
      <w:hyperlink r:id="rId30">
        <w:r>
          <w:rPr>
            <w:rFonts w:ascii="Arial" w:eastAsia="Arial" w:hAnsi="Arial" w:cs="Arial"/>
            <w:color w:val="0000FF"/>
            <w:u w:val="single"/>
          </w:rPr>
          <w:t>https://www.cambridge.org/core/elements/economics-of-digital-shopping-in-central-and-eastern-europe/77F0E03F179BB4DD6CE28435A47AE428</w:t>
        </w:r>
      </w:hyperlink>
    </w:p>
    <w:p w14:paraId="441C5254" w14:textId="77777777" w:rsidR="002F0667" w:rsidRDefault="00000000">
      <w:pPr>
        <w:rPr>
          <w:rFonts w:ascii="Arial" w:eastAsia="Arial" w:hAnsi="Arial" w:cs="Arial"/>
          <w:color w:val="2E3039"/>
        </w:rPr>
      </w:pPr>
      <w:r>
        <w:rPr>
          <w:rFonts w:ascii="Arial" w:eastAsia="Arial" w:hAnsi="Arial" w:cs="Arial"/>
          <w:color w:val="2E3039"/>
        </w:rPr>
        <w:t xml:space="preserve">Guide, (2026). </w:t>
      </w:r>
      <w:r>
        <w:rPr>
          <w:rFonts w:ascii="Arial" w:eastAsia="Arial" w:hAnsi="Arial" w:cs="Arial"/>
          <w:i/>
          <w:iCs/>
          <w:color w:val="333333"/>
        </w:rPr>
        <w:t>Unfair Competition Law</w:t>
      </w:r>
      <w:r>
        <w:rPr>
          <w:rFonts w:ascii="Arial" w:eastAsia="Arial" w:hAnsi="Arial" w:cs="Arial"/>
          <w:color w:val="333333"/>
        </w:rPr>
        <w:t xml:space="preserve">. </w:t>
      </w:r>
      <w:r>
        <w:rPr>
          <w:rFonts w:ascii="Arial" w:eastAsia="Arial" w:hAnsi="Arial" w:cs="Arial"/>
          <w:color w:val="1B1B1B"/>
        </w:rPr>
        <w:t xml:space="preserve">Available at: </w:t>
      </w:r>
      <w:hyperlink r:id="rId31">
        <w:r>
          <w:rPr>
            <w:rFonts w:ascii="Arial" w:eastAsia="Arial" w:hAnsi="Arial" w:cs="Arial"/>
            <w:color w:val="1155CC"/>
            <w:u w:val="single"/>
          </w:rPr>
          <w:t>https://www.gulde.com/en/legal-areas/unfair-competition-law</w:t>
        </w:r>
      </w:hyperlink>
      <w:r>
        <w:rPr>
          <w:rFonts w:ascii="Arial" w:eastAsia="Arial" w:hAnsi="Arial" w:cs="Arial"/>
          <w:color w:val="1B1B1B"/>
        </w:rPr>
        <w:t xml:space="preserve"> </w:t>
      </w:r>
      <w:r>
        <w:rPr>
          <w:rFonts w:ascii="Arial" w:eastAsia="Arial" w:hAnsi="Arial" w:cs="Arial"/>
        </w:rPr>
        <w:t>[Accessed on 07.08.2026].</w:t>
      </w:r>
    </w:p>
    <w:p w14:paraId="0D8F4213" w14:textId="77777777" w:rsidR="002F0667" w:rsidRDefault="00000000">
      <w:pPr>
        <w:spacing w:after="240"/>
        <w:rPr>
          <w:rFonts w:ascii="Arial" w:eastAsia="Arial" w:hAnsi="Arial" w:cs="Arial"/>
        </w:rPr>
      </w:pPr>
      <w:r>
        <w:rPr>
          <w:rFonts w:ascii="Arial" w:eastAsia="Arial" w:hAnsi="Arial" w:cs="Arial"/>
        </w:rPr>
        <w:t>Ingham-Broomfield, B., 2021. A nurses' guide to using models of reflection. </w:t>
      </w:r>
      <w:r>
        <w:rPr>
          <w:rFonts w:ascii="Arial" w:eastAsia="Arial" w:hAnsi="Arial" w:cs="Arial"/>
          <w:i/>
          <w:iCs/>
        </w:rPr>
        <w:t>The Australian Journal of Advanced Nursing</w:t>
      </w:r>
      <w:r>
        <w:rPr>
          <w:rFonts w:ascii="Arial" w:eastAsia="Arial" w:hAnsi="Arial" w:cs="Arial"/>
        </w:rPr>
        <w:t>, </w:t>
      </w:r>
      <w:r>
        <w:rPr>
          <w:rFonts w:ascii="Arial" w:eastAsia="Arial" w:hAnsi="Arial" w:cs="Arial"/>
          <w:i/>
          <w:iCs/>
        </w:rPr>
        <w:t>38</w:t>
      </w:r>
      <w:r>
        <w:rPr>
          <w:rFonts w:ascii="Arial" w:eastAsia="Arial" w:hAnsi="Arial" w:cs="Arial"/>
        </w:rPr>
        <w:t xml:space="preserve">(4), pp.62-67. </w:t>
      </w:r>
      <w:hyperlink r:id="rId32">
        <w:r>
          <w:rPr>
            <w:rFonts w:ascii="Arial" w:eastAsia="Arial" w:hAnsi="Arial" w:cs="Arial"/>
            <w:color w:val="0000FF"/>
            <w:u w:val="single"/>
          </w:rPr>
          <w:t>https://search.informit.org/doi/abs/10.3316/informit.191541276970614</w:t>
        </w:r>
      </w:hyperlink>
    </w:p>
    <w:p w14:paraId="4BE69969" w14:textId="77777777" w:rsidR="002F0667" w:rsidRDefault="00000000">
      <w:pPr>
        <w:rPr>
          <w:rFonts w:ascii="Arial" w:eastAsia="Arial" w:hAnsi="Arial" w:cs="Arial"/>
        </w:rPr>
      </w:pPr>
      <w:r>
        <w:rPr>
          <w:rFonts w:ascii="Arial" w:eastAsia="Arial" w:hAnsi="Arial" w:cs="Arial"/>
        </w:rPr>
        <w:t xml:space="preserve">Investing, (2026). </w:t>
      </w:r>
      <w:r>
        <w:rPr>
          <w:rFonts w:ascii="Arial" w:eastAsia="Arial" w:hAnsi="Arial" w:cs="Arial"/>
          <w:i/>
          <w:iCs/>
        </w:rPr>
        <w:t xml:space="preserve">Walmart Inc Revenue. </w:t>
      </w:r>
      <w:r>
        <w:rPr>
          <w:rFonts w:ascii="Arial" w:eastAsia="Arial" w:hAnsi="Arial" w:cs="Arial"/>
          <w:color w:val="1B1B1B"/>
        </w:rPr>
        <w:t xml:space="preserve">Available at: </w:t>
      </w:r>
      <w:hyperlink r:id="rId33">
        <w:r>
          <w:rPr>
            <w:rFonts w:ascii="Arial" w:eastAsia="Arial" w:hAnsi="Arial" w:cs="Arial"/>
            <w:color w:val="1155CC"/>
            <w:u w:val="single"/>
          </w:rPr>
          <w:t>https://in.investing.com/pro/NASDAQGS:WMT/explorer/total_rev</w:t>
        </w:r>
      </w:hyperlink>
      <w:r>
        <w:rPr>
          <w:rFonts w:ascii="Arial" w:eastAsia="Arial" w:hAnsi="Arial" w:cs="Arial"/>
        </w:rPr>
        <w:t xml:space="preserve"> [Accessed on 28.06.2026].</w:t>
      </w:r>
    </w:p>
    <w:p w14:paraId="6898280F" w14:textId="77777777" w:rsidR="002F0667" w:rsidRDefault="00000000">
      <w:pPr>
        <w:spacing w:after="240"/>
        <w:rPr>
          <w:rFonts w:ascii="Arial" w:eastAsia="Arial" w:hAnsi="Arial" w:cs="Arial"/>
        </w:rPr>
      </w:pPr>
      <w:proofErr w:type="spellStart"/>
      <w:r>
        <w:rPr>
          <w:rFonts w:ascii="Arial" w:eastAsia="Arial" w:hAnsi="Arial" w:cs="Arial"/>
        </w:rPr>
        <w:lastRenderedPageBreak/>
        <w:t>Jürgensmeier</w:t>
      </w:r>
      <w:proofErr w:type="spellEnd"/>
      <w:r>
        <w:rPr>
          <w:rFonts w:ascii="Arial" w:eastAsia="Arial" w:hAnsi="Arial" w:cs="Arial"/>
        </w:rPr>
        <w:t>, L., Bischoff, J. and Skiera, B., (2024). Opportunities for self-preferencing in international online marketplaces. </w:t>
      </w:r>
      <w:r>
        <w:rPr>
          <w:rFonts w:ascii="Arial" w:eastAsia="Arial" w:hAnsi="Arial" w:cs="Arial"/>
          <w:i/>
          <w:iCs/>
        </w:rPr>
        <w:t>International Marketing Review</w:t>
      </w:r>
      <w:r>
        <w:rPr>
          <w:rFonts w:ascii="Arial" w:eastAsia="Arial" w:hAnsi="Arial" w:cs="Arial"/>
        </w:rPr>
        <w:t>, </w:t>
      </w:r>
      <w:r>
        <w:rPr>
          <w:rFonts w:ascii="Arial" w:eastAsia="Arial" w:hAnsi="Arial" w:cs="Arial"/>
          <w:i/>
          <w:iCs/>
        </w:rPr>
        <w:t>41</w:t>
      </w:r>
      <w:r>
        <w:rPr>
          <w:rFonts w:ascii="Arial" w:eastAsia="Arial" w:hAnsi="Arial" w:cs="Arial"/>
        </w:rPr>
        <w:t xml:space="preserve">(5), pp.1118-1132. </w:t>
      </w:r>
      <w:hyperlink r:id="rId34">
        <w:r>
          <w:rPr>
            <w:rFonts w:ascii="Arial" w:eastAsia="Arial" w:hAnsi="Arial" w:cs="Arial"/>
            <w:color w:val="0000FF"/>
            <w:u w:val="single"/>
          </w:rPr>
          <w:t>https://www.emerald.com/imr/article/41/5/1118/1224020</w:t>
        </w:r>
      </w:hyperlink>
    </w:p>
    <w:p w14:paraId="3045BC44" w14:textId="77777777" w:rsidR="002F0667" w:rsidRDefault="00000000">
      <w:pPr>
        <w:spacing w:after="240"/>
        <w:rPr>
          <w:rFonts w:ascii="Arial" w:eastAsia="Arial" w:hAnsi="Arial" w:cs="Arial"/>
        </w:rPr>
      </w:pPr>
      <w:proofErr w:type="spellStart"/>
      <w:r>
        <w:rPr>
          <w:rFonts w:ascii="Arial" w:eastAsia="Arial" w:hAnsi="Arial" w:cs="Arial"/>
        </w:rPr>
        <w:t>Kormakova</w:t>
      </w:r>
      <w:proofErr w:type="spellEnd"/>
      <w:r>
        <w:rPr>
          <w:rFonts w:ascii="Arial" w:eastAsia="Arial" w:hAnsi="Arial" w:cs="Arial"/>
        </w:rPr>
        <w:t xml:space="preserve">, I., </w:t>
      </w:r>
      <w:proofErr w:type="spellStart"/>
      <w:r>
        <w:rPr>
          <w:rFonts w:ascii="Arial" w:eastAsia="Arial" w:hAnsi="Arial" w:cs="Arial"/>
        </w:rPr>
        <w:t>Kruhlyanko</w:t>
      </w:r>
      <w:proofErr w:type="spellEnd"/>
      <w:r>
        <w:rPr>
          <w:rFonts w:ascii="Arial" w:eastAsia="Arial" w:hAnsi="Arial" w:cs="Arial"/>
        </w:rPr>
        <w:t xml:space="preserve">, A., </w:t>
      </w:r>
      <w:proofErr w:type="spellStart"/>
      <w:r>
        <w:rPr>
          <w:rFonts w:ascii="Arial" w:eastAsia="Arial" w:hAnsi="Arial" w:cs="Arial"/>
        </w:rPr>
        <w:t>Peniuk</w:t>
      </w:r>
      <w:proofErr w:type="spellEnd"/>
      <w:r>
        <w:rPr>
          <w:rFonts w:ascii="Arial" w:eastAsia="Arial" w:hAnsi="Arial" w:cs="Arial"/>
        </w:rPr>
        <w:t xml:space="preserve">, V., Ursakii, Y. and </w:t>
      </w:r>
      <w:proofErr w:type="spellStart"/>
      <w:r>
        <w:rPr>
          <w:rFonts w:ascii="Arial" w:eastAsia="Arial" w:hAnsi="Arial" w:cs="Arial"/>
        </w:rPr>
        <w:t>Verstiak</w:t>
      </w:r>
      <w:proofErr w:type="spellEnd"/>
      <w:r>
        <w:rPr>
          <w:rFonts w:ascii="Arial" w:eastAsia="Arial" w:hAnsi="Arial" w:cs="Arial"/>
        </w:rPr>
        <w:t>, O., (2023). Actual strategies for businesses penetrating foreign markets in the modern economy: Globalisation aspect. </w:t>
      </w:r>
      <w:r>
        <w:rPr>
          <w:rFonts w:ascii="Arial" w:eastAsia="Arial" w:hAnsi="Arial" w:cs="Arial"/>
          <w:i/>
          <w:iCs/>
        </w:rPr>
        <w:t>International Journal of Professional Business Review: Int. J. Prof. Bus. Rev.</w:t>
      </w:r>
      <w:r>
        <w:rPr>
          <w:rFonts w:ascii="Arial" w:eastAsia="Arial" w:hAnsi="Arial" w:cs="Arial"/>
        </w:rPr>
        <w:t>, </w:t>
      </w:r>
      <w:r>
        <w:rPr>
          <w:rFonts w:ascii="Arial" w:eastAsia="Arial" w:hAnsi="Arial" w:cs="Arial"/>
          <w:i/>
          <w:iCs/>
        </w:rPr>
        <w:t>8</w:t>
      </w:r>
      <w:r>
        <w:rPr>
          <w:rFonts w:ascii="Arial" w:eastAsia="Arial" w:hAnsi="Arial" w:cs="Arial"/>
        </w:rPr>
        <w:t xml:space="preserve">(5), p.117. </w:t>
      </w:r>
      <w:hyperlink r:id="rId35">
        <w:r>
          <w:rPr>
            <w:rFonts w:ascii="Arial" w:eastAsia="Arial" w:hAnsi="Arial" w:cs="Arial"/>
            <w:color w:val="0000FF"/>
            <w:u w:val="single"/>
          </w:rPr>
          <w:t>https://dialnet.unirioja.es/servlet/articulo?codigo=8957050</w:t>
        </w:r>
      </w:hyperlink>
    </w:p>
    <w:p w14:paraId="7E5436FE" w14:textId="77777777" w:rsidR="002F0667" w:rsidRDefault="00000000">
      <w:pPr>
        <w:spacing w:after="240"/>
        <w:rPr>
          <w:rFonts w:ascii="Arial" w:eastAsia="Arial" w:hAnsi="Arial" w:cs="Arial"/>
        </w:rPr>
      </w:pPr>
      <w:r>
        <w:rPr>
          <w:rFonts w:ascii="Arial" w:eastAsia="Arial" w:hAnsi="Arial" w:cs="Arial"/>
        </w:rPr>
        <w:t xml:space="preserve">Kruhlyanko, A., </w:t>
      </w:r>
      <w:proofErr w:type="spellStart"/>
      <w:r>
        <w:rPr>
          <w:rFonts w:ascii="Arial" w:eastAsia="Arial" w:hAnsi="Arial" w:cs="Arial"/>
        </w:rPr>
        <w:t>Peniuk</w:t>
      </w:r>
      <w:proofErr w:type="spellEnd"/>
      <w:r>
        <w:rPr>
          <w:rFonts w:ascii="Arial" w:eastAsia="Arial" w:hAnsi="Arial" w:cs="Arial"/>
        </w:rPr>
        <w:t xml:space="preserve">, V., Ursakii, Y. and </w:t>
      </w:r>
      <w:proofErr w:type="spellStart"/>
      <w:r>
        <w:rPr>
          <w:rFonts w:ascii="Arial" w:eastAsia="Arial" w:hAnsi="Arial" w:cs="Arial"/>
        </w:rPr>
        <w:t>Verstiak</w:t>
      </w:r>
      <w:proofErr w:type="spellEnd"/>
      <w:r>
        <w:rPr>
          <w:rFonts w:ascii="Arial" w:eastAsia="Arial" w:hAnsi="Arial" w:cs="Arial"/>
        </w:rPr>
        <w:t xml:space="preserve">, O., (2023). Actual Strategies for Businesses Penetrating Foreign Markets in the Modern Economy: Globalisation Aspect. </w:t>
      </w:r>
      <w:hyperlink r:id="rId36">
        <w:r>
          <w:rPr>
            <w:rFonts w:ascii="Arial" w:eastAsia="Arial" w:hAnsi="Arial" w:cs="Arial"/>
            <w:color w:val="0000FF"/>
            <w:u w:val="single"/>
          </w:rPr>
          <w:t>http://rps.chtei-knteu.cv.ua:8585/jspui/handle/123456789/1800</w:t>
        </w:r>
      </w:hyperlink>
    </w:p>
    <w:p w14:paraId="7FCEBA9C" w14:textId="77777777" w:rsidR="002F0667" w:rsidRDefault="00000000">
      <w:pPr>
        <w:spacing w:after="240"/>
        <w:rPr>
          <w:rFonts w:ascii="Arial" w:eastAsia="Arial" w:hAnsi="Arial" w:cs="Arial"/>
          <w:color w:val="222222"/>
        </w:rPr>
      </w:pPr>
      <w:r>
        <w:rPr>
          <w:rFonts w:ascii="Arial" w:eastAsia="Arial" w:hAnsi="Arial" w:cs="Arial"/>
          <w:color w:val="222222"/>
        </w:rPr>
        <w:t xml:space="preserve">LARADI, M., DOURAID, A. and </w:t>
      </w:r>
      <w:proofErr w:type="spellStart"/>
      <w:r>
        <w:rPr>
          <w:rFonts w:ascii="Arial" w:eastAsia="Arial" w:hAnsi="Arial" w:cs="Arial"/>
          <w:color w:val="222222"/>
        </w:rPr>
        <w:t>Bedida</w:t>
      </w:r>
      <w:proofErr w:type="spellEnd"/>
      <w:r>
        <w:rPr>
          <w:rFonts w:ascii="Arial" w:eastAsia="Arial" w:hAnsi="Arial" w:cs="Arial"/>
          <w:color w:val="222222"/>
        </w:rPr>
        <w:t xml:space="preserve">, E.M.S., (2026). The Evolution of the Eclectic Paradigm: A Review of the OLI Framework in International Business Research. </w:t>
      </w:r>
      <w:r>
        <w:rPr>
          <w:rFonts w:ascii="Arial" w:eastAsia="Arial" w:hAnsi="Arial" w:cs="Arial"/>
          <w:i/>
          <w:iCs/>
          <w:color w:val="222222"/>
        </w:rPr>
        <w:t xml:space="preserve">Revue </w:t>
      </w:r>
      <w:proofErr w:type="spellStart"/>
      <w:r>
        <w:rPr>
          <w:rFonts w:ascii="Arial" w:eastAsia="Arial" w:hAnsi="Arial" w:cs="Arial"/>
          <w:i/>
          <w:iCs/>
          <w:color w:val="222222"/>
        </w:rPr>
        <w:t>Marocaine</w:t>
      </w:r>
      <w:proofErr w:type="spellEnd"/>
      <w:r>
        <w:rPr>
          <w:rFonts w:ascii="Arial" w:eastAsia="Arial" w:hAnsi="Arial" w:cs="Arial"/>
          <w:i/>
          <w:iCs/>
          <w:color w:val="222222"/>
        </w:rPr>
        <w:t xml:space="preserve"> de Publication des </w:t>
      </w:r>
      <w:proofErr w:type="spellStart"/>
      <w:r>
        <w:rPr>
          <w:rFonts w:ascii="Arial" w:eastAsia="Arial" w:hAnsi="Arial" w:cs="Arial"/>
          <w:i/>
          <w:iCs/>
          <w:color w:val="222222"/>
        </w:rPr>
        <w:t>Recherches</w:t>
      </w:r>
      <w:proofErr w:type="spellEnd"/>
      <w:r>
        <w:rPr>
          <w:rFonts w:ascii="Arial" w:eastAsia="Arial" w:hAnsi="Arial" w:cs="Arial"/>
          <w:color w:val="222222"/>
        </w:rPr>
        <w:t>, (15-</w:t>
      </w:r>
      <w:r>
        <w:rPr>
          <w:rFonts w:ascii="Arial" w:eastAsia="Arial" w:hAnsi="Arial" w:cs="Arial"/>
          <w:color w:val="222222"/>
          <w:rtl/>
        </w:rPr>
        <w:t>مارس</w:t>
      </w:r>
      <w:r>
        <w:rPr>
          <w:rFonts w:ascii="Arial" w:eastAsia="Arial" w:hAnsi="Arial" w:cs="Arial"/>
          <w:color w:val="222222"/>
        </w:rPr>
        <w:t xml:space="preserve">).‎ </w:t>
      </w:r>
      <w:hyperlink r:id="rId37">
        <w:r>
          <w:rPr>
            <w:rFonts w:ascii="Arial" w:eastAsia="Arial" w:hAnsi="Arial" w:cs="Arial"/>
            <w:color w:val="1155CC"/>
            <w:u w:val="single"/>
          </w:rPr>
          <w:t>https://www.rmprs.com/index.php/rmprs/article/download/214/229</w:t>
        </w:r>
      </w:hyperlink>
      <w:r>
        <w:rPr>
          <w:rFonts w:ascii="Arial" w:eastAsia="Arial" w:hAnsi="Arial" w:cs="Arial"/>
          <w:color w:val="222222"/>
        </w:rPr>
        <w:t xml:space="preserve"> </w:t>
      </w:r>
    </w:p>
    <w:p w14:paraId="38D9FB1E" w14:textId="77777777" w:rsidR="002F0667" w:rsidRDefault="00000000">
      <w:pPr>
        <w:spacing w:after="240"/>
        <w:rPr>
          <w:rFonts w:ascii="Arial" w:eastAsia="Arial" w:hAnsi="Arial" w:cs="Arial"/>
        </w:rPr>
      </w:pPr>
      <w:r>
        <w:rPr>
          <w:rFonts w:ascii="Arial" w:eastAsia="Arial" w:hAnsi="Arial" w:cs="Arial"/>
        </w:rPr>
        <w:t xml:space="preserve">Mello, L.V. and </w:t>
      </w:r>
      <w:proofErr w:type="spellStart"/>
      <w:r>
        <w:rPr>
          <w:rFonts w:ascii="Arial" w:eastAsia="Arial" w:hAnsi="Arial" w:cs="Arial"/>
        </w:rPr>
        <w:t>Wattret</w:t>
      </w:r>
      <w:proofErr w:type="spellEnd"/>
      <w:r>
        <w:rPr>
          <w:rFonts w:ascii="Arial" w:eastAsia="Arial" w:hAnsi="Arial" w:cs="Arial"/>
        </w:rPr>
        <w:t>, G., 2021. Developing transferable skills through embedding reflection in the science curriculum. </w:t>
      </w:r>
      <w:r>
        <w:rPr>
          <w:rFonts w:ascii="Arial" w:eastAsia="Arial" w:hAnsi="Arial" w:cs="Arial"/>
          <w:i/>
          <w:iCs/>
        </w:rPr>
        <w:t>Biophysical reviews</w:t>
      </w:r>
      <w:r>
        <w:rPr>
          <w:rFonts w:ascii="Arial" w:eastAsia="Arial" w:hAnsi="Arial" w:cs="Arial"/>
        </w:rPr>
        <w:t>, </w:t>
      </w:r>
      <w:r>
        <w:rPr>
          <w:rFonts w:ascii="Arial" w:eastAsia="Arial" w:hAnsi="Arial" w:cs="Arial"/>
          <w:i/>
          <w:iCs/>
        </w:rPr>
        <w:t>13</w:t>
      </w:r>
      <w:r>
        <w:rPr>
          <w:rFonts w:ascii="Arial" w:eastAsia="Arial" w:hAnsi="Arial" w:cs="Arial"/>
        </w:rPr>
        <w:t xml:space="preserve">(6), pp.897-903. </w:t>
      </w:r>
      <w:hyperlink r:id="rId38">
        <w:r>
          <w:rPr>
            <w:rFonts w:ascii="Arial" w:eastAsia="Arial" w:hAnsi="Arial" w:cs="Arial"/>
            <w:color w:val="0000FF"/>
            <w:u w:val="single"/>
          </w:rPr>
          <w:t>https://link.springer.com/article/10.1007/s12551-021-00852-3</w:t>
        </w:r>
      </w:hyperlink>
    </w:p>
    <w:p w14:paraId="1D837EE6" w14:textId="77777777" w:rsidR="002F0667" w:rsidRDefault="00000000">
      <w:pPr>
        <w:spacing w:after="240"/>
        <w:rPr>
          <w:rFonts w:ascii="Arial" w:eastAsia="Arial" w:hAnsi="Arial" w:cs="Arial"/>
        </w:rPr>
      </w:pPr>
      <w:r>
        <w:rPr>
          <w:rFonts w:ascii="Arial" w:eastAsia="Arial" w:hAnsi="Arial" w:cs="Arial"/>
          <w:color w:val="222222"/>
        </w:rPr>
        <w:t xml:space="preserve">Michalke, A., Köhler, S., Messmann, L., </w:t>
      </w:r>
      <w:proofErr w:type="spellStart"/>
      <w:r>
        <w:rPr>
          <w:rFonts w:ascii="Arial" w:eastAsia="Arial" w:hAnsi="Arial" w:cs="Arial"/>
          <w:color w:val="222222"/>
        </w:rPr>
        <w:t>Thorenz</w:t>
      </w:r>
      <w:proofErr w:type="spellEnd"/>
      <w:r>
        <w:rPr>
          <w:rFonts w:ascii="Arial" w:eastAsia="Arial" w:hAnsi="Arial" w:cs="Arial"/>
          <w:color w:val="222222"/>
        </w:rPr>
        <w:t xml:space="preserve">, A., Tuma, A. and Gaugler, T., (2023). True cost accounting of organic and conventional food production. </w:t>
      </w:r>
      <w:r>
        <w:rPr>
          <w:rFonts w:ascii="Arial" w:eastAsia="Arial" w:hAnsi="Arial" w:cs="Arial"/>
          <w:i/>
          <w:iCs/>
          <w:color w:val="222222"/>
        </w:rPr>
        <w:t>Journal of Cleaner Production</w:t>
      </w:r>
      <w:r>
        <w:rPr>
          <w:rFonts w:ascii="Arial" w:eastAsia="Arial" w:hAnsi="Arial" w:cs="Arial"/>
          <w:color w:val="222222"/>
        </w:rPr>
        <w:t xml:space="preserve">, </w:t>
      </w:r>
      <w:r>
        <w:rPr>
          <w:rFonts w:ascii="Arial" w:eastAsia="Arial" w:hAnsi="Arial" w:cs="Arial"/>
          <w:i/>
          <w:iCs/>
          <w:color w:val="222222"/>
        </w:rPr>
        <w:t>408</w:t>
      </w:r>
      <w:r>
        <w:rPr>
          <w:rFonts w:ascii="Arial" w:eastAsia="Arial" w:hAnsi="Arial" w:cs="Arial"/>
          <w:color w:val="222222"/>
        </w:rPr>
        <w:t>, p.137134.</w:t>
      </w:r>
      <w:r>
        <w:rPr>
          <w:rFonts w:ascii="Arial" w:eastAsia="Arial" w:hAnsi="Arial" w:cs="Arial"/>
        </w:rPr>
        <w:t xml:space="preserve"> </w:t>
      </w:r>
      <w:hyperlink r:id="rId39">
        <w:r>
          <w:rPr>
            <w:rFonts w:ascii="Arial" w:eastAsia="Arial" w:hAnsi="Arial" w:cs="Arial"/>
            <w:color w:val="1155CC"/>
            <w:u w:val="single"/>
          </w:rPr>
          <w:t>https://www.sciencedirect.com/science/article/pii/S0959652623012921</w:t>
        </w:r>
      </w:hyperlink>
      <w:r>
        <w:rPr>
          <w:rFonts w:ascii="Arial" w:eastAsia="Arial" w:hAnsi="Arial" w:cs="Arial"/>
        </w:rPr>
        <w:t xml:space="preserve"> </w:t>
      </w:r>
    </w:p>
    <w:p w14:paraId="58A7FE97" w14:textId="77777777" w:rsidR="002F0667" w:rsidRDefault="00000000">
      <w:pPr>
        <w:spacing w:after="240"/>
        <w:rPr>
          <w:rFonts w:ascii="Arial" w:eastAsia="Arial" w:hAnsi="Arial" w:cs="Arial"/>
        </w:rPr>
      </w:pPr>
      <w:r>
        <w:rPr>
          <w:rFonts w:ascii="Arial" w:eastAsia="Arial" w:hAnsi="Arial" w:cs="Arial"/>
        </w:rPr>
        <w:t>Mrozek, M., (2022). Walmart Inc. in light of COVID-19 pandemic: the financial assessment. </w:t>
      </w:r>
      <w:proofErr w:type="spellStart"/>
      <w:r>
        <w:rPr>
          <w:rFonts w:ascii="Arial" w:eastAsia="Arial" w:hAnsi="Arial" w:cs="Arial"/>
          <w:i/>
          <w:iCs/>
        </w:rPr>
        <w:t>Catallaxy</w:t>
      </w:r>
      <w:proofErr w:type="spellEnd"/>
      <w:r>
        <w:rPr>
          <w:rFonts w:ascii="Arial" w:eastAsia="Arial" w:hAnsi="Arial" w:cs="Arial"/>
        </w:rPr>
        <w:t>, </w:t>
      </w:r>
      <w:r>
        <w:rPr>
          <w:rFonts w:ascii="Arial" w:eastAsia="Arial" w:hAnsi="Arial" w:cs="Arial"/>
          <w:i/>
          <w:iCs/>
        </w:rPr>
        <w:t>7</w:t>
      </w:r>
      <w:r>
        <w:rPr>
          <w:rFonts w:ascii="Arial" w:eastAsia="Arial" w:hAnsi="Arial" w:cs="Arial"/>
        </w:rPr>
        <w:t xml:space="preserve">(1), pp.23-32. </w:t>
      </w:r>
      <w:hyperlink r:id="rId40">
        <w:r>
          <w:rPr>
            <w:rFonts w:ascii="Arial" w:eastAsia="Arial" w:hAnsi="Arial" w:cs="Arial"/>
            <w:color w:val="0000FF"/>
            <w:u w:val="single"/>
          </w:rPr>
          <w:t>https://www.ceeol.com/search/article-detail?id=1081379</w:t>
        </w:r>
      </w:hyperlink>
    </w:p>
    <w:p w14:paraId="3FDEDA2C" w14:textId="77777777" w:rsidR="002F0667" w:rsidRDefault="00000000">
      <w:pPr>
        <w:spacing w:after="240"/>
        <w:rPr>
          <w:rFonts w:ascii="Arial" w:eastAsia="Arial" w:hAnsi="Arial" w:cs="Arial"/>
          <w:color w:val="0000FF"/>
          <w:u w:val="single"/>
        </w:rPr>
      </w:pPr>
      <w:proofErr w:type="spellStart"/>
      <w:r>
        <w:rPr>
          <w:rFonts w:ascii="Arial" w:eastAsia="Arial" w:hAnsi="Arial" w:cs="Arial"/>
          <w:color w:val="222222"/>
          <w:highlight w:val="white"/>
        </w:rPr>
        <w:t>Nurlatifah</w:t>
      </w:r>
      <w:proofErr w:type="spellEnd"/>
      <w:r>
        <w:rPr>
          <w:rFonts w:ascii="Arial" w:eastAsia="Arial" w:hAnsi="Arial" w:cs="Arial"/>
          <w:color w:val="222222"/>
          <w:highlight w:val="white"/>
        </w:rPr>
        <w:t xml:space="preserve">, L., </w:t>
      </w:r>
      <w:proofErr w:type="spellStart"/>
      <w:r>
        <w:rPr>
          <w:rFonts w:ascii="Arial" w:eastAsia="Arial" w:hAnsi="Arial" w:cs="Arial"/>
          <w:color w:val="222222"/>
          <w:highlight w:val="white"/>
        </w:rPr>
        <w:t>Purnawarman</w:t>
      </w:r>
      <w:proofErr w:type="spellEnd"/>
      <w:r>
        <w:rPr>
          <w:rFonts w:ascii="Arial" w:eastAsia="Arial" w:hAnsi="Arial" w:cs="Arial"/>
          <w:color w:val="222222"/>
          <w:highlight w:val="white"/>
        </w:rPr>
        <w:t xml:space="preserve">, P. and </w:t>
      </w:r>
      <w:proofErr w:type="spellStart"/>
      <w:r>
        <w:rPr>
          <w:rFonts w:ascii="Arial" w:eastAsia="Arial" w:hAnsi="Arial" w:cs="Arial"/>
          <w:color w:val="222222"/>
          <w:highlight w:val="white"/>
        </w:rPr>
        <w:t>Sukyadi</w:t>
      </w:r>
      <w:proofErr w:type="spellEnd"/>
      <w:r>
        <w:rPr>
          <w:rFonts w:ascii="Arial" w:eastAsia="Arial" w:hAnsi="Arial" w:cs="Arial"/>
          <w:color w:val="222222"/>
          <w:highlight w:val="white"/>
        </w:rPr>
        <w:t>, D., (2023, December). The implementation of reflective assessment using Gibbs’ reflective cycle in assessing students’ writing skill. In </w:t>
      </w:r>
      <w:r>
        <w:rPr>
          <w:rFonts w:ascii="Arial" w:eastAsia="Arial" w:hAnsi="Arial" w:cs="Arial"/>
          <w:i/>
          <w:iCs/>
          <w:color w:val="222222"/>
          <w:highlight w:val="white"/>
        </w:rPr>
        <w:t>AIP conference proceedings</w:t>
      </w:r>
      <w:r>
        <w:rPr>
          <w:rFonts w:ascii="Arial" w:eastAsia="Arial" w:hAnsi="Arial" w:cs="Arial"/>
          <w:color w:val="222222"/>
          <w:highlight w:val="white"/>
        </w:rPr>
        <w:t xml:space="preserve"> (Vol. 2621, No. 1, p. 070006). </w:t>
      </w:r>
      <w:r>
        <w:rPr>
          <w:rFonts w:ascii="Arial" w:eastAsia="Arial" w:hAnsi="Arial" w:cs="Arial"/>
          <w:color w:val="222222"/>
          <w:highlight w:val="white"/>
        </w:rPr>
        <w:lastRenderedPageBreak/>
        <w:t>AIP Publishing LLC.</w:t>
      </w:r>
      <w:r>
        <w:rPr>
          <w:rFonts w:ascii="Arial" w:eastAsia="Arial" w:hAnsi="Arial" w:cs="Arial"/>
        </w:rPr>
        <w:t xml:space="preserve"> </w:t>
      </w:r>
      <w:hyperlink r:id="rId41">
        <w:r>
          <w:rPr>
            <w:rFonts w:ascii="Arial" w:eastAsia="Arial" w:hAnsi="Arial" w:cs="Arial"/>
            <w:color w:val="0000FF"/>
            <w:highlight w:val="white"/>
            <w:u w:val="single"/>
          </w:rPr>
          <w:t>https://pubs.aip.org/aip/acp/article-pdf/doi/10.1063/5.0143375/18237937/070006_1_5.0143375.pdf</w:t>
        </w:r>
      </w:hyperlink>
      <w:r>
        <w:rPr>
          <w:rFonts w:ascii="Arial" w:eastAsia="Arial" w:hAnsi="Arial" w:cs="Arial"/>
          <w:color w:val="222222"/>
          <w:highlight w:val="white"/>
        </w:rPr>
        <w:t xml:space="preserve"> </w:t>
      </w:r>
    </w:p>
    <w:p w14:paraId="6364925D" w14:textId="77777777" w:rsidR="002F0667" w:rsidRDefault="00000000">
      <w:pPr>
        <w:spacing w:after="240"/>
        <w:rPr>
          <w:rFonts w:ascii="Arial" w:eastAsia="Arial" w:hAnsi="Arial" w:cs="Arial"/>
        </w:rPr>
      </w:pPr>
      <w:r>
        <w:rPr>
          <w:rFonts w:ascii="Arial" w:eastAsia="Arial" w:hAnsi="Arial" w:cs="Arial"/>
        </w:rPr>
        <w:t>Ocampo, F.A., McIntyre, B.G., Massey, D. and Saunders, R., 2025. Nursing student reflections on a research internship: A reflective discussion following the Gibbs' reflective cycle. </w:t>
      </w:r>
      <w:r>
        <w:rPr>
          <w:rFonts w:ascii="Arial" w:eastAsia="Arial" w:hAnsi="Arial" w:cs="Arial"/>
          <w:i/>
          <w:iCs/>
        </w:rPr>
        <w:t>Nurse education today</w:t>
      </w:r>
      <w:r>
        <w:rPr>
          <w:rFonts w:ascii="Arial" w:eastAsia="Arial" w:hAnsi="Arial" w:cs="Arial"/>
        </w:rPr>
        <w:t>, </w:t>
      </w:r>
      <w:r>
        <w:rPr>
          <w:rFonts w:ascii="Arial" w:eastAsia="Arial" w:hAnsi="Arial" w:cs="Arial"/>
          <w:i/>
          <w:iCs/>
        </w:rPr>
        <w:t>145</w:t>
      </w:r>
      <w:r>
        <w:rPr>
          <w:rFonts w:ascii="Arial" w:eastAsia="Arial" w:hAnsi="Arial" w:cs="Arial"/>
        </w:rPr>
        <w:t xml:space="preserve">, p.106481. </w:t>
      </w:r>
      <w:hyperlink r:id="rId42">
        <w:r>
          <w:rPr>
            <w:rFonts w:ascii="Arial" w:eastAsia="Arial" w:hAnsi="Arial" w:cs="Arial"/>
            <w:color w:val="0000FF"/>
            <w:u w:val="single"/>
          </w:rPr>
          <w:t>https://www.sciencedirect.com/science/article/pii/S0260691724003915</w:t>
        </w:r>
      </w:hyperlink>
    </w:p>
    <w:p w14:paraId="244FE576" w14:textId="77777777" w:rsidR="002F0667" w:rsidRDefault="00000000">
      <w:pPr>
        <w:spacing w:after="240"/>
        <w:rPr>
          <w:rFonts w:ascii="Arial" w:eastAsia="Arial" w:hAnsi="Arial" w:cs="Arial"/>
        </w:rPr>
      </w:pPr>
      <w:proofErr w:type="spellStart"/>
      <w:r>
        <w:rPr>
          <w:rFonts w:ascii="Arial" w:eastAsia="Arial" w:hAnsi="Arial" w:cs="Arial"/>
        </w:rPr>
        <w:t>Parboteeah</w:t>
      </w:r>
      <w:proofErr w:type="spellEnd"/>
      <w:r>
        <w:rPr>
          <w:rFonts w:ascii="Arial" w:eastAsia="Arial" w:hAnsi="Arial" w:cs="Arial"/>
        </w:rPr>
        <w:t>, K.P., Cullen, J.B. and Kim, S., (2024). </w:t>
      </w:r>
      <w:r>
        <w:rPr>
          <w:rFonts w:ascii="Arial" w:eastAsia="Arial" w:hAnsi="Arial" w:cs="Arial"/>
          <w:i/>
          <w:iCs/>
        </w:rPr>
        <w:t>International Business: Perspectives from developed and emerging markets</w:t>
      </w:r>
      <w:r>
        <w:rPr>
          <w:rFonts w:ascii="Arial" w:eastAsia="Arial" w:hAnsi="Arial" w:cs="Arial"/>
        </w:rPr>
        <w:t xml:space="preserve">. Routledge. </w:t>
      </w:r>
      <w:hyperlink r:id="rId43">
        <w:r>
          <w:rPr>
            <w:rFonts w:ascii="Arial" w:eastAsia="Arial" w:hAnsi="Arial" w:cs="Arial"/>
            <w:color w:val="0000FF"/>
            <w:u w:val="single"/>
          </w:rPr>
          <w:t>https://www.taylorfrancis.com/books/mono/10.4324/9781003312932/international-business-john-cullen-praveen-parboteeah-sahrok-kim</w:t>
        </w:r>
      </w:hyperlink>
    </w:p>
    <w:p w14:paraId="28229405" w14:textId="77777777" w:rsidR="002F0667" w:rsidRDefault="00000000">
      <w:pPr>
        <w:spacing w:after="240"/>
        <w:rPr>
          <w:rFonts w:ascii="Arial" w:eastAsia="Arial" w:hAnsi="Arial" w:cs="Arial"/>
        </w:rPr>
      </w:pPr>
      <w:r>
        <w:rPr>
          <w:rFonts w:ascii="Arial" w:eastAsia="Arial" w:hAnsi="Arial" w:cs="Arial"/>
        </w:rPr>
        <w:t>Pawlicka, K. and Bal, M., (2021). Blockchain in supply chain finance-a case study of Walmart. In </w:t>
      </w:r>
      <w:proofErr w:type="spellStart"/>
      <w:r>
        <w:rPr>
          <w:rFonts w:ascii="Arial" w:eastAsia="Arial" w:hAnsi="Arial" w:cs="Arial"/>
          <w:i/>
          <w:iCs/>
        </w:rPr>
        <w:t>Cezayirlioglu</w:t>
      </w:r>
      <w:proofErr w:type="spellEnd"/>
      <w:r>
        <w:rPr>
          <w:rFonts w:ascii="Arial" w:eastAsia="Arial" w:hAnsi="Arial" w:cs="Arial"/>
          <w:i/>
          <w:iCs/>
        </w:rPr>
        <w:t xml:space="preserve"> Haluk, R.(red.) 18th Logistics and Supply Chain Congress: Conference Proceedings Book: The Importance of Digitalization in Industry </w:t>
      </w:r>
      <w:proofErr w:type="gramStart"/>
      <w:r>
        <w:rPr>
          <w:rFonts w:ascii="Arial" w:eastAsia="Arial" w:hAnsi="Arial" w:cs="Arial"/>
          <w:i/>
          <w:iCs/>
        </w:rPr>
        <w:t>an</w:t>
      </w:r>
      <w:proofErr w:type="gramEnd"/>
      <w:r>
        <w:rPr>
          <w:rFonts w:ascii="Arial" w:eastAsia="Arial" w:hAnsi="Arial" w:cs="Arial"/>
          <w:i/>
          <w:iCs/>
        </w:rPr>
        <w:t xml:space="preserve"> Logistics Sector</w:t>
      </w:r>
      <w:r>
        <w:rPr>
          <w:rFonts w:ascii="Arial" w:eastAsia="Arial" w:hAnsi="Arial" w:cs="Arial"/>
        </w:rPr>
        <w:t xml:space="preserve"> (pp. 14-25). </w:t>
      </w:r>
      <w:hyperlink r:id="rId44" w:anchor="page=15">
        <w:r>
          <w:rPr>
            <w:rFonts w:ascii="Arial" w:eastAsia="Arial" w:hAnsi="Arial" w:cs="Arial"/>
            <w:color w:val="0000FF"/>
            <w:u w:val="single"/>
          </w:rPr>
          <w:t>https://cdn.loder.org.tr/loder/production/uploads/files/2023/12/5aff907ae9b3630.pdf#page=15</w:t>
        </w:r>
      </w:hyperlink>
    </w:p>
    <w:p w14:paraId="5195477A" w14:textId="77777777" w:rsidR="002F0667" w:rsidRDefault="00000000">
      <w:pPr>
        <w:spacing w:after="240"/>
        <w:rPr>
          <w:rFonts w:ascii="Arial" w:eastAsia="Arial" w:hAnsi="Arial" w:cs="Arial"/>
        </w:rPr>
      </w:pPr>
      <w:r>
        <w:rPr>
          <w:rFonts w:ascii="Arial" w:eastAsia="Arial" w:hAnsi="Arial" w:cs="Arial"/>
        </w:rPr>
        <w:t xml:space="preserve">Pieper, M., Roelle, J., </w:t>
      </w:r>
      <w:proofErr w:type="spellStart"/>
      <w:r>
        <w:rPr>
          <w:rFonts w:ascii="Arial" w:eastAsia="Arial" w:hAnsi="Arial" w:cs="Arial"/>
        </w:rPr>
        <w:t>vom</w:t>
      </w:r>
      <w:proofErr w:type="spellEnd"/>
      <w:r>
        <w:rPr>
          <w:rFonts w:ascii="Arial" w:eastAsia="Arial" w:hAnsi="Arial" w:cs="Arial"/>
        </w:rPr>
        <w:t xml:space="preserve"> Hofe, R., Salle, A. and Berthold, K., 2021. Feedback in reflective journals fosters reflection skills of student teachers. </w:t>
      </w:r>
      <w:r>
        <w:rPr>
          <w:rFonts w:ascii="Arial" w:eastAsia="Arial" w:hAnsi="Arial" w:cs="Arial"/>
          <w:i/>
          <w:iCs/>
        </w:rPr>
        <w:t>Psychology Learning &amp; Teaching</w:t>
      </w:r>
      <w:r>
        <w:rPr>
          <w:rFonts w:ascii="Arial" w:eastAsia="Arial" w:hAnsi="Arial" w:cs="Arial"/>
        </w:rPr>
        <w:t>, </w:t>
      </w:r>
      <w:r>
        <w:rPr>
          <w:rFonts w:ascii="Arial" w:eastAsia="Arial" w:hAnsi="Arial" w:cs="Arial"/>
          <w:i/>
          <w:iCs/>
        </w:rPr>
        <w:t>20</w:t>
      </w:r>
      <w:r>
        <w:rPr>
          <w:rFonts w:ascii="Arial" w:eastAsia="Arial" w:hAnsi="Arial" w:cs="Arial"/>
        </w:rPr>
        <w:t xml:space="preserve">(1), pp.107-127. </w:t>
      </w:r>
      <w:hyperlink r:id="rId45">
        <w:r>
          <w:rPr>
            <w:rFonts w:ascii="Arial" w:eastAsia="Arial" w:hAnsi="Arial" w:cs="Arial"/>
            <w:color w:val="0000FF"/>
            <w:u w:val="single"/>
          </w:rPr>
          <w:t>https://journals.sagepub.com/doi/abs/10.1177/1475725720966190</w:t>
        </w:r>
      </w:hyperlink>
    </w:p>
    <w:p w14:paraId="66E3EDFB" w14:textId="77777777" w:rsidR="002F0667" w:rsidRDefault="00000000">
      <w:pPr>
        <w:spacing w:after="240"/>
        <w:rPr>
          <w:rFonts w:ascii="Arial" w:eastAsia="Arial" w:hAnsi="Arial" w:cs="Arial"/>
        </w:rPr>
      </w:pPr>
      <w:r>
        <w:rPr>
          <w:rFonts w:ascii="Arial" w:eastAsia="Arial" w:hAnsi="Arial" w:cs="Arial"/>
        </w:rPr>
        <w:t>Rajput, D.V., More, P.R., Adhikari, P.A. and Arya, S.S., (2025). Blockchain technology in the food supply chain: a way towards circular economy and sustainability. </w:t>
      </w:r>
      <w:r>
        <w:rPr>
          <w:rFonts w:ascii="Arial" w:eastAsia="Arial" w:hAnsi="Arial" w:cs="Arial"/>
          <w:i/>
          <w:iCs/>
        </w:rPr>
        <w:t>Sustainable Food Technology</w:t>
      </w:r>
      <w:r>
        <w:rPr>
          <w:rFonts w:ascii="Arial" w:eastAsia="Arial" w:hAnsi="Arial" w:cs="Arial"/>
        </w:rPr>
        <w:t>, </w:t>
      </w:r>
      <w:r>
        <w:rPr>
          <w:rFonts w:ascii="Arial" w:eastAsia="Arial" w:hAnsi="Arial" w:cs="Arial"/>
          <w:i/>
          <w:iCs/>
        </w:rPr>
        <w:t>3</w:t>
      </w:r>
      <w:r>
        <w:rPr>
          <w:rFonts w:ascii="Arial" w:eastAsia="Arial" w:hAnsi="Arial" w:cs="Arial"/>
        </w:rPr>
        <w:t xml:space="preserve">(4), pp.930-946. </w:t>
      </w:r>
      <w:hyperlink r:id="rId46">
        <w:r>
          <w:rPr>
            <w:rFonts w:ascii="Arial" w:eastAsia="Arial" w:hAnsi="Arial" w:cs="Arial"/>
            <w:color w:val="0000FF"/>
            <w:u w:val="single"/>
          </w:rPr>
          <w:t>https://pubs.rsc.org/fb/article-abstract/3/4/930/892647</w:t>
        </w:r>
      </w:hyperlink>
    </w:p>
    <w:p w14:paraId="512DAE25" w14:textId="77777777" w:rsidR="002F0667" w:rsidRDefault="00000000">
      <w:pPr>
        <w:spacing w:after="240"/>
        <w:rPr>
          <w:rFonts w:ascii="Arial" w:eastAsia="Arial" w:hAnsi="Arial" w:cs="Arial"/>
        </w:rPr>
      </w:pPr>
      <w:r>
        <w:rPr>
          <w:rFonts w:ascii="Arial" w:eastAsia="Arial" w:hAnsi="Arial" w:cs="Arial"/>
        </w:rPr>
        <w:t>Reardon, T., Belton, B., Liverpool</w:t>
      </w:r>
      <w:r>
        <w:rPr>
          <w:rFonts w:ascii="Cambria Math" w:eastAsia="Cambria Math" w:hAnsi="Cambria Math" w:cs="Cambria Math"/>
        </w:rPr>
        <w:t>‐</w:t>
      </w:r>
      <w:proofErr w:type="spellStart"/>
      <w:r>
        <w:rPr>
          <w:rFonts w:ascii="Arial" w:eastAsia="Arial" w:hAnsi="Arial" w:cs="Arial"/>
        </w:rPr>
        <w:t>Tasie</w:t>
      </w:r>
      <w:proofErr w:type="spellEnd"/>
      <w:r>
        <w:rPr>
          <w:rFonts w:ascii="Arial" w:eastAsia="Arial" w:hAnsi="Arial" w:cs="Arial"/>
        </w:rPr>
        <w:t xml:space="preserve">, L.S.O., Lu, L., </w:t>
      </w:r>
      <w:proofErr w:type="spellStart"/>
      <w:r>
        <w:rPr>
          <w:rFonts w:ascii="Arial" w:eastAsia="Arial" w:hAnsi="Arial" w:cs="Arial"/>
        </w:rPr>
        <w:t>Nuthalapati</w:t>
      </w:r>
      <w:proofErr w:type="spellEnd"/>
      <w:r>
        <w:rPr>
          <w:rFonts w:ascii="Arial" w:eastAsia="Arial" w:hAnsi="Arial" w:cs="Arial"/>
        </w:rPr>
        <w:t xml:space="preserve">, C.S., </w:t>
      </w:r>
      <w:proofErr w:type="spellStart"/>
      <w:r>
        <w:rPr>
          <w:rFonts w:ascii="Arial" w:eastAsia="Arial" w:hAnsi="Arial" w:cs="Arial"/>
        </w:rPr>
        <w:t>Tasie</w:t>
      </w:r>
      <w:proofErr w:type="spellEnd"/>
      <w:r>
        <w:rPr>
          <w:rFonts w:ascii="Arial" w:eastAsia="Arial" w:hAnsi="Arial" w:cs="Arial"/>
        </w:rPr>
        <w:t>, O. and Zilberman, D., (2021). E</w:t>
      </w:r>
      <w:r>
        <w:rPr>
          <w:rFonts w:ascii="Cambria Math" w:eastAsia="Cambria Math" w:hAnsi="Cambria Math" w:cs="Cambria Math"/>
        </w:rPr>
        <w:t>‐</w:t>
      </w:r>
      <w:r>
        <w:rPr>
          <w:rFonts w:ascii="Arial" w:eastAsia="Arial" w:hAnsi="Arial" w:cs="Arial"/>
        </w:rPr>
        <w:t>commerce's fast</w:t>
      </w:r>
      <w:r>
        <w:rPr>
          <w:rFonts w:ascii="Cambria Math" w:eastAsia="Cambria Math" w:hAnsi="Cambria Math" w:cs="Cambria Math"/>
        </w:rPr>
        <w:t>‐</w:t>
      </w:r>
      <w:r>
        <w:rPr>
          <w:rFonts w:ascii="Arial" w:eastAsia="Arial" w:hAnsi="Arial" w:cs="Arial"/>
        </w:rPr>
        <w:t>tracking diffusion and adaptation in developing countries. </w:t>
      </w:r>
      <w:r>
        <w:rPr>
          <w:rFonts w:ascii="Arial" w:eastAsia="Arial" w:hAnsi="Arial" w:cs="Arial"/>
          <w:i/>
          <w:iCs/>
        </w:rPr>
        <w:t>Applied Economic Perspectives and Policy</w:t>
      </w:r>
      <w:r>
        <w:rPr>
          <w:rFonts w:ascii="Arial" w:eastAsia="Arial" w:hAnsi="Arial" w:cs="Arial"/>
        </w:rPr>
        <w:t>, </w:t>
      </w:r>
      <w:r>
        <w:rPr>
          <w:rFonts w:ascii="Arial" w:eastAsia="Arial" w:hAnsi="Arial" w:cs="Arial"/>
          <w:i/>
          <w:iCs/>
        </w:rPr>
        <w:t>43</w:t>
      </w:r>
      <w:r>
        <w:rPr>
          <w:rFonts w:ascii="Arial" w:eastAsia="Arial" w:hAnsi="Arial" w:cs="Arial"/>
        </w:rPr>
        <w:t xml:space="preserve">(4), pp.1243-1259. </w:t>
      </w:r>
      <w:hyperlink r:id="rId47">
        <w:r>
          <w:rPr>
            <w:rFonts w:ascii="Arial" w:eastAsia="Arial" w:hAnsi="Arial" w:cs="Arial"/>
            <w:color w:val="0000FF"/>
            <w:u w:val="single"/>
          </w:rPr>
          <w:t>https://onlinelibrary.wiley.com/doi/abs/10.1002/aepp.13160</w:t>
        </w:r>
      </w:hyperlink>
    </w:p>
    <w:p w14:paraId="607E93DC" w14:textId="77777777" w:rsidR="002F0667" w:rsidRDefault="00000000">
      <w:pPr>
        <w:spacing w:after="240"/>
        <w:rPr>
          <w:rFonts w:ascii="Arial" w:eastAsia="Arial" w:hAnsi="Arial" w:cs="Arial"/>
        </w:rPr>
      </w:pPr>
      <w:r>
        <w:rPr>
          <w:rFonts w:ascii="Arial" w:eastAsia="Arial" w:hAnsi="Arial" w:cs="Arial"/>
        </w:rPr>
        <w:lastRenderedPageBreak/>
        <w:t>Rogaczewski, R., (2025). Digital transformation as a factor in the development of international business in the era of digital globalization. </w:t>
      </w:r>
      <w:r>
        <w:rPr>
          <w:rFonts w:ascii="Arial" w:eastAsia="Arial" w:hAnsi="Arial" w:cs="Arial"/>
          <w:i/>
          <w:iCs/>
        </w:rPr>
        <w:t xml:space="preserve">T. </w:t>
      </w:r>
      <w:proofErr w:type="spellStart"/>
      <w:r>
        <w:rPr>
          <w:rFonts w:ascii="Arial" w:eastAsia="Arial" w:hAnsi="Arial" w:cs="Arial"/>
          <w:i/>
          <w:iCs/>
        </w:rPr>
        <w:t>Cherniavska</w:t>
      </w:r>
      <w:proofErr w:type="spellEnd"/>
      <w:r>
        <w:rPr>
          <w:rFonts w:ascii="Arial" w:eastAsia="Arial" w:hAnsi="Arial" w:cs="Arial"/>
          <w:i/>
          <w:iCs/>
        </w:rPr>
        <w:t>, Economy in the era of digital transformation: trends, opportunities and perspectives</w:t>
      </w:r>
      <w:r>
        <w:rPr>
          <w:rFonts w:ascii="Arial" w:eastAsia="Arial" w:hAnsi="Arial" w:cs="Arial"/>
        </w:rPr>
        <w:t xml:space="preserve">, pp.144-167. </w:t>
      </w:r>
      <w:hyperlink r:id="rId48" w:anchor="page=162">
        <w:r>
          <w:rPr>
            <w:rFonts w:ascii="Arial" w:eastAsia="Arial" w:hAnsi="Arial" w:cs="Arial"/>
            <w:color w:val="0000FF"/>
            <w:u w:val="single"/>
          </w:rPr>
          <w:t>https://www.researchgate.net/profile/Robert-Rogaczewski/publication/393325102_Economy_in_the_era_of_digital_transformation_trends_opportunities_and_perspectives_Monograph/links/686ec6ec39c3583512083dec/Economy-in-the-era-of-digital-transformation-trends-opportunities-and-perspectives-Monograph.pdf#page=162</w:t>
        </w:r>
      </w:hyperlink>
    </w:p>
    <w:p w14:paraId="72FB57A1" w14:textId="77777777" w:rsidR="002F0667" w:rsidRDefault="00000000">
      <w:pPr>
        <w:spacing w:after="240"/>
        <w:rPr>
          <w:rFonts w:ascii="Arial" w:eastAsia="Arial" w:hAnsi="Arial" w:cs="Arial"/>
        </w:rPr>
      </w:pPr>
      <w:r>
        <w:rPr>
          <w:rFonts w:ascii="Arial" w:eastAsia="Arial" w:hAnsi="Arial" w:cs="Arial"/>
        </w:rPr>
        <w:t>Rosado-Serrano, A. and Navarro-García, A., (2022). Alternative modes of entry and unexpected events in franchising. </w:t>
      </w:r>
      <w:r>
        <w:rPr>
          <w:rFonts w:ascii="Arial" w:eastAsia="Arial" w:hAnsi="Arial" w:cs="Arial"/>
          <w:i/>
          <w:iCs/>
        </w:rPr>
        <w:t>Journal of Global Business Insights</w:t>
      </w:r>
      <w:r>
        <w:rPr>
          <w:rFonts w:ascii="Arial" w:eastAsia="Arial" w:hAnsi="Arial" w:cs="Arial"/>
        </w:rPr>
        <w:t>, </w:t>
      </w:r>
      <w:r>
        <w:rPr>
          <w:rFonts w:ascii="Arial" w:eastAsia="Arial" w:hAnsi="Arial" w:cs="Arial"/>
          <w:i/>
          <w:iCs/>
        </w:rPr>
        <w:t>7</w:t>
      </w:r>
      <w:r>
        <w:rPr>
          <w:rFonts w:ascii="Arial" w:eastAsia="Arial" w:hAnsi="Arial" w:cs="Arial"/>
        </w:rPr>
        <w:t xml:space="preserve">(2), pp.94-108. </w:t>
      </w:r>
      <w:hyperlink r:id="rId49">
        <w:r>
          <w:rPr>
            <w:rFonts w:ascii="Arial" w:eastAsia="Arial" w:hAnsi="Arial" w:cs="Arial"/>
            <w:color w:val="0000FF"/>
            <w:u w:val="single"/>
          </w:rPr>
          <w:t>https://digitalcommons.usf.edu/globe/vol7/iss2/1/?trk=public_post_comment-text</w:t>
        </w:r>
      </w:hyperlink>
    </w:p>
    <w:p w14:paraId="2F5DAD3B" w14:textId="77777777" w:rsidR="002F0667" w:rsidRDefault="00000000">
      <w:pPr>
        <w:spacing w:after="240"/>
        <w:rPr>
          <w:rFonts w:ascii="Arial" w:eastAsia="Arial" w:hAnsi="Arial" w:cs="Arial"/>
        </w:rPr>
      </w:pPr>
      <w:r>
        <w:rPr>
          <w:rFonts w:ascii="Arial" w:eastAsia="Arial" w:hAnsi="Arial" w:cs="Arial"/>
          <w:color w:val="222222"/>
        </w:rPr>
        <w:t xml:space="preserve">Safeer, A.A., Zhou, Y., Abrar, M. and Luo, F., (2022). Consumer perceptions of brand localness and </w:t>
      </w:r>
      <w:proofErr w:type="spellStart"/>
      <w:r>
        <w:rPr>
          <w:rFonts w:ascii="Arial" w:eastAsia="Arial" w:hAnsi="Arial" w:cs="Arial"/>
          <w:color w:val="222222"/>
        </w:rPr>
        <w:t>globalness</w:t>
      </w:r>
      <w:proofErr w:type="spellEnd"/>
      <w:r>
        <w:rPr>
          <w:rFonts w:ascii="Arial" w:eastAsia="Arial" w:hAnsi="Arial" w:cs="Arial"/>
          <w:color w:val="222222"/>
        </w:rPr>
        <w:t xml:space="preserve"> in emerging markets: A cross-cultural context. </w:t>
      </w:r>
      <w:r>
        <w:rPr>
          <w:rFonts w:ascii="Arial" w:eastAsia="Arial" w:hAnsi="Arial" w:cs="Arial"/>
          <w:i/>
          <w:iCs/>
          <w:color w:val="222222"/>
        </w:rPr>
        <w:t>Frontiers in Psychology</w:t>
      </w:r>
      <w:r>
        <w:rPr>
          <w:rFonts w:ascii="Arial" w:eastAsia="Arial" w:hAnsi="Arial" w:cs="Arial"/>
          <w:color w:val="222222"/>
        </w:rPr>
        <w:t xml:space="preserve">, </w:t>
      </w:r>
      <w:r>
        <w:rPr>
          <w:rFonts w:ascii="Arial" w:eastAsia="Arial" w:hAnsi="Arial" w:cs="Arial"/>
          <w:i/>
          <w:iCs/>
          <w:color w:val="222222"/>
        </w:rPr>
        <w:t>13</w:t>
      </w:r>
      <w:r>
        <w:rPr>
          <w:rFonts w:ascii="Arial" w:eastAsia="Arial" w:hAnsi="Arial" w:cs="Arial"/>
          <w:color w:val="222222"/>
        </w:rPr>
        <w:t>, p.919020.</w:t>
      </w:r>
      <w:r>
        <w:rPr>
          <w:rFonts w:ascii="Arial" w:eastAsia="Arial" w:hAnsi="Arial" w:cs="Arial"/>
        </w:rPr>
        <w:t xml:space="preserve"> </w:t>
      </w:r>
      <w:hyperlink r:id="rId50">
        <w:r>
          <w:rPr>
            <w:rFonts w:ascii="Arial" w:eastAsia="Arial" w:hAnsi="Arial" w:cs="Arial"/>
            <w:color w:val="1155CC"/>
            <w:u w:val="single"/>
          </w:rPr>
          <w:t>https://www.frontiersin.org/journals/psychology/articles/10.3389/fpsyg.2022.919020/pdf</w:t>
        </w:r>
      </w:hyperlink>
      <w:r>
        <w:rPr>
          <w:rFonts w:ascii="Arial" w:eastAsia="Arial" w:hAnsi="Arial" w:cs="Arial"/>
        </w:rPr>
        <w:t xml:space="preserve"> </w:t>
      </w:r>
    </w:p>
    <w:p w14:paraId="37CB8015" w14:textId="77777777" w:rsidR="002F0667" w:rsidRDefault="00000000">
      <w:pPr>
        <w:spacing w:after="240"/>
        <w:rPr>
          <w:rFonts w:ascii="Arial" w:eastAsia="Arial" w:hAnsi="Arial" w:cs="Arial"/>
        </w:rPr>
      </w:pPr>
      <w:proofErr w:type="spellStart"/>
      <w:r>
        <w:rPr>
          <w:rFonts w:ascii="Arial" w:eastAsia="Arial" w:hAnsi="Arial" w:cs="Arial"/>
        </w:rPr>
        <w:t>Seuri</w:t>
      </w:r>
      <w:proofErr w:type="spellEnd"/>
      <w:r>
        <w:rPr>
          <w:rFonts w:ascii="Arial" w:eastAsia="Arial" w:hAnsi="Arial" w:cs="Arial"/>
        </w:rPr>
        <w:t xml:space="preserve">, J., (2024). The impact of online grocery retail on market entry challenges. </w:t>
      </w:r>
      <w:hyperlink r:id="rId51">
        <w:r>
          <w:rPr>
            <w:rFonts w:ascii="Arial" w:eastAsia="Arial" w:hAnsi="Arial" w:cs="Arial"/>
            <w:color w:val="0000FF"/>
            <w:u w:val="single"/>
          </w:rPr>
          <w:t>https://aaltodoc.aalto.fi/items/fae8af43-afb9-4506-bcd0-46d744abb446</w:t>
        </w:r>
      </w:hyperlink>
    </w:p>
    <w:p w14:paraId="14FD82B1" w14:textId="77777777" w:rsidR="002F0667" w:rsidRDefault="00000000">
      <w:pPr>
        <w:spacing w:after="240"/>
        <w:rPr>
          <w:rFonts w:ascii="Arial" w:eastAsia="Arial" w:hAnsi="Arial" w:cs="Arial"/>
        </w:rPr>
      </w:pPr>
      <w:proofErr w:type="spellStart"/>
      <w:r>
        <w:rPr>
          <w:rFonts w:ascii="Arial" w:eastAsia="Arial" w:hAnsi="Arial" w:cs="Arial"/>
        </w:rPr>
        <w:t>Shenkar</w:t>
      </w:r>
      <w:proofErr w:type="spellEnd"/>
      <w:r>
        <w:rPr>
          <w:rFonts w:ascii="Arial" w:eastAsia="Arial" w:hAnsi="Arial" w:cs="Arial"/>
        </w:rPr>
        <w:t>, O., Luo, Y. and Chi, T., (2021). </w:t>
      </w:r>
      <w:r>
        <w:rPr>
          <w:rFonts w:ascii="Arial" w:eastAsia="Arial" w:hAnsi="Arial" w:cs="Arial"/>
          <w:i/>
          <w:iCs/>
        </w:rPr>
        <w:t>International business</w:t>
      </w:r>
      <w:r>
        <w:rPr>
          <w:rFonts w:ascii="Arial" w:eastAsia="Arial" w:hAnsi="Arial" w:cs="Arial"/>
        </w:rPr>
        <w:t xml:space="preserve">. Routledge. </w:t>
      </w:r>
      <w:hyperlink r:id="rId52">
        <w:r>
          <w:rPr>
            <w:rFonts w:ascii="Arial" w:eastAsia="Arial" w:hAnsi="Arial" w:cs="Arial"/>
            <w:color w:val="0000FF"/>
            <w:u w:val="single"/>
          </w:rPr>
          <w:t>https://api.taylorfrancis.com/content/books/mono/download?identifierName=doi&amp;identifierValue=10.4324/9781003034315&amp;type=googlepdf</w:t>
        </w:r>
      </w:hyperlink>
    </w:p>
    <w:p w14:paraId="5C8B8AB4" w14:textId="77777777" w:rsidR="002F0667" w:rsidRDefault="00000000">
      <w:pPr>
        <w:spacing w:after="240"/>
        <w:rPr>
          <w:rFonts w:ascii="Arial" w:eastAsia="Arial" w:hAnsi="Arial" w:cs="Arial"/>
        </w:rPr>
      </w:pPr>
      <w:r>
        <w:rPr>
          <w:rFonts w:ascii="Arial" w:eastAsia="Arial" w:hAnsi="Arial" w:cs="Arial"/>
        </w:rPr>
        <w:t>Singh, K. and Misra, M., (2021). The evolving path of CSR: toward business and society relationship. </w:t>
      </w:r>
      <w:r>
        <w:rPr>
          <w:rFonts w:ascii="Arial" w:eastAsia="Arial" w:hAnsi="Arial" w:cs="Arial"/>
          <w:i/>
          <w:iCs/>
        </w:rPr>
        <w:t>Journal of Economic and Administrative Sciences</w:t>
      </w:r>
      <w:r>
        <w:rPr>
          <w:rFonts w:ascii="Arial" w:eastAsia="Arial" w:hAnsi="Arial" w:cs="Arial"/>
        </w:rPr>
        <w:t>, </w:t>
      </w:r>
      <w:r>
        <w:rPr>
          <w:rFonts w:ascii="Arial" w:eastAsia="Arial" w:hAnsi="Arial" w:cs="Arial"/>
          <w:i/>
          <w:iCs/>
        </w:rPr>
        <w:t>38</w:t>
      </w:r>
      <w:r>
        <w:rPr>
          <w:rFonts w:ascii="Arial" w:eastAsia="Arial" w:hAnsi="Arial" w:cs="Arial"/>
        </w:rPr>
        <w:t xml:space="preserve">(2), pp.304-332. </w:t>
      </w:r>
      <w:hyperlink r:id="rId53">
        <w:r>
          <w:rPr>
            <w:rFonts w:ascii="Arial" w:eastAsia="Arial" w:hAnsi="Arial" w:cs="Arial"/>
            <w:color w:val="0000FF"/>
            <w:u w:val="single"/>
          </w:rPr>
          <w:t>https://www.ingentaconnect.com/content/mcb/jeas/2021/00000038/00000002/art00006</w:t>
        </w:r>
      </w:hyperlink>
    </w:p>
    <w:p w14:paraId="70550363" w14:textId="77777777" w:rsidR="002F0667" w:rsidRDefault="00000000">
      <w:pPr>
        <w:rPr>
          <w:rFonts w:ascii="Arial" w:eastAsia="Arial" w:hAnsi="Arial" w:cs="Arial"/>
        </w:rPr>
      </w:pPr>
      <w:r>
        <w:rPr>
          <w:rFonts w:ascii="Arial" w:eastAsia="Arial" w:hAnsi="Arial" w:cs="Arial"/>
        </w:rPr>
        <w:t xml:space="preserve">Spieth, W.F., Hellermann, N., </w:t>
      </w:r>
      <w:proofErr w:type="spellStart"/>
      <w:r>
        <w:rPr>
          <w:rFonts w:ascii="Arial" w:eastAsia="Arial" w:hAnsi="Arial" w:cs="Arial"/>
        </w:rPr>
        <w:t>Quecke</w:t>
      </w:r>
      <w:proofErr w:type="spellEnd"/>
      <w:r>
        <w:rPr>
          <w:rFonts w:ascii="Arial" w:eastAsia="Arial" w:hAnsi="Arial" w:cs="Arial"/>
        </w:rPr>
        <w:t xml:space="preserve">, J., and </w:t>
      </w:r>
      <w:proofErr w:type="spellStart"/>
      <w:r>
        <w:rPr>
          <w:rFonts w:ascii="Arial" w:eastAsia="Arial" w:hAnsi="Arial" w:cs="Arial"/>
        </w:rPr>
        <w:t>Pholmann</w:t>
      </w:r>
      <w:proofErr w:type="spellEnd"/>
      <w:r>
        <w:rPr>
          <w:rFonts w:ascii="Arial" w:eastAsia="Arial" w:hAnsi="Arial" w:cs="Arial"/>
        </w:rPr>
        <w:t xml:space="preserve">, M. (2026). </w:t>
      </w:r>
      <w:r>
        <w:rPr>
          <w:rFonts w:ascii="Arial" w:eastAsia="Arial" w:hAnsi="Arial" w:cs="Arial"/>
          <w:i/>
          <w:iCs/>
        </w:rPr>
        <w:t xml:space="preserve">Germany - Environment &amp; Climate Change Laws and Regulations 2026. </w:t>
      </w:r>
      <w:r>
        <w:rPr>
          <w:rFonts w:ascii="Arial" w:eastAsia="Arial" w:hAnsi="Arial" w:cs="Arial"/>
          <w:color w:val="1B1B1B"/>
        </w:rPr>
        <w:t xml:space="preserve">Available at: </w:t>
      </w:r>
      <w:hyperlink r:id="rId54">
        <w:r>
          <w:rPr>
            <w:rFonts w:ascii="Arial" w:eastAsia="Arial" w:hAnsi="Arial" w:cs="Arial"/>
            <w:color w:val="1155CC"/>
            <w:u w:val="single"/>
          </w:rPr>
          <w:t>https://iclg.com/practice-areas/environment-and-climate-change-laws-and-regulations/germany/</w:t>
        </w:r>
      </w:hyperlink>
      <w:r>
        <w:rPr>
          <w:rFonts w:ascii="Arial" w:eastAsia="Arial" w:hAnsi="Arial" w:cs="Arial"/>
          <w:color w:val="1B1B1B"/>
        </w:rPr>
        <w:t xml:space="preserve"> </w:t>
      </w:r>
      <w:r>
        <w:rPr>
          <w:rFonts w:ascii="Arial" w:eastAsia="Arial" w:hAnsi="Arial" w:cs="Arial"/>
        </w:rPr>
        <w:t>[Accessed on 07.08.2026].</w:t>
      </w:r>
    </w:p>
    <w:p w14:paraId="086FF1AB" w14:textId="77777777" w:rsidR="002F0667" w:rsidRDefault="00000000">
      <w:pPr>
        <w:rPr>
          <w:rFonts w:ascii="Arial" w:eastAsia="Arial" w:hAnsi="Arial" w:cs="Arial"/>
        </w:rPr>
      </w:pPr>
      <w:r>
        <w:rPr>
          <w:rFonts w:ascii="Arial" w:eastAsia="Arial" w:hAnsi="Arial" w:cs="Arial"/>
          <w:color w:val="333333"/>
        </w:rPr>
        <w:lastRenderedPageBreak/>
        <w:t xml:space="preserve">State, (2025). </w:t>
      </w:r>
      <w:r>
        <w:rPr>
          <w:rFonts w:ascii="Arial" w:eastAsia="Arial" w:hAnsi="Arial" w:cs="Arial"/>
          <w:i/>
          <w:iCs/>
          <w:color w:val="333333"/>
        </w:rPr>
        <w:t>2025 Germany Investment Climate Statement.</w:t>
      </w:r>
      <w:r>
        <w:rPr>
          <w:rFonts w:ascii="Arial" w:eastAsia="Arial" w:hAnsi="Arial" w:cs="Arial"/>
          <w:color w:val="333333"/>
        </w:rPr>
        <w:t xml:space="preserve"> </w:t>
      </w:r>
      <w:r>
        <w:rPr>
          <w:rFonts w:ascii="Arial" w:eastAsia="Arial" w:hAnsi="Arial" w:cs="Arial"/>
          <w:color w:val="1B1B1B"/>
        </w:rPr>
        <w:t xml:space="preserve">Available at: </w:t>
      </w:r>
      <w:hyperlink r:id="rId55">
        <w:r>
          <w:rPr>
            <w:rFonts w:ascii="Arial" w:eastAsia="Arial" w:hAnsi="Arial" w:cs="Arial"/>
            <w:color w:val="1155CC"/>
            <w:u w:val="single"/>
          </w:rPr>
          <w:t>https://www.state.gov/wp-content/uploads/2025/09/638719_2025-Germany-Investment-Climate-Statement.pdf</w:t>
        </w:r>
      </w:hyperlink>
      <w:r>
        <w:rPr>
          <w:rFonts w:ascii="Arial" w:eastAsia="Arial" w:hAnsi="Arial" w:cs="Arial"/>
          <w:color w:val="1B1B1B"/>
        </w:rPr>
        <w:t xml:space="preserve"> </w:t>
      </w:r>
      <w:r>
        <w:rPr>
          <w:rFonts w:ascii="Arial" w:eastAsia="Arial" w:hAnsi="Arial" w:cs="Arial"/>
        </w:rPr>
        <w:t>[Accessed on 04.08.2026].</w:t>
      </w:r>
    </w:p>
    <w:p w14:paraId="4996D49C" w14:textId="77777777" w:rsidR="002F0667" w:rsidRDefault="00000000">
      <w:pPr>
        <w:rPr>
          <w:rFonts w:ascii="Arial" w:eastAsia="Arial" w:hAnsi="Arial" w:cs="Arial"/>
        </w:rPr>
      </w:pPr>
      <w:r>
        <w:rPr>
          <w:rFonts w:ascii="Arial" w:eastAsia="Arial" w:hAnsi="Arial" w:cs="Arial"/>
          <w:color w:val="455F7C"/>
        </w:rPr>
        <w:t xml:space="preserve">Statista, (2026). </w:t>
      </w:r>
      <w:r>
        <w:rPr>
          <w:rFonts w:ascii="Arial" w:eastAsia="Arial" w:hAnsi="Arial" w:cs="Arial"/>
          <w:i/>
          <w:iCs/>
          <w:color w:val="0F2741"/>
        </w:rPr>
        <w:t>Retail in Germany - statistics &amp; facts.</w:t>
      </w:r>
      <w:r>
        <w:rPr>
          <w:rFonts w:ascii="Arial" w:eastAsia="Arial" w:hAnsi="Arial" w:cs="Arial"/>
          <w:color w:val="455F7C"/>
        </w:rPr>
        <w:t xml:space="preserve"> </w:t>
      </w:r>
      <w:r>
        <w:rPr>
          <w:rFonts w:ascii="Arial" w:eastAsia="Arial" w:hAnsi="Arial" w:cs="Arial"/>
          <w:color w:val="1B1B1B"/>
        </w:rPr>
        <w:t xml:space="preserve">Available at: </w:t>
      </w:r>
      <w:hyperlink r:id="rId56" w:anchor="topicOverview">
        <w:r>
          <w:rPr>
            <w:rFonts w:ascii="Arial" w:eastAsia="Arial" w:hAnsi="Arial" w:cs="Arial"/>
            <w:color w:val="1155CC"/>
            <w:u w:val="single"/>
          </w:rPr>
          <w:t>https://www.statista.com/topics/8903/retail-in-germany/?srsltid=AfmBOopReAJ486tEnPG4m2JwxU4MmV8Z3hiBQJ_OLOJG5hRNtapxzKRt#topicOverview</w:t>
        </w:r>
      </w:hyperlink>
      <w:r>
        <w:rPr>
          <w:rFonts w:ascii="Arial" w:eastAsia="Arial" w:hAnsi="Arial" w:cs="Arial"/>
          <w:color w:val="1B1B1B"/>
        </w:rPr>
        <w:t xml:space="preserve"> </w:t>
      </w:r>
      <w:r>
        <w:rPr>
          <w:rFonts w:ascii="Arial" w:eastAsia="Arial" w:hAnsi="Arial" w:cs="Arial"/>
        </w:rPr>
        <w:t>[Accessed on 04.08.2026].</w:t>
      </w:r>
    </w:p>
    <w:p w14:paraId="3A6733F2" w14:textId="77777777" w:rsidR="002F0667" w:rsidRDefault="00000000">
      <w:pPr>
        <w:spacing w:after="240"/>
        <w:rPr>
          <w:rFonts w:ascii="Arial" w:eastAsia="Arial" w:hAnsi="Arial" w:cs="Arial"/>
        </w:rPr>
      </w:pPr>
      <w:r>
        <w:rPr>
          <w:rFonts w:ascii="Arial" w:eastAsia="Arial" w:hAnsi="Arial" w:cs="Arial"/>
        </w:rPr>
        <w:t xml:space="preserve">Tan, Y., (2024). </w:t>
      </w:r>
      <w:r>
        <w:rPr>
          <w:rFonts w:ascii="Arial" w:eastAsia="Arial" w:hAnsi="Arial" w:cs="Arial"/>
          <w:i/>
          <w:iCs/>
        </w:rPr>
        <w:t xml:space="preserve">Market Entry Strategies of </w:t>
      </w:r>
      <w:proofErr w:type="spellStart"/>
      <w:r>
        <w:rPr>
          <w:rFonts w:ascii="Arial" w:eastAsia="Arial" w:hAnsi="Arial" w:cs="Arial"/>
          <w:i/>
          <w:iCs/>
        </w:rPr>
        <w:t>Temu</w:t>
      </w:r>
      <w:proofErr w:type="spellEnd"/>
      <w:r>
        <w:rPr>
          <w:rFonts w:ascii="Arial" w:eastAsia="Arial" w:hAnsi="Arial" w:cs="Arial"/>
          <w:i/>
          <w:iCs/>
        </w:rPr>
        <w:t xml:space="preserve"> and Shein: A Comparative Analysis. </w:t>
      </w:r>
      <w:r>
        <w:rPr>
          <w:rFonts w:ascii="Arial" w:eastAsia="Arial" w:hAnsi="Arial" w:cs="Arial"/>
          <w:color w:val="1B1B1B"/>
        </w:rPr>
        <w:t xml:space="preserve">Available at: </w:t>
      </w:r>
      <w:hyperlink r:id="rId57">
        <w:r>
          <w:rPr>
            <w:rFonts w:ascii="Arial" w:eastAsia="Arial" w:hAnsi="Arial" w:cs="Arial"/>
            <w:color w:val="0000FF"/>
            <w:u w:val="single"/>
          </w:rPr>
          <w:t>https://www.researchgate.net/profile/Yizhi_Tan2/publication/391980758_Market_Entry_Strategies_of_Temu_and_Shein_A_Comparative_Analysis/links/682f3ba7d1054b0207f0e2c7/Market-Entry-Strategies-of-Temu-and-Shein-A-Comparative-Analysis.pdf</w:t>
        </w:r>
      </w:hyperlink>
      <w:r>
        <w:rPr>
          <w:rFonts w:ascii="Arial" w:eastAsia="Arial" w:hAnsi="Arial" w:cs="Arial"/>
        </w:rPr>
        <w:t xml:space="preserve"> [Accessed on 04.08.2026].</w:t>
      </w:r>
    </w:p>
    <w:p w14:paraId="2440AB80" w14:textId="77777777" w:rsidR="002F0667" w:rsidRDefault="00000000">
      <w:pPr>
        <w:spacing w:after="240"/>
        <w:rPr>
          <w:rFonts w:ascii="Arial" w:eastAsia="Arial" w:hAnsi="Arial" w:cs="Arial"/>
        </w:rPr>
      </w:pPr>
      <w:r>
        <w:rPr>
          <w:rFonts w:ascii="Arial" w:eastAsia="Arial" w:hAnsi="Arial" w:cs="Arial"/>
        </w:rPr>
        <w:t xml:space="preserve">TCF, 2026. </w:t>
      </w:r>
      <w:r>
        <w:rPr>
          <w:rFonts w:ascii="Arial" w:eastAsia="Arial" w:hAnsi="Arial" w:cs="Arial"/>
          <w:i/>
          <w:iCs/>
        </w:rPr>
        <w:t>Hofstede Cultural Dimension of Germany.</w:t>
      </w:r>
      <w:r>
        <w:rPr>
          <w:rFonts w:ascii="Arial" w:eastAsia="Arial" w:hAnsi="Arial" w:cs="Arial"/>
        </w:rPr>
        <w:t xml:space="preserve"> </w:t>
      </w:r>
      <w:r>
        <w:rPr>
          <w:rFonts w:ascii="Arial" w:eastAsia="Arial" w:hAnsi="Arial" w:cs="Arial"/>
          <w:color w:val="1B1B1B"/>
        </w:rPr>
        <w:t xml:space="preserve">Available at: </w:t>
      </w:r>
      <w:hyperlink r:id="rId58">
        <w:r>
          <w:rPr>
            <w:rFonts w:ascii="Arial" w:eastAsia="Arial" w:hAnsi="Arial" w:cs="Arial"/>
            <w:color w:val="1155CC"/>
            <w:u w:val="single"/>
          </w:rPr>
          <w:t>https://www.theculturefactor.com/country-comparison-tool?countries=germany</w:t>
        </w:r>
      </w:hyperlink>
      <w:r>
        <w:rPr>
          <w:rFonts w:ascii="Arial" w:eastAsia="Arial" w:hAnsi="Arial" w:cs="Arial"/>
          <w:color w:val="1B1B1B"/>
        </w:rPr>
        <w:t xml:space="preserve"> </w:t>
      </w:r>
      <w:r>
        <w:rPr>
          <w:rFonts w:ascii="Arial" w:eastAsia="Arial" w:hAnsi="Arial" w:cs="Arial"/>
        </w:rPr>
        <w:t>[Accessed on 05.08.2026].</w:t>
      </w:r>
    </w:p>
    <w:p w14:paraId="60000625" w14:textId="77777777" w:rsidR="002F0667" w:rsidRDefault="00000000">
      <w:pPr>
        <w:spacing w:after="240"/>
        <w:rPr>
          <w:rFonts w:ascii="Arial" w:eastAsia="Arial" w:hAnsi="Arial" w:cs="Arial"/>
        </w:rPr>
      </w:pPr>
      <w:r>
        <w:rPr>
          <w:rFonts w:ascii="Arial" w:eastAsia="Arial" w:hAnsi="Arial" w:cs="Arial"/>
        </w:rPr>
        <w:t xml:space="preserve">Végh, K., </w:t>
      </w:r>
      <w:proofErr w:type="spellStart"/>
      <w:r>
        <w:rPr>
          <w:rFonts w:ascii="Arial" w:eastAsia="Arial" w:hAnsi="Arial" w:cs="Arial"/>
        </w:rPr>
        <w:t>Gerván</w:t>
      </w:r>
      <w:proofErr w:type="spellEnd"/>
      <w:r>
        <w:rPr>
          <w:rFonts w:ascii="Arial" w:eastAsia="Arial" w:hAnsi="Arial" w:cs="Arial"/>
        </w:rPr>
        <w:t xml:space="preserve">, R. and </w:t>
      </w:r>
      <w:proofErr w:type="spellStart"/>
      <w:r>
        <w:rPr>
          <w:rFonts w:ascii="Arial" w:eastAsia="Arial" w:hAnsi="Arial" w:cs="Arial"/>
        </w:rPr>
        <w:t>Malatyinszki</w:t>
      </w:r>
      <w:proofErr w:type="spellEnd"/>
      <w:r>
        <w:rPr>
          <w:rFonts w:ascii="Arial" w:eastAsia="Arial" w:hAnsi="Arial" w:cs="Arial"/>
        </w:rPr>
        <w:t>, S., (2025). Amazon's Impact on the Development of E-Commerce. </w:t>
      </w:r>
      <w:r>
        <w:rPr>
          <w:rFonts w:ascii="Arial" w:eastAsia="Arial" w:hAnsi="Arial" w:cs="Arial"/>
          <w:i/>
          <w:iCs/>
        </w:rPr>
        <w:t>Journal of Cultural Analysis and Social Change</w:t>
      </w:r>
      <w:r>
        <w:rPr>
          <w:rFonts w:ascii="Arial" w:eastAsia="Arial" w:hAnsi="Arial" w:cs="Arial"/>
        </w:rPr>
        <w:t xml:space="preserve">, pp.4959-4976. </w:t>
      </w:r>
      <w:hyperlink r:id="rId59">
        <w:r>
          <w:rPr>
            <w:rFonts w:ascii="Arial" w:eastAsia="Arial" w:hAnsi="Arial" w:cs="Arial"/>
            <w:color w:val="0000FF"/>
            <w:u w:val="single"/>
          </w:rPr>
          <w:t>http://jcasc.com/index.php/jcasc/article/view/4159</w:t>
        </w:r>
      </w:hyperlink>
    </w:p>
    <w:p w14:paraId="7BF89F91" w14:textId="77777777" w:rsidR="002F0667" w:rsidRDefault="00000000">
      <w:pPr>
        <w:spacing w:after="240"/>
        <w:rPr>
          <w:rFonts w:ascii="Arial" w:eastAsia="Arial" w:hAnsi="Arial" w:cs="Arial"/>
        </w:rPr>
      </w:pPr>
      <w:proofErr w:type="spellStart"/>
      <w:r>
        <w:rPr>
          <w:rFonts w:ascii="Arial" w:eastAsia="Arial" w:hAnsi="Arial" w:cs="Arial"/>
        </w:rPr>
        <w:t>Vorzhakova</w:t>
      </w:r>
      <w:proofErr w:type="spellEnd"/>
      <w:r>
        <w:rPr>
          <w:rFonts w:ascii="Arial" w:eastAsia="Arial" w:hAnsi="Arial" w:cs="Arial"/>
        </w:rPr>
        <w:t xml:space="preserve">, Y. and Redko, K., (2022). Fundamentals of international business: practice. </w:t>
      </w:r>
      <w:hyperlink r:id="rId60">
        <w:r>
          <w:rPr>
            <w:rFonts w:ascii="Arial" w:eastAsia="Arial" w:hAnsi="Arial" w:cs="Arial"/>
            <w:color w:val="0000FF"/>
            <w:u w:val="single"/>
          </w:rPr>
          <w:t>https://ela.kpi.ua/bitstreams/77bf8387-b9fa-476c-97ba-5040d12d01c3/download</w:t>
        </w:r>
      </w:hyperlink>
    </w:p>
    <w:p w14:paraId="0C0E6D9F" w14:textId="77777777" w:rsidR="002F0667" w:rsidRDefault="00000000">
      <w:pPr>
        <w:spacing w:after="240"/>
        <w:rPr>
          <w:rFonts w:ascii="Arial" w:eastAsia="Arial" w:hAnsi="Arial" w:cs="Arial"/>
        </w:rPr>
      </w:pPr>
      <w:r>
        <w:rPr>
          <w:rFonts w:ascii="Arial" w:eastAsia="Arial" w:hAnsi="Arial" w:cs="Arial"/>
        </w:rPr>
        <w:t xml:space="preserve">Walmart, (2026). </w:t>
      </w:r>
      <w:r>
        <w:rPr>
          <w:rFonts w:ascii="Arial" w:eastAsia="Arial" w:hAnsi="Arial" w:cs="Arial"/>
          <w:i/>
          <w:iCs/>
        </w:rPr>
        <w:t>About Walmart.</w:t>
      </w:r>
      <w:r>
        <w:rPr>
          <w:rFonts w:ascii="Arial" w:eastAsia="Arial" w:hAnsi="Arial" w:cs="Arial"/>
        </w:rPr>
        <w:t xml:space="preserve"> </w:t>
      </w:r>
      <w:r>
        <w:rPr>
          <w:rFonts w:ascii="Arial" w:eastAsia="Arial" w:hAnsi="Arial" w:cs="Arial"/>
          <w:color w:val="1B1B1B"/>
        </w:rPr>
        <w:t xml:space="preserve">Available at: </w:t>
      </w:r>
      <w:hyperlink r:id="rId61">
        <w:r>
          <w:rPr>
            <w:rFonts w:ascii="Arial" w:eastAsia="Arial" w:hAnsi="Arial" w:cs="Arial"/>
            <w:color w:val="0000FF"/>
            <w:u w:val="single"/>
          </w:rPr>
          <w:t>https://corporate.walmart.com/about</w:t>
        </w:r>
      </w:hyperlink>
      <w:r>
        <w:rPr>
          <w:rFonts w:ascii="Arial" w:eastAsia="Arial" w:hAnsi="Arial" w:cs="Arial"/>
        </w:rPr>
        <w:t xml:space="preserve"> [Accessed on 01.08.2026].</w:t>
      </w:r>
    </w:p>
    <w:p w14:paraId="20902EA0" w14:textId="77777777" w:rsidR="002F0667" w:rsidRDefault="00000000">
      <w:pPr>
        <w:spacing w:after="240"/>
        <w:rPr>
          <w:rFonts w:ascii="Arial" w:eastAsia="Arial" w:hAnsi="Arial" w:cs="Arial"/>
        </w:rPr>
      </w:pPr>
      <w:r>
        <w:rPr>
          <w:rFonts w:ascii="Arial" w:eastAsia="Arial" w:hAnsi="Arial" w:cs="Arial"/>
        </w:rPr>
        <w:t xml:space="preserve">Walmart, (2026). </w:t>
      </w:r>
      <w:r>
        <w:rPr>
          <w:rFonts w:ascii="Arial" w:eastAsia="Arial" w:hAnsi="Arial" w:cs="Arial"/>
          <w:i/>
          <w:iCs/>
        </w:rPr>
        <w:t>Company info.</w:t>
      </w:r>
      <w:r>
        <w:rPr>
          <w:rFonts w:ascii="Arial" w:eastAsia="Arial" w:hAnsi="Arial" w:cs="Arial"/>
        </w:rPr>
        <w:t xml:space="preserve"> </w:t>
      </w:r>
      <w:r>
        <w:rPr>
          <w:rFonts w:ascii="Arial" w:eastAsia="Arial" w:hAnsi="Arial" w:cs="Arial"/>
          <w:color w:val="1B1B1B"/>
        </w:rPr>
        <w:t xml:space="preserve">Available at: </w:t>
      </w:r>
      <w:hyperlink r:id="rId62">
        <w:r>
          <w:rPr>
            <w:rFonts w:ascii="Arial" w:eastAsia="Arial" w:hAnsi="Arial" w:cs="Arial"/>
            <w:color w:val="1155CC"/>
            <w:u w:val="single"/>
          </w:rPr>
          <w:t>https://stock.walmart.com/company-information</w:t>
        </w:r>
      </w:hyperlink>
      <w:r>
        <w:rPr>
          <w:rFonts w:ascii="Arial" w:eastAsia="Arial" w:hAnsi="Arial" w:cs="Arial"/>
          <w:color w:val="1B1B1B"/>
        </w:rPr>
        <w:t xml:space="preserve"> </w:t>
      </w:r>
      <w:r>
        <w:rPr>
          <w:rFonts w:ascii="Arial" w:eastAsia="Arial" w:hAnsi="Arial" w:cs="Arial"/>
        </w:rPr>
        <w:t>[Accessed on 01.08.2026].</w:t>
      </w:r>
    </w:p>
    <w:p w14:paraId="56597D00" w14:textId="77777777" w:rsidR="002F0667" w:rsidRDefault="00000000">
      <w:pPr>
        <w:spacing w:after="240"/>
        <w:rPr>
          <w:rFonts w:ascii="Arial" w:eastAsia="Arial" w:hAnsi="Arial" w:cs="Arial"/>
        </w:rPr>
      </w:pPr>
      <w:r>
        <w:rPr>
          <w:rFonts w:ascii="Arial" w:eastAsia="Arial" w:hAnsi="Arial" w:cs="Arial"/>
        </w:rPr>
        <w:t xml:space="preserve">Walmart, (2026b). </w:t>
      </w:r>
      <w:r>
        <w:rPr>
          <w:rFonts w:ascii="Arial" w:eastAsia="Arial" w:hAnsi="Arial" w:cs="Arial"/>
          <w:i/>
          <w:iCs/>
        </w:rPr>
        <w:t>Pricing: A Comprehensive Overview of Our Approach.</w:t>
      </w:r>
      <w:r>
        <w:rPr>
          <w:rFonts w:ascii="Arial" w:eastAsia="Arial" w:hAnsi="Arial" w:cs="Arial"/>
        </w:rPr>
        <w:t xml:space="preserve"> </w:t>
      </w:r>
      <w:r>
        <w:rPr>
          <w:rFonts w:ascii="Arial" w:eastAsia="Arial" w:hAnsi="Arial" w:cs="Arial"/>
          <w:color w:val="1B1B1B"/>
        </w:rPr>
        <w:t xml:space="preserve">Available at: </w:t>
      </w:r>
      <w:hyperlink r:id="rId63">
        <w:r>
          <w:rPr>
            <w:rFonts w:ascii="Arial" w:eastAsia="Arial" w:hAnsi="Arial" w:cs="Arial"/>
            <w:color w:val="0000FF"/>
            <w:u w:val="single"/>
          </w:rPr>
          <w:t>https://corporate.walmart.com/about/pricing-a-comprehensive-overview-of-our-approach</w:t>
        </w:r>
      </w:hyperlink>
      <w:r>
        <w:rPr>
          <w:rFonts w:ascii="Arial" w:eastAsia="Arial" w:hAnsi="Arial" w:cs="Arial"/>
        </w:rPr>
        <w:t xml:space="preserve"> [Accessed on 02.08.2026].</w:t>
      </w:r>
    </w:p>
    <w:p w14:paraId="421D50C7" w14:textId="77777777" w:rsidR="002F0667" w:rsidRDefault="00000000">
      <w:pPr>
        <w:rPr>
          <w:rFonts w:ascii="Arial" w:eastAsia="Arial" w:hAnsi="Arial" w:cs="Arial"/>
        </w:rPr>
      </w:pPr>
      <w:r>
        <w:rPr>
          <w:rFonts w:ascii="Arial" w:eastAsia="Arial" w:hAnsi="Arial" w:cs="Arial"/>
          <w:color w:val="1B1B1B"/>
        </w:rPr>
        <w:lastRenderedPageBreak/>
        <w:t>World Bank, (2026</w:t>
      </w:r>
      <w:r>
        <w:rPr>
          <w:rFonts w:ascii="Arial" w:eastAsia="Arial" w:hAnsi="Arial" w:cs="Arial"/>
        </w:rPr>
        <w:t xml:space="preserve">). </w:t>
      </w:r>
      <w:hyperlink r:id="rId64">
        <w:r>
          <w:rPr>
            <w:rFonts w:ascii="Arial" w:eastAsia="Arial" w:hAnsi="Arial" w:cs="Arial"/>
            <w:i/>
            <w:iCs/>
            <w:color w:val="08151E"/>
          </w:rPr>
          <w:t>GDP growth (annual %) - Germany</w:t>
        </w:r>
      </w:hyperlink>
      <w:r>
        <w:rPr>
          <w:rFonts w:ascii="Arial" w:eastAsia="Arial" w:hAnsi="Arial" w:cs="Arial"/>
          <w:i/>
          <w:iCs/>
        </w:rPr>
        <w:t>.</w:t>
      </w:r>
      <w:r>
        <w:rPr>
          <w:rFonts w:ascii="Arial" w:eastAsia="Arial" w:hAnsi="Arial" w:cs="Arial"/>
        </w:rPr>
        <w:t xml:space="preserve"> </w:t>
      </w:r>
      <w:r>
        <w:rPr>
          <w:rFonts w:ascii="Arial" w:eastAsia="Arial" w:hAnsi="Arial" w:cs="Arial"/>
          <w:color w:val="1B1B1B"/>
        </w:rPr>
        <w:t xml:space="preserve">Available at: </w:t>
      </w:r>
      <w:hyperlink r:id="rId65">
        <w:r>
          <w:rPr>
            <w:rFonts w:ascii="Arial" w:eastAsia="Arial" w:hAnsi="Arial" w:cs="Arial"/>
            <w:color w:val="1155CC"/>
            <w:u w:val="single"/>
          </w:rPr>
          <w:t>https://www.worldometers.info/world-population/germany-population/</w:t>
        </w:r>
      </w:hyperlink>
      <w:r>
        <w:rPr>
          <w:rFonts w:ascii="Arial" w:eastAsia="Arial" w:hAnsi="Arial" w:cs="Arial"/>
        </w:rPr>
        <w:t xml:space="preserve"> [Accessed on 12.08.2026].</w:t>
      </w:r>
    </w:p>
    <w:p w14:paraId="79B0ABB8" w14:textId="77777777" w:rsidR="002F0667" w:rsidRDefault="00000000">
      <w:pPr>
        <w:spacing w:after="240"/>
        <w:rPr>
          <w:rFonts w:ascii="Arial" w:eastAsia="Arial" w:hAnsi="Arial" w:cs="Arial"/>
        </w:rPr>
      </w:pPr>
      <w:proofErr w:type="spellStart"/>
      <w:r>
        <w:rPr>
          <w:rFonts w:ascii="Arial" w:eastAsia="Arial" w:hAnsi="Arial" w:cs="Arial"/>
          <w:color w:val="1B1B1B"/>
        </w:rPr>
        <w:t>Worldmeters</w:t>
      </w:r>
      <w:proofErr w:type="spellEnd"/>
      <w:r>
        <w:rPr>
          <w:rFonts w:ascii="Arial" w:eastAsia="Arial" w:hAnsi="Arial" w:cs="Arial"/>
          <w:color w:val="1B1B1B"/>
        </w:rPr>
        <w:t xml:space="preserve">. (2026). </w:t>
      </w:r>
      <w:r>
        <w:rPr>
          <w:rFonts w:ascii="Arial" w:eastAsia="Arial" w:hAnsi="Arial" w:cs="Arial"/>
          <w:i/>
          <w:iCs/>
          <w:color w:val="1B1B1B"/>
        </w:rPr>
        <w:t xml:space="preserve">Germany population. </w:t>
      </w:r>
      <w:r>
        <w:rPr>
          <w:rFonts w:ascii="Arial" w:eastAsia="Arial" w:hAnsi="Arial" w:cs="Arial"/>
          <w:color w:val="1B1B1B"/>
        </w:rPr>
        <w:t xml:space="preserve">Available at: </w:t>
      </w:r>
      <w:hyperlink r:id="rId66">
        <w:r>
          <w:rPr>
            <w:rFonts w:ascii="Arial" w:eastAsia="Arial" w:hAnsi="Arial" w:cs="Arial"/>
            <w:color w:val="1155CC"/>
            <w:u w:val="single"/>
          </w:rPr>
          <w:t>https://www.worldometers.info/world-population/germany-population/</w:t>
        </w:r>
      </w:hyperlink>
      <w:r>
        <w:rPr>
          <w:rFonts w:ascii="Arial" w:eastAsia="Arial" w:hAnsi="Arial" w:cs="Arial"/>
        </w:rPr>
        <w:t xml:space="preserve"> [Accessed on 12.08.2026].</w:t>
      </w:r>
    </w:p>
    <w:p w14:paraId="09B8B259" w14:textId="77777777" w:rsidR="002F0667" w:rsidRDefault="00000000">
      <w:pPr>
        <w:spacing w:after="240"/>
        <w:rPr>
          <w:rFonts w:ascii="Arial" w:eastAsia="Arial" w:hAnsi="Arial" w:cs="Arial"/>
        </w:rPr>
      </w:pPr>
      <w:r>
        <w:rPr>
          <w:rFonts w:ascii="Arial" w:eastAsia="Arial" w:hAnsi="Arial" w:cs="Arial"/>
          <w:color w:val="222222"/>
        </w:rPr>
        <w:t xml:space="preserve">Xuan, V.N., (2025). Nexus of innovation, renewable energy, FDI, trade openness, and economic growth in Germany: New insights from ARDL method. </w:t>
      </w:r>
      <w:r>
        <w:rPr>
          <w:rFonts w:ascii="Arial" w:eastAsia="Arial" w:hAnsi="Arial" w:cs="Arial"/>
          <w:i/>
          <w:iCs/>
          <w:color w:val="222222"/>
        </w:rPr>
        <w:t>Renewable Energy</w:t>
      </w:r>
      <w:r>
        <w:rPr>
          <w:rFonts w:ascii="Arial" w:eastAsia="Arial" w:hAnsi="Arial" w:cs="Arial"/>
          <w:color w:val="222222"/>
        </w:rPr>
        <w:t xml:space="preserve">, </w:t>
      </w:r>
      <w:r>
        <w:rPr>
          <w:rFonts w:ascii="Arial" w:eastAsia="Arial" w:hAnsi="Arial" w:cs="Arial"/>
          <w:i/>
          <w:iCs/>
          <w:color w:val="222222"/>
        </w:rPr>
        <w:t>247</w:t>
      </w:r>
      <w:r>
        <w:rPr>
          <w:rFonts w:ascii="Arial" w:eastAsia="Arial" w:hAnsi="Arial" w:cs="Arial"/>
          <w:color w:val="222222"/>
        </w:rPr>
        <w:t>, p.123060.</w:t>
      </w:r>
      <w:r>
        <w:rPr>
          <w:rFonts w:ascii="Arial" w:eastAsia="Arial" w:hAnsi="Arial" w:cs="Arial"/>
        </w:rPr>
        <w:t xml:space="preserve"> </w:t>
      </w:r>
      <w:hyperlink r:id="rId67">
        <w:r>
          <w:rPr>
            <w:rFonts w:ascii="Arial" w:eastAsia="Arial" w:hAnsi="Arial" w:cs="Arial"/>
            <w:color w:val="1155CC"/>
            <w:u w:val="single"/>
          </w:rPr>
          <w:t>https://www.sciencedirect.com/science/article/pii/S0960148125007220</w:t>
        </w:r>
      </w:hyperlink>
      <w:r>
        <w:rPr>
          <w:rFonts w:ascii="Arial" w:eastAsia="Arial" w:hAnsi="Arial" w:cs="Arial"/>
        </w:rPr>
        <w:t xml:space="preserve"> </w:t>
      </w:r>
    </w:p>
    <w:p w14:paraId="0D9EC798" w14:textId="77777777" w:rsidR="002F0667" w:rsidRDefault="00000000">
      <w:pPr>
        <w:spacing w:after="240"/>
        <w:rPr>
          <w:rFonts w:ascii="Arial" w:eastAsia="Arial" w:hAnsi="Arial" w:cs="Arial"/>
          <w:color w:val="222222"/>
        </w:rPr>
      </w:pPr>
      <w:r>
        <w:rPr>
          <w:rFonts w:ascii="Arial" w:eastAsia="Arial" w:hAnsi="Arial" w:cs="Arial"/>
          <w:color w:val="222222"/>
        </w:rPr>
        <w:t xml:space="preserve">Zolinski, D., (2023). </w:t>
      </w:r>
      <w:r>
        <w:rPr>
          <w:rFonts w:ascii="Arial" w:eastAsia="Arial" w:hAnsi="Arial" w:cs="Arial"/>
          <w:i/>
          <w:iCs/>
          <w:color w:val="222222"/>
        </w:rPr>
        <w:t>Digital transformation and business model innovation: a multiple case study of retail chains in Germany</w:t>
      </w:r>
      <w:r>
        <w:rPr>
          <w:rFonts w:ascii="Arial" w:eastAsia="Arial" w:hAnsi="Arial" w:cs="Arial"/>
          <w:color w:val="222222"/>
        </w:rPr>
        <w:t xml:space="preserve">. </w:t>
      </w:r>
      <w:hyperlink r:id="rId68">
        <w:r>
          <w:rPr>
            <w:rFonts w:ascii="Arial" w:eastAsia="Arial" w:hAnsi="Arial" w:cs="Arial"/>
            <w:color w:val="1155CC"/>
            <w:u w:val="single"/>
          </w:rPr>
          <w:t>https://repositorio.ucp.pt/bitstreams/b60d9210-59f4-4b86-aed1-c0a47d66bd26/download</w:t>
        </w:r>
      </w:hyperlink>
      <w:r>
        <w:rPr>
          <w:rFonts w:ascii="Arial" w:eastAsia="Arial" w:hAnsi="Arial" w:cs="Arial"/>
          <w:color w:val="222222"/>
        </w:rPr>
        <w:t xml:space="preserve"> </w:t>
      </w:r>
    </w:p>
    <w:sectPr w:rsidR="002F0667">
      <w:headerReference w:type="even" r:id="rId69"/>
      <w:headerReference w:type="default" r:id="rId70"/>
      <w:footerReference w:type="even" r:id="rId71"/>
      <w:footerReference w:type="default" r:id="rId72"/>
      <w:headerReference w:type="first" r:id="rId73"/>
      <w:footerReference w:type="first" r:id="rId7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F57A9" w14:textId="77777777" w:rsidR="00BE41C4" w:rsidRDefault="00BE41C4">
      <w:pPr>
        <w:spacing w:line="240" w:lineRule="auto"/>
      </w:pPr>
      <w:r>
        <w:separator/>
      </w:r>
    </w:p>
  </w:endnote>
  <w:endnote w:type="continuationSeparator" w:id="0">
    <w:p w14:paraId="54EC759B" w14:textId="77777777" w:rsidR="00BE41C4" w:rsidRDefault="00BE41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D747FD4-A231-4925-B0B4-D58B29BDF499}"/>
    <w:embedBold r:id="rId2" w:fontKey="{723F31C5-5384-4354-8F08-1AC6E6D947BA}"/>
  </w:font>
  <w:font w:name="Cambria">
    <w:panose1 w:val="02040503050406030204"/>
    <w:charset w:val="00"/>
    <w:family w:val="roman"/>
    <w:pitch w:val="variable"/>
    <w:sig w:usb0="E00006FF" w:usb1="420024FF" w:usb2="02000000" w:usb3="00000000" w:csb0="0000019F" w:csb1="00000000"/>
    <w:embedRegular r:id="rId3" w:fontKey="{73308468-7C31-4951-9627-217BD8AF51FD}"/>
    <w:embedBold r:id="rId4" w:fontKey="{27E803FD-6017-42DA-A99F-57D81010664C}"/>
    <w:embedBoldItalic r:id="rId5" w:fontKey="{32CE6F5A-AE3B-4FA5-8912-C2DC1DF51806}"/>
  </w:font>
  <w:font w:name="Cambria Math">
    <w:panose1 w:val="02040503050406030204"/>
    <w:charset w:val="00"/>
    <w:family w:val="roman"/>
    <w:pitch w:val="variable"/>
    <w:sig w:usb0="E00006FF" w:usb1="420024FF" w:usb2="02000000" w:usb3="00000000" w:csb0="0000019F" w:csb1="00000000"/>
    <w:embedRegular r:id="rId6" w:fontKey="{2AB18CD4-80CE-4B01-89A9-AC74DE35B1C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59D94" w14:textId="77777777" w:rsidR="002F066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6CB2F2C" w14:textId="77777777" w:rsidR="002F0667" w:rsidRDefault="002F0667">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4C8F7" w14:textId="77777777" w:rsidR="002F066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6472E">
      <w:rPr>
        <w:noProof/>
        <w:color w:val="000000"/>
      </w:rPr>
      <w:t>1</w:t>
    </w:r>
    <w:r>
      <w:rPr>
        <w:color w:val="000000"/>
      </w:rPr>
      <w:fldChar w:fldCharType="end"/>
    </w:r>
  </w:p>
  <w:p w14:paraId="327E795B" w14:textId="77777777" w:rsidR="002F0667" w:rsidRDefault="002F0667">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3F7BF" w14:textId="77777777" w:rsidR="002F0667" w:rsidRDefault="002F066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9533F" w14:textId="77777777" w:rsidR="00BE41C4" w:rsidRDefault="00BE41C4">
      <w:pPr>
        <w:spacing w:line="240" w:lineRule="auto"/>
      </w:pPr>
      <w:r>
        <w:separator/>
      </w:r>
    </w:p>
  </w:footnote>
  <w:footnote w:type="continuationSeparator" w:id="0">
    <w:p w14:paraId="79982F20" w14:textId="77777777" w:rsidR="00BE41C4" w:rsidRDefault="00BE41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4A19B" w14:textId="77777777" w:rsidR="002F0667" w:rsidRDefault="002F0667">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EF01B" w14:textId="77777777" w:rsidR="002F0667" w:rsidRDefault="002F0667">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E0CA54" w14:textId="77777777" w:rsidR="002F0667" w:rsidRDefault="002F0667">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71543"/>
    <w:multiLevelType w:val="multilevel"/>
    <w:tmpl w:val="B6AC7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BA6F0F"/>
    <w:multiLevelType w:val="multilevel"/>
    <w:tmpl w:val="AEF2F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8986474">
    <w:abstractNumId w:val="0"/>
  </w:num>
  <w:num w:numId="2" w16cid:durableId="1796749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667"/>
    <w:rsid w:val="002F0667"/>
    <w:rsid w:val="00BE41C4"/>
    <w:rsid w:val="00E97ECA"/>
    <w:rsid w:val="00F647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2B27B"/>
  <w15:docId w15:val="{275D5439-0E4D-42CB-9810-CCF0DD0EE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rFonts w:ascii="Arial" w:eastAsia="Arial" w:hAnsi="Arial" w:cs="Arial"/>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table" w:customStyle="1" w:styleId="a0">
    <w:basedOn w:val="TableNormal4"/>
    <w:tblPr>
      <w:tblStyleRowBandSize w:val="1"/>
      <w:tblStyleColBandSize w:val="1"/>
    </w:tblPr>
  </w:style>
  <w:style w:type="table" w:customStyle="1" w:styleId="a1">
    <w:basedOn w:val="TableNormal4"/>
    <w:tblPr>
      <w:tblStyleRowBandSize w:val="1"/>
      <w:tblStyleColBandSize w:val="1"/>
    </w:tblPr>
  </w:style>
  <w:style w:type="table" w:customStyle="1" w:styleId="a2">
    <w:basedOn w:val="TableNormal4"/>
    <w:tblPr>
      <w:tblStyleRowBandSize w:val="1"/>
      <w:tblStyleColBandSize w:val="1"/>
    </w:tblPr>
  </w:style>
  <w:style w:type="paragraph" w:styleId="Header">
    <w:name w:val="header"/>
    <w:basedOn w:val="Normal"/>
    <w:link w:val="HeaderChar"/>
    <w:uiPriority w:val="99"/>
    <w:unhideWhenUsed/>
    <w:rsid w:val="003C5A8E"/>
    <w:pPr>
      <w:tabs>
        <w:tab w:val="center" w:pos="4680"/>
        <w:tab w:val="right" w:pos="9360"/>
      </w:tabs>
      <w:spacing w:line="240" w:lineRule="auto"/>
    </w:pPr>
  </w:style>
  <w:style w:type="character" w:customStyle="1" w:styleId="HeaderChar">
    <w:name w:val="Header Char"/>
    <w:basedOn w:val="DefaultParagraphFont"/>
    <w:link w:val="Header"/>
    <w:uiPriority w:val="99"/>
    <w:rsid w:val="003C5A8E"/>
  </w:style>
  <w:style w:type="paragraph" w:styleId="Footer">
    <w:name w:val="footer"/>
    <w:basedOn w:val="Normal"/>
    <w:link w:val="FooterChar"/>
    <w:uiPriority w:val="99"/>
    <w:unhideWhenUsed/>
    <w:rsid w:val="003C5A8E"/>
    <w:pPr>
      <w:tabs>
        <w:tab w:val="center" w:pos="4680"/>
        <w:tab w:val="right" w:pos="9360"/>
      </w:tabs>
      <w:spacing w:line="240" w:lineRule="auto"/>
    </w:pPr>
  </w:style>
  <w:style w:type="character" w:customStyle="1" w:styleId="FooterChar">
    <w:name w:val="Footer Char"/>
    <w:basedOn w:val="DefaultParagraphFont"/>
    <w:link w:val="Footer"/>
    <w:uiPriority w:val="99"/>
    <w:rsid w:val="003C5A8E"/>
  </w:style>
  <w:style w:type="character" w:styleId="PageNumber">
    <w:name w:val="page number"/>
    <w:basedOn w:val="DefaultParagraphFont"/>
    <w:uiPriority w:val="99"/>
    <w:semiHidden/>
    <w:unhideWhenUsed/>
    <w:rsid w:val="00DC07B0"/>
  </w:style>
  <w:style w:type="paragraph" w:styleId="TOCHeading">
    <w:name w:val="TOC Heading"/>
    <w:basedOn w:val="Heading1"/>
    <w:next w:val="Normal"/>
    <w:uiPriority w:val="39"/>
    <w:unhideWhenUsed/>
    <w:qFormat/>
    <w:rsid w:val="003D0ACC"/>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3D0ACC"/>
    <w:pPr>
      <w:spacing w:before="120"/>
      <w:jc w:val="left"/>
    </w:pPr>
    <w:rPr>
      <w:rFonts w:asciiTheme="minorHAnsi" w:hAnsiTheme="minorHAnsi"/>
      <w:b/>
      <w:bCs/>
      <w:i/>
      <w:iCs/>
    </w:rPr>
  </w:style>
  <w:style w:type="paragraph" w:styleId="TOC2">
    <w:name w:val="toc 2"/>
    <w:basedOn w:val="Normal"/>
    <w:next w:val="Normal"/>
    <w:autoRedefine/>
    <w:uiPriority w:val="39"/>
    <w:unhideWhenUsed/>
    <w:rsid w:val="003D0ACC"/>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3D0ACC"/>
    <w:pPr>
      <w:ind w:left="480"/>
      <w:jc w:val="left"/>
    </w:pPr>
    <w:rPr>
      <w:rFonts w:asciiTheme="minorHAnsi" w:hAnsiTheme="minorHAnsi"/>
      <w:sz w:val="20"/>
      <w:szCs w:val="20"/>
    </w:rPr>
  </w:style>
  <w:style w:type="character" w:styleId="Hyperlink">
    <w:name w:val="Hyperlink"/>
    <w:basedOn w:val="DefaultParagraphFont"/>
    <w:uiPriority w:val="99"/>
    <w:unhideWhenUsed/>
    <w:rsid w:val="003D0ACC"/>
    <w:rPr>
      <w:color w:val="0000FF" w:themeColor="hyperlink"/>
      <w:u w:val="single"/>
    </w:rPr>
  </w:style>
  <w:style w:type="paragraph" w:styleId="TOC4">
    <w:name w:val="toc 4"/>
    <w:basedOn w:val="Normal"/>
    <w:next w:val="Normal"/>
    <w:autoRedefine/>
    <w:uiPriority w:val="39"/>
    <w:semiHidden/>
    <w:unhideWhenUsed/>
    <w:rsid w:val="003D0ACC"/>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D0ACC"/>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D0ACC"/>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D0ACC"/>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D0ACC"/>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D0ACC"/>
    <w:pPr>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1A32C1"/>
    <w:rPr>
      <w:color w:val="605E5C"/>
      <w:shd w:val="clear" w:color="auto" w:fill="E1DFDD"/>
    </w:r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expertmarketresearch.com/reports/retail-market" TargetMode="External"/><Relationship Id="rId21" Type="http://schemas.openxmlformats.org/officeDocument/2006/relationships/hyperlink" Target="https://journals.sagepub.com/doi/pdf/10.1177/00031224261437057" TargetMode="External"/><Relationship Id="rId42" Type="http://schemas.openxmlformats.org/officeDocument/2006/relationships/hyperlink" Target="https://www.sciencedirect.com/science/article/pii/S0260691724003915" TargetMode="External"/><Relationship Id="rId47" Type="http://schemas.openxmlformats.org/officeDocument/2006/relationships/hyperlink" Target="https://onlinelibrary.wiley.com/doi/abs/10.1002/aepp.13160" TargetMode="External"/><Relationship Id="rId63" Type="http://schemas.openxmlformats.org/officeDocument/2006/relationships/hyperlink" Target="https://corporate.walmart.com/about/pricing-a-comprehensive-overview-of-our-approach" TargetMode="External"/><Relationship Id="rId68" Type="http://schemas.openxmlformats.org/officeDocument/2006/relationships/hyperlink" Target="https://repositorio.ucp.pt/bitstreams/b60d9210-59f4-4b86-aed1-c0a47d66bd26/download" TargetMode="External"/><Relationship Id="rId2" Type="http://schemas.openxmlformats.org/officeDocument/2006/relationships/numbering" Target="numbering.xml"/><Relationship Id="rId16" Type="http://schemas.openxmlformats.org/officeDocument/2006/relationships/hyperlink" Target="https://link.springer.com/article/10.1007/s43546-025-00974-w" TargetMode="External"/><Relationship Id="rId29" Type="http://schemas.openxmlformats.org/officeDocument/2006/relationships/hyperlink" Target="https://www.globaldata.com/store/report/germany-retail-market-analysis/" TargetMode="External"/><Relationship Id="rId11" Type="http://schemas.openxmlformats.org/officeDocument/2006/relationships/image" Target="media/image4.png"/><Relationship Id="rId24" Type="http://schemas.openxmlformats.org/officeDocument/2006/relationships/hyperlink" Target="https://pressbooks.usnh.edu/ld823/chapter/19/" TargetMode="External"/><Relationship Id="rId32" Type="http://schemas.openxmlformats.org/officeDocument/2006/relationships/hyperlink" Target="https://search.informit.org/doi/abs/10.3316/informit.191541276970614" TargetMode="External"/><Relationship Id="rId37" Type="http://schemas.openxmlformats.org/officeDocument/2006/relationships/hyperlink" Target="https://www.rmprs.com/index.php/rmprs/article/download/214/229" TargetMode="External"/><Relationship Id="rId40" Type="http://schemas.openxmlformats.org/officeDocument/2006/relationships/hyperlink" Target="https://www.ceeol.com/search/article-detail?id=1081379" TargetMode="External"/><Relationship Id="rId45" Type="http://schemas.openxmlformats.org/officeDocument/2006/relationships/hyperlink" Target="https://journals.sagepub.com/doi/abs/10.1177/1475725720966190" TargetMode="External"/><Relationship Id="rId53" Type="http://schemas.openxmlformats.org/officeDocument/2006/relationships/hyperlink" Target="https://www.ingentaconnect.com/content/mcb/jeas/2021/00000038/00000002/art00006" TargetMode="External"/><Relationship Id="rId58" Type="http://schemas.openxmlformats.org/officeDocument/2006/relationships/hyperlink" Target="https://www.theculturefactor.com/country-comparison-tool?countries=germany" TargetMode="External"/><Relationship Id="rId66" Type="http://schemas.openxmlformats.org/officeDocument/2006/relationships/hyperlink" Target="https://www.worldometers.info/world-population/germany-population/" TargetMode="External"/><Relationship Id="rId74"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corporate.walmart.com/about" TargetMode="External"/><Relationship Id="rId19" Type="http://schemas.openxmlformats.org/officeDocument/2006/relationships/hyperlink" Target="https://ibn.idsi.md/sites/default/files/imag_file/19-33_4.pdf" TargetMode="External"/><Relationship Id="rId14" Type="http://schemas.openxmlformats.org/officeDocument/2006/relationships/image" Target="media/image7.jpg"/><Relationship Id="rId22" Type="http://schemas.openxmlformats.org/officeDocument/2006/relationships/hyperlink" Target="https://www.coherentmarketinsights.com/market-insight/consumer-product-and-retail-market-4759" TargetMode="External"/><Relationship Id="rId27" Type="http://schemas.openxmlformats.org/officeDocument/2006/relationships/hyperlink" Target="https://european-union.europa.eu/principles-countries-history/eu-countries/germany_en" TargetMode="External"/><Relationship Id="rId30" Type="http://schemas.openxmlformats.org/officeDocument/2006/relationships/hyperlink" Target="https://www.cambridge.org/core/elements/economics-of-digital-shopping-in-central-and-eastern-europe/77F0E03F179BB4DD6CE28435A47AE428" TargetMode="External"/><Relationship Id="rId35" Type="http://schemas.openxmlformats.org/officeDocument/2006/relationships/hyperlink" Target="https://dialnet.unirioja.es/servlet/articulo?codigo=8957050" TargetMode="External"/><Relationship Id="rId43" Type="http://schemas.openxmlformats.org/officeDocument/2006/relationships/hyperlink" Target="https://www.taylorfrancis.com/books/mono/10.4324/9781003312932/international-business-john-cullen-praveen-parboteeah-sahrok-kim" TargetMode="External"/><Relationship Id="rId48" Type="http://schemas.openxmlformats.org/officeDocument/2006/relationships/hyperlink" Target="https://www.researchgate.net/profile/Robert-Rogaczewski/publication/393325102_Economy_in_the_era_of_digital_transformation_trends_opportunities_and_perspectives_Monograph/links/686ec6ec39c3583512083dec/Economy-in-the-era-of-digital-transformation-trends-opportunities-and-perspectives-Monograph.pdf" TargetMode="External"/><Relationship Id="rId56" Type="http://schemas.openxmlformats.org/officeDocument/2006/relationships/hyperlink" Target="https://www.statista.com/topics/8903/retail-in-germany/?srsltid=AfmBOopReAJ486tEnPG4m2JwxU4MmV8Z3hiBQJ_OLOJG5hRNtapxzKRt" TargetMode="External"/><Relationship Id="rId64" Type="http://schemas.openxmlformats.org/officeDocument/2006/relationships/hyperlink" Target="https://data.worldbank.org/indicator/NY.GDP.MKTP.KD.ZG" TargetMode="External"/><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aaltodoc.aalto.fi/items/fae8af43-afb9-4506-bcd0-46d744abb446" TargetMode="External"/><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merald.com/k/article/52/11/4958/459246" TargetMode="External"/><Relationship Id="rId25" Type="http://schemas.openxmlformats.org/officeDocument/2006/relationships/hyperlink" Target="https://www.dlapiperdataprotection.com/?c=DE" TargetMode="External"/><Relationship Id="rId33" Type="http://schemas.openxmlformats.org/officeDocument/2006/relationships/hyperlink" Target="https://in.investing.com/pro/NASDAQGS:WMT/explorer/total_rev" TargetMode="External"/><Relationship Id="rId38" Type="http://schemas.openxmlformats.org/officeDocument/2006/relationships/hyperlink" Target="https://link.springer.com/article/10.1007/s12551-021-00852-3" TargetMode="External"/><Relationship Id="rId46" Type="http://schemas.openxmlformats.org/officeDocument/2006/relationships/hyperlink" Target="https://pubs.rsc.org/fb/article-abstract/3/4/930/892647" TargetMode="External"/><Relationship Id="rId59" Type="http://schemas.openxmlformats.org/officeDocument/2006/relationships/hyperlink" Target="http://jcasc.com/index.php/jcasc/article/view/4159" TargetMode="External"/><Relationship Id="rId67" Type="http://schemas.openxmlformats.org/officeDocument/2006/relationships/hyperlink" Target="https://www.sciencedirect.com/science/article/pii/S0960148125007220" TargetMode="External"/><Relationship Id="rId20" Type="http://schemas.openxmlformats.org/officeDocument/2006/relationships/hyperlink" Target="https://www.mdpi.com/2673-8392/4/4/91" TargetMode="External"/><Relationship Id="rId41" Type="http://schemas.openxmlformats.org/officeDocument/2006/relationships/hyperlink" Target="https://pubs.aip.org/aip/acp/article-pdf/doi/10.1063/5.0143375/18237937/070006_1_5.0143375.pdf" TargetMode="External"/><Relationship Id="rId54" Type="http://schemas.openxmlformats.org/officeDocument/2006/relationships/hyperlink" Target="https://iclg.com/practice-areas/environment-and-climate-change-laws-and-regulations/germany/" TargetMode="External"/><Relationship Id="rId62" Type="http://schemas.openxmlformats.org/officeDocument/2006/relationships/hyperlink" Target="https://stock.walmart.com/company-information" TargetMode="External"/><Relationship Id="rId70" Type="http://schemas.openxmlformats.org/officeDocument/2006/relationships/header" Target="header2.xm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186/s12909-024-06593-7" TargetMode="External"/><Relationship Id="rId23" Type="http://schemas.openxmlformats.org/officeDocument/2006/relationships/hyperlink" Target="https://www.deloitte.com/us/en/insights/industry/retail-distribution/retail-distribution-industry-outlook.html" TargetMode="External"/><Relationship Id="rId28" Type="http://schemas.openxmlformats.org/officeDocument/2006/relationships/hyperlink" Target="https://www.gtai.de/en/invest/business-location-germany/market-germany-europe-s-economic-hub" TargetMode="External"/><Relationship Id="rId36" Type="http://schemas.openxmlformats.org/officeDocument/2006/relationships/hyperlink" Target="http://rps.chtei-knteu.cv.ua:8585/jspui/handle/123456789/1800" TargetMode="External"/><Relationship Id="rId49" Type="http://schemas.openxmlformats.org/officeDocument/2006/relationships/hyperlink" Target="https://digitalcommons.usf.edu/globe/vol7/iss2/1/?trk=public_post_comment-text" TargetMode="External"/><Relationship Id="rId57" Type="http://schemas.openxmlformats.org/officeDocument/2006/relationships/hyperlink" Target="https://www.researchgate.net/profile/Yizhi_Tan2/publication/391980758_Market_Entry_Strategies_of_Temu_and_Shein_A_Comparative_Analysis/links/682f3ba7d1054b0207f0e2c7/Market-Entry-Strategies-of-Temu-and-Shein-A-Comparative-Analysis.pdf" TargetMode="External"/><Relationship Id="rId10" Type="http://schemas.openxmlformats.org/officeDocument/2006/relationships/image" Target="media/image3.png"/><Relationship Id="rId31" Type="http://schemas.openxmlformats.org/officeDocument/2006/relationships/hyperlink" Target="https://www.gulde.com/en/legal-areas/unfair-competition-law" TargetMode="External"/><Relationship Id="rId44" Type="http://schemas.openxmlformats.org/officeDocument/2006/relationships/hyperlink" Target="https://cdn.loder.org.tr/loder/production/uploads/files/2023/12/5aff907ae9b3630.pdf" TargetMode="External"/><Relationship Id="rId52" Type="http://schemas.openxmlformats.org/officeDocument/2006/relationships/hyperlink" Target="https://api.taylorfrancis.com/content/books/mono/download?identifierName=doi&amp;identifierValue=10.4324/9781003034315&amp;type=googlepdf" TargetMode="External"/><Relationship Id="rId60" Type="http://schemas.openxmlformats.org/officeDocument/2006/relationships/hyperlink" Target="https://ela.kpi.ua/bitstreams/77bf8387-b9fa-476c-97ba-5040d12d01c3/download" TargetMode="External"/><Relationship Id="rId65" Type="http://schemas.openxmlformats.org/officeDocument/2006/relationships/hyperlink" Target="https://www.worldometers.info/world-population/germany-population/" TargetMode="External"/><Relationship Id="rId73"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png"/><Relationship Id="rId18" Type="http://schemas.openxmlformats.org/officeDocument/2006/relationships/hyperlink" Target="https://bibliotekanauki.pl/articles/1835528.pdf" TargetMode="External"/><Relationship Id="rId39" Type="http://schemas.openxmlformats.org/officeDocument/2006/relationships/hyperlink" Target="https://www.sciencedirect.com/science/article/pii/S0959652623012921" TargetMode="External"/><Relationship Id="rId34" Type="http://schemas.openxmlformats.org/officeDocument/2006/relationships/hyperlink" Target="https://www.emerald.com/imr/article/41/5/1118/1224020" TargetMode="External"/><Relationship Id="rId50" Type="http://schemas.openxmlformats.org/officeDocument/2006/relationships/hyperlink" Target="https://www.frontiersin.org/journals/psychology/articles/10.3389/fpsyg.2022.919020/pdf" TargetMode="External"/><Relationship Id="rId55" Type="http://schemas.openxmlformats.org/officeDocument/2006/relationships/hyperlink" Target="https://www.state.gov/wp-content/uploads/2025/09/638719_2025-Germany-Investment-Climate-Statement.pdf"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tHECwzzQ4RIS7jMPWTLScpUzjQ==">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8761</Words>
  <Characters>49939</Characters>
  <Application>Microsoft Office Word</Application>
  <DocSecurity>0</DocSecurity>
  <Lines>416</Lines>
  <Paragraphs>117</Paragraphs>
  <ScaleCrop>false</ScaleCrop>
  <Company/>
  <LinksUpToDate>false</LinksUpToDate>
  <CharactersWithSpaces>58583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 Shah</dc:creator>
  <cp:lastModifiedBy>SHAH BHAUMIK,2041106233</cp:lastModifiedBy>
  <cp:revision>2</cp:revision>
  <dcterms:created xsi:type="dcterms:W3CDTF">2026-08-14T08:53:00Z</dcterms:created>
  <dcterms:modified xsi:type="dcterms:W3CDTF">2026-08-14T08:53:00Z</dcterms:modified>
</cp:coreProperties>
</file>