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527A6" w14:textId="351FAE0A" w:rsidR="004C2D8B" w:rsidRPr="001D7154" w:rsidRDefault="004C2D8B" w:rsidP="001D7154">
      <w:pPr>
        <w:spacing w:line="480" w:lineRule="auto"/>
        <w:rPr>
          <w:rFonts w:ascii="Arial" w:hAnsi="Arial" w:cs="Arial"/>
          <w:sz w:val="24"/>
          <w:szCs w:val="24"/>
        </w:rPr>
      </w:pPr>
      <w:r w:rsidRPr="001D7154">
        <w:rPr>
          <w:rFonts w:ascii="Arial" w:hAnsi="Arial" w:cs="Arial"/>
          <w:sz w:val="24"/>
          <w:szCs w:val="24"/>
        </w:rPr>
        <w:t>Article Review</w:t>
      </w:r>
    </w:p>
    <w:p w14:paraId="50D4C0D4" w14:textId="7B8AAA81" w:rsidR="004C2D8B" w:rsidRPr="001D7154" w:rsidRDefault="004C2D8B" w:rsidP="001D7154">
      <w:pPr>
        <w:spacing w:line="480" w:lineRule="auto"/>
        <w:rPr>
          <w:rFonts w:ascii="Arial" w:hAnsi="Arial" w:cs="Arial"/>
          <w:sz w:val="24"/>
          <w:szCs w:val="24"/>
        </w:rPr>
      </w:pPr>
      <w:r w:rsidRPr="001D7154">
        <w:rPr>
          <w:rFonts w:ascii="Arial" w:hAnsi="Arial" w:cs="Arial"/>
          <w:sz w:val="24"/>
          <w:szCs w:val="24"/>
        </w:rPr>
        <w:t xml:space="preserve">The article </w:t>
      </w:r>
      <w:r w:rsidRPr="001D7154">
        <w:rPr>
          <w:rFonts w:ascii="Arial" w:hAnsi="Arial" w:cs="Arial"/>
          <w:sz w:val="24"/>
          <w:szCs w:val="24"/>
        </w:rPr>
        <w:t>en</w:t>
      </w:r>
      <w:r w:rsidRPr="001D7154">
        <w:rPr>
          <w:rFonts w:ascii="Arial" w:hAnsi="Arial" w:cs="Arial"/>
          <w:sz w:val="24"/>
          <w:szCs w:val="24"/>
        </w:rPr>
        <w:t xml:space="preserve">titled ‘It touches their souls; Opera finds new audience in care homes,’ aimed to show that social activities such as opera performances are helpful and do benefit the </w:t>
      </w:r>
      <w:r w:rsidRPr="001D7154">
        <w:rPr>
          <w:rFonts w:ascii="Arial" w:hAnsi="Arial" w:cs="Arial"/>
          <w:sz w:val="24"/>
          <w:szCs w:val="24"/>
        </w:rPr>
        <w:t>wellbeing</w:t>
      </w:r>
      <w:r w:rsidRPr="001D7154">
        <w:rPr>
          <w:rFonts w:ascii="Arial" w:hAnsi="Arial" w:cs="Arial"/>
          <w:sz w:val="24"/>
          <w:szCs w:val="24"/>
        </w:rPr>
        <w:t xml:space="preserve"> of not just residents but staff in care homes. Six Characters in Search of an Opera was the first opera, written by Rachel Barnett, specifically for care settings. It has been performed throughout London and South-West England in dementia units, care homes, community day centres and hospices. Francesca Lanza performed at The Old Vicarage, a Dorset care h</w:t>
      </w:r>
      <w:bookmarkStart w:id="0" w:name="_GoBack"/>
      <w:bookmarkEnd w:id="0"/>
      <w:r w:rsidRPr="001D7154">
        <w:rPr>
          <w:rFonts w:ascii="Arial" w:hAnsi="Arial" w:cs="Arial"/>
          <w:sz w:val="24"/>
          <w:szCs w:val="24"/>
        </w:rPr>
        <w:t xml:space="preserve">ome in which all the residents enjoyed and were smiling and socialising with each other and the staff which shows that social engagement and activity theory is correct.  A small charity named Davina’s fund was set up to bring opera to care settings and the elderly. Camila Vickers set the charity in the memory of her mother who passed away of cancer 2 years ago. She met Lanza after relocating to England from Italy, and when she sang her mother always had a smile and was happy. She had this idea of it working with the elderly in care homes or units. </w:t>
      </w:r>
    </w:p>
    <w:p w14:paraId="0CF67436" w14:textId="77777777" w:rsidR="004C2D8B" w:rsidRPr="001D7154" w:rsidRDefault="004C2D8B" w:rsidP="001D7154">
      <w:pPr>
        <w:spacing w:line="480" w:lineRule="auto"/>
        <w:rPr>
          <w:rFonts w:ascii="Arial" w:hAnsi="Arial" w:cs="Arial"/>
          <w:sz w:val="24"/>
          <w:szCs w:val="24"/>
        </w:rPr>
      </w:pPr>
      <w:r w:rsidRPr="001D7154">
        <w:rPr>
          <w:rFonts w:ascii="Arial" w:hAnsi="Arial" w:cs="Arial"/>
          <w:sz w:val="24"/>
          <w:szCs w:val="24"/>
        </w:rPr>
        <w:t xml:space="preserve">Havinghurst and Albrecht (1953) came up with the first aging theory. They studied a group of adults and concluded that retirees should try to remain active within their communities as it delays the onset of later life aging. This resulted with them saying that retirees need to stay occupied and active to have a satisfactory late-life.  </w:t>
      </w:r>
    </w:p>
    <w:p w14:paraId="12BE8B00" w14:textId="3C5C44D7" w:rsidR="11ADD4F6" w:rsidRPr="001D7154" w:rsidRDefault="11ADD4F6" w:rsidP="001D7154">
      <w:pPr>
        <w:spacing w:line="480" w:lineRule="auto"/>
        <w:rPr>
          <w:rFonts w:ascii="Arial" w:hAnsi="Arial" w:cs="Arial"/>
          <w:sz w:val="24"/>
          <w:szCs w:val="24"/>
        </w:rPr>
      </w:pPr>
      <w:r w:rsidRPr="001D7154">
        <w:rPr>
          <w:rFonts w:ascii="Arial" w:hAnsi="Arial" w:cs="Arial"/>
          <w:sz w:val="24"/>
          <w:szCs w:val="24"/>
        </w:rPr>
        <w:t xml:space="preserve">Activity theory is based on not just keeping active within the community but keeping the mind and body occupied so that the effects of aging are starting to get delayed. According to Birren and Schroots (2001), the elderly is limited in what type of activities they can choose to do within the community as society have certain standards and expectation of older life. As an opposed theory of disengagement </w:t>
      </w:r>
      <w:r w:rsidRPr="001D7154">
        <w:rPr>
          <w:rFonts w:ascii="Arial" w:hAnsi="Arial" w:cs="Arial"/>
          <w:sz w:val="24"/>
          <w:szCs w:val="24"/>
        </w:rPr>
        <w:lastRenderedPageBreak/>
        <w:t xml:space="preserve">theory, activity theory is a more realistic theory of elder people. Disengagement theory is more about people who tend to withdraw from society and lose roles in their lives. However, this isn't most of the cases therefore Havighurst came up with a better named 'activity theory'. </w:t>
      </w:r>
    </w:p>
    <w:p w14:paraId="57A1CF62" w14:textId="3D68FD48" w:rsidR="11ADD4F6" w:rsidRPr="001D7154" w:rsidRDefault="11ADD4F6" w:rsidP="001D7154">
      <w:pPr>
        <w:spacing w:line="480" w:lineRule="auto"/>
        <w:rPr>
          <w:rFonts w:ascii="Arial" w:hAnsi="Arial" w:cs="Arial"/>
          <w:sz w:val="24"/>
          <w:szCs w:val="24"/>
        </w:rPr>
      </w:pPr>
      <w:r w:rsidRPr="001D7154">
        <w:rPr>
          <w:rFonts w:ascii="Arial" w:hAnsi="Arial" w:cs="Arial"/>
          <w:sz w:val="24"/>
          <w:szCs w:val="24"/>
        </w:rPr>
        <w:t xml:space="preserve">(Lemon, Bengtson, Peterson, 1972) Resulted in that there are links within activities and older aging. There have been a lot of results with the quality of activities rather than the quantity. Cumming and Henry made a prediction that there would be a high morale within the social disengaged. However, there have been many theories since then that have disproved it and have proved that there is a high morale within elderly who have a high life of activity.  Tobin and Neugarten (1961) found that as age starts to increase there seems to be a rather high importance for activity. </w:t>
      </w:r>
    </w:p>
    <w:p w14:paraId="0F194CD9" w14:textId="309D44DE" w:rsidR="11ADD4F6" w:rsidRPr="001D7154" w:rsidRDefault="11ADD4F6" w:rsidP="001D7154">
      <w:pPr>
        <w:spacing w:line="480" w:lineRule="auto"/>
        <w:rPr>
          <w:rFonts w:ascii="Arial" w:hAnsi="Arial" w:cs="Arial"/>
          <w:sz w:val="24"/>
          <w:szCs w:val="24"/>
        </w:rPr>
      </w:pPr>
      <w:r w:rsidRPr="001D7154">
        <w:rPr>
          <w:rFonts w:ascii="Arial" w:hAnsi="Arial" w:cs="Arial"/>
          <w:sz w:val="24"/>
          <w:szCs w:val="24"/>
        </w:rPr>
        <w:t xml:space="preserve">This theory links in with the article as a lot of the residents ended up on their feet dancing and enjoying themselves. This is a high importance to them as most of care home residents don't tend to leave often and get accustomed to a daily routine. When this daily routine is broken it can be a good thing when it involves them getting up and moving, doing something they don't or wouldn't usually do. The article talks about the residents clapping along, getting up to dance and moving. This is form of using their gross motor skills which will give them a sense of happiness and enjoyment. </w:t>
      </w:r>
    </w:p>
    <w:p w14:paraId="6CED94F6" w14:textId="79042AF4" w:rsidR="11ADD4F6" w:rsidRPr="001D7154" w:rsidRDefault="11ADD4F6" w:rsidP="001D7154">
      <w:pPr>
        <w:spacing w:line="480" w:lineRule="auto"/>
        <w:rPr>
          <w:rFonts w:ascii="Arial" w:hAnsi="Arial" w:cs="Arial"/>
          <w:sz w:val="24"/>
          <w:szCs w:val="24"/>
        </w:rPr>
      </w:pPr>
      <w:r w:rsidRPr="001D7154">
        <w:rPr>
          <w:rFonts w:ascii="Arial" w:hAnsi="Arial" w:cs="Arial"/>
          <w:sz w:val="24"/>
          <w:szCs w:val="24"/>
        </w:rPr>
        <w:t xml:space="preserve">Yrgo Engestrom (1999) </w:t>
      </w:r>
      <w:r w:rsidR="004C2D8B" w:rsidRPr="001D7154">
        <w:rPr>
          <w:rFonts w:ascii="Arial" w:hAnsi="Arial" w:cs="Arial"/>
          <w:sz w:val="24"/>
          <w:szCs w:val="24"/>
        </w:rPr>
        <w:t>criticises</w:t>
      </w:r>
      <w:r w:rsidRPr="001D7154">
        <w:rPr>
          <w:rFonts w:ascii="Arial" w:hAnsi="Arial" w:cs="Arial"/>
          <w:sz w:val="24"/>
          <w:szCs w:val="24"/>
        </w:rPr>
        <w:t xml:space="preserve"> the activity theory in a way of it not being defined as its own proper theory. He talks about how it is going to become an "electric combination" of ideas. This will then turn into a new theory altogether, disregarding the actual activity theory.  He fears that the whole theory will turn into a lot of elaborations of a logical theory. Birren and Schroots (2001) criticised Havinghurst's </w:t>
      </w:r>
      <w:r w:rsidRPr="001D7154">
        <w:rPr>
          <w:rFonts w:ascii="Arial" w:hAnsi="Arial" w:cs="Arial"/>
          <w:sz w:val="24"/>
          <w:szCs w:val="24"/>
        </w:rPr>
        <w:lastRenderedPageBreak/>
        <w:t>ideas of activity theory and being occupied and active as they said that choices are sometimes limited due to financial struggles, disabilities and illness. This is proven in the article as Jan Milward talked about how some residents "live on 8p per day". This can be hard for some residents to then leave care homes, assisted living facilities, dementia units etc as they can't afford to do activities some other peers are doing. In addition to this, some residents may not be able to leave due to disabilities and therefore, activity theory wouldn't necessarily help them as they may not be able to do any of the activities they have been offered.</w:t>
      </w:r>
    </w:p>
    <w:p w14:paraId="5AF2D1A6" w14:textId="4DEFB363" w:rsidR="11ADD4F6" w:rsidRPr="001D7154" w:rsidRDefault="11ADD4F6" w:rsidP="001D7154">
      <w:pPr>
        <w:spacing w:line="480" w:lineRule="auto"/>
        <w:rPr>
          <w:rFonts w:ascii="Arial" w:hAnsi="Arial" w:cs="Arial"/>
          <w:sz w:val="24"/>
          <w:szCs w:val="24"/>
        </w:rPr>
      </w:pPr>
      <w:r w:rsidRPr="001D7154">
        <w:rPr>
          <w:rFonts w:ascii="Arial" w:hAnsi="Arial" w:cs="Arial"/>
          <w:sz w:val="24"/>
          <w:szCs w:val="24"/>
        </w:rPr>
        <w:t xml:space="preserve">Not only did the article include activity theory but social engagement theory also. Nan Sook Park talks about the relationship between social engagement with mental health and health. Research was conducted with 82 eligible residents in 8 facilities within a 120-mile radius of Tuscaloosa County in Alabama. Interviews were conducted with close ended questionnaires that took around 60 and 90 minutes. Most of the older adults had seemed to have a good satisfaction with their life and were at </w:t>
      </w:r>
      <w:r w:rsidR="004C2D8B" w:rsidRPr="001D7154">
        <w:rPr>
          <w:rFonts w:ascii="Arial" w:hAnsi="Arial" w:cs="Arial"/>
          <w:sz w:val="24"/>
          <w:szCs w:val="24"/>
        </w:rPr>
        <w:t>minimal risk</w:t>
      </w:r>
      <w:r w:rsidRPr="001D7154">
        <w:rPr>
          <w:rFonts w:ascii="Arial" w:hAnsi="Arial" w:cs="Arial"/>
          <w:sz w:val="24"/>
          <w:szCs w:val="24"/>
        </w:rPr>
        <w:t xml:space="preserve"> of depression. Within the social engagement aspect, most of the participants seemed to have </w:t>
      </w:r>
      <w:r w:rsidR="004C2D8B" w:rsidRPr="001D7154">
        <w:rPr>
          <w:rFonts w:ascii="Arial" w:hAnsi="Arial" w:cs="Arial"/>
          <w:sz w:val="24"/>
          <w:szCs w:val="24"/>
        </w:rPr>
        <w:t>a dedicated support</w:t>
      </w:r>
      <w:r w:rsidRPr="001D7154">
        <w:rPr>
          <w:rFonts w:ascii="Arial" w:hAnsi="Arial" w:cs="Arial"/>
          <w:sz w:val="24"/>
          <w:szCs w:val="24"/>
        </w:rPr>
        <w:t xml:space="preserve"> network and scored high on the reciprocity measure. Most of the perceptions of mealtimes enjoyment were rather high and so this is proving that older adults who have a high social engagement level seem to be more satisfied with their life. This could be that they are less lonely and bored so socialising with other people bring them enjoyment and a fulfilment of their life. This research finding was mostly that the friendliness of staff and residents had a much greater influence on psychological wellbeing. </w:t>
      </w:r>
    </w:p>
    <w:p w14:paraId="44575716" w14:textId="19FF1FBE" w:rsidR="11ADD4F6" w:rsidRPr="001D7154" w:rsidRDefault="11ADD4F6" w:rsidP="001D7154">
      <w:pPr>
        <w:spacing w:line="480" w:lineRule="auto"/>
        <w:rPr>
          <w:rFonts w:ascii="Arial" w:eastAsia="Calibri" w:hAnsi="Arial" w:cs="Arial"/>
          <w:sz w:val="24"/>
          <w:szCs w:val="24"/>
        </w:rPr>
      </w:pPr>
      <w:r w:rsidRPr="001D7154">
        <w:rPr>
          <w:rFonts w:ascii="Arial" w:hAnsi="Arial" w:cs="Arial"/>
          <w:sz w:val="24"/>
          <w:szCs w:val="24"/>
        </w:rPr>
        <w:t xml:space="preserve">In the article </w:t>
      </w:r>
      <w:r w:rsidRPr="001D7154">
        <w:rPr>
          <w:rFonts w:ascii="Arial" w:eastAsia="Calibri" w:hAnsi="Arial" w:cs="Arial"/>
          <w:sz w:val="24"/>
          <w:szCs w:val="24"/>
        </w:rPr>
        <w:t xml:space="preserve">'It touches their souls': Opera finds new audience in care homes, Jan Milward talks about the financial struggles of some residents in which they find it hard to go out and do activities.  This is an important part of the article as it shows </w:t>
      </w:r>
      <w:r w:rsidRPr="001D7154">
        <w:rPr>
          <w:rFonts w:ascii="Arial" w:eastAsia="Calibri" w:hAnsi="Arial" w:cs="Arial"/>
          <w:sz w:val="24"/>
          <w:szCs w:val="24"/>
        </w:rPr>
        <w:lastRenderedPageBreak/>
        <w:t xml:space="preserve">that some of our older adults can't afford to go out and social with friends or peers and some may only have the support of the home, unit etc as they may not have family. This could detrimentally affect their mental wellbeing and risk of depression. The social engagement and activity theories are both beneficial to older adults as it keeps them involved with the community and gives them a feeling of worth. By getting out for just 10 minutes a day or just getting up for 10 minutes a day highly improves their gross motor skills, their mental health and their communication skills. Milward speaks about how dementia residents may forget the performance of Francesca Lanza but won't forget the feeling. The impact just one performance can make to a dementia resident is crucial as once they remember the feeling they had once, they will want to gain that feeling back. </w:t>
      </w:r>
    </w:p>
    <w:p w14:paraId="3F84CDD7" w14:textId="4766394C" w:rsidR="11ADD4F6" w:rsidRPr="001D7154" w:rsidRDefault="11ADD4F6" w:rsidP="001D7154">
      <w:pPr>
        <w:spacing w:line="480" w:lineRule="auto"/>
        <w:rPr>
          <w:rFonts w:ascii="Arial" w:eastAsia="Calibri" w:hAnsi="Arial" w:cs="Arial"/>
          <w:sz w:val="24"/>
          <w:szCs w:val="24"/>
        </w:rPr>
      </w:pPr>
      <w:r w:rsidRPr="001D7154">
        <w:rPr>
          <w:rFonts w:ascii="Arial" w:eastAsia="Calibri" w:hAnsi="Arial" w:cs="Arial"/>
          <w:sz w:val="24"/>
          <w:szCs w:val="24"/>
        </w:rPr>
        <w:t xml:space="preserve">Lemon, Bengtson and Peterson (1972) observed that older adults found that quality was more important in the activity than quantity. However, (Longino &amp; Kart 1982) concluded that satisfaction in older adult </w:t>
      </w:r>
      <w:r w:rsidR="004C2D8B" w:rsidRPr="001D7154">
        <w:rPr>
          <w:rFonts w:ascii="Arial" w:eastAsia="Calibri" w:hAnsi="Arial" w:cs="Arial"/>
          <w:sz w:val="24"/>
          <w:szCs w:val="24"/>
        </w:rPr>
        <w:t>life</w:t>
      </w:r>
      <w:r w:rsidRPr="001D7154">
        <w:rPr>
          <w:rFonts w:ascii="Arial" w:eastAsia="Calibri" w:hAnsi="Arial" w:cs="Arial"/>
          <w:sz w:val="24"/>
          <w:szCs w:val="24"/>
        </w:rPr>
        <w:t xml:space="preserve"> was more about social activities including going to lunch with friends and having a hobby that was attended by other people also. They have found that it is more about quantity in activities as opposed to quality as Lemon had found out previously. In agreement to this, Harlow and Cantor (1996) found that tasks in which retirees were being social and sharing things with one another was much more important and beneficial than the activities of independence.</w:t>
      </w:r>
    </w:p>
    <w:p w14:paraId="3EB153E0" w14:textId="0A5E3B2D" w:rsidR="11ADD4F6" w:rsidRPr="001D7154" w:rsidRDefault="11ADD4F6" w:rsidP="001D7154">
      <w:pPr>
        <w:spacing w:line="480" w:lineRule="auto"/>
        <w:rPr>
          <w:rFonts w:ascii="Arial" w:eastAsia="Calibri" w:hAnsi="Arial" w:cs="Arial"/>
          <w:sz w:val="24"/>
          <w:szCs w:val="24"/>
        </w:rPr>
      </w:pPr>
      <w:r w:rsidRPr="001D7154">
        <w:rPr>
          <w:rFonts w:ascii="Arial" w:eastAsia="Calibri" w:hAnsi="Arial" w:cs="Arial"/>
          <w:sz w:val="24"/>
          <w:szCs w:val="24"/>
        </w:rPr>
        <w:t xml:space="preserve">In conclusion, it has been proven that activity theory and social engagement theory benefit older adults more than anything else. They are delaying the negative effects of later life and the risk of having depression. As for dementia patients, they may not necessarily remember the activity they did or what they spoke about when talking to </w:t>
      </w:r>
      <w:r w:rsidR="004C2D8B" w:rsidRPr="001D7154">
        <w:rPr>
          <w:rFonts w:ascii="Arial" w:eastAsia="Calibri" w:hAnsi="Arial" w:cs="Arial"/>
          <w:sz w:val="24"/>
          <w:szCs w:val="24"/>
        </w:rPr>
        <w:lastRenderedPageBreak/>
        <w:t>somebody,</w:t>
      </w:r>
      <w:r w:rsidRPr="001D7154">
        <w:rPr>
          <w:rFonts w:ascii="Arial" w:eastAsia="Calibri" w:hAnsi="Arial" w:cs="Arial"/>
          <w:sz w:val="24"/>
          <w:szCs w:val="24"/>
        </w:rPr>
        <w:t xml:space="preserve"> but they will remember the feeling they had when doing it and will try to regain that feeling by doing more of the things that made them happy.</w:t>
      </w:r>
    </w:p>
    <w:p w14:paraId="0DDC778D" w14:textId="4D9B9114" w:rsidR="11ADD4F6" w:rsidRPr="001D7154" w:rsidRDefault="11ADD4F6" w:rsidP="001D7154">
      <w:pPr>
        <w:spacing w:line="480" w:lineRule="auto"/>
        <w:rPr>
          <w:rFonts w:ascii="Arial" w:hAnsi="Arial" w:cs="Arial"/>
          <w:b/>
          <w:bCs/>
          <w:sz w:val="24"/>
          <w:szCs w:val="24"/>
        </w:rPr>
      </w:pPr>
      <w:r w:rsidRPr="001D7154">
        <w:rPr>
          <w:rFonts w:ascii="Arial" w:hAnsi="Arial" w:cs="Arial"/>
          <w:b/>
          <w:bCs/>
          <w:sz w:val="24"/>
          <w:szCs w:val="24"/>
        </w:rPr>
        <w:t xml:space="preserve">Reference </w:t>
      </w:r>
    </w:p>
    <w:p w14:paraId="2B508364" w14:textId="3F9A2337" w:rsidR="11ADD4F6" w:rsidRPr="001D7154" w:rsidRDefault="11ADD4F6" w:rsidP="001D7154">
      <w:pPr>
        <w:spacing w:line="480" w:lineRule="auto"/>
        <w:rPr>
          <w:rFonts w:ascii="Arial" w:hAnsi="Arial" w:cs="Arial"/>
          <w:sz w:val="24"/>
          <w:szCs w:val="24"/>
        </w:rPr>
      </w:pPr>
      <w:r w:rsidRPr="001D7154">
        <w:rPr>
          <w:rFonts w:ascii="Arial" w:hAnsi="Arial" w:cs="Arial"/>
          <w:sz w:val="24"/>
          <w:szCs w:val="24"/>
        </w:rPr>
        <w:t>Salthouse, T. A. (1988). Resource-reduction interpretations of cognitive aging. Developmental Review, 8, 238-272.</w:t>
      </w:r>
    </w:p>
    <w:p w14:paraId="672AF083" w14:textId="403F36C2" w:rsidR="004C2D8B" w:rsidRPr="001D7154" w:rsidRDefault="004C2D8B" w:rsidP="001D7154">
      <w:pPr>
        <w:spacing w:line="480" w:lineRule="auto"/>
        <w:rPr>
          <w:rFonts w:ascii="Arial" w:hAnsi="Arial" w:cs="Arial"/>
          <w:sz w:val="24"/>
          <w:szCs w:val="24"/>
        </w:rPr>
      </w:pPr>
      <w:r w:rsidRPr="001D7154">
        <w:rPr>
          <w:rFonts w:ascii="Arial" w:hAnsi="Arial" w:cs="Arial"/>
          <w:color w:val="666666"/>
          <w:sz w:val="24"/>
          <w:szCs w:val="24"/>
        </w:rPr>
        <w:t xml:space="preserve">Lemon, B., Bengtson, V., &amp; Peterson, J. (1972). An Exploration of the Activity Theory of Aging: Activity Types and Life Satisfaction Among In-movers to a Retirement Community. </w:t>
      </w:r>
      <w:r w:rsidRPr="001D7154">
        <w:rPr>
          <w:rFonts w:ascii="Arial" w:hAnsi="Arial" w:cs="Arial"/>
          <w:i/>
          <w:iCs/>
          <w:color w:val="666666"/>
          <w:sz w:val="24"/>
          <w:szCs w:val="24"/>
        </w:rPr>
        <w:t xml:space="preserve">Journal </w:t>
      </w:r>
      <w:proofErr w:type="gramStart"/>
      <w:r w:rsidRPr="001D7154">
        <w:rPr>
          <w:rFonts w:ascii="Arial" w:hAnsi="Arial" w:cs="Arial"/>
          <w:i/>
          <w:iCs/>
          <w:color w:val="666666"/>
          <w:sz w:val="24"/>
          <w:szCs w:val="24"/>
        </w:rPr>
        <w:t>Of</w:t>
      </w:r>
      <w:proofErr w:type="gramEnd"/>
      <w:r w:rsidRPr="001D7154">
        <w:rPr>
          <w:rFonts w:ascii="Arial" w:hAnsi="Arial" w:cs="Arial"/>
          <w:i/>
          <w:iCs/>
          <w:color w:val="666666"/>
          <w:sz w:val="24"/>
          <w:szCs w:val="24"/>
        </w:rPr>
        <w:t xml:space="preserve"> Gerontology</w:t>
      </w:r>
      <w:r w:rsidRPr="001D7154">
        <w:rPr>
          <w:rFonts w:ascii="Arial" w:hAnsi="Arial" w:cs="Arial"/>
          <w:color w:val="666666"/>
          <w:sz w:val="24"/>
          <w:szCs w:val="24"/>
        </w:rPr>
        <w:t xml:space="preserve">, </w:t>
      </w:r>
      <w:r w:rsidRPr="001D7154">
        <w:rPr>
          <w:rFonts w:ascii="Arial" w:hAnsi="Arial" w:cs="Arial"/>
          <w:i/>
          <w:iCs/>
          <w:color w:val="666666"/>
          <w:sz w:val="24"/>
          <w:szCs w:val="24"/>
        </w:rPr>
        <w:t>27</w:t>
      </w:r>
      <w:r w:rsidRPr="001D7154">
        <w:rPr>
          <w:rFonts w:ascii="Arial" w:hAnsi="Arial" w:cs="Arial"/>
          <w:color w:val="666666"/>
          <w:sz w:val="24"/>
          <w:szCs w:val="24"/>
        </w:rPr>
        <w:t>(4), 511-523. http://dx.doi.org/10.1093/geronj/27.4.511</w:t>
      </w:r>
    </w:p>
    <w:p w14:paraId="4D11CB6B" w14:textId="4005A013" w:rsidR="004C2D8B" w:rsidRPr="001D7154" w:rsidRDefault="004C2D8B" w:rsidP="001D7154">
      <w:pPr>
        <w:spacing w:line="480" w:lineRule="auto"/>
        <w:rPr>
          <w:rFonts w:ascii="Arial" w:hAnsi="Arial" w:cs="Arial"/>
          <w:sz w:val="24"/>
          <w:szCs w:val="24"/>
        </w:rPr>
      </w:pPr>
      <w:r w:rsidRPr="001D7154">
        <w:rPr>
          <w:rStyle w:val="selectable"/>
          <w:rFonts w:ascii="Arial" w:hAnsi="Arial" w:cs="Arial"/>
          <w:color w:val="666666"/>
          <w:sz w:val="24"/>
          <w:szCs w:val="24"/>
        </w:rPr>
        <w:t xml:space="preserve">Park, N. (2009). The Relationship of Social Engagement to Psychological Well-Being of Older Adults in Assisted Living Facilities. </w:t>
      </w:r>
      <w:r w:rsidRPr="001D7154">
        <w:rPr>
          <w:rStyle w:val="selectable"/>
          <w:rFonts w:ascii="Arial" w:hAnsi="Arial" w:cs="Arial"/>
          <w:i/>
          <w:iCs/>
          <w:color w:val="666666"/>
          <w:sz w:val="24"/>
          <w:szCs w:val="24"/>
        </w:rPr>
        <w:t xml:space="preserve">Journal </w:t>
      </w:r>
      <w:proofErr w:type="gramStart"/>
      <w:r w:rsidRPr="001D7154">
        <w:rPr>
          <w:rStyle w:val="selectable"/>
          <w:rFonts w:ascii="Arial" w:hAnsi="Arial" w:cs="Arial"/>
          <w:i/>
          <w:iCs/>
          <w:color w:val="666666"/>
          <w:sz w:val="24"/>
          <w:szCs w:val="24"/>
        </w:rPr>
        <w:t>Of</w:t>
      </w:r>
      <w:proofErr w:type="gramEnd"/>
      <w:r w:rsidRPr="001D7154">
        <w:rPr>
          <w:rStyle w:val="selectable"/>
          <w:rFonts w:ascii="Arial" w:hAnsi="Arial" w:cs="Arial"/>
          <w:i/>
          <w:iCs/>
          <w:color w:val="666666"/>
          <w:sz w:val="24"/>
          <w:szCs w:val="24"/>
        </w:rPr>
        <w:t xml:space="preserve"> Applied Gerontology</w:t>
      </w:r>
      <w:r w:rsidRPr="001D7154">
        <w:rPr>
          <w:rStyle w:val="selectable"/>
          <w:rFonts w:ascii="Arial" w:hAnsi="Arial" w:cs="Arial"/>
          <w:color w:val="666666"/>
          <w:sz w:val="24"/>
          <w:szCs w:val="24"/>
        </w:rPr>
        <w:t xml:space="preserve">, </w:t>
      </w:r>
      <w:r w:rsidRPr="001D7154">
        <w:rPr>
          <w:rStyle w:val="selectable"/>
          <w:rFonts w:ascii="Arial" w:hAnsi="Arial" w:cs="Arial"/>
          <w:i/>
          <w:iCs/>
          <w:color w:val="666666"/>
          <w:sz w:val="24"/>
          <w:szCs w:val="24"/>
        </w:rPr>
        <w:t>28</w:t>
      </w:r>
      <w:r w:rsidRPr="001D7154">
        <w:rPr>
          <w:rStyle w:val="selectable"/>
          <w:rFonts w:ascii="Arial" w:hAnsi="Arial" w:cs="Arial"/>
          <w:color w:val="666666"/>
          <w:sz w:val="24"/>
          <w:szCs w:val="24"/>
        </w:rPr>
        <w:t>(4), 461-481. http://dx.doi.org/10.1177/0733464808328606</w:t>
      </w:r>
    </w:p>
    <w:p w14:paraId="0E0035E6" w14:textId="5FD36D37" w:rsidR="11ADD4F6" w:rsidRPr="001D7154" w:rsidRDefault="11ADD4F6" w:rsidP="001D7154">
      <w:pPr>
        <w:spacing w:line="480" w:lineRule="auto"/>
        <w:rPr>
          <w:rFonts w:ascii="Arial" w:hAnsi="Arial" w:cs="Arial"/>
          <w:sz w:val="24"/>
          <w:szCs w:val="24"/>
        </w:rPr>
      </w:pPr>
      <w:r w:rsidRPr="001D7154">
        <w:rPr>
          <w:rFonts w:ascii="Arial" w:eastAsia="Calibri" w:hAnsi="Arial" w:cs="Arial"/>
          <w:sz w:val="24"/>
          <w:szCs w:val="24"/>
        </w:rPr>
        <w:t xml:space="preserve">Engeström, Y. (1999). Activity theory and individual and social transformation. </w:t>
      </w:r>
      <w:r w:rsidRPr="001D7154">
        <w:rPr>
          <w:rFonts w:ascii="Arial" w:eastAsia="Calibri" w:hAnsi="Arial" w:cs="Arial"/>
          <w:i/>
          <w:iCs/>
          <w:sz w:val="24"/>
          <w:szCs w:val="24"/>
        </w:rPr>
        <w:t>Perspectives on activity theory</w:t>
      </w:r>
      <w:r w:rsidRPr="001D7154">
        <w:rPr>
          <w:rFonts w:ascii="Arial" w:eastAsia="Calibri" w:hAnsi="Arial" w:cs="Arial"/>
          <w:sz w:val="24"/>
          <w:szCs w:val="24"/>
        </w:rPr>
        <w:t xml:space="preserve">, </w:t>
      </w:r>
      <w:r w:rsidRPr="001D7154">
        <w:rPr>
          <w:rFonts w:ascii="Arial" w:eastAsia="Calibri" w:hAnsi="Arial" w:cs="Arial"/>
          <w:i/>
          <w:iCs/>
          <w:sz w:val="24"/>
          <w:szCs w:val="24"/>
        </w:rPr>
        <w:t>19</w:t>
      </w:r>
      <w:r w:rsidRPr="001D7154">
        <w:rPr>
          <w:rFonts w:ascii="Arial" w:eastAsia="Calibri" w:hAnsi="Arial" w:cs="Arial"/>
          <w:sz w:val="24"/>
          <w:szCs w:val="24"/>
        </w:rPr>
        <w:t xml:space="preserve">(38). </w:t>
      </w:r>
    </w:p>
    <w:p w14:paraId="2F63632E" w14:textId="2CD23C13" w:rsidR="11ADD4F6" w:rsidRPr="001D7154" w:rsidRDefault="004C2D8B" w:rsidP="001D7154">
      <w:pPr>
        <w:spacing w:line="480" w:lineRule="auto"/>
        <w:rPr>
          <w:rFonts w:ascii="Arial" w:eastAsia="Calibri" w:hAnsi="Arial" w:cs="Arial"/>
          <w:sz w:val="24"/>
          <w:szCs w:val="24"/>
        </w:rPr>
      </w:pPr>
      <w:r w:rsidRPr="001D7154">
        <w:rPr>
          <w:rFonts w:ascii="Arial" w:hAnsi="Arial" w:cs="Arial"/>
          <w:color w:val="666666"/>
          <w:sz w:val="24"/>
          <w:szCs w:val="24"/>
        </w:rPr>
        <w:t xml:space="preserve">Maddox, G. (1963). Activity and Morale: A Longitudinal Study of Selected Elderly Subjects. </w:t>
      </w:r>
      <w:r w:rsidRPr="001D7154">
        <w:rPr>
          <w:rFonts w:ascii="Arial" w:hAnsi="Arial" w:cs="Arial"/>
          <w:i/>
          <w:iCs/>
          <w:color w:val="666666"/>
          <w:sz w:val="24"/>
          <w:szCs w:val="24"/>
        </w:rPr>
        <w:t>Social Forces</w:t>
      </w:r>
      <w:r w:rsidRPr="001D7154">
        <w:rPr>
          <w:rFonts w:ascii="Arial" w:hAnsi="Arial" w:cs="Arial"/>
          <w:color w:val="666666"/>
          <w:sz w:val="24"/>
          <w:szCs w:val="24"/>
        </w:rPr>
        <w:t xml:space="preserve">, </w:t>
      </w:r>
      <w:r w:rsidRPr="001D7154">
        <w:rPr>
          <w:rFonts w:ascii="Arial" w:hAnsi="Arial" w:cs="Arial"/>
          <w:i/>
          <w:iCs/>
          <w:color w:val="666666"/>
          <w:sz w:val="24"/>
          <w:szCs w:val="24"/>
        </w:rPr>
        <w:t>42</w:t>
      </w:r>
      <w:r w:rsidRPr="001D7154">
        <w:rPr>
          <w:rFonts w:ascii="Arial" w:hAnsi="Arial" w:cs="Arial"/>
          <w:color w:val="666666"/>
          <w:sz w:val="24"/>
          <w:szCs w:val="24"/>
        </w:rPr>
        <w:t>(2), 195-204. http://dx.doi.org/10.1093/sf/42.2.195</w:t>
      </w:r>
    </w:p>
    <w:p w14:paraId="75EB42A3" w14:textId="3DE07F96" w:rsidR="11ADD4F6" w:rsidRDefault="11ADD4F6" w:rsidP="11ADD4F6"/>
    <w:sectPr w:rsidR="11ADD4F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ADD4F6"/>
    <w:rsid w:val="001D7154"/>
    <w:rsid w:val="004C2D8B"/>
    <w:rsid w:val="00BF7AEB"/>
    <w:rsid w:val="11ADD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06E75"/>
  <w15:chartTrackingRefBased/>
  <w15:docId w15:val="{492246D9-7940-4FA6-81A6-FEF18220E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4C2D8B"/>
    <w:rPr>
      <w:color w:val="808080"/>
      <w:shd w:val="clear" w:color="auto" w:fill="E6E6E6"/>
    </w:rPr>
  </w:style>
  <w:style w:type="character" w:customStyle="1" w:styleId="selectable">
    <w:name w:val="selectable"/>
    <w:basedOn w:val="DefaultParagraphFont"/>
    <w:rsid w:val="004C2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1299</Words>
  <Characters>7408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Bekah Bamsey</cp:lastModifiedBy>
  <cp:revision>3</cp:revision>
  <dcterms:created xsi:type="dcterms:W3CDTF">2018-04-19T19:08:00Z</dcterms:created>
  <dcterms:modified xsi:type="dcterms:W3CDTF">2018-04-19T19:19:00Z</dcterms:modified>
</cp:coreProperties>
</file>