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936471" w14:textId="67B4A1F2" w:rsidR="00C166EA" w:rsidRPr="00697F5C" w:rsidRDefault="008D4353" w:rsidP="00697F5C">
      <w:pPr>
        <w:spacing w:line="360" w:lineRule="auto"/>
        <w:jc w:val="center"/>
        <w:rPr>
          <w:rFonts w:ascii="Times New Roman" w:hAnsi="Times New Roman" w:cs="Times New Roman"/>
          <w:sz w:val="32"/>
          <w:szCs w:val="32"/>
          <w:u w:val="single"/>
        </w:rPr>
      </w:pPr>
      <w:r w:rsidRPr="00697F5C">
        <w:rPr>
          <w:rFonts w:ascii="Times New Roman" w:hAnsi="Times New Roman" w:cs="Times New Roman"/>
          <w:sz w:val="32"/>
          <w:szCs w:val="32"/>
          <w:u w:val="single"/>
        </w:rPr>
        <w:t>The Snettisham Great Torc</w:t>
      </w:r>
    </w:p>
    <w:p w14:paraId="5F8101E4" w14:textId="0D25BFCC" w:rsidR="008D4353" w:rsidRDefault="008D4353" w:rsidP="008D4353">
      <w:pPr>
        <w:spacing w:line="360" w:lineRule="auto"/>
        <w:rPr>
          <w:rFonts w:ascii="Times New Roman" w:hAnsi="Times New Roman" w:cs="Times New Roman"/>
          <w:sz w:val="24"/>
          <w:szCs w:val="24"/>
        </w:rPr>
      </w:pPr>
      <w:r>
        <w:rPr>
          <w:rFonts w:ascii="Times New Roman" w:hAnsi="Times New Roman" w:cs="Times New Roman"/>
          <w:sz w:val="24"/>
          <w:szCs w:val="24"/>
        </w:rPr>
        <w:t>A torc</w:t>
      </w:r>
      <w:r w:rsidR="00697F5C">
        <w:rPr>
          <w:rFonts w:ascii="Times New Roman" w:hAnsi="Times New Roman" w:cs="Times New Roman"/>
          <w:sz w:val="24"/>
          <w:szCs w:val="24"/>
        </w:rPr>
        <w:t>, or torque,</w:t>
      </w:r>
      <w:r>
        <w:rPr>
          <w:rFonts w:ascii="Times New Roman" w:hAnsi="Times New Roman" w:cs="Times New Roman"/>
          <w:sz w:val="24"/>
          <w:szCs w:val="24"/>
        </w:rPr>
        <w:t xml:space="preserve"> is a neck-ring, usually made of metal, that was worn during the Iron Age by various peoples around Celtic Europe.</w:t>
      </w:r>
      <w:r w:rsidR="00864453">
        <w:rPr>
          <w:rStyle w:val="FootnoteReference"/>
          <w:rFonts w:ascii="Times New Roman" w:hAnsi="Times New Roman" w:cs="Times New Roman"/>
          <w:sz w:val="24"/>
          <w:szCs w:val="24"/>
        </w:rPr>
        <w:footnoteReference w:id="1"/>
      </w:r>
      <w:r>
        <w:rPr>
          <w:rFonts w:ascii="Times New Roman" w:hAnsi="Times New Roman" w:cs="Times New Roman"/>
          <w:sz w:val="24"/>
          <w:szCs w:val="24"/>
        </w:rPr>
        <w:t xml:space="preserve"> The name comes from the Latin ‘torque</w:t>
      </w:r>
      <w:r w:rsidR="00864453">
        <w:rPr>
          <w:rFonts w:ascii="Times New Roman" w:hAnsi="Times New Roman" w:cs="Times New Roman"/>
          <w:sz w:val="24"/>
          <w:szCs w:val="24"/>
        </w:rPr>
        <w:t>s</w:t>
      </w:r>
      <w:r>
        <w:rPr>
          <w:rFonts w:ascii="Times New Roman" w:hAnsi="Times New Roman" w:cs="Times New Roman"/>
          <w:sz w:val="24"/>
          <w:szCs w:val="24"/>
        </w:rPr>
        <w:t xml:space="preserve">’, </w:t>
      </w:r>
      <w:r>
        <w:rPr>
          <w:rFonts w:ascii="Times New Roman" w:hAnsi="Times New Roman" w:cs="Times New Roman"/>
          <w:i/>
          <w:iCs/>
          <w:sz w:val="24"/>
          <w:szCs w:val="24"/>
        </w:rPr>
        <w:t>twist</w:t>
      </w:r>
      <w:r w:rsidR="00864453">
        <w:rPr>
          <w:rFonts w:ascii="Times New Roman" w:hAnsi="Times New Roman" w:cs="Times New Roman"/>
          <w:i/>
          <w:iCs/>
          <w:sz w:val="24"/>
          <w:szCs w:val="24"/>
        </w:rPr>
        <w:t>ed bar</w:t>
      </w:r>
      <w:r>
        <w:rPr>
          <w:rFonts w:ascii="Times New Roman" w:hAnsi="Times New Roman" w:cs="Times New Roman"/>
          <w:sz w:val="24"/>
          <w:szCs w:val="24"/>
        </w:rPr>
        <w:t>.</w:t>
      </w:r>
      <w:r w:rsidR="00864453">
        <w:rPr>
          <w:rStyle w:val="FootnoteReference"/>
          <w:rFonts w:ascii="Times New Roman" w:hAnsi="Times New Roman" w:cs="Times New Roman"/>
          <w:sz w:val="24"/>
          <w:szCs w:val="24"/>
        </w:rPr>
        <w:footnoteReference w:id="2"/>
      </w:r>
      <w:r w:rsidR="00864453">
        <w:rPr>
          <w:rFonts w:ascii="Times New Roman" w:hAnsi="Times New Roman" w:cs="Times New Roman"/>
          <w:sz w:val="24"/>
          <w:szCs w:val="24"/>
        </w:rPr>
        <w:t xml:space="preserve"> They feature regularly in Celtic artwork, generally being worn as jewellery or held by figures</w:t>
      </w:r>
      <w:r w:rsidR="00697F5C">
        <w:rPr>
          <w:rFonts w:ascii="Times New Roman" w:hAnsi="Times New Roman" w:cs="Times New Roman"/>
          <w:sz w:val="24"/>
          <w:szCs w:val="24"/>
        </w:rPr>
        <w:t>, as seen on the Gundestrup Cauldron</w:t>
      </w:r>
      <w:r w:rsidR="00864453">
        <w:rPr>
          <w:rFonts w:ascii="Times New Roman" w:hAnsi="Times New Roman" w:cs="Times New Roman"/>
          <w:sz w:val="24"/>
          <w:szCs w:val="24"/>
        </w:rPr>
        <w:t>.</w:t>
      </w:r>
      <w:r w:rsidR="00864453">
        <w:rPr>
          <w:rStyle w:val="FootnoteReference"/>
          <w:rFonts w:ascii="Times New Roman" w:hAnsi="Times New Roman" w:cs="Times New Roman"/>
          <w:sz w:val="24"/>
          <w:szCs w:val="24"/>
        </w:rPr>
        <w:footnoteReference w:id="3"/>
      </w:r>
      <w:r w:rsidR="00864453">
        <w:rPr>
          <w:rFonts w:ascii="Times New Roman" w:hAnsi="Times New Roman" w:cs="Times New Roman"/>
          <w:sz w:val="24"/>
          <w:szCs w:val="24"/>
        </w:rPr>
        <w:t xml:space="preserve"> Smaller torcs may have been worn as armlets or </w:t>
      </w:r>
      <w:r w:rsidR="00B85576">
        <w:rPr>
          <w:rFonts w:ascii="Times New Roman" w:hAnsi="Times New Roman" w:cs="Times New Roman"/>
          <w:sz w:val="24"/>
          <w:szCs w:val="24"/>
        </w:rPr>
        <w:t>bracelets or</w:t>
      </w:r>
      <w:r w:rsidR="00864453">
        <w:rPr>
          <w:rFonts w:ascii="Times New Roman" w:hAnsi="Times New Roman" w:cs="Times New Roman"/>
          <w:sz w:val="24"/>
          <w:szCs w:val="24"/>
        </w:rPr>
        <w:t xml:space="preserve"> could have been worn by children</w:t>
      </w:r>
      <w:r w:rsidR="00697F5C">
        <w:rPr>
          <w:rStyle w:val="FootnoteReference"/>
          <w:rFonts w:ascii="Times New Roman" w:hAnsi="Times New Roman" w:cs="Times New Roman"/>
          <w:sz w:val="24"/>
          <w:szCs w:val="24"/>
        </w:rPr>
        <w:footnoteReference w:id="4"/>
      </w:r>
      <w:r w:rsidR="00864453">
        <w:rPr>
          <w:rFonts w:ascii="Times New Roman" w:hAnsi="Times New Roman" w:cs="Times New Roman"/>
          <w:sz w:val="24"/>
          <w:szCs w:val="24"/>
        </w:rPr>
        <w:t>. Both sexes wore torcs, and it is thought that they were worn as a show of status.</w:t>
      </w:r>
      <w:r w:rsidR="00B85576">
        <w:rPr>
          <w:rStyle w:val="FootnoteReference"/>
          <w:rFonts w:ascii="Times New Roman" w:hAnsi="Times New Roman" w:cs="Times New Roman"/>
          <w:sz w:val="24"/>
          <w:szCs w:val="24"/>
        </w:rPr>
        <w:footnoteReference w:id="5"/>
      </w:r>
      <w:r w:rsidR="00B85576">
        <w:rPr>
          <w:rFonts w:ascii="Times New Roman" w:hAnsi="Times New Roman" w:cs="Times New Roman"/>
          <w:sz w:val="24"/>
          <w:szCs w:val="24"/>
        </w:rPr>
        <w:t xml:space="preserve"> </w:t>
      </w:r>
    </w:p>
    <w:p w14:paraId="78AEEA92" w14:textId="3634FF63" w:rsidR="00B85576" w:rsidRDefault="00B85576" w:rsidP="008D4353">
      <w:pPr>
        <w:spacing w:line="360" w:lineRule="auto"/>
        <w:rPr>
          <w:rFonts w:ascii="Times New Roman" w:hAnsi="Times New Roman" w:cs="Times New Roman"/>
          <w:sz w:val="24"/>
          <w:szCs w:val="24"/>
        </w:rPr>
      </w:pPr>
      <w:r>
        <w:rPr>
          <w:rFonts w:ascii="Times New Roman" w:hAnsi="Times New Roman" w:cs="Times New Roman"/>
          <w:sz w:val="24"/>
          <w:szCs w:val="24"/>
        </w:rPr>
        <w:t xml:space="preserve">The Snettisham Great torc is an electrum (gold and siler alloy) ‘torus’ torc, weighing 1084 grammes and measuring almost 20 </w:t>
      </w:r>
      <w:proofErr w:type="spellStart"/>
      <w:r>
        <w:rPr>
          <w:rFonts w:ascii="Times New Roman" w:hAnsi="Times New Roman" w:cs="Times New Roman"/>
          <w:sz w:val="24"/>
          <w:szCs w:val="24"/>
        </w:rPr>
        <w:t>cenimeters</w:t>
      </w:r>
      <w:proofErr w:type="spellEnd"/>
      <w:r>
        <w:rPr>
          <w:rFonts w:ascii="Times New Roman" w:hAnsi="Times New Roman" w:cs="Times New Roman"/>
          <w:sz w:val="24"/>
          <w:szCs w:val="24"/>
        </w:rPr>
        <w:t xml:space="preserve"> in diameter.</w:t>
      </w:r>
      <w:r>
        <w:rPr>
          <w:rStyle w:val="FootnoteReference"/>
          <w:rFonts w:ascii="Times New Roman" w:hAnsi="Times New Roman" w:cs="Times New Roman"/>
          <w:sz w:val="24"/>
          <w:szCs w:val="24"/>
        </w:rPr>
        <w:footnoteReference w:id="6"/>
      </w:r>
      <w:r>
        <w:rPr>
          <w:rFonts w:ascii="Times New Roman" w:hAnsi="Times New Roman" w:cs="Times New Roman"/>
          <w:sz w:val="24"/>
          <w:szCs w:val="24"/>
        </w:rPr>
        <w:t xml:space="preserve"> It is made up of 64 strands of metal braided into 8 ropes, which are then themselves braided. There is a hollow sheet-gold terminal at each end of the torc, which would rest on the wearer’s collarbone. </w:t>
      </w:r>
      <w:r w:rsidR="00885B30">
        <w:rPr>
          <w:rFonts w:ascii="Times New Roman" w:hAnsi="Times New Roman" w:cs="Times New Roman"/>
          <w:sz w:val="24"/>
          <w:szCs w:val="24"/>
        </w:rPr>
        <w:t>The terminals are decorated in what is known as the la Tène style, with</w:t>
      </w:r>
      <w:r w:rsidR="00697F5C">
        <w:rPr>
          <w:rFonts w:ascii="Times New Roman" w:hAnsi="Times New Roman" w:cs="Times New Roman"/>
          <w:sz w:val="24"/>
          <w:szCs w:val="24"/>
        </w:rPr>
        <w:t xml:space="preserve"> archaeologist</w:t>
      </w:r>
      <w:r w:rsidR="00885B30">
        <w:rPr>
          <w:rFonts w:ascii="Times New Roman" w:hAnsi="Times New Roman" w:cs="Times New Roman"/>
          <w:sz w:val="24"/>
          <w:szCs w:val="24"/>
        </w:rPr>
        <w:t xml:space="preserve"> Tess </w:t>
      </w:r>
      <w:proofErr w:type="spellStart"/>
      <w:r w:rsidR="00885B30">
        <w:rPr>
          <w:rFonts w:ascii="Times New Roman" w:hAnsi="Times New Roman" w:cs="Times New Roman"/>
          <w:sz w:val="24"/>
          <w:szCs w:val="24"/>
        </w:rPr>
        <w:t>Machling</w:t>
      </w:r>
      <w:proofErr w:type="spellEnd"/>
      <w:r w:rsidR="00885B30">
        <w:rPr>
          <w:rFonts w:ascii="Times New Roman" w:hAnsi="Times New Roman" w:cs="Times New Roman"/>
          <w:sz w:val="24"/>
          <w:szCs w:val="24"/>
        </w:rPr>
        <w:t xml:space="preserve"> noting: </w:t>
      </w:r>
    </w:p>
    <w:p w14:paraId="33B9D756" w14:textId="5783362C" w:rsidR="00B85576" w:rsidRDefault="00B85576" w:rsidP="00885B30">
      <w:pPr>
        <w:spacing w:line="360" w:lineRule="auto"/>
        <w:ind w:left="567"/>
        <w:rPr>
          <w:rFonts w:ascii="Times New Roman" w:hAnsi="Times New Roman" w:cs="Times New Roman"/>
          <w:sz w:val="24"/>
          <w:szCs w:val="24"/>
          <w:shd w:val="clear" w:color="auto" w:fill="FFFFFF"/>
        </w:rPr>
      </w:pPr>
      <w:r w:rsidRPr="00B85576">
        <w:rPr>
          <w:rFonts w:ascii="Times New Roman" w:hAnsi="Times New Roman" w:cs="Times New Roman"/>
          <w:sz w:val="24"/>
          <w:szCs w:val="24"/>
          <w:shd w:val="clear" w:color="auto" w:fill="FFFFFF"/>
        </w:rPr>
        <w:t xml:space="preserve">The individual design elements seen in both terminals are typical of the art of the period: punched dots, roundels, raised </w:t>
      </w:r>
      <w:proofErr w:type="spellStart"/>
      <w:r w:rsidRPr="00B85576">
        <w:rPr>
          <w:rFonts w:ascii="Times New Roman" w:hAnsi="Times New Roman" w:cs="Times New Roman"/>
          <w:sz w:val="24"/>
          <w:szCs w:val="24"/>
          <w:shd w:val="clear" w:color="auto" w:fill="FFFFFF"/>
        </w:rPr>
        <w:t>lentoids</w:t>
      </w:r>
      <w:proofErr w:type="spellEnd"/>
      <w:r w:rsidRPr="00B85576">
        <w:rPr>
          <w:rFonts w:ascii="Times New Roman" w:hAnsi="Times New Roman" w:cs="Times New Roman"/>
          <w:sz w:val="24"/>
          <w:szCs w:val="24"/>
          <w:shd w:val="clear" w:color="auto" w:fill="FFFFFF"/>
        </w:rPr>
        <w:t>, curved raised ridges, dummy rivets, and areas of punched tooling infilling space.</w:t>
      </w:r>
      <w:r w:rsidR="00885B30">
        <w:rPr>
          <w:rStyle w:val="FootnoteReference"/>
          <w:rFonts w:ascii="Times New Roman" w:hAnsi="Times New Roman" w:cs="Times New Roman"/>
          <w:sz w:val="24"/>
          <w:szCs w:val="24"/>
          <w:shd w:val="clear" w:color="auto" w:fill="FFFFFF"/>
        </w:rPr>
        <w:footnoteReference w:id="7"/>
      </w:r>
      <w:r w:rsidR="00885B30">
        <w:rPr>
          <w:rFonts w:ascii="Times New Roman" w:hAnsi="Times New Roman" w:cs="Times New Roman"/>
          <w:sz w:val="24"/>
          <w:szCs w:val="24"/>
          <w:shd w:val="clear" w:color="auto" w:fill="FFFFFF"/>
        </w:rPr>
        <w:t xml:space="preserve"> </w:t>
      </w:r>
    </w:p>
    <w:p w14:paraId="3E318256" w14:textId="6209FEDC" w:rsidR="00885B30" w:rsidRDefault="00885B30" w:rsidP="00885B30">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 Great torc is in relatively good condition, with some cracking to the solder that fitted the terminals to the wire ropes. There is debate around whether the terminals were reused. </w:t>
      </w:r>
      <w:proofErr w:type="spellStart"/>
      <w:r>
        <w:rPr>
          <w:rFonts w:ascii="Times New Roman" w:hAnsi="Times New Roman" w:cs="Times New Roman"/>
          <w:sz w:val="24"/>
          <w:szCs w:val="24"/>
          <w:shd w:val="clear" w:color="auto" w:fill="FFFFFF"/>
        </w:rPr>
        <w:t>Machling</w:t>
      </w:r>
      <w:proofErr w:type="spellEnd"/>
      <w:r>
        <w:rPr>
          <w:rFonts w:ascii="Times New Roman" w:hAnsi="Times New Roman" w:cs="Times New Roman"/>
          <w:sz w:val="24"/>
          <w:szCs w:val="24"/>
          <w:shd w:val="clear" w:color="auto" w:fill="FFFFFF"/>
        </w:rPr>
        <w:t xml:space="preserve"> and Williamson argue that the joins between the collar and terminals are ‘messy’, with large quantities of solder having been </w:t>
      </w:r>
      <w:proofErr w:type="gramStart"/>
      <w:r>
        <w:rPr>
          <w:rFonts w:ascii="Times New Roman" w:hAnsi="Times New Roman" w:cs="Times New Roman"/>
          <w:sz w:val="24"/>
          <w:szCs w:val="24"/>
          <w:shd w:val="clear" w:color="auto" w:fill="FFFFFF"/>
        </w:rPr>
        <w:t>poorly-applied</w:t>
      </w:r>
      <w:proofErr w:type="gramEnd"/>
      <w:r>
        <w:rPr>
          <w:rFonts w:ascii="Times New Roman" w:hAnsi="Times New Roman" w:cs="Times New Roman"/>
          <w:sz w:val="24"/>
          <w:szCs w:val="24"/>
          <w:shd w:val="clear" w:color="auto" w:fill="FFFFFF"/>
        </w:rPr>
        <w:t xml:space="preserve"> to fill gaps between the collar and terminals. They suggest that this indicated the terminals could have been recycled from a </w:t>
      </w:r>
      <w:r>
        <w:rPr>
          <w:rFonts w:ascii="Times New Roman" w:hAnsi="Times New Roman" w:cs="Times New Roman"/>
          <w:sz w:val="24"/>
          <w:szCs w:val="24"/>
          <w:shd w:val="clear" w:color="auto" w:fill="FFFFFF"/>
        </w:rPr>
        <w:lastRenderedPageBreak/>
        <w:t>previous torc and fitted to a new collar. The wire ropes on the neck-ring seem too small to fit the terminals exactly, further supporting this idea.</w:t>
      </w:r>
      <w:r>
        <w:rPr>
          <w:rStyle w:val="FootnoteReference"/>
          <w:rFonts w:ascii="Times New Roman" w:hAnsi="Times New Roman" w:cs="Times New Roman"/>
          <w:sz w:val="24"/>
          <w:szCs w:val="24"/>
          <w:shd w:val="clear" w:color="auto" w:fill="FFFFFF"/>
        </w:rPr>
        <w:footnoteReference w:id="8"/>
      </w:r>
      <w:r>
        <w:rPr>
          <w:rFonts w:ascii="Times New Roman" w:hAnsi="Times New Roman" w:cs="Times New Roman"/>
          <w:sz w:val="24"/>
          <w:szCs w:val="24"/>
          <w:shd w:val="clear" w:color="auto" w:fill="FFFFFF"/>
        </w:rPr>
        <w:t xml:space="preserve"> </w:t>
      </w:r>
    </w:p>
    <w:p w14:paraId="25C013AB" w14:textId="4B36935F" w:rsidR="00EF683B" w:rsidRDefault="00885B30" w:rsidP="00885B30">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It is estimated that the Great torc was made between 150-50 BC.</w:t>
      </w:r>
      <w:r>
        <w:rPr>
          <w:rStyle w:val="FootnoteReference"/>
          <w:rFonts w:ascii="Times New Roman" w:hAnsi="Times New Roman" w:cs="Times New Roman"/>
          <w:sz w:val="24"/>
          <w:szCs w:val="24"/>
          <w:shd w:val="clear" w:color="auto" w:fill="FFFFFF"/>
        </w:rPr>
        <w:footnoteReference w:id="9"/>
      </w:r>
      <w:r>
        <w:rPr>
          <w:rFonts w:ascii="Times New Roman" w:hAnsi="Times New Roman" w:cs="Times New Roman"/>
          <w:sz w:val="24"/>
          <w:szCs w:val="24"/>
          <w:shd w:val="clear" w:color="auto" w:fill="FFFFFF"/>
        </w:rPr>
        <w:t xml:space="preserve"> It was discovered in 1950 by ploughman Tom Rout while working a field on the Ken Hill Estate in Snettisham, Norfolk.</w:t>
      </w:r>
      <w:r w:rsidR="00174991">
        <w:rPr>
          <w:rStyle w:val="FootnoteReference"/>
          <w:rFonts w:ascii="Times New Roman" w:hAnsi="Times New Roman" w:cs="Times New Roman"/>
          <w:sz w:val="24"/>
          <w:szCs w:val="24"/>
          <w:shd w:val="clear" w:color="auto" w:fill="FFFFFF"/>
        </w:rPr>
        <w:footnoteReference w:id="10"/>
      </w:r>
      <w:r w:rsidR="00174991">
        <w:rPr>
          <w:rFonts w:ascii="Times New Roman" w:hAnsi="Times New Roman" w:cs="Times New Roman"/>
          <w:sz w:val="24"/>
          <w:szCs w:val="24"/>
          <w:shd w:val="clear" w:color="auto" w:fill="FFFFFF"/>
        </w:rPr>
        <w:t xml:space="preserve"> The Great torc was part of a hoard containing the remains of a second torc, a sheet-gold bracelet and a gold stater coin.</w:t>
      </w:r>
      <w:r w:rsidR="00174991">
        <w:rPr>
          <w:rStyle w:val="FootnoteReference"/>
          <w:rFonts w:ascii="Times New Roman" w:hAnsi="Times New Roman" w:cs="Times New Roman"/>
          <w:sz w:val="24"/>
          <w:szCs w:val="24"/>
          <w:shd w:val="clear" w:color="auto" w:fill="FFFFFF"/>
        </w:rPr>
        <w:footnoteReference w:id="11"/>
      </w:r>
      <w:r w:rsidR="00174991">
        <w:rPr>
          <w:rFonts w:ascii="Times New Roman" w:hAnsi="Times New Roman" w:cs="Times New Roman"/>
          <w:sz w:val="24"/>
          <w:szCs w:val="24"/>
          <w:shd w:val="clear" w:color="auto" w:fill="FFFFFF"/>
        </w:rPr>
        <w:t xml:space="preserve"> This collection made up Hoard E, one of several hoards found on the Ken Hill estate. Archaeologist Jody Joy writes that over 150 torcs and torc fragments have been recovered so far, making it ‘one of the largest concentrations of precious metal finds known from prehistoric Europe’.</w:t>
      </w:r>
      <w:r w:rsidR="00174991">
        <w:rPr>
          <w:rStyle w:val="FootnoteReference"/>
          <w:rFonts w:ascii="Times New Roman" w:hAnsi="Times New Roman" w:cs="Times New Roman"/>
          <w:sz w:val="24"/>
          <w:szCs w:val="24"/>
          <w:shd w:val="clear" w:color="auto" w:fill="FFFFFF"/>
        </w:rPr>
        <w:footnoteReference w:id="12"/>
      </w:r>
      <w:r w:rsidR="00174991">
        <w:rPr>
          <w:rFonts w:ascii="Times New Roman" w:hAnsi="Times New Roman" w:cs="Times New Roman"/>
          <w:sz w:val="24"/>
          <w:szCs w:val="24"/>
          <w:shd w:val="clear" w:color="auto" w:fill="FFFFFF"/>
        </w:rPr>
        <w:t xml:space="preserve"> There is much discussion amongst scholars about why so many torcs </w:t>
      </w:r>
      <w:r w:rsidR="00EF683B">
        <w:rPr>
          <w:rFonts w:ascii="Times New Roman" w:hAnsi="Times New Roman" w:cs="Times New Roman"/>
          <w:sz w:val="24"/>
          <w:szCs w:val="24"/>
          <w:shd w:val="clear" w:color="auto" w:fill="FFFFFF"/>
        </w:rPr>
        <w:t>have been</w:t>
      </w:r>
      <w:r w:rsidR="00174991">
        <w:rPr>
          <w:rFonts w:ascii="Times New Roman" w:hAnsi="Times New Roman" w:cs="Times New Roman"/>
          <w:sz w:val="24"/>
          <w:szCs w:val="24"/>
          <w:shd w:val="clear" w:color="auto" w:fill="FFFFFF"/>
        </w:rPr>
        <w:t xml:space="preserve"> buried </w:t>
      </w:r>
      <w:r w:rsidR="00EF683B">
        <w:rPr>
          <w:rFonts w:ascii="Times New Roman" w:hAnsi="Times New Roman" w:cs="Times New Roman"/>
          <w:sz w:val="24"/>
          <w:szCs w:val="24"/>
          <w:shd w:val="clear" w:color="auto" w:fill="FFFFFF"/>
        </w:rPr>
        <w:t>at the Snettisham site</w:t>
      </w:r>
      <w:r w:rsidR="00174991">
        <w:rPr>
          <w:rFonts w:ascii="Times New Roman" w:hAnsi="Times New Roman" w:cs="Times New Roman"/>
          <w:sz w:val="24"/>
          <w:szCs w:val="24"/>
          <w:shd w:val="clear" w:color="auto" w:fill="FFFFFF"/>
        </w:rPr>
        <w:t xml:space="preserve">, with theories ranging from the hoards being religious offerings, a treasury or even an Iron Age workshop. The site is enclosed in what </w:t>
      </w:r>
      <w:r w:rsidR="00697F5C">
        <w:rPr>
          <w:rFonts w:ascii="Times New Roman" w:hAnsi="Times New Roman" w:cs="Times New Roman"/>
          <w:sz w:val="24"/>
          <w:szCs w:val="24"/>
          <w:shd w:val="clear" w:color="auto" w:fill="FFFFFF"/>
        </w:rPr>
        <w:t>has been</w:t>
      </w:r>
      <w:r w:rsidR="00174991">
        <w:rPr>
          <w:rFonts w:ascii="Times New Roman" w:hAnsi="Times New Roman" w:cs="Times New Roman"/>
          <w:sz w:val="24"/>
          <w:szCs w:val="24"/>
          <w:shd w:val="clear" w:color="auto" w:fill="FFFFFF"/>
        </w:rPr>
        <w:t xml:space="preserve"> debated to be a Romano-Celtic temple</w:t>
      </w:r>
      <w:r w:rsidR="00EF683B">
        <w:rPr>
          <w:rFonts w:ascii="Times New Roman" w:hAnsi="Times New Roman" w:cs="Times New Roman"/>
          <w:sz w:val="24"/>
          <w:szCs w:val="24"/>
          <w:shd w:val="clear" w:color="auto" w:fill="FFFFFF"/>
        </w:rPr>
        <w:t>, further arousing debate among scholars</w:t>
      </w:r>
      <w:r w:rsidR="009D607B">
        <w:rPr>
          <w:rFonts w:ascii="Times New Roman" w:hAnsi="Times New Roman" w:cs="Times New Roman"/>
          <w:sz w:val="24"/>
          <w:szCs w:val="24"/>
          <w:shd w:val="clear" w:color="auto" w:fill="FFFFFF"/>
        </w:rPr>
        <w:t>. However,</w:t>
      </w:r>
      <w:r w:rsidR="0037025F">
        <w:rPr>
          <w:rFonts w:ascii="Times New Roman" w:hAnsi="Times New Roman" w:cs="Times New Roman"/>
          <w:sz w:val="24"/>
          <w:szCs w:val="24"/>
          <w:shd w:val="clear" w:color="auto" w:fill="FFFFFF"/>
        </w:rPr>
        <w:t xml:space="preserve"> archaeologist I. M. Stead writes that</w:t>
      </w:r>
      <w:r w:rsidR="009D607B">
        <w:rPr>
          <w:rFonts w:ascii="Times New Roman" w:hAnsi="Times New Roman" w:cs="Times New Roman"/>
          <w:sz w:val="24"/>
          <w:szCs w:val="24"/>
          <w:shd w:val="clear" w:color="auto" w:fill="FFFFFF"/>
        </w:rPr>
        <w:t xml:space="preserve"> </w:t>
      </w:r>
      <w:r w:rsidR="00697F5C">
        <w:rPr>
          <w:rFonts w:ascii="Times New Roman" w:hAnsi="Times New Roman" w:cs="Times New Roman"/>
          <w:sz w:val="24"/>
          <w:szCs w:val="24"/>
          <w:shd w:val="clear" w:color="auto" w:fill="FFFFFF"/>
        </w:rPr>
        <w:t xml:space="preserve">‘no Romano-British religious artefacts were </w:t>
      </w:r>
      <w:proofErr w:type="gramStart"/>
      <w:r w:rsidR="00697F5C">
        <w:rPr>
          <w:rFonts w:ascii="Times New Roman" w:hAnsi="Times New Roman" w:cs="Times New Roman"/>
          <w:sz w:val="24"/>
          <w:szCs w:val="24"/>
          <w:shd w:val="clear" w:color="auto" w:fill="FFFFFF"/>
        </w:rPr>
        <w:t>found</w:t>
      </w:r>
      <w:proofErr w:type="gramEnd"/>
      <w:r w:rsidR="00697F5C">
        <w:rPr>
          <w:rFonts w:ascii="Times New Roman" w:hAnsi="Times New Roman" w:cs="Times New Roman"/>
          <w:sz w:val="24"/>
          <w:szCs w:val="24"/>
          <w:shd w:val="clear" w:color="auto" w:fill="FFFFFF"/>
        </w:rPr>
        <w:t xml:space="preserve"> and coin evidence does not suggest that this was the site of a Roman temple’</w:t>
      </w:r>
      <w:r w:rsidR="009D607B">
        <w:rPr>
          <w:rFonts w:ascii="Times New Roman" w:hAnsi="Times New Roman" w:cs="Times New Roman"/>
          <w:sz w:val="24"/>
          <w:szCs w:val="24"/>
          <w:shd w:val="clear" w:color="auto" w:fill="FFFFFF"/>
        </w:rPr>
        <w:t>.</w:t>
      </w:r>
      <w:r w:rsidR="009D607B">
        <w:rPr>
          <w:rStyle w:val="FootnoteReference"/>
          <w:rFonts w:ascii="Times New Roman" w:hAnsi="Times New Roman" w:cs="Times New Roman"/>
          <w:sz w:val="24"/>
          <w:szCs w:val="24"/>
          <w:shd w:val="clear" w:color="auto" w:fill="FFFFFF"/>
        </w:rPr>
        <w:footnoteReference w:id="13"/>
      </w:r>
      <w:r w:rsidR="009D607B">
        <w:rPr>
          <w:rFonts w:ascii="Times New Roman" w:hAnsi="Times New Roman" w:cs="Times New Roman"/>
          <w:sz w:val="24"/>
          <w:szCs w:val="24"/>
          <w:shd w:val="clear" w:color="auto" w:fill="FFFFFF"/>
        </w:rPr>
        <w:t xml:space="preserve"> The Snettisham Great torc is currently housed in the British Museum (museum no.: 1951,0402.2).</w:t>
      </w:r>
      <w:r w:rsidR="009D607B">
        <w:rPr>
          <w:rStyle w:val="FootnoteReference"/>
          <w:rFonts w:ascii="Times New Roman" w:hAnsi="Times New Roman" w:cs="Times New Roman"/>
          <w:sz w:val="24"/>
          <w:szCs w:val="24"/>
          <w:shd w:val="clear" w:color="auto" w:fill="FFFFFF"/>
        </w:rPr>
        <w:footnoteReference w:id="14"/>
      </w:r>
      <w:r w:rsidR="009D607B">
        <w:rPr>
          <w:rFonts w:ascii="Times New Roman" w:hAnsi="Times New Roman" w:cs="Times New Roman"/>
          <w:sz w:val="24"/>
          <w:szCs w:val="24"/>
          <w:shd w:val="clear" w:color="auto" w:fill="FFFFFF"/>
        </w:rPr>
        <w:t xml:space="preserve"> </w:t>
      </w:r>
    </w:p>
    <w:p w14:paraId="07C08020" w14:textId="77777777" w:rsidR="00EF683B" w:rsidRDefault="00EF683B">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br w:type="page"/>
      </w:r>
    </w:p>
    <w:p w14:paraId="021BE791" w14:textId="68FB5128" w:rsidR="00EF683B" w:rsidRPr="00EF683B" w:rsidRDefault="00EF683B" w:rsidP="00EF683B">
      <w:pPr>
        <w:pStyle w:val="Bibliography"/>
        <w:jc w:val="center"/>
        <w:rPr>
          <w:rFonts w:ascii="Times New Roman" w:hAnsi="Times New Roman" w:cs="Times New Roman"/>
          <w:sz w:val="32"/>
          <w:szCs w:val="32"/>
          <w:u w:val="single"/>
        </w:rPr>
      </w:pPr>
      <w:r w:rsidRPr="00EF683B">
        <w:rPr>
          <w:rFonts w:ascii="Times New Roman" w:hAnsi="Times New Roman" w:cs="Times New Roman"/>
          <w:sz w:val="32"/>
          <w:szCs w:val="32"/>
          <w:u w:val="single"/>
        </w:rPr>
        <w:lastRenderedPageBreak/>
        <w:t>Bibliography</w:t>
      </w:r>
    </w:p>
    <w:p w14:paraId="0361069B" w14:textId="163CEE98" w:rsidR="00EF683B" w:rsidRPr="00454122" w:rsidRDefault="00EF683B" w:rsidP="00EF683B">
      <w:pPr>
        <w:pStyle w:val="Bibliography"/>
        <w:rPr>
          <w:rFonts w:ascii="Times New Roman" w:hAnsi="Times New Roman" w:cs="Times New Roman"/>
          <w:sz w:val="24"/>
          <w:szCs w:val="24"/>
        </w:rPr>
      </w:pPr>
      <w:r w:rsidRPr="00454122">
        <w:rPr>
          <w:rFonts w:ascii="Times New Roman" w:hAnsi="Times New Roman" w:cs="Times New Roman"/>
          <w:sz w:val="24"/>
          <w:szCs w:val="24"/>
        </w:rPr>
        <w:t xml:space="preserve">British Museum, ‘Torc’, </w:t>
      </w:r>
      <w:r w:rsidRPr="00454122">
        <w:rPr>
          <w:rFonts w:ascii="Times New Roman" w:hAnsi="Times New Roman" w:cs="Times New Roman"/>
          <w:i/>
          <w:iCs/>
          <w:sz w:val="24"/>
          <w:szCs w:val="24"/>
        </w:rPr>
        <w:t>The British Museum</w:t>
      </w:r>
      <w:r w:rsidRPr="00454122">
        <w:rPr>
          <w:rFonts w:ascii="Times New Roman" w:hAnsi="Times New Roman" w:cs="Times New Roman"/>
          <w:sz w:val="24"/>
          <w:szCs w:val="24"/>
        </w:rPr>
        <w:t xml:space="preserve"> </w:t>
      </w:r>
      <w:r w:rsidRPr="00454122">
        <w:rPr>
          <w:rFonts w:ascii="Times New Roman" w:hAnsi="Times New Roman" w:cs="Times New Roman"/>
          <w:sz w:val="24"/>
          <w:szCs w:val="24"/>
        </w:rPr>
        <w:t>&lt;https://www.britishmuseum.org/collection/object/H_1951-0402-2&gt; [accessed 13 October 2023]</w:t>
      </w:r>
    </w:p>
    <w:p w14:paraId="38E878E3" w14:textId="48D3E0B9" w:rsidR="00EF683B" w:rsidRPr="00454122" w:rsidRDefault="00EF683B" w:rsidP="00EF683B">
      <w:pPr>
        <w:pStyle w:val="Bibliography"/>
        <w:rPr>
          <w:rFonts w:ascii="Times New Roman" w:hAnsi="Times New Roman" w:cs="Times New Roman"/>
          <w:sz w:val="24"/>
        </w:rPr>
      </w:pPr>
      <w:r w:rsidRPr="00454122">
        <w:fldChar w:fldCharType="begin"/>
      </w:r>
      <w:r w:rsidRPr="00454122">
        <w:instrText xml:space="preserve"> ADDIN ZOTERO_BIBL {"uncited":[],"omitted":[],"custom":[]} CSL_BIBLIOGRAPHY </w:instrText>
      </w:r>
      <w:r w:rsidRPr="00454122">
        <w:fldChar w:fldCharType="separate"/>
      </w:r>
      <w:r w:rsidRPr="00454122">
        <w:rPr>
          <w:rFonts w:ascii="Times New Roman" w:hAnsi="Times New Roman" w:cs="Times New Roman"/>
          <w:sz w:val="24"/>
        </w:rPr>
        <w:t xml:space="preserve">Current Archaeology, ‘100 BC - The Snettisham Treasure’, </w:t>
      </w:r>
      <w:r w:rsidRPr="00454122">
        <w:rPr>
          <w:rFonts w:ascii="Times New Roman" w:hAnsi="Times New Roman" w:cs="Times New Roman"/>
          <w:i/>
          <w:iCs/>
          <w:sz w:val="24"/>
        </w:rPr>
        <w:t>Current Archaeology; Online</w:t>
      </w:r>
      <w:r w:rsidRPr="00454122">
        <w:rPr>
          <w:rFonts w:ascii="Times New Roman" w:hAnsi="Times New Roman" w:cs="Times New Roman"/>
          <w:sz w:val="24"/>
        </w:rPr>
        <w:t>, 24 May 2007 &lt;https://archaeology.co.uk/articles/specials/timeline/the-snettisham-treasure.htm&gt; [accessed 10 October 2023]</w:t>
      </w:r>
    </w:p>
    <w:p w14:paraId="497263B9" w14:textId="0DC99F1F" w:rsidR="00EF683B" w:rsidRPr="00454122" w:rsidRDefault="00EF683B" w:rsidP="00EF683B">
      <w:pPr>
        <w:pStyle w:val="Bibliography"/>
        <w:rPr>
          <w:rFonts w:ascii="Times New Roman" w:hAnsi="Times New Roman" w:cs="Times New Roman"/>
          <w:sz w:val="24"/>
        </w:rPr>
      </w:pPr>
      <w:proofErr w:type="spellStart"/>
      <w:r w:rsidRPr="00454122">
        <w:rPr>
          <w:rFonts w:ascii="Times New Roman" w:hAnsi="Times New Roman" w:cs="Times New Roman"/>
          <w:sz w:val="24"/>
        </w:rPr>
        <w:t>Eluère</w:t>
      </w:r>
      <w:proofErr w:type="spellEnd"/>
      <w:r w:rsidRPr="00454122">
        <w:rPr>
          <w:rFonts w:ascii="Times New Roman" w:hAnsi="Times New Roman" w:cs="Times New Roman"/>
          <w:sz w:val="24"/>
        </w:rPr>
        <w:t xml:space="preserve">, Christiane, ‘Celtic Gold Torcs’, </w:t>
      </w:r>
      <w:r w:rsidRPr="00454122">
        <w:rPr>
          <w:rFonts w:ascii="Times New Roman" w:hAnsi="Times New Roman" w:cs="Times New Roman"/>
          <w:i/>
          <w:iCs/>
          <w:sz w:val="24"/>
        </w:rPr>
        <w:t>Gold Bulletin</w:t>
      </w:r>
      <w:r w:rsidRPr="00454122">
        <w:rPr>
          <w:rFonts w:ascii="Times New Roman" w:hAnsi="Times New Roman" w:cs="Times New Roman"/>
          <w:sz w:val="24"/>
        </w:rPr>
        <w:t xml:space="preserve">, 20.1–2 (1987), </w:t>
      </w:r>
      <w:r w:rsidR="00DE44EC" w:rsidRPr="00454122">
        <w:rPr>
          <w:rFonts w:ascii="Times New Roman" w:hAnsi="Times New Roman" w:cs="Times New Roman"/>
          <w:sz w:val="24"/>
        </w:rPr>
        <w:t xml:space="preserve">pp. </w:t>
      </w:r>
      <w:r w:rsidRPr="00454122">
        <w:rPr>
          <w:rFonts w:ascii="Times New Roman" w:hAnsi="Times New Roman" w:cs="Times New Roman"/>
          <w:sz w:val="24"/>
        </w:rPr>
        <w:t>22–37 &lt;https://doi.org/10.1007/BF03214656&gt;</w:t>
      </w:r>
    </w:p>
    <w:p w14:paraId="44688015" w14:textId="6DFFEA3A" w:rsidR="00EF683B" w:rsidRPr="00454122" w:rsidRDefault="00EF683B" w:rsidP="00EF683B">
      <w:pPr>
        <w:pStyle w:val="Bibliography"/>
        <w:rPr>
          <w:rFonts w:ascii="Times New Roman" w:hAnsi="Times New Roman" w:cs="Times New Roman"/>
          <w:sz w:val="24"/>
        </w:rPr>
      </w:pPr>
      <w:proofErr w:type="spellStart"/>
      <w:r w:rsidRPr="00454122">
        <w:rPr>
          <w:rFonts w:ascii="Times New Roman" w:hAnsi="Times New Roman" w:cs="Times New Roman"/>
          <w:sz w:val="24"/>
        </w:rPr>
        <w:t>Jouttijärvi</w:t>
      </w:r>
      <w:proofErr w:type="spellEnd"/>
      <w:r w:rsidRPr="00454122">
        <w:rPr>
          <w:rFonts w:ascii="Times New Roman" w:hAnsi="Times New Roman" w:cs="Times New Roman"/>
          <w:sz w:val="24"/>
        </w:rPr>
        <w:t xml:space="preserve">, Arne, ‘The Gundestrup Cauldron: Metallurgy and Manufacturing Techniques’, </w:t>
      </w:r>
      <w:r w:rsidRPr="00454122">
        <w:rPr>
          <w:rFonts w:ascii="Times New Roman" w:hAnsi="Times New Roman" w:cs="Times New Roman"/>
          <w:i/>
          <w:iCs/>
          <w:sz w:val="24"/>
        </w:rPr>
        <w:t>Materials &amp; Manufacturing Processes</w:t>
      </w:r>
      <w:r w:rsidRPr="00454122">
        <w:rPr>
          <w:rFonts w:ascii="Times New Roman" w:hAnsi="Times New Roman" w:cs="Times New Roman"/>
          <w:sz w:val="24"/>
        </w:rPr>
        <w:t xml:space="preserve">, 24.9 (2009), </w:t>
      </w:r>
      <w:r w:rsidR="00DE44EC" w:rsidRPr="00454122">
        <w:rPr>
          <w:rFonts w:ascii="Times New Roman" w:hAnsi="Times New Roman" w:cs="Times New Roman"/>
          <w:sz w:val="24"/>
        </w:rPr>
        <w:t xml:space="preserve">pp. </w:t>
      </w:r>
      <w:r w:rsidRPr="00454122">
        <w:rPr>
          <w:rFonts w:ascii="Times New Roman" w:hAnsi="Times New Roman" w:cs="Times New Roman"/>
          <w:sz w:val="24"/>
        </w:rPr>
        <w:t>960–66 &lt;https://doi.org/10.1080/10426910902988067&gt;</w:t>
      </w:r>
    </w:p>
    <w:p w14:paraId="0BDC56DA" w14:textId="5CA9ED78" w:rsidR="00DE44EC" w:rsidRPr="00454122" w:rsidRDefault="00DE44EC" w:rsidP="00EF683B">
      <w:pPr>
        <w:pStyle w:val="Bibliography"/>
        <w:rPr>
          <w:rFonts w:ascii="Times New Roman" w:hAnsi="Times New Roman" w:cs="Times New Roman"/>
          <w:sz w:val="24"/>
        </w:rPr>
      </w:pPr>
      <w:r w:rsidRPr="00454122">
        <w:rPr>
          <w:rFonts w:ascii="Times New Roman" w:hAnsi="Times New Roman" w:cs="Times New Roman"/>
          <w:sz w:val="24"/>
        </w:rPr>
        <w:t xml:space="preserve">Joy, Jody, 'A Power to Intrigue? Exploring the 'Timeless' Qualities of the so-Called 'Grotesque' Iron Age Torc from Snettisham, Norfolk', </w:t>
      </w:r>
      <w:r w:rsidRPr="00454122">
        <w:rPr>
          <w:rFonts w:ascii="Times New Roman" w:hAnsi="Times New Roman" w:cs="Times New Roman"/>
          <w:i/>
          <w:iCs/>
          <w:sz w:val="24"/>
        </w:rPr>
        <w:t>Oxford Journal of Archaeology,</w:t>
      </w:r>
      <w:r w:rsidRPr="00454122">
        <w:rPr>
          <w:rFonts w:ascii="Times New Roman" w:hAnsi="Times New Roman" w:cs="Times New Roman"/>
          <w:sz w:val="24"/>
        </w:rPr>
        <w:t xml:space="preserve"> 38.4 (2019), pp. 464-75 &lt;https://doi.org/10.1111/ojoa.12178&gt; </w:t>
      </w:r>
    </w:p>
    <w:p w14:paraId="7806713A" w14:textId="6D525D90" w:rsidR="00EF683B" w:rsidRPr="00454122" w:rsidRDefault="00EF683B" w:rsidP="00EF683B">
      <w:pPr>
        <w:pStyle w:val="Bibliography"/>
        <w:rPr>
          <w:rFonts w:ascii="Times New Roman" w:hAnsi="Times New Roman" w:cs="Times New Roman"/>
          <w:sz w:val="24"/>
        </w:rPr>
      </w:pPr>
      <w:r w:rsidRPr="00454122">
        <w:rPr>
          <w:rFonts w:ascii="Times New Roman" w:hAnsi="Times New Roman" w:cs="Times New Roman"/>
          <w:sz w:val="24"/>
        </w:rPr>
        <w:t xml:space="preserve">Joy, Jody, ‘Hoards as Collections: Re-Examining the Snettisham Iron Age Hoards from the Perspective of Collecting Practice’, </w:t>
      </w:r>
      <w:r w:rsidRPr="00454122">
        <w:rPr>
          <w:rFonts w:ascii="Times New Roman" w:hAnsi="Times New Roman" w:cs="Times New Roman"/>
          <w:i/>
          <w:iCs/>
          <w:sz w:val="24"/>
        </w:rPr>
        <w:t>World Archaeology</w:t>
      </w:r>
      <w:r w:rsidRPr="00454122">
        <w:rPr>
          <w:rFonts w:ascii="Times New Roman" w:hAnsi="Times New Roman" w:cs="Times New Roman"/>
          <w:sz w:val="24"/>
        </w:rPr>
        <w:t xml:space="preserve">, 48.2 (2016), </w:t>
      </w:r>
      <w:r w:rsidR="00DE44EC" w:rsidRPr="00454122">
        <w:rPr>
          <w:rFonts w:ascii="Times New Roman" w:hAnsi="Times New Roman" w:cs="Times New Roman"/>
          <w:sz w:val="24"/>
        </w:rPr>
        <w:t xml:space="preserve">pp. </w:t>
      </w:r>
      <w:r w:rsidRPr="00454122">
        <w:rPr>
          <w:rFonts w:ascii="Times New Roman" w:hAnsi="Times New Roman" w:cs="Times New Roman"/>
          <w:sz w:val="24"/>
        </w:rPr>
        <w:t>239–53 &lt;https://doi.org/10.1080/00438243.2016.1152197&gt;</w:t>
      </w:r>
    </w:p>
    <w:p w14:paraId="2A32C8D7" w14:textId="305C6F5E" w:rsidR="00EF683B" w:rsidRPr="00454122" w:rsidRDefault="00DE44EC" w:rsidP="00EF683B">
      <w:pPr>
        <w:pStyle w:val="Bibliography"/>
        <w:rPr>
          <w:rFonts w:ascii="Times New Roman" w:hAnsi="Times New Roman" w:cs="Times New Roman"/>
          <w:sz w:val="24"/>
        </w:rPr>
      </w:pPr>
      <w:r w:rsidRPr="00454122">
        <w:rPr>
          <w:rFonts w:ascii="Times New Roman" w:hAnsi="Times New Roman" w:cs="Times New Roman"/>
          <w:sz w:val="24"/>
        </w:rPr>
        <w:t>Joy, Jody</w:t>
      </w:r>
      <w:r w:rsidR="00EF683B" w:rsidRPr="00454122">
        <w:rPr>
          <w:rFonts w:ascii="Times New Roman" w:hAnsi="Times New Roman" w:cs="Times New Roman"/>
          <w:sz w:val="24"/>
        </w:rPr>
        <w:t xml:space="preserve">, ‘More (or Less) Than Meets the Eye? Torcs of the European Iron Age’, in </w:t>
      </w:r>
      <w:r w:rsidR="00EF683B" w:rsidRPr="00454122">
        <w:rPr>
          <w:rFonts w:ascii="Times New Roman" w:hAnsi="Times New Roman" w:cs="Times New Roman"/>
          <w:i/>
          <w:iCs/>
          <w:sz w:val="24"/>
        </w:rPr>
        <w:t>The Matter of Mimesis</w:t>
      </w:r>
      <w:r w:rsidR="00EF683B" w:rsidRPr="00454122">
        <w:rPr>
          <w:rFonts w:ascii="Times New Roman" w:hAnsi="Times New Roman" w:cs="Times New Roman"/>
          <w:sz w:val="24"/>
        </w:rPr>
        <w:t xml:space="preserve"> (Brill, 2023), pp. 117–34 &lt;https://doi.org/10.1163/9789004515413_008&gt;</w:t>
      </w:r>
    </w:p>
    <w:p w14:paraId="794FA2DD" w14:textId="347726FE" w:rsidR="00EF683B" w:rsidRPr="00454122" w:rsidRDefault="00EF683B" w:rsidP="00EF683B">
      <w:pPr>
        <w:pStyle w:val="Bibliography"/>
        <w:rPr>
          <w:rFonts w:ascii="Times New Roman" w:hAnsi="Times New Roman" w:cs="Times New Roman"/>
          <w:sz w:val="24"/>
        </w:rPr>
      </w:pPr>
      <w:r w:rsidRPr="00454122">
        <w:rPr>
          <w:rFonts w:ascii="Times New Roman" w:hAnsi="Times New Roman" w:cs="Times New Roman"/>
          <w:sz w:val="24"/>
        </w:rPr>
        <w:t xml:space="preserve">Leonard, Benjamin, ‘Inside a Magnificent Celtic Tomb’, </w:t>
      </w:r>
      <w:r w:rsidRPr="00454122">
        <w:rPr>
          <w:rFonts w:ascii="Times New Roman" w:hAnsi="Times New Roman" w:cs="Times New Roman"/>
          <w:i/>
          <w:iCs/>
          <w:sz w:val="24"/>
        </w:rPr>
        <w:t>Archaeology</w:t>
      </w:r>
      <w:r w:rsidRPr="00454122">
        <w:rPr>
          <w:rFonts w:ascii="Times New Roman" w:hAnsi="Times New Roman" w:cs="Times New Roman"/>
          <w:sz w:val="24"/>
        </w:rPr>
        <w:t xml:space="preserve">, 76.4 (2023), </w:t>
      </w:r>
      <w:r w:rsidR="00DE44EC" w:rsidRPr="00454122">
        <w:rPr>
          <w:rFonts w:ascii="Times New Roman" w:hAnsi="Times New Roman" w:cs="Times New Roman"/>
          <w:sz w:val="24"/>
        </w:rPr>
        <w:t xml:space="preserve">pp. </w:t>
      </w:r>
      <w:r w:rsidRPr="00454122">
        <w:rPr>
          <w:rFonts w:ascii="Times New Roman" w:hAnsi="Times New Roman" w:cs="Times New Roman"/>
          <w:sz w:val="24"/>
        </w:rPr>
        <w:t>36–41</w:t>
      </w:r>
    </w:p>
    <w:p w14:paraId="7F27F26A" w14:textId="77777777" w:rsidR="00EF683B" w:rsidRPr="00454122" w:rsidRDefault="00EF683B" w:rsidP="00EF683B">
      <w:pPr>
        <w:pStyle w:val="Bibliography"/>
        <w:rPr>
          <w:rFonts w:ascii="Times New Roman" w:hAnsi="Times New Roman" w:cs="Times New Roman"/>
          <w:sz w:val="24"/>
        </w:rPr>
      </w:pPr>
      <w:proofErr w:type="spellStart"/>
      <w:r w:rsidRPr="00454122">
        <w:rPr>
          <w:rFonts w:ascii="Times New Roman" w:hAnsi="Times New Roman" w:cs="Times New Roman"/>
          <w:sz w:val="24"/>
        </w:rPr>
        <w:t>Machling</w:t>
      </w:r>
      <w:proofErr w:type="spellEnd"/>
      <w:r w:rsidRPr="00454122">
        <w:rPr>
          <w:rFonts w:ascii="Times New Roman" w:hAnsi="Times New Roman" w:cs="Times New Roman"/>
          <w:sz w:val="24"/>
        </w:rPr>
        <w:t xml:space="preserve">, Tess, ‘Pattern and Purpose: A New Story about the Creation of the Snettisham Great Torc.’, </w:t>
      </w:r>
      <w:r w:rsidRPr="00454122">
        <w:rPr>
          <w:rFonts w:ascii="Times New Roman" w:hAnsi="Times New Roman" w:cs="Times New Roman"/>
          <w:i/>
          <w:iCs/>
          <w:sz w:val="24"/>
        </w:rPr>
        <w:t>The Big Book of Torcs</w:t>
      </w:r>
      <w:r w:rsidRPr="00454122">
        <w:rPr>
          <w:rFonts w:ascii="Times New Roman" w:hAnsi="Times New Roman" w:cs="Times New Roman"/>
          <w:sz w:val="24"/>
        </w:rPr>
        <w:t>, 2022 &lt;https://bigbookoftorcs.com/2022/05/29/pattern-and-purpose-a-new-story-about-the-creation-of-the-snettisham-great-torc/&gt; [accessed 13 October 2023]</w:t>
      </w:r>
    </w:p>
    <w:p w14:paraId="3A8BCFB5" w14:textId="12FF75AE" w:rsidR="00EF683B" w:rsidRPr="00454122" w:rsidRDefault="00EF683B" w:rsidP="00EF683B">
      <w:pPr>
        <w:pStyle w:val="Bibliography"/>
        <w:rPr>
          <w:rFonts w:ascii="Times New Roman" w:hAnsi="Times New Roman" w:cs="Times New Roman"/>
          <w:sz w:val="24"/>
        </w:rPr>
      </w:pPr>
      <w:proofErr w:type="spellStart"/>
      <w:r w:rsidRPr="00454122">
        <w:rPr>
          <w:rFonts w:ascii="Times New Roman" w:hAnsi="Times New Roman" w:cs="Times New Roman"/>
          <w:sz w:val="24"/>
        </w:rPr>
        <w:t>Machling</w:t>
      </w:r>
      <w:proofErr w:type="spellEnd"/>
      <w:r w:rsidRPr="00454122">
        <w:rPr>
          <w:rFonts w:ascii="Times New Roman" w:hAnsi="Times New Roman" w:cs="Times New Roman"/>
          <w:sz w:val="24"/>
        </w:rPr>
        <w:t xml:space="preserve">, Tess, and Roland Williamson, ‘Investigating the Manufacturing Technology of Later Iron Age Torus Torcs’, </w:t>
      </w:r>
      <w:r w:rsidRPr="00454122">
        <w:rPr>
          <w:rFonts w:ascii="Times New Roman" w:hAnsi="Times New Roman" w:cs="Times New Roman"/>
          <w:i/>
          <w:iCs/>
          <w:sz w:val="24"/>
        </w:rPr>
        <w:t>Historical Metallurgy</w:t>
      </w:r>
      <w:r w:rsidRPr="00454122">
        <w:rPr>
          <w:rFonts w:ascii="Times New Roman" w:hAnsi="Times New Roman" w:cs="Times New Roman"/>
          <w:sz w:val="24"/>
        </w:rPr>
        <w:t xml:space="preserve">, 52.2 (2018), </w:t>
      </w:r>
      <w:r w:rsidR="00DE44EC" w:rsidRPr="00454122">
        <w:rPr>
          <w:rFonts w:ascii="Times New Roman" w:hAnsi="Times New Roman" w:cs="Times New Roman"/>
          <w:sz w:val="24"/>
        </w:rPr>
        <w:t xml:space="preserve">pp. </w:t>
      </w:r>
      <w:r w:rsidRPr="00454122">
        <w:rPr>
          <w:rFonts w:ascii="Times New Roman" w:hAnsi="Times New Roman" w:cs="Times New Roman"/>
          <w:sz w:val="24"/>
        </w:rPr>
        <w:t>83–</w:t>
      </w:r>
      <w:proofErr w:type="gramStart"/>
      <w:r w:rsidRPr="00454122">
        <w:rPr>
          <w:rFonts w:ascii="Times New Roman" w:hAnsi="Times New Roman" w:cs="Times New Roman"/>
          <w:sz w:val="24"/>
        </w:rPr>
        <w:t>95</w:t>
      </w:r>
      <w:proofErr w:type="gramEnd"/>
    </w:p>
    <w:p w14:paraId="08881146" w14:textId="7D4F9EE8" w:rsidR="00EF683B" w:rsidRPr="00454122" w:rsidRDefault="00EF683B" w:rsidP="00EF683B">
      <w:pPr>
        <w:pStyle w:val="Bibliography"/>
        <w:rPr>
          <w:rFonts w:ascii="Times New Roman" w:hAnsi="Times New Roman" w:cs="Times New Roman"/>
          <w:sz w:val="24"/>
        </w:rPr>
      </w:pPr>
      <w:r w:rsidRPr="00454122">
        <w:rPr>
          <w:rFonts w:ascii="Times New Roman" w:hAnsi="Times New Roman" w:cs="Times New Roman"/>
          <w:sz w:val="24"/>
        </w:rPr>
        <w:t xml:space="preserve">Stead, I. M., ‘Snettisham Swansong’, in </w:t>
      </w:r>
      <w:r w:rsidRPr="00454122">
        <w:rPr>
          <w:rFonts w:ascii="Times New Roman" w:hAnsi="Times New Roman" w:cs="Times New Roman"/>
          <w:i/>
          <w:iCs/>
          <w:sz w:val="24"/>
        </w:rPr>
        <w:t>Celtic Art in Europe</w:t>
      </w:r>
      <w:r w:rsidR="00DE44EC" w:rsidRPr="00454122">
        <w:rPr>
          <w:rFonts w:ascii="Times New Roman" w:hAnsi="Times New Roman" w:cs="Times New Roman"/>
          <w:i/>
          <w:iCs/>
          <w:sz w:val="24"/>
        </w:rPr>
        <w:t>: Making Connections</w:t>
      </w:r>
      <w:r w:rsidRPr="00454122">
        <w:rPr>
          <w:rFonts w:ascii="Times New Roman" w:hAnsi="Times New Roman" w:cs="Times New Roman"/>
          <w:sz w:val="24"/>
        </w:rPr>
        <w:t>, ed. by Christopher Gosden, Sally Crawford, and Katharina Ulmschneider (Oxbow Books, 2014), pp. 297–303 &lt;https://www.jstor.org/stable/j.ctvh1dqs8.35&gt; [accessed 20 October 2023]</w:t>
      </w:r>
    </w:p>
    <w:p w14:paraId="538C5F73" w14:textId="6B6D6D1F" w:rsidR="00885B30" w:rsidRPr="00B85576" w:rsidRDefault="00EF683B" w:rsidP="00885B30">
      <w:pPr>
        <w:spacing w:line="360" w:lineRule="auto"/>
        <w:rPr>
          <w:rFonts w:ascii="Times New Roman" w:hAnsi="Times New Roman" w:cs="Times New Roman"/>
          <w:sz w:val="24"/>
          <w:szCs w:val="24"/>
        </w:rPr>
      </w:pPr>
      <w:r w:rsidRPr="00454122">
        <w:rPr>
          <w:rFonts w:ascii="Times New Roman" w:hAnsi="Times New Roman" w:cs="Times New Roman"/>
          <w:sz w:val="24"/>
          <w:szCs w:val="24"/>
        </w:rPr>
        <w:fldChar w:fldCharType="end"/>
      </w:r>
    </w:p>
    <w:sectPr w:rsidR="00885B30" w:rsidRPr="00B855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45742D" w14:textId="77777777" w:rsidR="00BB55DD" w:rsidRDefault="00BB55DD" w:rsidP="008D4353">
      <w:pPr>
        <w:spacing w:after="0" w:line="240" w:lineRule="auto"/>
      </w:pPr>
      <w:r>
        <w:separator/>
      </w:r>
    </w:p>
  </w:endnote>
  <w:endnote w:type="continuationSeparator" w:id="0">
    <w:p w14:paraId="0DF79CC4" w14:textId="77777777" w:rsidR="00BB55DD" w:rsidRDefault="00BB55DD" w:rsidP="008D43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6773E7" w14:textId="77777777" w:rsidR="00BB55DD" w:rsidRDefault="00BB55DD" w:rsidP="008D4353">
      <w:pPr>
        <w:spacing w:after="0" w:line="240" w:lineRule="auto"/>
      </w:pPr>
      <w:r>
        <w:separator/>
      </w:r>
    </w:p>
  </w:footnote>
  <w:footnote w:type="continuationSeparator" w:id="0">
    <w:p w14:paraId="7C40F502" w14:textId="77777777" w:rsidR="00BB55DD" w:rsidRDefault="00BB55DD" w:rsidP="008D4353">
      <w:pPr>
        <w:spacing w:after="0" w:line="240" w:lineRule="auto"/>
      </w:pPr>
      <w:r>
        <w:continuationSeparator/>
      </w:r>
    </w:p>
  </w:footnote>
  <w:footnote w:id="1">
    <w:p w14:paraId="503DE7D4" w14:textId="36AE0BDD" w:rsidR="00864453" w:rsidRDefault="00864453">
      <w:pPr>
        <w:pStyle w:val="FootnoteText"/>
      </w:pPr>
      <w:r>
        <w:rPr>
          <w:rStyle w:val="FootnoteReference"/>
        </w:rPr>
        <w:footnoteRef/>
      </w:r>
      <w:r>
        <w:t xml:space="preserve"> </w:t>
      </w:r>
      <w:r>
        <w:fldChar w:fldCharType="begin"/>
      </w:r>
      <w:r>
        <w:instrText xml:space="preserve"> ADDIN ZOTERO_ITEM CSL_CITATION {"citationID":"61mFTfdE","properties":{"formattedCitation":"CA, \\uc0\\u8216{}100 BC - The Snettisham Treasure\\uc0\\u8217{}, {\\i{}Current Archaeology; Online}, 24 May 2007 &lt;https://archaeology.co.uk/articles/specials/timeline/the-snettisham-treasure.htm&gt; [accessed 10 October 2023].","plainCitation":"CA, ‘100 BC - The Snettisham Treasure’, Current Archaeology; Online, 24 May 2007 &lt;https://archaeology.co.uk/articles/specials/timeline/the-snettisham-treasure.htm&gt; [accessed 10 October 2023].","noteIndex":1},"citationItems":[{"id":6,"uris":["http://zotero.org/users/local/VhgDsqkD/items/ZIEMDGBK"],"itemData":{"id":6,"type":"article-magazine","abstract":"The great Iron Age hoards discovered at Snettisham in Norfolk form the richest Iron Age treasure ever discovered in this country.   The ‘Marriage Torc’ from Snettisham. The upper part of the terminal of this gold torc shows a stylised human face. Does the main terminal represent a symbolic belly with the gold ring representing the umbilical cord that attaches to the other terminal?   The Snettisham treasure was first discovered in 1948. The field was being ploughed deeper than usual, and in the course of ploughing the ploughman discovered an interesting lump of metal. He took it to the","container-title":"Current Archaeology; online","language":"en-US","title":"100 BC - The Snettisham Treasure","URL":"https://archaeology.co.uk/articles/specials/timeline/the-snettisham-treasure.htm","author":[{"family":"CA","given":""}],"accessed":{"date-parts":[["2023",10,10]]},"issued":{"date-parts":[["2007",5,24]]}}}],"schema":"https://github.com/citation-style-language/schema/raw/master/csl-citation.json"} </w:instrText>
      </w:r>
      <w:r>
        <w:fldChar w:fldCharType="separate"/>
      </w:r>
      <w:r w:rsidRPr="00864453">
        <w:rPr>
          <w:rFonts w:ascii="Calibri" w:hAnsi="Calibri" w:cs="Calibri"/>
          <w:kern w:val="0"/>
          <w:szCs w:val="24"/>
        </w:rPr>
        <w:t>C</w:t>
      </w:r>
      <w:r w:rsidR="009D607B">
        <w:rPr>
          <w:rFonts w:ascii="Calibri" w:hAnsi="Calibri" w:cs="Calibri"/>
          <w:kern w:val="0"/>
          <w:szCs w:val="24"/>
        </w:rPr>
        <w:t xml:space="preserve">urrent </w:t>
      </w:r>
      <w:r w:rsidRPr="00864453">
        <w:rPr>
          <w:rFonts w:ascii="Calibri" w:hAnsi="Calibri" w:cs="Calibri"/>
          <w:kern w:val="0"/>
          <w:szCs w:val="24"/>
        </w:rPr>
        <w:t>A</w:t>
      </w:r>
      <w:r w:rsidR="009D607B">
        <w:rPr>
          <w:rFonts w:ascii="Calibri" w:hAnsi="Calibri" w:cs="Calibri"/>
          <w:kern w:val="0"/>
          <w:szCs w:val="24"/>
        </w:rPr>
        <w:t>rchaeology</w:t>
      </w:r>
      <w:r w:rsidRPr="00864453">
        <w:rPr>
          <w:rFonts w:ascii="Calibri" w:hAnsi="Calibri" w:cs="Calibri"/>
          <w:kern w:val="0"/>
          <w:szCs w:val="24"/>
        </w:rPr>
        <w:t xml:space="preserve">, ‘100 BC - The Snettisham Treasure’, </w:t>
      </w:r>
      <w:r w:rsidRPr="00864453">
        <w:rPr>
          <w:rFonts w:ascii="Calibri" w:hAnsi="Calibri" w:cs="Calibri"/>
          <w:i/>
          <w:iCs/>
          <w:kern w:val="0"/>
          <w:szCs w:val="24"/>
        </w:rPr>
        <w:t>Current Archaeology; Online</w:t>
      </w:r>
      <w:r w:rsidRPr="00864453">
        <w:rPr>
          <w:rFonts w:ascii="Calibri" w:hAnsi="Calibri" w:cs="Calibri"/>
          <w:kern w:val="0"/>
          <w:szCs w:val="24"/>
        </w:rPr>
        <w:t>, 24 May 2007 &lt;https://archaeology.co.uk/articles/specials/timeline/the-snettisham-treasure.htm&gt; [accessed 10 October 2023].</w:t>
      </w:r>
      <w:r>
        <w:fldChar w:fldCharType="end"/>
      </w:r>
    </w:p>
  </w:footnote>
  <w:footnote w:id="2">
    <w:p w14:paraId="149C7721" w14:textId="3F0E80AA" w:rsidR="00864453" w:rsidRDefault="00864453">
      <w:pPr>
        <w:pStyle w:val="FootnoteText"/>
      </w:pPr>
      <w:r>
        <w:rPr>
          <w:rStyle w:val="FootnoteReference"/>
        </w:rPr>
        <w:footnoteRef/>
      </w:r>
      <w:r>
        <w:t xml:space="preserve"> </w:t>
      </w:r>
      <w:r>
        <w:fldChar w:fldCharType="begin"/>
      </w:r>
      <w:r>
        <w:instrText xml:space="preserve"> ADDIN ZOTERO_ITEM CSL_CITATION {"citationID":"q1WMtj5o","properties":{"formattedCitation":"Christiane Elu\\uc0\\u232{}re, \\uc0\\u8216{}Celtic Gold Torcs\\uc0\\u8217{}, {\\i{}Gold Bulletin}, 20.1\\uc0\\u8211{}2 (1987), 22\\uc0\\u8211{}37 &lt;https://doi.org/10.1007/BF03214656&gt;.","plainCitation":"Christiane Eluère, ‘Celtic Gold Torcs’, Gold Bulletin, 20.1–2 (1987), 22–37 &lt;https://doi.org/10.1007/BF03214656&gt;.","noteIndex":2},"citationItems":[{"id":32,"uris":["http://zotero.org/users/local/VhgDsqkD/items/JS6LTWHU"],"itemData":{"id":32,"type":"article-journal","container-title":"Gold Bulletin","DOI":"10.1007/BF03214656","ISSN":"0017-1557, 2190-7579","issue":"1-2","journalAbbreviation":"Gold Bull","language":"en","page":"22-37","source":"DOI.org (Crossref)","title":"Celtic gold torcs","volume":"20","author":[{"family":"Eluère","given":"Christiane"}],"issued":{"date-parts":[["1987",3]]}}}],"schema":"https://github.com/citation-style-language/schema/raw/master/csl-citation.json"} </w:instrText>
      </w:r>
      <w:r>
        <w:fldChar w:fldCharType="separate"/>
      </w:r>
      <w:r w:rsidRPr="00864453">
        <w:rPr>
          <w:rFonts w:ascii="Calibri" w:hAnsi="Calibri" w:cs="Calibri"/>
          <w:kern w:val="0"/>
          <w:szCs w:val="24"/>
        </w:rPr>
        <w:t xml:space="preserve">Christiane </w:t>
      </w:r>
      <w:proofErr w:type="spellStart"/>
      <w:r w:rsidRPr="00864453">
        <w:rPr>
          <w:rFonts w:ascii="Calibri" w:hAnsi="Calibri" w:cs="Calibri"/>
          <w:kern w:val="0"/>
          <w:szCs w:val="24"/>
        </w:rPr>
        <w:t>Eluère</w:t>
      </w:r>
      <w:proofErr w:type="spellEnd"/>
      <w:r w:rsidRPr="00864453">
        <w:rPr>
          <w:rFonts w:ascii="Calibri" w:hAnsi="Calibri" w:cs="Calibri"/>
          <w:kern w:val="0"/>
          <w:szCs w:val="24"/>
        </w:rPr>
        <w:t xml:space="preserve">, ‘Celtic Gold Torcs’, </w:t>
      </w:r>
      <w:r w:rsidRPr="00864453">
        <w:rPr>
          <w:rFonts w:ascii="Calibri" w:hAnsi="Calibri" w:cs="Calibri"/>
          <w:i/>
          <w:iCs/>
          <w:kern w:val="0"/>
          <w:szCs w:val="24"/>
        </w:rPr>
        <w:t>Gold Bulletin</w:t>
      </w:r>
      <w:r w:rsidRPr="00864453">
        <w:rPr>
          <w:rFonts w:ascii="Calibri" w:hAnsi="Calibri" w:cs="Calibri"/>
          <w:kern w:val="0"/>
          <w:szCs w:val="24"/>
        </w:rPr>
        <w:t xml:space="preserve">, 20.1–2 (1987), </w:t>
      </w:r>
      <w:r w:rsidR="009D607B">
        <w:rPr>
          <w:rFonts w:ascii="Calibri" w:hAnsi="Calibri" w:cs="Calibri"/>
          <w:kern w:val="0"/>
          <w:szCs w:val="24"/>
        </w:rPr>
        <w:t xml:space="preserve">pp </w:t>
      </w:r>
      <w:r w:rsidRPr="00864453">
        <w:rPr>
          <w:rFonts w:ascii="Calibri" w:hAnsi="Calibri" w:cs="Calibri"/>
          <w:kern w:val="0"/>
          <w:szCs w:val="24"/>
        </w:rPr>
        <w:t xml:space="preserve">22–37 </w:t>
      </w:r>
      <w:r w:rsidR="009D607B">
        <w:rPr>
          <w:rFonts w:ascii="Calibri" w:hAnsi="Calibri" w:cs="Calibri"/>
          <w:kern w:val="0"/>
          <w:szCs w:val="24"/>
        </w:rPr>
        <w:t>(</w:t>
      </w:r>
      <w:r w:rsidR="00090288">
        <w:rPr>
          <w:rFonts w:ascii="Calibri" w:hAnsi="Calibri" w:cs="Calibri"/>
          <w:kern w:val="0"/>
          <w:szCs w:val="24"/>
        </w:rPr>
        <w:t>p. 1</w:t>
      </w:r>
      <w:r w:rsidR="009D607B">
        <w:rPr>
          <w:rFonts w:ascii="Calibri" w:hAnsi="Calibri" w:cs="Calibri"/>
          <w:kern w:val="0"/>
          <w:szCs w:val="24"/>
        </w:rPr>
        <w:t>)</w:t>
      </w:r>
      <w:r w:rsidR="00090288">
        <w:rPr>
          <w:rFonts w:ascii="Calibri" w:hAnsi="Calibri" w:cs="Calibri"/>
          <w:kern w:val="0"/>
          <w:szCs w:val="24"/>
        </w:rPr>
        <w:t xml:space="preserve"> </w:t>
      </w:r>
      <w:r w:rsidRPr="00864453">
        <w:rPr>
          <w:rFonts w:ascii="Calibri" w:hAnsi="Calibri" w:cs="Calibri"/>
          <w:kern w:val="0"/>
          <w:szCs w:val="24"/>
        </w:rPr>
        <w:t>&lt;https://doi.org/10.1007/BF03214656&gt;.</w:t>
      </w:r>
      <w:r>
        <w:fldChar w:fldCharType="end"/>
      </w:r>
    </w:p>
  </w:footnote>
  <w:footnote w:id="3">
    <w:p w14:paraId="3333340C" w14:textId="1A4543E1" w:rsidR="00864453" w:rsidRDefault="00864453">
      <w:pPr>
        <w:pStyle w:val="FootnoteText"/>
      </w:pPr>
      <w:r>
        <w:rPr>
          <w:rStyle w:val="FootnoteReference"/>
        </w:rPr>
        <w:footnoteRef/>
      </w:r>
      <w:r>
        <w:t xml:space="preserve"> </w:t>
      </w:r>
      <w:r>
        <w:fldChar w:fldCharType="begin"/>
      </w:r>
      <w:r>
        <w:instrText xml:space="preserve"> ADDIN ZOTERO_ITEM CSL_CITATION {"citationID":"3xkv7fII","properties":{"formattedCitation":"Arne Jouttij\\uc0\\u228{}rvi, \\uc0\\u8216{}The Gundestrup Cauldron: Metallurgy and Manufacturing Techniques\\uc0\\u8217{}, {\\i{}Materials &amp; Manufacturing Processes}, 24.9 (2009), 960\\uc0\\u8211{}66 &lt;https://doi.org/10.1080/10426910902988067&gt;.","plainCitation":"Arne Jouttijärvi, ‘The Gundestrup Cauldron: Metallurgy and Manufacturing Techniques’, Materials &amp; Manufacturing Processes, 24.9 (2009), 960–66 &lt;https://doi.org/10.1080/10426910902988067&gt;.","noteIndex":3},"citationItems":[{"id":25,"uris":["http://zotero.org/users/local/VhgDsqkD/items/6MUJGZ8G"],"itemData":{"id":25,"type":"article-journal","abstract":"New investigations of the Gundestrup cauldron have given new information on the origin and production of the largest known example of Iron Age silver work. Dating of beeswax used in the process of decoration and lead isotope analysis of the silver indicated that the cauldron was produced between 0 and 300 A.D., somewhere in the western part of Europe. At least three batches of silver with different copper content were used for the production of the decorated plates. They correspond to the presumed production by different groups of artisans who used different toolsets. Two of the blanks seem to have been exchanged by accident or on purpose. Partial gilding was done mechanically, the gold foil was fixed by closely spaced punchmarks. The adherence of the gold was rather poor, and repairs were made, using a thicker and somewhat more copper-rich gold foil. The cauldron was assembled by soldering it with almost pure tin, a rather unusual technology for an item of this size.","container-title":"Materials &amp; Manufacturing Processes","DOI":"10.1080/10426910902988067","ISSN":"10426914","issue":"9","note":"publisher: Taylor &amp; Francis Ltd","page":"960-966","source":"EBSCOhost","title":"The Gundestrup Cauldron: Metallurgy and Manufacturing Techniques","title-short":"The Gundestrup Cauldron","volume":"24","author":[{"family":"Jouttijärvi","given":"Arne"}],"issued":{"date-parts":[["2009",9]]}}}],"schema":"https://github.com/citation-style-language/schema/raw/master/csl-citation.json"} </w:instrText>
      </w:r>
      <w:r>
        <w:fldChar w:fldCharType="separate"/>
      </w:r>
      <w:r w:rsidRPr="00864453">
        <w:rPr>
          <w:rFonts w:ascii="Calibri" w:hAnsi="Calibri" w:cs="Calibri"/>
          <w:kern w:val="0"/>
          <w:szCs w:val="24"/>
        </w:rPr>
        <w:t xml:space="preserve">Arne </w:t>
      </w:r>
      <w:proofErr w:type="spellStart"/>
      <w:r w:rsidRPr="00864453">
        <w:rPr>
          <w:rFonts w:ascii="Calibri" w:hAnsi="Calibri" w:cs="Calibri"/>
          <w:kern w:val="0"/>
          <w:szCs w:val="24"/>
        </w:rPr>
        <w:t>Jouttijärvi</w:t>
      </w:r>
      <w:proofErr w:type="spellEnd"/>
      <w:r w:rsidRPr="00864453">
        <w:rPr>
          <w:rFonts w:ascii="Calibri" w:hAnsi="Calibri" w:cs="Calibri"/>
          <w:kern w:val="0"/>
          <w:szCs w:val="24"/>
        </w:rPr>
        <w:t xml:space="preserve">, ‘The Gundestrup Cauldron: Metallurgy and Manufacturing Techniques’, </w:t>
      </w:r>
      <w:r w:rsidRPr="00864453">
        <w:rPr>
          <w:rFonts w:ascii="Calibri" w:hAnsi="Calibri" w:cs="Calibri"/>
          <w:i/>
          <w:iCs/>
          <w:kern w:val="0"/>
          <w:szCs w:val="24"/>
        </w:rPr>
        <w:t>Materials &amp; Manufacturing Processes</w:t>
      </w:r>
      <w:r w:rsidRPr="00864453">
        <w:rPr>
          <w:rFonts w:ascii="Calibri" w:hAnsi="Calibri" w:cs="Calibri"/>
          <w:kern w:val="0"/>
          <w:szCs w:val="24"/>
        </w:rPr>
        <w:t xml:space="preserve">, 24.9 (2009), </w:t>
      </w:r>
      <w:r w:rsidR="009D607B">
        <w:rPr>
          <w:rFonts w:ascii="Calibri" w:hAnsi="Calibri" w:cs="Calibri"/>
          <w:kern w:val="0"/>
          <w:szCs w:val="24"/>
        </w:rPr>
        <w:t xml:space="preserve">pp </w:t>
      </w:r>
      <w:r w:rsidRPr="00864453">
        <w:rPr>
          <w:rFonts w:ascii="Calibri" w:hAnsi="Calibri" w:cs="Calibri"/>
          <w:kern w:val="0"/>
          <w:szCs w:val="24"/>
        </w:rPr>
        <w:t>960–66</w:t>
      </w:r>
      <w:r w:rsidR="00090288">
        <w:rPr>
          <w:rFonts w:ascii="Calibri" w:hAnsi="Calibri" w:cs="Calibri"/>
          <w:kern w:val="0"/>
          <w:szCs w:val="24"/>
        </w:rPr>
        <w:t xml:space="preserve"> </w:t>
      </w:r>
      <w:r w:rsidR="009D607B">
        <w:rPr>
          <w:rFonts w:ascii="Calibri" w:hAnsi="Calibri" w:cs="Calibri"/>
          <w:kern w:val="0"/>
          <w:szCs w:val="24"/>
        </w:rPr>
        <w:t>(</w:t>
      </w:r>
      <w:r w:rsidR="00090288">
        <w:rPr>
          <w:rFonts w:ascii="Calibri" w:hAnsi="Calibri" w:cs="Calibri"/>
          <w:kern w:val="0"/>
          <w:szCs w:val="24"/>
        </w:rPr>
        <w:t>p. 961</w:t>
      </w:r>
      <w:r w:rsidR="009D607B">
        <w:rPr>
          <w:rFonts w:ascii="Calibri" w:hAnsi="Calibri" w:cs="Calibri"/>
          <w:kern w:val="0"/>
          <w:szCs w:val="24"/>
        </w:rPr>
        <w:t>)</w:t>
      </w:r>
      <w:r w:rsidRPr="00864453">
        <w:rPr>
          <w:rFonts w:ascii="Calibri" w:hAnsi="Calibri" w:cs="Calibri"/>
          <w:kern w:val="0"/>
          <w:szCs w:val="24"/>
        </w:rPr>
        <w:t xml:space="preserve"> &lt;https://doi.org/10.1080/10426910902988067&gt;.</w:t>
      </w:r>
      <w:r>
        <w:fldChar w:fldCharType="end"/>
      </w:r>
    </w:p>
  </w:footnote>
  <w:footnote w:id="4">
    <w:p w14:paraId="7C3BAEE0" w14:textId="085CAB7A" w:rsidR="00697F5C" w:rsidRDefault="00697F5C">
      <w:pPr>
        <w:pStyle w:val="FootnoteText"/>
      </w:pPr>
      <w:r>
        <w:rPr>
          <w:rStyle w:val="FootnoteReference"/>
        </w:rPr>
        <w:footnoteRef/>
      </w:r>
      <w:r>
        <w:t xml:space="preserve"> </w:t>
      </w:r>
      <w:r>
        <w:fldChar w:fldCharType="begin"/>
      </w:r>
      <w:r>
        <w:instrText xml:space="preserve"> ADDIN ZOTERO_ITEM CSL_CITATION {"citationID":"MAvGlc7s","properties":{"formattedCitation":"Jody Joy, \\uc0\\u8216{}More (or Less) Than Meets the Eye? Torcs of the European Iron Age\\uc0\\u8217{}, in {\\i{}The Matter of Mimesis} (Brill, 2023), pp. 117\\uc0\\u8211{}34 &lt;https://doi.org/10.1163/9789004515413_008&gt;.","plainCitation":"Jody Joy, ‘More (or Less) Than Meets the Eye? Torcs of the European Iron Age’, in The Matter of Mimesis (Brill, 2023), pp. 117–34 &lt;https://doi.org/10.1163/9789004515413_008&gt;.","noteIndex":4},"citationItems":[{"id":35,"uris":["http://zotero.org/users/local/VhgDsqkD/items/6W85TMPS"],"itemData":{"id":35,"type":"chapter","container-title":"The Matter of Mimesis","ISBN":"978-90-04-51541-3","language":"en","note":"section: The Matter of Mimesis\nDOI: 10.1163/9789004515413_008","page":"117-134","publisher":"Brill","source":"brill.com","title":"More (or Less) Than Meets the Eye? Torcs of the European Iron Age","title-short":"More (or Less) Than Meets the Eye?","URL":"https://brill.com/display/book/9789004515413/BP000015.xml","author":[{"family":"Joy","given":"Jody"}],"accessed":{"date-parts":[["2023",10,25]]},"issued":{"date-parts":[["2023",3,1]]}}}],"schema":"https://github.com/citation-style-language/schema/raw/master/csl-citation.json"} </w:instrText>
      </w:r>
      <w:r>
        <w:fldChar w:fldCharType="separate"/>
      </w:r>
      <w:r w:rsidRPr="00697F5C">
        <w:rPr>
          <w:rFonts w:ascii="Calibri" w:hAnsi="Calibri" w:cs="Calibri"/>
          <w:kern w:val="0"/>
          <w:szCs w:val="24"/>
        </w:rPr>
        <w:t xml:space="preserve">Jody Joy, ‘More (or Less) Than Meets the Eye? Torcs of the European Iron Age’, in </w:t>
      </w:r>
      <w:r w:rsidRPr="00697F5C">
        <w:rPr>
          <w:rFonts w:ascii="Calibri" w:hAnsi="Calibri" w:cs="Calibri"/>
          <w:i/>
          <w:iCs/>
          <w:kern w:val="0"/>
          <w:szCs w:val="24"/>
        </w:rPr>
        <w:t>The Matter of Mimesis</w:t>
      </w:r>
      <w:r w:rsidRPr="00697F5C">
        <w:rPr>
          <w:rFonts w:ascii="Calibri" w:hAnsi="Calibri" w:cs="Calibri"/>
          <w:kern w:val="0"/>
          <w:szCs w:val="24"/>
        </w:rPr>
        <w:t xml:space="preserve"> (Brill, 2023), pp. 117–34</w:t>
      </w:r>
      <w:r w:rsidR="00EF683B">
        <w:rPr>
          <w:rFonts w:ascii="Calibri" w:hAnsi="Calibri" w:cs="Calibri"/>
          <w:kern w:val="0"/>
          <w:szCs w:val="24"/>
        </w:rPr>
        <w:t xml:space="preserve"> (p. 120)</w:t>
      </w:r>
      <w:r w:rsidRPr="00697F5C">
        <w:rPr>
          <w:rFonts w:ascii="Calibri" w:hAnsi="Calibri" w:cs="Calibri"/>
          <w:kern w:val="0"/>
          <w:szCs w:val="24"/>
        </w:rPr>
        <w:t xml:space="preserve"> &lt;https://doi.org/10.1163/9789004515413_008&gt;.</w:t>
      </w:r>
      <w:r>
        <w:fldChar w:fldCharType="end"/>
      </w:r>
    </w:p>
  </w:footnote>
  <w:footnote w:id="5">
    <w:p w14:paraId="16C638A7" w14:textId="02CD03AD" w:rsidR="00B85576" w:rsidRDefault="00B85576">
      <w:pPr>
        <w:pStyle w:val="FootnoteText"/>
      </w:pPr>
      <w:r>
        <w:rPr>
          <w:rStyle w:val="FootnoteReference"/>
        </w:rPr>
        <w:footnoteRef/>
      </w:r>
      <w:r>
        <w:t xml:space="preserve"> </w:t>
      </w:r>
      <w:r>
        <w:fldChar w:fldCharType="begin"/>
      </w:r>
      <w:r>
        <w:instrText xml:space="preserve"> ADDIN ZOTERO_ITEM CSL_CITATION {"citationID":"VCPhorQg","properties":{"formattedCitation":"Benjamin Leonard, \\uc0\\u8216{}Inside a Magnificent Celtic Tomb\\uc0\\u8217{}, {\\i{}Archaeology}, 76.4 (2023), 36\\uc0\\u8211{}41.","plainCitation":"Benjamin Leonard, ‘Inside a Magnificent Celtic Tomb’, Archaeology, 76.4 (2023), 36–41.","noteIndex":4},"citationItems":[{"id":33,"uris":["http://zotero.org/users/local/VhgDsqkD/items/3QBKAXAN"],"itemData":{"id":33,"type":"article-journal","abstract":"The article focuses on Celtic woman was buried beneath a massive stone tumulus along the River Seine at a site known as Vix, in the Burgundy region of central France. It mentions grave were objects imported from across the Mediterranean and Baltic regions, including a five foot-tall Greek bronze krater used for mixing wine and water. It also mentions cultural authorities but did not explore the rest of the burial monument and investigations of an Iron Age burial in France.","container-title":"Archaeology","ISSN":"00038113","issue":"4","note":"publisher: Archaeological Institute of America","page":"36-41","source":"EBSCOhost","title":"Inside a Magnificent Celtic Tomb","volume":"76","author":[{"family":"Leonard","given":"Benjamin"}],"issued":{"date-parts":[["2023",8,7]]}}}],"schema":"https://github.com/citation-style-language/schema/raw/master/csl-citation.json"} </w:instrText>
      </w:r>
      <w:r>
        <w:fldChar w:fldCharType="separate"/>
      </w:r>
      <w:r w:rsidRPr="00B85576">
        <w:rPr>
          <w:rFonts w:ascii="Calibri" w:hAnsi="Calibri" w:cs="Calibri"/>
          <w:kern w:val="0"/>
          <w:szCs w:val="24"/>
        </w:rPr>
        <w:t xml:space="preserve">Benjamin Leonard, ‘Inside a Magnificent Celtic Tomb’, </w:t>
      </w:r>
      <w:r w:rsidRPr="00B85576">
        <w:rPr>
          <w:rFonts w:ascii="Calibri" w:hAnsi="Calibri" w:cs="Calibri"/>
          <w:i/>
          <w:iCs/>
          <w:kern w:val="0"/>
          <w:szCs w:val="24"/>
        </w:rPr>
        <w:t>Archaeology</w:t>
      </w:r>
      <w:r w:rsidRPr="00B85576">
        <w:rPr>
          <w:rFonts w:ascii="Calibri" w:hAnsi="Calibri" w:cs="Calibri"/>
          <w:kern w:val="0"/>
          <w:szCs w:val="24"/>
        </w:rPr>
        <w:t xml:space="preserve">, 76.4 (2023), </w:t>
      </w:r>
      <w:r w:rsidR="0037025F">
        <w:rPr>
          <w:rFonts w:ascii="Calibri" w:hAnsi="Calibri" w:cs="Calibri"/>
          <w:kern w:val="0"/>
          <w:szCs w:val="24"/>
        </w:rPr>
        <w:t xml:space="preserve">pp </w:t>
      </w:r>
      <w:r w:rsidRPr="00B85576">
        <w:rPr>
          <w:rFonts w:ascii="Calibri" w:hAnsi="Calibri" w:cs="Calibri"/>
          <w:kern w:val="0"/>
          <w:szCs w:val="24"/>
        </w:rPr>
        <w:t>36–41.</w:t>
      </w:r>
      <w:r>
        <w:fldChar w:fldCharType="end"/>
      </w:r>
    </w:p>
  </w:footnote>
  <w:footnote w:id="6">
    <w:p w14:paraId="3AF4483B" w14:textId="4964766F" w:rsidR="00B85576" w:rsidRDefault="00B85576">
      <w:pPr>
        <w:pStyle w:val="FootnoteText"/>
      </w:pPr>
      <w:r>
        <w:rPr>
          <w:rStyle w:val="FootnoteReference"/>
        </w:rPr>
        <w:footnoteRef/>
      </w:r>
      <w:r>
        <w:t xml:space="preserve"> </w:t>
      </w:r>
      <w:r>
        <w:fldChar w:fldCharType="begin"/>
      </w:r>
      <w:r w:rsidR="00697F5C">
        <w:instrText xml:space="preserve"> ADDIN ZOTERO_ITEM CSL_CITATION {"citationID":"OdlqGylZ","properties":{"formattedCitation":"\\uc0\\u8216{}Torc | British Museum\\uc0\\u8217{}, {\\i{}The British Museum} &lt;https://www.britishmuseum.org/collection/object/H_1951-0402-2&gt; [accessed 13 October 2023].","plainCitation":"‘Torc | British Museum’, The British Museum &lt;https://www.britishmuseum.org/collection/object/H_1951-0402-2&gt; [accessed 13 October 2023].","dontUpdate":true,"noteIndex":6},"citationItems":[{"id":18,"uris":["http://zotero.org/users/local/VhgDsqkD/items/KNF565RJ"],"itemData":{"id":18,"type":"webpage","abstract":"Gold alloy torc with ornamented terminals. The torc is made from just over a kilogram of gold mixed with silver. It is made from sixty-four threads. Each thread is 1.9mm wide. Eight threads were twisted together at a time to make eight separate ropes of metal. These were then twisted around each to make the final torc. The ends of the torc were cast in moulds. The hollow ends were then welded onto the ropes. The terminals are ornamented with embossed ridges, contrasting with areas filled by chased 'basket-work'.","container-title":"The British Museum","language":"en","title":"torc | British Museum","URL":"https://www.britishmuseum.org/collection/object/H_1951-0402-2","accessed":{"date-parts":[["2023",10,13]]}}}],"schema":"https://github.com/citation-style-language/schema/raw/master/csl-citation.json"} </w:instrText>
      </w:r>
      <w:r>
        <w:fldChar w:fldCharType="separate"/>
      </w:r>
      <w:r w:rsidR="0037025F">
        <w:rPr>
          <w:rFonts w:ascii="Calibri" w:hAnsi="Calibri" w:cs="Calibri"/>
          <w:kern w:val="0"/>
          <w:szCs w:val="24"/>
        </w:rPr>
        <w:t>British Museum, 'Torc'</w:t>
      </w:r>
      <w:r w:rsidRPr="00B85576">
        <w:rPr>
          <w:rFonts w:ascii="Calibri" w:hAnsi="Calibri" w:cs="Calibri"/>
          <w:kern w:val="0"/>
          <w:szCs w:val="24"/>
        </w:rPr>
        <w:t xml:space="preserve">, </w:t>
      </w:r>
      <w:r w:rsidRPr="00B85576">
        <w:rPr>
          <w:rFonts w:ascii="Calibri" w:hAnsi="Calibri" w:cs="Calibri"/>
          <w:i/>
          <w:iCs/>
          <w:kern w:val="0"/>
          <w:szCs w:val="24"/>
        </w:rPr>
        <w:t>The British Museum</w:t>
      </w:r>
      <w:r w:rsidRPr="00B85576">
        <w:rPr>
          <w:rFonts w:ascii="Calibri" w:hAnsi="Calibri" w:cs="Calibri"/>
          <w:kern w:val="0"/>
          <w:szCs w:val="24"/>
        </w:rPr>
        <w:t xml:space="preserve"> &lt;https://www.britishmuseum.org/collection/object/H_1951-0402-2&gt; [accessed 13 October 2023].</w:t>
      </w:r>
      <w:r>
        <w:fldChar w:fldCharType="end"/>
      </w:r>
    </w:p>
  </w:footnote>
  <w:footnote w:id="7">
    <w:p w14:paraId="64864699" w14:textId="4D29CBFB" w:rsidR="00885B30" w:rsidRDefault="00885B30">
      <w:pPr>
        <w:pStyle w:val="FootnoteText"/>
      </w:pPr>
      <w:r>
        <w:rPr>
          <w:rStyle w:val="FootnoteReference"/>
        </w:rPr>
        <w:footnoteRef/>
      </w:r>
      <w:r>
        <w:t xml:space="preserve"> </w:t>
      </w:r>
      <w:r>
        <w:fldChar w:fldCharType="begin"/>
      </w:r>
      <w:r>
        <w:instrText xml:space="preserve"> ADDIN ZOTERO_ITEM CSL_CITATION {"citationID":"DcwzQZvH","properties":{"formattedCitation":"Tess Machling, \\uc0\\u8216{}Pattern and Purpose: A New Story about the Creation of the Snettisham Great Torc.\\uc0\\u8217{}, {\\i{}The Big Book of Torcs}, 2022 &lt;https://bigbookoftorcs.com/2022/05/29/pattern-and-purpose-a-new-story-about-the-creation-of-the-snettisham-great-torc/&gt; [accessed 13 October 2023].","plainCitation":"Tess Machling, ‘Pattern and Purpose: A New Story about the Creation of the Snettisham Great Torc.’, The Big Book of Torcs, 2022 &lt;https://bigbookoftorcs.com/2022/05/29/pattern-and-purpose-a-new-story-about-the-creation-of-the-snettisham-great-torc/&gt; [accessed 13 October 2023].","noteIndex":6},"citationItems":[{"id":22,"uris":["http://zotero.org/users/local/VhgDsqkD/items/F4BUTCKU"],"itemData":{"id":22,"type":"webpage","abstract":"The Snettisham Great torc is one of the most recognisable and well known Iron Age artefacts in Britain. Found in 1950 by Tom Rout, whilst ploughing fields on the Ken Hill estate in Snettisham, Norf…","container-title":"The Big Book of Torcs","language":"en","title":"Pattern and purpose: a new story about the creation of the Snettisham Great torc.","title-short":"Pattern and purpose","URL":"https://bigbookoftorcs.com/2022/05/29/pattern-and-purpose-a-new-story-about-the-creation-of-the-snettisham-great-torc/","author":[{"family":"Machling","given":"Tess"}],"accessed":{"date-parts":[["2023",10,13]]},"issued":{"date-parts":[["2022",5,29]]}}}],"schema":"https://github.com/citation-style-language/schema/raw/master/csl-citation.json"} </w:instrText>
      </w:r>
      <w:r>
        <w:fldChar w:fldCharType="separate"/>
      </w:r>
      <w:r w:rsidRPr="00885B30">
        <w:rPr>
          <w:rFonts w:ascii="Calibri" w:hAnsi="Calibri" w:cs="Calibri"/>
          <w:kern w:val="0"/>
          <w:szCs w:val="24"/>
        </w:rPr>
        <w:t xml:space="preserve">Tess </w:t>
      </w:r>
      <w:proofErr w:type="spellStart"/>
      <w:r w:rsidRPr="00885B30">
        <w:rPr>
          <w:rFonts w:ascii="Calibri" w:hAnsi="Calibri" w:cs="Calibri"/>
          <w:kern w:val="0"/>
          <w:szCs w:val="24"/>
        </w:rPr>
        <w:t>Machling</w:t>
      </w:r>
      <w:proofErr w:type="spellEnd"/>
      <w:r w:rsidRPr="00885B30">
        <w:rPr>
          <w:rFonts w:ascii="Calibri" w:hAnsi="Calibri" w:cs="Calibri"/>
          <w:kern w:val="0"/>
          <w:szCs w:val="24"/>
        </w:rPr>
        <w:t xml:space="preserve">, ‘Pattern and Purpose: A New Story about the Creation of the Snettisham Great Torc.’, </w:t>
      </w:r>
      <w:r w:rsidRPr="00885B30">
        <w:rPr>
          <w:rFonts w:ascii="Calibri" w:hAnsi="Calibri" w:cs="Calibri"/>
          <w:i/>
          <w:iCs/>
          <w:kern w:val="0"/>
          <w:szCs w:val="24"/>
        </w:rPr>
        <w:t>The Big Book of Torcs</w:t>
      </w:r>
      <w:r w:rsidRPr="00885B30">
        <w:rPr>
          <w:rFonts w:ascii="Calibri" w:hAnsi="Calibri" w:cs="Calibri"/>
          <w:kern w:val="0"/>
          <w:szCs w:val="24"/>
        </w:rPr>
        <w:t>, 2022 &lt;https://bigbookoftorcs.com/2022/05/29/pattern-and-purpose-a-new-story-about-the-creation-of-the-snettisham-great-torc/&gt; [accessed 13 October 2023].</w:t>
      </w:r>
      <w:r>
        <w:fldChar w:fldCharType="end"/>
      </w:r>
    </w:p>
  </w:footnote>
  <w:footnote w:id="8">
    <w:p w14:paraId="520A2C5C" w14:textId="1C356BC3" w:rsidR="00885B30" w:rsidRDefault="00885B30">
      <w:pPr>
        <w:pStyle w:val="FootnoteText"/>
      </w:pPr>
      <w:r>
        <w:rPr>
          <w:rStyle w:val="FootnoteReference"/>
        </w:rPr>
        <w:footnoteRef/>
      </w:r>
      <w:r>
        <w:t xml:space="preserve"> </w:t>
      </w:r>
      <w:r>
        <w:fldChar w:fldCharType="begin"/>
      </w:r>
      <w:r>
        <w:instrText xml:space="preserve"> ADDIN ZOTERO_ITEM CSL_CITATION {"citationID":"CFZIfP3c","properties":{"formattedCitation":"Tess Machling and Roland Williamson, \\uc0\\u8216{}Investigating the Manufacturing Technology of Later Iron Age Torus Torcs\\uc0\\u8217{}, {\\i{}Historical Metallurgy}, 52.2 (2018), 83\\uc0\\u8211{}95.","plainCitation":"Tess Machling and Roland Williamson, ‘Investigating the Manufacturing Technology of Later Iron Age Torus Torcs’, Historical Metallurgy, 52.2 (2018), 83–95.","noteIndex":7},"citationItems":[{"id":29,"uris":["http://zotero.org/users/local/VhgDsqkD/items/QFRGQUE7"],"itemData":{"id":29,"type":"article-journal","abstract":"Recent work (Machling and Williamson 2016; 2018; 2019) has identified a previously unrecognised method of sheet-working manufacture for many British gold alloy torus torcs. It was thought terminals were cast onto the neck-ring wire using a lost wax process, however, research has shown that, in addition to sheet terminals, there are two casting methods used for torus torc terminals – those that are separately cast and those that are directly cast-on. Recent X-radiography proved the Newark torc terminals to be of cast production but with elements of sheet/hammered technology and this new evidence is presented here. This paper examines the manufacturing of gold torus torcs and revises the understanding of their distribution, arguing for the origins of the sheet metal tradition beyond East Anglia. It is proposed that cast torcs are copying sheet-worked designs and this attempt at creating something designed to be made using a different technology proved unsuccessful.","container-title":"Historical Metallurgy","ISSN":"2755-0249","issue":"2","language":"en","page":"83-95","source":"hmsjournal.org","title":"Investigating the manufacturing technology of later Iron Age torus torcs","volume":"52","author":[{"family":"Machling","given":"Tess"},{"family":"Williamson","given":"Roland"}],"issued":{"date-parts":[["2018"]]}}}],"schema":"https://github.com/citation-style-language/schema/raw/master/csl-citation.json"} </w:instrText>
      </w:r>
      <w:r>
        <w:fldChar w:fldCharType="separate"/>
      </w:r>
      <w:r w:rsidRPr="00885B30">
        <w:rPr>
          <w:rFonts w:ascii="Calibri" w:hAnsi="Calibri" w:cs="Calibri"/>
          <w:kern w:val="0"/>
          <w:szCs w:val="24"/>
        </w:rPr>
        <w:t xml:space="preserve">Tess </w:t>
      </w:r>
      <w:proofErr w:type="spellStart"/>
      <w:r w:rsidRPr="00885B30">
        <w:rPr>
          <w:rFonts w:ascii="Calibri" w:hAnsi="Calibri" w:cs="Calibri"/>
          <w:kern w:val="0"/>
          <w:szCs w:val="24"/>
        </w:rPr>
        <w:t>Machling</w:t>
      </w:r>
      <w:proofErr w:type="spellEnd"/>
      <w:r w:rsidRPr="00885B30">
        <w:rPr>
          <w:rFonts w:ascii="Calibri" w:hAnsi="Calibri" w:cs="Calibri"/>
          <w:kern w:val="0"/>
          <w:szCs w:val="24"/>
        </w:rPr>
        <w:t xml:space="preserve"> and Roland Williamson, ‘Investigating the Manufacturing Technology of Later Iron Age Torus Torcs’, </w:t>
      </w:r>
      <w:r w:rsidRPr="00885B30">
        <w:rPr>
          <w:rFonts w:ascii="Calibri" w:hAnsi="Calibri" w:cs="Calibri"/>
          <w:i/>
          <w:iCs/>
          <w:kern w:val="0"/>
          <w:szCs w:val="24"/>
        </w:rPr>
        <w:t>Historical Metallurgy</w:t>
      </w:r>
      <w:r w:rsidRPr="00885B30">
        <w:rPr>
          <w:rFonts w:ascii="Calibri" w:hAnsi="Calibri" w:cs="Calibri"/>
          <w:kern w:val="0"/>
          <w:szCs w:val="24"/>
        </w:rPr>
        <w:t xml:space="preserve">, 52.2 (2018), </w:t>
      </w:r>
      <w:r w:rsidR="0037025F">
        <w:rPr>
          <w:rFonts w:ascii="Calibri" w:hAnsi="Calibri" w:cs="Calibri"/>
          <w:kern w:val="0"/>
          <w:szCs w:val="24"/>
        </w:rPr>
        <w:t xml:space="preserve">pp </w:t>
      </w:r>
      <w:r w:rsidRPr="00885B30">
        <w:rPr>
          <w:rFonts w:ascii="Calibri" w:hAnsi="Calibri" w:cs="Calibri"/>
          <w:kern w:val="0"/>
          <w:szCs w:val="24"/>
        </w:rPr>
        <w:t>83–95</w:t>
      </w:r>
      <w:r w:rsidR="0037025F">
        <w:rPr>
          <w:rFonts w:ascii="Calibri" w:hAnsi="Calibri" w:cs="Calibri"/>
          <w:kern w:val="0"/>
          <w:szCs w:val="24"/>
        </w:rPr>
        <w:t xml:space="preserve"> (p. 90)</w:t>
      </w:r>
      <w:r w:rsidRPr="00885B30">
        <w:rPr>
          <w:rFonts w:ascii="Calibri" w:hAnsi="Calibri" w:cs="Calibri"/>
          <w:kern w:val="0"/>
          <w:szCs w:val="24"/>
        </w:rPr>
        <w:t>.</w:t>
      </w:r>
      <w:r>
        <w:fldChar w:fldCharType="end"/>
      </w:r>
    </w:p>
  </w:footnote>
  <w:footnote w:id="9">
    <w:p w14:paraId="36AABE40" w14:textId="7AD17DF0" w:rsidR="00885B30" w:rsidRDefault="00885B30">
      <w:pPr>
        <w:pStyle w:val="FootnoteText"/>
      </w:pPr>
      <w:r>
        <w:rPr>
          <w:rStyle w:val="FootnoteReference"/>
        </w:rPr>
        <w:footnoteRef/>
      </w:r>
      <w:r>
        <w:t xml:space="preserve"> </w:t>
      </w:r>
      <w:r>
        <w:fldChar w:fldCharType="begin"/>
      </w:r>
      <w:r w:rsidR="00697F5C">
        <w:instrText xml:space="preserve"> ADDIN ZOTERO_ITEM CSL_CITATION {"citationID":"alSc4HJF","properties":{"formattedCitation":"\\uc0\\u8216{}Torc | British Museum\\uc0\\u8217{}.","plainCitation":"‘Torc | British Museum’.","dontUpdate":true,"noteIndex":9},"citationItems":[{"id":18,"uris":["http://zotero.org/users/local/VhgDsqkD/items/KNF565RJ"],"itemData":{"id":18,"type":"webpage","abstract":"Gold alloy torc with ornamented terminals. The torc is made from just over a kilogram of gold mixed with silver. It is made from sixty-four threads. Each thread is 1.9mm wide. Eight threads were twisted together at a time to make eight separate ropes of metal. These were then twisted around each to make the final torc. The ends of the torc were cast in moulds. The hollow ends were then welded onto the ropes. The terminals are ornamented with embossed ridges, contrasting with areas filled by chased 'basket-work'.","container-title":"The British Museum","language":"en","title":"torc | British Museum","URL":"https://www.britishmuseum.org/collection/object/H_1951-0402-2","accessed":{"date-parts":[["2023",10,13]]}}}],"schema":"https://github.com/citation-style-language/schema/raw/master/csl-citation.json"} </w:instrText>
      </w:r>
      <w:r>
        <w:fldChar w:fldCharType="separate"/>
      </w:r>
      <w:r w:rsidR="0037025F">
        <w:rPr>
          <w:rFonts w:ascii="Calibri" w:hAnsi="Calibri" w:cs="Calibri"/>
          <w:kern w:val="0"/>
          <w:szCs w:val="24"/>
        </w:rPr>
        <w:t>British Museum, 'Torc'</w:t>
      </w:r>
      <w:r w:rsidRPr="00885B30">
        <w:rPr>
          <w:rFonts w:ascii="Calibri" w:hAnsi="Calibri" w:cs="Calibri"/>
          <w:kern w:val="0"/>
          <w:szCs w:val="24"/>
        </w:rPr>
        <w:t>.</w:t>
      </w:r>
      <w:r>
        <w:fldChar w:fldCharType="end"/>
      </w:r>
    </w:p>
  </w:footnote>
  <w:footnote w:id="10">
    <w:p w14:paraId="359D7043" w14:textId="2EB35E7B" w:rsidR="00174991" w:rsidRDefault="00174991">
      <w:pPr>
        <w:pStyle w:val="FootnoteText"/>
      </w:pPr>
      <w:r>
        <w:rPr>
          <w:rStyle w:val="FootnoteReference"/>
        </w:rPr>
        <w:footnoteRef/>
      </w:r>
      <w:r>
        <w:t xml:space="preserve"> </w:t>
      </w:r>
      <w:r>
        <w:fldChar w:fldCharType="begin"/>
      </w:r>
      <w:r w:rsidR="00697F5C">
        <w:instrText xml:space="preserve"> ADDIN ZOTERO_ITEM CSL_CITATION {"citationID":"6zuh0Udz","properties":{"formattedCitation":"I. M. Stead, \\uc0\\u8216{}Snettisham Swansong\\uc0\\u8217{}, in {\\i{}Celtic Art in Europe}, ed. by Christopher Gosden, Sally Crawford, and Katharina Ulmschneider, Making Connections (Oxbow Books, 2014), pp. 297\\uc0\\u8211{}303 &lt;https://www.jstor.org/stable/j.ctvh1dqs8.35&gt; [accessed 20 October 2023].","plainCitation":"I. M. Stead, ‘Snettisham Swansong’, in Celtic Art in Europe, ed. by Christopher Gosden, Sally Crawford, and Katharina Ulmschneider, Making Connections (Oxbow Books, 2014), pp. 297–303 &lt;https://www.jstor.org/stable/j.ctvh1dqs8.35&gt; [accessed 20 October 2023].","dontUpdate":true,"noteIndex":10},"citationItems":[{"id":27,"uris":["http://zotero.org/users/local/VhgDsqkD/items/MZ32TPFQ"],"itemData":{"id":27,"type":"chapter","abstract":"I offer these further thoughts on the Snettisham Treasure in honour of Vincent Megaw, a distinguished archaeologist and good friend. They supplement a report on the discovery of hoards in 1990 (Stead 1991), an account of subsequent excavations including the identification of a large polygonal enclosure (Stead 1995) and a brief discussion of the art styles represented at Snettisham (Stead 2009).  The Great Torque (Hoard E) was discovered by a ploughman in November 1950. It was taken to Ken Hill, the home of the landowner, Sir Stephen Lycett Green, a barrister who had a real interest in antiquities and local","collection-title":"Making Connections","container-title":"Celtic Art in Europe","ISBN":"978-1-78297-655-4","page":"297-303","publisher":"Oxbow Books","source":"JSTOR","title":"Snettisham Swansong","URL":"https://www.jstor.org/stable/j.ctvh1dqs8.35","author":[{"family":"Stead","given":"I. M."}],"editor":[{"family":"Gosden","given":"Christopher"},{"family":"Crawford","given":"Sally"},{"family":"Ulmschneider","given":"Katharina"}],"accessed":{"date-parts":[["2023",10,20]]},"issued":{"date-parts":[["2014"]]}}}],"schema":"https://github.com/citation-style-language/schema/raw/master/csl-citation.json"} </w:instrText>
      </w:r>
      <w:r>
        <w:fldChar w:fldCharType="separate"/>
      </w:r>
      <w:r w:rsidRPr="00174991">
        <w:rPr>
          <w:rFonts w:ascii="Calibri" w:hAnsi="Calibri" w:cs="Calibri"/>
          <w:kern w:val="0"/>
          <w:szCs w:val="24"/>
        </w:rPr>
        <w:t xml:space="preserve">I. M. Stead, ‘Snettisham Swansong’, in </w:t>
      </w:r>
      <w:r w:rsidRPr="00174991">
        <w:rPr>
          <w:rFonts w:ascii="Calibri" w:hAnsi="Calibri" w:cs="Calibri"/>
          <w:i/>
          <w:iCs/>
          <w:kern w:val="0"/>
          <w:szCs w:val="24"/>
        </w:rPr>
        <w:t>Celtic Art in Europe</w:t>
      </w:r>
      <w:r w:rsidR="0037025F">
        <w:rPr>
          <w:rFonts w:ascii="Calibri" w:hAnsi="Calibri" w:cs="Calibri"/>
          <w:i/>
          <w:iCs/>
          <w:kern w:val="0"/>
          <w:szCs w:val="24"/>
        </w:rPr>
        <w:t>: Making Connections</w:t>
      </w:r>
      <w:r w:rsidRPr="00174991">
        <w:rPr>
          <w:rFonts w:ascii="Calibri" w:hAnsi="Calibri" w:cs="Calibri"/>
          <w:kern w:val="0"/>
          <w:szCs w:val="24"/>
        </w:rPr>
        <w:t>, ed. by Christopher Gosden, Sally Crawford, and Katharina Ulmschneider (Oxbow Books, 2014), pp. 297–303</w:t>
      </w:r>
      <w:r>
        <w:rPr>
          <w:rFonts w:ascii="Calibri" w:hAnsi="Calibri" w:cs="Calibri"/>
          <w:kern w:val="0"/>
          <w:szCs w:val="24"/>
        </w:rPr>
        <w:t xml:space="preserve"> </w:t>
      </w:r>
      <w:r w:rsidR="0037025F">
        <w:rPr>
          <w:rFonts w:ascii="Calibri" w:hAnsi="Calibri" w:cs="Calibri"/>
          <w:kern w:val="0"/>
          <w:szCs w:val="24"/>
        </w:rPr>
        <w:t>(</w:t>
      </w:r>
      <w:r>
        <w:rPr>
          <w:rFonts w:ascii="Calibri" w:hAnsi="Calibri" w:cs="Calibri"/>
          <w:kern w:val="0"/>
          <w:szCs w:val="24"/>
        </w:rPr>
        <w:t>p. 298</w:t>
      </w:r>
      <w:proofErr w:type="gramStart"/>
      <w:r w:rsidR="0037025F">
        <w:rPr>
          <w:rFonts w:ascii="Calibri" w:hAnsi="Calibri" w:cs="Calibri"/>
          <w:kern w:val="0"/>
          <w:szCs w:val="24"/>
        </w:rPr>
        <w:t>)</w:t>
      </w:r>
      <w:r>
        <w:rPr>
          <w:rFonts w:ascii="Calibri" w:hAnsi="Calibri" w:cs="Calibri"/>
          <w:kern w:val="0"/>
          <w:szCs w:val="24"/>
        </w:rPr>
        <w:t xml:space="preserve"> </w:t>
      </w:r>
      <w:r w:rsidRPr="00174991">
        <w:rPr>
          <w:rFonts w:ascii="Calibri" w:hAnsi="Calibri" w:cs="Calibri"/>
          <w:kern w:val="0"/>
          <w:szCs w:val="24"/>
        </w:rPr>
        <w:t xml:space="preserve"> &lt;</w:t>
      </w:r>
      <w:proofErr w:type="gramEnd"/>
      <w:r w:rsidRPr="00174991">
        <w:rPr>
          <w:rFonts w:ascii="Calibri" w:hAnsi="Calibri" w:cs="Calibri"/>
          <w:kern w:val="0"/>
          <w:szCs w:val="24"/>
        </w:rPr>
        <w:t>https://www.jstor.org/stable/j.ctvh1dqs8.35&gt; [accessed 20 October 2023].</w:t>
      </w:r>
      <w:r>
        <w:fldChar w:fldCharType="end"/>
      </w:r>
    </w:p>
  </w:footnote>
  <w:footnote w:id="11">
    <w:p w14:paraId="065F1C06" w14:textId="00CA14F2" w:rsidR="00174991" w:rsidRDefault="00174991">
      <w:pPr>
        <w:pStyle w:val="FootnoteText"/>
      </w:pPr>
      <w:r>
        <w:rPr>
          <w:rStyle w:val="FootnoteReference"/>
        </w:rPr>
        <w:footnoteRef/>
      </w:r>
      <w:r>
        <w:t xml:space="preserve"> </w:t>
      </w:r>
      <w:r w:rsidR="0037025F">
        <w:t>Stead, ‘Snettisham Swansong’,</w:t>
      </w:r>
      <w:r>
        <w:t xml:space="preserve"> p. 302</w:t>
      </w:r>
      <w:r w:rsidR="0037025F">
        <w:t xml:space="preserve">. </w:t>
      </w:r>
    </w:p>
  </w:footnote>
  <w:footnote w:id="12">
    <w:p w14:paraId="16D4933B" w14:textId="309AA53F" w:rsidR="00174991" w:rsidRDefault="00174991">
      <w:pPr>
        <w:pStyle w:val="FootnoteText"/>
      </w:pPr>
      <w:r>
        <w:rPr>
          <w:rStyle w:val="FootnoteReference"/>
        </w:rPr>
        <w:footnoteRef/>
      </w:r>
      <w:r>
        <w:t xml:space="preserve"> </w:t>
      </w:r>
      <w:r>
        <w:fldChar w:fldCharType="begin"/>
      </w:r>
      <w:r w:rsidR="00697F5C">
        <w:instrText xml:space="preserve"> ADDIN ZOTERO_ITEM CSL_CITATION {"citationID":"jxvXW0kc","properties":{"formattedCitation":"Jody Joy, \\uc0\\u8216{}Hoards as Collections: Re-Examining the Snettisham Iron Age Hoards from the Perspective of Collecting Practice\\uc0\\u8217{}, {\\i{}World Archaeology}, 48.2 (2016), 239\\uc0\\u8211{}53 &lt;https://doi.org/10.1080/00438243.2016.1152197&gt;.","plainCitation":"Jody Joy, ‘Hoards as Collections: Re-Examining the Snettisham Iron Age Hoards from the Perspective of Collecting Practice’, World Archaeology, 48.2 (2016), 239–53 &lt;https://doi.org/10.1080/00438243.2016.1152197&gt;.","dontUpdate":true,"noteIndex":12},"citationItems":[{"id":16,"uris":["http://zotero.org/users/local/VhgDsqkD/items/NXRJ58L7"],"itemData":{"id":16,"type":"article-journal","abstract":"In this article it is argued that past examination of hoards and hoarding has concentrated too much on the moment of deposition to the detriment of the period of collection and accumulation of material that preceded it. An alternative perspective on prehistoric hoarding is proposed that concentrates on the processes by which objects were collected and assembled to form hoards and parallels are drawn with recent research examining how museum collections were formed. These ideas are applied to a case study which re-examines the material from the well-known Iron Age hoards from Snettisham, Norfolk, UK, as an example of how approaching hoards as collections can provide fresh insights on the practices of collecting and hoarding.","container-title":"World Archaeology","DOI":"10.1080/00438243.2016.1152197","ISSN":"00438243","issue":"2","note":"publisher: Routledge","page":"239-253","source":"EBSCOhost","title":"Hoards as collections: re-examining the Snettisham Iron Age hoards from the perspective of collecting practice","title-short":"Hoards as collections","volume":"48","author":[{"family":"Joy","given":"Jody"}],"issued":{"date-parts":[["2016",6]]}}}],"schema":"https://github.com/citation-style-language/schema/raw/master/csl-citation.json"} </w:instrText>
      </w:r>
      <w:r>
        <w:fldChar w:fldCharType="separate"/>
      </w:r>
      <w:r w:rsidRPr="00174991">
        <w:rPr>
          <w:rFonts w:ascii="Calibri" w:hAnsi="Calibri" w:cs="Calibri"/>
          <w:kern w:val="0"/>
          <w:szCs w:val="24"/>
        </w:rPr>
        <w:t xml:space="preserve">Jody Joy, ‘Hoards as Collections: Re-Examining the Snettisham Iron Age Hoards from the Perspective of Collecting Practice’, </w:t>
      </w:r>
      <w:r w:rsidRPr="00174991">
        <w:rPr>
          <w:rFonts w:ascii="Calibri" w:hAnsi="Calibri" w:cs="Calibri"/>
          <w:i/>
          <w:iCs/>
          <w:kern w:val="0"/>
          <w:szCs w:val="24"/>
        </w:rPr>
        <w:t>World Archaeology</w:t>
      </w:r>
      <w:r w:rsidRPr="00174991">
        <w:rPr>
          <w:rFonts w:ascii="Calibri" w:hAnsi="Calibri" w:cs="Calibri"/>
          <w:kern w:val="0"/>
          <w:szCs w:val="24"/>
        </w:rPr>
        <w:t xml:space="preserve">, 48.2 (2016), </w:t>
      </w:r>
      <w:r w:rsidR="0037025F">
        <w:rPr>
          <w:rFonts w:ascii="Calibri" w:hAnsi="Calibri" w:cs="Calibri"/>
          <w:kern w:val="0"/>
          <w:szCs w:val="24"/>
        </w:rPr>
        <w:t xml:space="preserve">pp </w:t>
      </w:r>
      <w:r w:rsidRPr="00174991">
        <w:rPr>
          <w:rFonts w:ascii="Calibri" w:hAnsi="Calibri" w:cs="Calibri"/>
          <w:kern w:val="0"/>
          <w:szCs w:val="24"/>
        </w:rPr>
        <w:t xml:space="preserve">239–53 </w:t>
      </w:r>
      <w:r w:rsidR="0037025F">
        <w:rPr>
          <w:rFonts w:ascii="Calibri" w:hAnsi="Calibri" w:cs="Calibri"/>
          <w:kern w:val="0"/>
          <w:szCs w:val="24"/>
        </w:rPr>
        <w:t xml:space="preserve">(p. 243) </w:t>
      </w:r>
      <w:r w:rsidRPr="00174991">
        <w:rPr>
          <w:rFonts w:ascii="Calibri" w:hAnsi="Calibri" w:cs="Calibri"/>
          <w:kern w:val="0"/>
          <w:szCs w:val="24"/>
        </w:rPr>
        <w:t>&lt;https://doi.org/10.1080/00438243.2016.1152197&gt;.</w:t>
      </w:r>
      <w:r>
        <w:fldChar w:fldCharType="end"/>
      </w:r>
    </w:p>
  </w:footnote>
  <w:footnote w:id="13">
    <w:p w14:paraId="491A2464" w14:textId="65F40033" w:rsidR="009D607B" w:rsidRDefault="009D607B">
      <w:pPr>
        <w:pStyle w:val="FootnoteText"/>
      </w:pPr>
      <w:r>
        <w:rPr>
          <w:rStyle w:val="FootnoteReference"/>
        </w:rPr>
        <w:footnoteRef/>
      </w:r>
      <w:r>
        <w:t xml:space="preserve"> </w:t>
      </w:r>
      <w:r>
        <w:fldChar w:fldCharType="begin"/>
      </w:r>
      <w:r w:rsidR="00697F5C">
        <w:instrText xml:space="preserve"> ADDIN ZOTERO_ITEM CSL_CITATION {"citationID":"0oWxRQwJ","properties":{"formattedCitation":"Stead.","plainCitation":"Stead.","dontUpdate":true,"noteIndex":13},"citationItems":[{"id":27,"uris":["http://zotero.org/users/local/VhgDsqkD/items/MZ32TPFQ"],"itemData":{"id":27,"type":"chapter","abstract":"I offer these further thoughts on the Snettisham Treasure in honour of Vincent Megaw, a distinguished archaeologist and good friend. They supplement a report on the discovery of hoards in 1990 (Stead 1991), an account of subsequent excavations including the identification of a large polygonal enclosure (Stead 1995) and a brief discussion of the art styles represented at Snettisham (Stead 2009).  The Great Torque (Hoard E) was discovered by a ploughman in November 1950. It was taken to Ken Hill, the home of the landowner, Sir Stephen Lycett Green, a barrister who had a real interest in antiquities and local","collection-title":"Making Connections","container-title":"Celtic Art in Europe","ISBN":"978-1-78297-655-4","page":"297-303","publisher":"Oxbow Books","source":"JSTOR","title":"Snettisham Swansong","URL":"https://www.jstor.org/stable/j.ctvh1dqs8.35","author":[{"family":"Stead","given":"I. M."}],"editor":[{"family":"Gosden","given":"Christopher"},{"family":"Crawford","given":"Sally"},{"family":"Ulmschneider","given":"Katharina"}],"accessed":{"date-parts":[["2023",10,20]]},"issued":{"date-parts":[["2014"]]}}}],"schema":"https://github.com/citation-style-language/schema/raw/master/csl-citation.json"} </w:instrText>
      </w:r>
      <w:r>
        <w:fldChar w:fldCharType="separate"/>
      </w:r>
      <w:r w:rsidRPr="009D607B">
        <w:rPr>
          <w:rFonts w:ascii="Calibri" w:hAnsi="Calibri" w:cs="Calibri"/>
        </w:rPr>
        <w:t>Stead</w:t>
      </w:r>
      <w:r w:rsidR="0037025F">
        <w:rPr>
          <w:rFonts w:ascii="Calibri" w:hAnsi="Calibri" w:cs="Calibri"/>
        </w:rPr>
        <w:t>, 'Snettisham Swansong', p. 300</w:t>
      </w:r>
      <w:r w:rsidRPr="009D607B">
        <w:rPr>
          <w:rFonts w:ascii="Calibri" w:hAnsi="Calibri" w:cs="Calibri"/>
        </w:rPr>
        <w:t>.</w:t>
      </w:r>
      <w:r>
        <w:fldChar w:fldCharType="end"/>
      </w:r>
    </w:p>
  </w:footnote>
  <w:footnote w:id="14">
    <w:p w14:paraId="2772EF69" w14:textId="2600AC66" w:rsidR="009D607B" w:rsidRDefault="009D607B">
      <w:pPr>
        <w:pStyle w:val="FootnoteText"/>
      </w:pPr>
      <w:r>
        <w:rPr>
          <w:rStyle w:val="FootnoteReference"/>
        </w:rPr>
        <w:footnoteRef/>
      </w:r>
      <w:r>
        <w:t xml:space="preserve"> </w:t>
      </w:r>
      <w:r w:rsidR="0037025F">
        <w:t xml:space="preserve">British Museum, </w:t>
      </w:r>
      <w:r>
        <w:fldChar w:fldCharType="begin"/>
      </w:r>
      <w:r w:rsidR="00697F5C">
        <w:instrText xml:space="preserve"> ADDIN ZOTERO_ITEM CSL_CITATION {"citationID":"sVR8c8mR","properties":{"formattedCitation":"\\uc0\\u8216{}Torc | British Museum\\uc0\\u8217{}.","plainCitation":"‘Torc | British Museum’.","dontUpdate":true,"noteIndex":14},"citationItems":[{"id":18,"uris":["http://zotero.org/users/local/VhgDsqkD/items/KNF565RJ"],"itemData":{"id":18,"type":"webpage","abstract":"Gold alloy torc with ornamented terminals. The torc is made from just over a kilogram of gold mixed with silver. It is made from sixty-four threads. Each thread is 1.9mm wide. Eight threads were twisted together at a time to make eight separate ropes of metal. These were then twisted around each to make the final torc. The ends of the torc were cast in moulds. The hollow ends were then welded onto the ropes. The terminals are ornamented with embossed ridges, contrasting with areas filled by chased 'basket-work'.","container-title":"The British Museum","language":"en","title":"torc | British Museum","URL":"https://www.britishmuseum.org/collection/object/H_1951-0402-2","accessed":{"date-parts":[["2023",10,13]]}}}],"schema":"https://github.com/citation-style-language/schema/raw/master/csl-citation.json"} </w:instrText>
      </w:r>
      <w:r>
        <w:fldChar w:fldCharType="separate"/>
      </w:r>
      <w:r w:rsidRPr="009D607B">
        <w:rPr>
          <w:rFonts w:ascii="Calibri" w:hAnsi="Calibri" w:cs="Calibri"/>
          <w:kern w:val="0"/>
          <w:szCs w:val="24"/>
        </w:rPr>
        <w:t>‘Torc’.</w:t>
      </w:r>
      <w:r>
        <w:fldChar w:fldCharType="end"/>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353"/>
    <w:rsid w:val="00090288"/>
    <w:rsid w:val="00174991"/>
    <w:rsid w:val="0037025F"/>
    <w:rsid w:val="00454122"/>
    <w:rsid w:val="006623AF"/>
    <w:rsid w:val="00697F5C"/>
    <w:rsid w:val="00864453"/>
    <w:rsid w:val="00885B30"/>
    <w:rsid w:val="008D4353"/>
    <w:rsid w:val="009D607B"/>
    <w:rsid w:val="00B85576"/>
    <w:rsid w:val="00BB55DD"/>
    <w:rsid w:val="00C166EA"/>
    <w:rsid w:val="00DE44EC"/>
    <w:rsid w:val="00EF68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D21DFC"/>
  <w15:chartTrackingRefBased/>
  <w15:docId w15:val="{D064E8F5-7EFE-4850-84D1-479DD3726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D43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D4353"/>
    <w:rPr>
      <w:sz w:val="20"/>
      <w:szCs w:val="20"/>
    </w:rPr>
  </w:style>
  <w:style w:type="character" w:styleId="FootnoteReference">
    <w:name w:val="footnote reference"/>
    <w:basedOn w:val="DefaultParagraphFont"/>
    <w:uiPriority w:val="99"/>
    <w:semiHidden/>
    <w:unhideWhenUsed/>
    <w:rsid w:val="008D4353"/>
    <w:rPr>
      <w:vertAlign w:val="superscript"/>
    </w:rPr>
  </w:style>
  <w:style w:type="paragraph" w:styleId="Bibliography">
    <w:name w:val="Bibliography"/>
    <w:basedOn w:val="Normal"/>
    <w:next w:val="Normal"/>
    <w:uiPriority w:val="37"/>
    <w:unhideWhenUsed/>
    <w:rsid w:val="00EF68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3</Pages>
  <Words>872</Words>
  <Characters>4291</Characters>
  <Application>Microsoft Office Word</Application>
  <DocSecurity>0</DocSecurity>
  <Lines>62</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Kira Webb</dc:creator>
  <cp:keywords/>
  <dc:description/>
  <cp:lastModifiedBy>Kira Webb</cp:lastModifiedBy>
  <cp:revision>2</cp:revision>
  <dcterms:created xsi:type="dcterms:W3CDTF">2023-10-25T20:02:00Z</dcterms:created>
  <dcterms:modified xsi:type="dcterms:W3CDTF">2023-10-25T22:32:00Z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zotero-version="6.0.27"&gt;&lt;session id="7UM10yTY"/&gt;&lt;style id="http://www.zotero.org/styles/modern-humanities-research-association" hasBibliography="1" bibliographyStyleHasBeenSet="1"/&gt;&lt;prefs&gt;&lt;pref name="fieldType" value="Field"/&gt;&lt;pref </vt:lpwstr>
  </property>
  <property fmtid="{D5CDD505-2E9C-101B-9397-08002B2CF9AE}" pid="3" name="ZOTERO_PREF_2">
    <vt:lpwstr>name="automaticJournalAbbreviations" value="true"/&gt;&lt;pref name="noteType" value="1"/&gt;&lt;/prefs&gt;&lt;/data&gt;</vt:lpwstr>
  </property>
</Properties>
</file>