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68541D45" w:rsidR="00301AD0" w:rsidRDefault="001B6DB4" w:rsidP="00A85D1A">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0C6840B3" w14:textId="77777777" w:rsidR="00950A60" w:rsidRDefault="00950A60" w:rsidP="00B945EA">
      <w:pPr>
        <w:jc w:val="both"/>
        <w:rPr>
          <w:rFonts w:ascii="Tahoma" w:hAnsi="Tahoma" w:cs="Tahoma"/>
          <w:b/>
          <w:u w:val="single"/>
        </w:rPr>
      </w:pPr>
    </w:p>
    <w:p w14:paraId="1686D6EA" w14:textId="77777777" w:rsidR="00950A60" w:rsidRDefault="00950A60" w:rsidP="00B945EA">
      <w:pPr>
        <w:jc w:val="both"/>
        <w:rPr>
          <w:rFonts w:ascii="Tahoma" w:hAnsi="Tahoma" w:cs="Tahoma"/>
          <w:b/>
          <w:u w:val="single"/>
        </w:rPr>
      </w:pPr>
    </w:p>
    <w:p w14:paraId="459D838B" w14:textId="5FAF8756" w:rsidR="00950A60" w:rsidRDefault="00950A60" w:rsidP="00B945EA">
      <w:pPr>
        <w:jc w:val="both"/>
        <w:rPr>
          <w:rFonts w:ascii="Tahoma" w:hAnsi="Tahoma" w:cs="Tahoma"/>
          <w:b/>
          <w:u w:val="single"/>
        </w:rPr>
      </w:pPr>
      <w:r>
        <w:rPr>
          <w:noProof/>
        </w:rPr>
        <w:drawing>
          <wp:inline distT="0" distB="0" distL="0" distR="0" wp14:anchorId="6BE7E287" wp14:editId="597C30C8">
            <wp:extent cx="6838950" cy="106310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38950" cy="1063106"/>
                    </a:xfrm>
                    <a:prstGeom prst="rect">
                      <a:avLst/>
                    </a:prstGeom>
                  </pic:spPr>
                </pic:pic>
              </a:graphicData>
            </a:graphic>
          </wp:inline>
        </w:drawing>
      </w:r>
    </w:p>
    <w:p w14:paraId="4DEF9836" w14:textId="77777777" w:rsidR="00950A60" w:rsidRDefault="00950A60"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43A58E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266D41" w:rsidRPr="00D04574">
              <w:rPr>
                <w:b/>
              </w:rPr>
              <w:t>Munni Begum</w:t>
            </w:r>
          </w:p>
          <w:p w14:paraId="498F0B10" w14:textId="77777777" w:rsidR="001B69C8" w:rsidRPr="003C3341" w:rsidRDefault="001B69C8">
            <w:pPr>
              <w:rPr>
                <w:rFonts w:ascii="Tahoma" w:hAnsi="Tahoma" w:cs="Tahoma"/>
                <w:b/>
                <w:sz w:val="20"/>
                <w:szCs w:val="20"/>
              </w:rPr>
            </w:pPr>
          </w:p>
          <w:p w14:paraId="69E1F0CF" w14:textId="73D9E84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4D40B6">
              <w:rPr>
                <w:rFonts w:ascii="Tahoma" w:hAnsi="Tahoma" w:cs="Tahoma"/>
                <w:b/>
                <w:sz w:val="20"/>
                <w:szCs w:val="20"/>
              </w:rPr>
              <w:t>2118236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9902BA4" w:rsidR="00B21F2E" w:rsidRDefault="001B69C8">
            <w:pPr>
              <w:rPr>
                <w:rFonts w:ascii="Tahoma" w:hAnsi="Tahoma" w:cs="Tahoma"/>
                <w:b/>
                <w:sz w:val="20"/>
                <w:szCs w:val="20"/>
              </w:rPr>
            </w:pPr>
            <w:r>
              <w:rPr>
                <w:rFonts w:ascii="Tahoma" w:hAnsi="Tahoma" w:cs="Tahoma"/>
                <w:b/>
                <w:sz w:val="20"/>
                <w:szCs w:val="20"/>
              </w:rPr>
              <w:t>Module:</w:t>
            </w:r>
            <w:r w:rsidR="004D40B6" w:rsidRPr="004D40B6">
              <w:rPr>
                <w:rFonts w:ascii="Tahoma" w:hAnsi="Tahoma" w:cs="Tahoma"/>
                <w:b/>
                <w:sz w:val="20"/>
                <w:szCs w:val="20"/>
              </w:rPr>
              <w:t xml:space="preserve"> Food &amp; Beverage Operations (BMIH4002)</w:t>
            </w:r>
          </w:p>
          <w:p w14:paraId="2019D1B6" w14:textId="77777777" w:rsidR="00B21F2E" w:rsidRDefault="00B21F2E" w:rsidP="00B21F2E">
            <w:pPr>
              <w:rPr>
                <w:rFonts w:ascii="Tahoma" w:hAnsi="Tahoma" w:cs="Tahoma"/>
                <w:b/>
                <w:sz w:val="20"/>
                <w:szCs w:val="20"/>
              </w:rPr>
            </w:pPr>
          </w:p>
          <w:p w14:paraId="450FE136" w14:textId="60A9ADB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FF32B5">
              <w:rPr>
                <w:rFonts w:ascii="Tahoma" w:hAnsi="Tahoma" w:cs="Tahoma"/>
                <w:b/>
                <w:sz w:val="20"/>
                <w:szCs w:val="20"/>
              </w:rPr>
              <w:t>Lola Villard</w:t>
            </w:r>
            <w:bookmarkStart w:id="0" w:name="_GoBack"/>
            <w:bookmarkEnd w:id="0"/>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DBF6301" w:rsidR="00B21F2E" w:rsidRPr="00711491" w:rsidRDefault="008F0D83" w:rsidP="00711491">
            <w:r w:rsidRPr="00711491">
              <w:rPr>
                <w:b/>
              </w:rPr>
              <w:t>Topic of choice:</w:t>
            </w:r>
            <w:r w:rsidR="00B60FDF" w:rsidRPr="00711491">
              <w:t xml:space="preserve"> </w:t>
            </w:r>
            <w:r w:rsidR="000F794F" w:rsidRPr="00711491">
              <w:t>Ratings, Inspections and Reporting Procedures</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61F32762" w14:textId="120645F0" w:rsidR="00E1270A" w:rsidRDefault="00E1270A" w:rsidP="00E1270A">
            <w:pPr>
              <w:spacing w:line="360" w:lineRule="auto"/>
              <w:jc w:val="both"/>
            </w:pPr>
            <w:r>
              <w:t xml:space="preserve">Ratings, Inspections, and Reporting Procedures are some of the topics that </w:t>
            </w:r>
            <w:r w:rsidR="00A02B6A">
              <w:t xml:space="preserve">I </w:t>
            </w:r>
            <w:r w:rsidR="008C3424">
              <w:t>have chosen</w:t>
            </w:r>
            <w:r>
              <w:t xml:space="preserve"> </w:t>
            </w:r>
            <w:r w:rsidR="008C3424">
              <w:t xml:space="preserve">because </w:t>
            </w:r>
            <w:r>
              <w:t>From one to five stars, hotels are rated. For example, a five-star hotel will include at least five bedrooms, each with its own bathroom. 7 days a week, the restaurant is open. At all times, visitors have unlimited access. There is a well-defined welcome lounge, as well as a restaurant and a licenced bar that provides meals seven days a week and evening dinners five days a week. Two stars imply improved cleanliness, hospitality, and maintenance (</w:t>
            </w:r>
            <w:r w:rsidR="00FB08CA">
              <w:t>the entire</w:t>
            </w:r>
            <w:r>
              <w:t xml:space="preserve"> above, plus...) From 7 a.m. to 11 p.m., three stars provide keyless entrance, with keyed entry available at all other times. Six evenings a week, dinner is available, with snacks available on the seventh night. Room service is available for drinks and snacks throughout the day and evening. Wi-Fi in public areas and internal telephone system in all rooms (Carrol et al, 2014).</w:t>
            </w:r>
          </w:p>
          <w:p w14:paraId="483AC347" w14:textId="77777777" w:rsidR="00E1270A" w:rsidRDefault="00E1270A" w:rsidP="00E1270A">
            <w:pPr>
              <w:spacing w:line="360" w:lineRule="auto"/>
              <w:jc w:val="both"/>
            </w:pPr>
          </w:p>
          <w:p w14:paraId="11624B1F" w14:textId="77777777" w:rsidR="00E1270A" w:rsidRDefault="00E1270A" w:rsidP="00E1270A">
            <w:pPr>
              <w:spacing w:line="360" w:lineRule="auto"/>
              <w:jc w:val="both"/>
            </w:pPr>
            <w:r>
              <w:t>Room service is available 24 hours a day, seven days a week and includes a full breakfast and dinner menu. On-duty personnel provide 24-hour access, and restrooms offer thermostatic showers. Enhance services include things like afternoon tea, luggage, assistance, and midday meals. The five-star rating includes everything mentioned above, plus...) All year round, the restaurant is open. A second dining area, a business centre, and other facilities are available. Every day, the restaurant serves all meals, and at least 80% of the bathrooms feature bathtubs (Carrol et al, 2014).</w:t>
            </w:r>
          </w:p>
          <w:p w14:paraId="02E88CF4" w14:textId="77777777" w:rsidR="00E1270A" w:rsidRDefault="00E1270A" w:rsidP="00E1270A">
            <w:pPr>
              <w:spacing w:line="360" w:lineRule="auto"/>
              <w:jc w:val="both"/>
            </w:pPr>
          </w:p>
          <w:p w14:paraId="3036AAEA" w14:textId="77777777" w:rsidR="00955366" w:rsidRDefault="00955366" w:rsidP="00E1270A">
            <w:pPr>
              <w:spacing w:line="360" w:lineRule="auto"/>
              <w:jc w:val="both"/>
            </w:pPr>
          </w:p>
          <w:p w14:paraId="3C479B2A" w14:textId="77777777" w:rsidR="00955366" w:rsidRDefault="00955366" w:rsidP="00E1270A">
            <w:pPr>
              <w:spacing w:line="360" w:lineRule="auto"/>
              <w:jc w:val="both"/>
            </w:pPr>
          </w:p>
          <w:p w14:paraId="22187107" w14:textId="77777777" w:rsidR="00955366" w:rsidRDefault="00955366" w:rsidP="00E1270A">
            <w:pPr>
              <w:spacing w:line="360" w:lineRule="auto"/>
              <w:jc w:val="both"/>
            </w:pPr>
          </w:p>
          <w:p w14:paraId="2E7411F5" w14:textId="77777777" w:rsidR="00E1270A" w:rsidRDefault="00E1270A" w:rsidP="00E1270A">
            <w:pPr>
              <w:spacing w:line="360" w:lineRule="auto"/>
              <w:jc w:val="both"/>
            </w:pPr>
            <w:r>
              <w:lastRenderedPageBreak/>
              <w:t>The hotel inspection process entails The hotel inspection procedure includes scheduling a meeting with the general manager and all hotel division heads, negotiating hotel contract concessions, inspecting kitchens and sampling menus, and checking acoustics. Meeting with the AV team, testing the meeting room setup, and reviewing the loading and unloading restrictions are all covered. State the report, another report, precession, list of concerns, state printed responses, additional submission, session, closing observations, and follow-up are all part of the hotel's reporting method (Ghemawat et al, 2020).</w:t>
            </w:r>
          </w:p>
          <w:p w14:paraId="19DC81CA" w14:textId="77777777" w:rsidR="00E1270A" w:rsidRDefault="00E1270A" w:rsidP="00E1270A">
            <w:pPr>
              <w:spacing w:line="360" w:lineRule="auto"/>
              <w:jc w:val="both"/>
            </w:pPr>
          </w:p>
          <w:p w14:paraId="3B6BD423" w14:textId="77777777" w:rsidR="00E1270A" w:rsidRDefault="00E1270A" w:rsidP="00E1270A">
            <w:pPr>
              <w:spacing w:line="360" w:lineRule="auto"/>
              <w:jc w:val="both"/>
            </w:pPr>
            <w:r>
              <w:t>In our contemporary day, the globe changes swiftly. As a result, in order to deal with this period, the business-like retail sector must alter. Change management is critical in this period since traditional management techniques are unfit for the forthcoming fourth industrial revolution. In that situation, if the retail business is to improve and expand sales while preparing for the fourth industrial revolution, it must follow the trends. Food sourcing and the procurement of convenience commodities are the most significant components and elements that hotel management needs for their operations (Orilley, 2017). They have a motel, a convenience store, and a food wholesaler. The strategic management model, on the other hand, must adhere to a set of guidelines. Establishing a strategic management model is divided into five steps (Harmon et al, 2020).</w:t>
            </w:r>
          </w:p>
          <w:p w14:paraId="454610AB" w14:textId="77777777" w:rsidR="00E1270A" w:rsidRDefault="00E1270A" w:rsidP="00E1270A">
            <w:pPr>
              <w:spacing w:line="360" w:lineRule="auto"/>
              <w:jc w:val="both"/>
            </w:pPr>
          </w:p>
          <w:p w14:paraId="2BFA4012" w14:textId="77777777" w:rsidR="00E1270A" w:rsidRDefault="00E1270A" w:rsidP="00E1270A">
            <w:pPr>
              <w:spacing w:line="360" w:lineRule="auto"/>
              <w:jc w:val="both"/>
            </w:pPr>
            <w:r>
              <w:t>This subject has taught me a variety of skills. A person's or a student's skills are the talents that enable them to do seemingly impossible tasks. Students need skills to advance in their careers. Academic courses assist students in developing the skills and information necessary to improve their employability. I've discovered that by following the academic curriculums to the letter, I can improve my job-related talents. Universities are likewise concerned about the abilities and knowledge of their students in this scenario, and their curriculums reflect this. By properly studying the academic programme, I will be able to safeguard his future (Jhonson et al, 2018).</w:t>
            </w:r>
          </w:p>
          <w:p w14:paraId="3A78C51C" w14:textId="77777777" w:rsidR="00E1270A" w:rsidRDefault="00E1270A" w:rsidP="00E1270A">
            <w:pPr>
              <w:spacing w:line="360" w:lineRule="auto"/>
              <w:jc w:val="both"/>
            </w:pPr>
          </w:p>
          <w:p w14:paraId="462EA374" w14:textId="77777777" w:rsidR="00E1270A" w:rsidRDefault="00E1270A" w:rsidP="00E1270A">
            <w:pPr>
              <w:spacing w:line="360" w:lineRule="auto"/>
              <w:jc w:val="both"/>
            </w:pPr>
            <w:r>
              <w:t>Teamwork abilities, I've discovered, help team members form deep bonds. Students may also improve their communication abilities by using these skill sets. Furthermore, pupils with cooperation abilities are more appreciative of the perspectives of others. The team members develop a shared understanding. As an administrator, I've learnt that I'm responsible for gathering data from my employees (Marston et al, 2019).</w:t>
            </w:r>
          </w:p>
          <w:p w14:paraId="064182A5" w14:textId="77777777" w:rsidR="00E1270A" w:rsidRDefault="00E1270A" w:rsidP="00E1270A">
            <w:pPr>
              <w:spacing w:line="360" w:lineRule="auto"/>
              <w:jc w:val="both"/>
            </w:pPr>
          </w:p>
          <w:p w14:paraId="4DC1E882" w14:textId="1EB4DA0F" w:rsidR="00797115" w:rsidRPr="00955366" w:rsidRDefault="00E1270A" w:rsidP="00955366">
            <w:pPr>
              <w:spacing w:line="360" w:lineRule="auto"/>
              <w:jc w:val="both"/>
            </w:pPr>
            <w:r>
              <w:t>I needed leadership qualities as well as an administrator. I've learnt that I need to think critically, and that one of the essential abilities is the ability to answer any issue flawlessly in a short amount of time. I also need some basic IT skills, as well as time management and pressure working abilities (Negash et al, 2018). I've learnt that a competent leader can inspire his people and simply assist them if they encounter any difficulties. Perfect training is critical since it may assist a firm in achieving its objectives and achieving success (Boiral et al, 2014)</w:t>
            </w:r>
          </w:p>
          <w:p w14:paraId="3B344F1E" w14:textId="4F66D5C5" w:rsidR="00375882" w:rsidRPr="003C3341" w:rsidRDefault="00375882" w:rsidP="00551D7B">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pPr w:leftFromText="180" w:rightFromText="180" w:vertAnchor="page" w:horzAnchor="margin" w:tblpY="1996"/>
        <w:tblW w:w="0" w:type="auto"/>
        <w:tblLook w:val="01E0" w:firstRow="1" w:lastRow="1" w:firstColumn="1" w:lastColumn="1" w:noHBand="0" w:noVBand="0"/>
      </w:tblPr>
      <w:tblGrid>
        <w:gridCol w:w="9397"/>
        <w:gridCol w:w="1511"/>
      </w:tblGrid>
      <w:tr w:rsidR="00375882" w:rsidRPr="003C3341" w14:paraId="693FCD7B" w14:textId="77777777" w:rsidTr="00D55C2F">
        <w:tc>
          <w:tcPr>
            <w:tcW w:w="9397" w:type="dxa"/>
            <w:shd w:val="clear" w:color="auto" w:fill="FBD4B4" w:themeFill="accent6" w:themeFillTint="66"/>
          </w:tcPr>
          <w:p w14:paraId="0731D9DE" w14:textId="498618B1" w:rsidR="00375882" w:rsidRPr="00946B23" w:rsidRDefault="00375882" w:rsidP="00702F39">
            <w:pPr>
              <w:rPr>
                <w:rFonts w:ascii="Tahoma" w:hAnsi="Tahoma" w:cs="Tahoma"/>
                <w:b/>
                <w:sz w:val="20"/>
                <w:szCs w:val="20"/>
              </w:rPr>
            </w:pPr>
            <w:r>
              <w:rPr>
                <w:rFonts w:ascii="Tahoma" w:hAnsi="Tahoma" w:cs="Tahoma"/>
                <w:b/>
                <w:sz w:val="20"/>
                <w:szCs w:val="20"/>
              </w:rPr>
              <w:t>REFERENCE LIST</w:t>
            </w:r>
          </w:p>
        </w:tc>
        <w:tc>
          <w:tcPr>
            <w:tcW w:w="1511" w:type="dxa"/>
            <w:shd w:val="clear" w:color="auto" w:fill="FBD4B4" w:themeFill="accent6" w:themeFillTint="66"/>
          </w:tcPr>
          <w:p w14:paraId="2A993785" w14:textId="77777777" w:rsidR="00375882" w:rsidRDefault="00375882" w:rsidP="00551D7B">
            <w:pPr>
              <w:jc w:val="center"/>
              <w:rPr>
                <w:rFonts w:ascii="Tahoma" w:hAnsi="Tahoma" w:cs="Tahoma"/>
                <w:b/>
                <w:sz w:val="20"/>
                <w:szCs w:val="20"/>
              </w:rPr>
            </w:pPr>
          </w:p>
          <w:p w14:paraId="52F3ACFA" w14:textId="77777777" w:rsidR="00375882" w:rsidRPr="003C3341" w:rsidRDefault="00375882" w:rsidP="00551D7B">
            <w:pPr>
              <w:jc w:val="center"/>
              <w:rPr>
                <w:rFonts w:ascii="Tahoma" w:hAnsi="Tahoma" w:cs="Tahoma"/>
                <w:b/>
                <w:sz w:val="20"/>
                <w:szCs w:val="20"/>
              </w:rPr>
            </w:pPr>
          </w:p>
        </w:tc>
      </w:tr>
      <w:tr w:rsidR="00375882" w:rsidRPr="003C3341" w14:paraId="130E5631" w14:textId="77777777" w:rsidTr="00D55C2F">
        <w:trPr>
          <w:trHeight w:val="2494"/>
        </w:trPr>
        <w:tc>
          <w:tcPr>
            <w:tcW w:w="10908" w:type="dxa"/>
            <w:gridSpan w:val="2"/>
          </w:tcPr>
          <w:p w14:paraId="4FBADFA5" w14:textId="77777777" w:rsidR="00375882" w:rsidRDefault="00375882" w:rsidP="00551D7B">
            <w:pPr>
              <w:rPr>
                <w:rFonts w:ascii="Tahoma" w:hAnsi="Tahoma" w:cs="Tahoma"/>
                <w:sz w:val="20"/>
                <w:szCs w:val="20"/>
              </w:rPr>
            </w:pPr>
          </w:p>
          <w:p w14:paraId="17538A08" w14:textId="77777777" w:rsidR="00BB7DFD" w:rsidRPr="00E33024" w:rsidRDefault="00BB7DFD" w:rsidP="002A3E04">
            <w:pPr>
              <w:spacing w:after="240" w:line="360" w:lineRule="auto"/>
              <w:ind w:left="720" w:hanging="720"/>
              <w:jc w:val="both"/>
            </w:pPr>
            <w:r w:rsidRPr="00E33024">
              <w:t xml:space="preserve">Boiral, O., Baron, C. &amp; Gunnlaugson, O., 2014. Environmental Leadership and Consciousness Development: A Case Study Among Canadian SMEs. Journal of Business Ethics, 123(3), pp.363–383. </w:t>
            </w:r>
          </w:p>
          <w:p w14:paraId="7AE303BC" w14:textId="7FFCB418" w:rsidR="00BB7DFD" w:rsidRPr="00E33024" w:rsidRDefault="00BB7DFD" w:rsidP="002A3E04">
            <w:pPr>
              <w:spacing w:after="240" w:line="360" w:lineRule="auto"/>
              <w:ind w:left="720" w:hanging="720"/>
              <w:jc w:val="both"/>
            </w:pPr>
            <w:r w:rsidRPr="00E33024">
              <w:t>Carroll, A. B., &amp; Buchholtz, A. K., 2014. Business and society: Ethics, sustainability, and stakeholder management. Nelson Education.</w:t>
            </w:r>
            <w:r w:rsidR="001805C2">
              <w:t xml:space="preserve"> FB</w:t>
            </w:r>
          </w:p>
          <w:p w14:paraId="7213314A" w14:textId="77777777" w:rsidR="00BB7DFD" w:rsidRPr="00E33024" w:rsidRDefault="00BB7DFD" w:rsidP="002A3E04">
            <w:pPr>
              <w:spacing w:after="240" w:line="360" w:lineRule="auto"/>
              <w:ind w:left="720" w:hanging="720"/>
              <w:jc w:val="both"/>
            </w:pPr>
            <w:r w:rsidRPr="00E33024">
              <w:t>Collis, J., &amp; Hussey, R., 2013. Business research: A practical guide for undergraduate and postgraduate students. Macmillan International Higher Education.</w:t>
            </w:r>
          </w:p>
          <w:p w14:paraId="6556D699" w14:textId="77777777" w:rsidR="00BB7DFD" w:rsidRPr="00E33024" w:rsidRDefault="00BB7DFD" w:rsidP="002A3E04">
            <w:pPr>
              <w:spacing w:after="240" w:line="360" w:lineRule="auto"/>
              <w:ind w:left="720" w:hanging="720"/>
              <w:jc w:val="both"/>
            </w:pPr>
            <w:r w:rsidRPr="00E33024">
              <w:t>Ghemawat, P., Cassiman, B., Collis, D. J., &amp; Rivkin, J. W., 2020. Strategy and the business landscape. Upper Saddle River, NJ: Pearson.</w:t>
            </w:r>
          </w:p>
          <w:p w14:paraId="4F738904" w14:textId="77777777" w:rsidR="00BB7DFD" w:rsidRPr="00E33024" w:rsidRDefault="00BB7DFD" w:rsidP="002A3E04">
            <w:pPr>
              <w:spacing w:after="240" w:line="360" w:lineRule="auto"/>
              <w:ind w:left="720" w:hanging="720"/>
              <w:jc w:val="both"/>
            </w:pPr>
            <w:r w:rsidRPr="00E33024">
              <w:t>Harmon, P., &amp; Trends, B. P., 2020. Business process change: A guide for business managers and BPM and Six Sigma professionals. Elsevier.</w:t>
            </w:r>
          </w:p>
          <w:p w14:paraId="1E5C4BB3" w14:textId="77777777" w:rsidR="00BB7DFD" w:rsidRPr="00E33024" w:rsidRDefault="00BB7DFD" w:rsidP="002A3E04">
            <w:pPr>
              <w:spacing w:after="240" w:line="360" w:lineRule="auto"/>
              <w:ind w:left="720" w:hanging="720"/>
              <w:jc w:val="both"/>
            </w:pPr>
            <w:r w:rsidRPr="00E33024">
              <w:t>Johnson, M. W., Christensen, C. M., &amp; Kagermann, H., 2018. Reinventing your business model. Harvard business review, 86(12), 57-68.</w:t>
            </w:r>
          </w:p>
          <w:p w14:paraId="55D0E56C" w14:textId="77777777" w:rsidR="00BB7DFD" w:rsidRPr="00E33024" w:rsidRDefault="00BB7DFD" w:rsidP="002A3E04">
            <w:pPr>
              <w:spacing w:after="240" w:line="360" w:lineRule="auto"/>
              <w:ind w:left="720" w:hanging="720"/>
              <w:jc w:val="both"/>
            </w:pPr>
            <w:r w:rsidRPr="00E33024">
              <w:t>Marston, S., Li, Z., Bandyopadhyay, S., Zhang, J., &amp; Ghalsasi, A., 2019. Cloud computing—The business perspective. Decision support systems, 51(1), 176-189.</w:t>
            </w:r>
          </w:p>
          <w:p w14:paraId="49FE4071" w14:textId="77777777" w:rsidR="00BB7DFD" w:rsidRPr="00E33024" w:rsidRDefault="00BB7DFD" w:rsidP="002A3E04">
            <w:pPr>
              <w:spacing w:after="240" w:line="360" w:lineRule="auto"/>
              <w:ind w:left="720" w:hanging="720"/>
              <w:jc w:val="both"/>
            </w:pPr>
            <w:r w:rsidRPr="00E33024">
              <w:t>Negash, S., &amp; Gray, P., 2018. Business intelligence. In Handbook on decision support systems 2 (pp. 175-193). Springer, Berlin, Heidelberg.</w:t>
            </w:r>
          </w:p>
          <w:p w14:paraId="39FB1195" w14:textId="77777777" w:rsidR="00BB7DFD" w:rsidRPr="00E33024" w:rsidRDefault="00BB7DFD" w:rsidP="002A3E04">
            <w:pPr>
              <w:spacing w:after="240" w:line="360" w:lineRule="auto"/>
              <w:ind w:left="720" w:hanging="720"/>
              <w:jc w:val="both"/>
            </w:pPr>
            <w:r w:rsidRPr="00E33024">
              <w:t>O'reilly, T., 2017. What is Web 2.0: Design patterns and business models for the next generation of software. Communications &amp; strategies, (1), 17.</w:t>
            </w:r>
          </w:p>
          <w:p w14:paraId="4F228F5D" w14:textId="77777777" w:rsidR="00375882" w:rsidRDefault="00375882" w:rsidP="00551D7B">
            <w:pPr>
              <w:spacing w:line="360" w:lineRule="auto"/>
              <w:jc w:val="both"/>
              <w:rPr>
                <w:rFonts w:ascii="Arial" w:hAnsi="Arial" w:cs="Arial"/>
              </w:rPr>
            </w:pPr>
          </w:p>
          <w:p w14:paraId="7BE2B521" w14:textId="73ACEF86" w:rsidR="00375882" w:rsidRDefault="00375882" w:rsidP="00551D7B">
            <w:pPr>
              <w:spacing w:line="360" w:lineRule="auto"/>
              <w:jc w:val="both"/>
              <w:rPr>
                <w:rFonts w:ascii="Arial" w:hAnsi="Arial" w:cs="Arial"/>
              </w:rPr>
            </w:pPr>
          </w:p>
          <w:p w14:paraId="4C6DEC4D" w14:textId="300F334B" w:rsidR="00375882" w:rsidRDefault="00375882" w:rsidP="00551D7B">
            <w:pPr>
              <w:spacing w:line="360" w:lineRule="auto"/>
              <w:jc w:val="both"/>
              <w:rPr>
                <w:rFonts w:ascii="Arial" w:hAnsi="Arial" w:cs="Arial"/>
              </w:rPr>
            </w:pPr>
          </w:p>
          <w:p w14:paraId="522F9E9C" w14:textId="07E4A2C3" w:rsidR="00375882" w:rsidRDefault="00375882" w:rsidP="00551D7B">
            <w:pPr>
              <w:spacing w:line="360" w:lineRule="auto"/>
              <w:jc w:val="both"/>
              <w:rPr>
                <w:rFonts w:ascii="Arial" w:hAnsi="Arial" w:cs="Arial"/>
              </w:rPr>
            </w:pPr>
          </w:p>
          <w:p w14:paraId="6944CF61" w14:textId="0FD4B374" w:rsidR="00375882" w:rsidRDefault="00375882" w:rsidP="00551D7B">
            <w:pPr>
              <w:spacing w:line="360" w:lineRule="auto"/>
              <w:jc w:val="both"/>
              <w:rPr>
                <w:rFonts w:ascii="Arial" w:hAnsi="Arial" w:cs="Arial"/>
              </w:rPr>
            </w:pPr>
          </w:p>
          <w:p w14:paraId="6DF51C3D" w14:textId="6F494BB7" w:rsidR="00375882" w:rsidRDefault="00375882" w:rsidP="00551D7B">
            <w:pPr>
              <w:spacing w:line="360" w:lineRule="auto"/>
              <w:jc w:val="both"/>
              <w:rPr>
                <w:rFonts w:ascii="Arial" w:hAnsi="Arial" w:cs="Arial"/>
              </w:rPr>
            </w:pPr>
          </w:p>
          <w:p w14:paraId="69EA998C" w14:textId="6811899E" w:rsidR="00375882" w:rsidRDefault="00375882" w:rsidP="00551D7B">
            <w:pPr>
              <w:spacing w:line="360" w:lineRule="auto"/>
              <w:jc w:val="both"/>
              <w:rPr>
                <w:rFonts w:ascii="Arial" w:hAnsi="Arial" w:cs="Arial"/>
              </w:rPr>
            </w:pPr>
          </w:p>
          <w:p w14:paraId="47FB6995" w14:textId="77777777" w:rsidR="00375882" w:rsidRPr="003C3341" w:rsidRDefault="00375882" w:rsidP="00551D7B">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B03B1" w14:textId="77777777" w:rsidR="00C25A88" w:rsidRDefault="00C25A88">
      <w:r>
        <w:separator/>
      </w:r>
    </w:p>
  </w:endnote>
  <w:endnote w:type="continuationSeparator" w:id="0">
    <w:p w14:paraId="09E0804B" w14:textId="77777777" w:rsidR="00C25A88" w:rsidRDefault="00C2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68738646" w14:textId="198C1730" w:rsidR="00B44B68" w:rsidRDefault="00B44B68">
        <w:pPr>
          <w:pStyle w:val="Footer"/>
          <w:jc w:val="right"/>
        </w:pPr>
        <w:r>
          <w:fldChar w:fldCharType="begin"/>
        </w:r>
        <w:r>
          <w:instrText xml:space="preserve"> PAGE   \* MERGEFORMAT </w:instrText>
        </w:r>
        <w:r>
          <w:fldChar w:fldCharType="separate"/>
        </w:r>
        <w:r w:rsidR="00FF32B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9155C" w14:textId="77777777" w:rsidR="00C25A88" w:rsidRDefault="00C25A88">
      <w:r>
        <w:separator/>
      </w:r>
    </w:p>
  </w:footnote>
  <w:footnote w:type="continuationSeparator" w:id="0">
    <w:p w14:paraId="2D2714BA" w14:textId="77777777" w:rsidR="00C25A88" w:rsidRDefault="00C25A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LcwMDYyM7IwNDIxMrFU0lEKTi0uzszPAykwrAUAUKVJHiwAAAA="/>
  </w:docVars>
  <w:rsids>
    <w:rsidRoot w:val="00301AD0"/>
    <w:rsid w:val="00022EBF"/>
    <w:rsid w:val="000304DF"/>
    <w:rsid w:val="00040CE8"/>
    <w:rsid w:val="000427AC"/>
    <w:rsid w:val="0004729E"/>
    <w:rsid w:val="00056078"/>
    <w:rsid w:val="00076F40"/>
    <w:rsid w:val="00077E55"/>
    <w:rsid w:val="00085CFD"/>
    <w:rsid w:val="0009165D"/>
    <w:rsid w:val="000A0C53"/>
    <w:rsid w:val="000B2F4F"/>
    <w:rsid w:val="000F2E7C"/>
    <w:rsid w:val="000F794F"/>
    <w:rsid w:val="00112CE0"/>
    <w:rsid w:val="00162FE2"/>
    <w:rsid w:val="001703BD"/>
    <w:rsid w:val="00170A87"/>
    <w:rsid w:val="001805C2"/>
    <w:rsid w:val="0018449A"/>
    <w:rsid w:val="00197F4A"/>
    <w:rsid w:val="001A2F91"/>
    <w:rsid w:val="001A59E7"/>
    <w:rsid w:val="001B69C8"/>
    <w:rsid w:val="001B6DB4"/>
    <w:rsid w:val="001C5C4E"/>
    <w:rsid w:val="001D4719"/>
    <w:rsid w:val="001E720E"/>
    <w:rsid w:val="001F149E"/>
    <w:rsid w:val="001F6396"/>
    <w:rsid w:val="00202878"/>
    <w:rsid w:val="002314D4"/>
    <w:rsid w:val="0024072B"/>
    <w:rsid w:val="002430D4"/>
    <w:rsid w:val="00244B89"/>
    <w:rsid w:val="00244F84"/>
    <w:rsid w:val="00264747"/>
    <w:rsid w:val="002659F5"/>
    <w:rsid w:val="00266D41"/>
    <w:rsid w:val="00283BE2"/>
    <w:rsid w:val="00294842"/>
    <w:rsid w:val="002A3E04"/>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40B6"/>
    <w:rsid w:val="005036DE"/>
    <w:rsid w:val="00517154"/>
    <w:rsid w:val="00522B05"/>
    <w:rsid w:val="00542C5B"/>
    <w:rsid w:val="00550013"/>
    <w:rsid w:val="00551D7B"/>
    <w:rsid w:val="00552EED"/>
    <w:rsid w:val="00566333"/>
    <w:rsid w:val="005937D1"/>
    <w:rsid w:val="005C6352"/>
    <w:rsid w:val="005D0DDE"/>
    <w:rsid w:val="005D3643"/>
    <w:rsid w:val="005D5D0B"/>
    <w:rsid w:val="0062012D"/>
    <w:rsid w:val="00643CB9"/>
    <w:rsid w:val="0066732A"/>
    <w:rsid w:val="00677D1F"/>
    <w:rsid w:val="006971F5"/>
    <w:rsid w:val="00697481"/>
    <w:rsid w:val="006A4F97"/>
    <w:rsid w:val="006C4640"/>
    <w:rsid w:val="006D740F"/>
    <w:rsid w:val="006F4FB6"/>
    <w:rsid w:val="006F501B"/>
    <w:rsid w:val="00702077"/>
    <w:rsid w:val="00702F39"/>
    <w:rsid w:val="00711491"/>
    <w:rsid w:val="00725F0E"/>
    <w:rsid w:val="00734189"/>
    <w:rsid w:val="00735BB1"/>
    <w:rsid w:val="00744482"/>
    <w:rsid w:val="007451E8"/>
    <w:rsid w:val="0078654A"/>
    <w:rsid w:val="0079230B"/>
    <w:rsid w:val="00797115"/>
    <w:rsid w:val="007A06D5"/>
    <w:rsid w:val="007A5E44"/>
    <w:rsid w:val="007D18CA"/>
    <w:rsid w:val="007E500C"/>
    <w:rsid w:val="007E7BB4"/>
    <w:rsid w:val="007F055A"/>
    <w:rsid w:val="007F418B"/>
    <w:rsid w:val="00814801"/>
    <w:rsid w:val="0082407E"/>
    <w:rsid w:val="00826699"/>
    <w:rsid w:val="00887D44"/>
    <w:rsid w:val="00895843"/>
    <w:rsid w:val="008B4B9C"/>
    <w:rsid w:val="008B534C"/>
    <w:rsid w:val="008C320A"/>
    <w:rsid w:val="008C3424"/>
    <w:rsid w:val="008E2A5A"/>
    <w:rsid w:val="008F0B0D"/>
    <w:rsid w:val="008F0D83"/>
    <w:rsid w:val="009061F1"/>
    <w:rsid w:val="00911C43"/>
    <w:rsid w:val="009139BF"/>
    <w:rsid w:val="00923E76"/>
    <w:rsid w:val="009448FE"/>
    <w:rsid w:val="00946B23"/>
    <w:rsid w:val="00950A60"/>
    <w:rsid w:val="00955366"/>
    <w:rsid w:val="00985CF1"/>
    <w:rsid w:val="009B1D87"/>
    <w:rsid w:val="009C438C"/>
    <w:rsid w:val="009C6CAE"/>
    <w:rsid w:val="009D0DDA"/>
    <w:rsid w:val="009D19D3"/>
    <w:rsid w:val="00A02728"/>
    <w:rsid w:val="00A02B6A"/>
    <w:rsid w:val="00A138AA"/>
    <w:rsid w:val="00A14DA0"/>
    <w:rsid w:val="00A2554C"/>
    <w:rsid w:val="00A43B8E"/>
    <w:rsid w:val="00A44FA9"/>
    <w:rsid w:val="00A45D42"/>
    <w:rsid w:val="00A551C6"/>
    <w:rsid w:val="00A5520C"/>
    <w:rsid w:val="00A656E2"/>
    <w:rsid w:val="00A65C1D"/>
    <w:rsid w:val="00A77C7A"/>
    <w:rsid w:val="00A8432F"/>
    <w:rsid w:val="00A85D1A"/>
    <w:rsid w:val="00A90107"/>
    <w:rsid w:val="00AA11D8"/>
    <w:rsid w:val="00AA1309"/>
    <w:rsid w:val="00AA1380"/>
    <w:rsid w:val="00AC67EF"/>
    <w:rsid w:val="00AD310F"/>
    <w:rsid w:val="00AE467F"/>
    <w:rsid w:val="00AE799D"/>
    <w:rsid w:val="00B00678"/>
    <w:rsid w:val="00B03469"/>
    <w:rsid w:val="00B10EAB"/>
    <w:rsid w:val="00B11E4B"/>
    <w:rsid w:val="00B205D1"/>
    <w:rsid w:val="00B21F2E"/>
    <w:rsid w:val="00B266A5"/>
    <w:rsid w:val="00B44B68"/>
    <w:rsid w:val="00B60FDF"/>
    <w:rsid w:val="00B61256"/>
    <w:rsid w:val="00B73A1C"/>
    <w:rsid w:val="00B945EA"/>
    <w:rsid w:val="00B949BC"/>
    <w:rsid w:val="00BA53CD"/>
    <w:rsid w:val="00BB5FB3"/>
    <w:rsid w:val="00BB7DFD"/>
    <w:rsid w:val="00BC4D17"/>
    <w:rsid w:val="00BC7F1B"/>
    <w:rsid w:val="00BE2584"/>
    <w:rsid w:val="00BE7942"/>
    <w:rsid w:val="00C10069"/>
    <w:rsid w:val="00C21568"/>
    <w:rsid w:val="00C25A88"/>
    <w:rsid w:val="00C34D09"/>
    <w:rsid w:val="00C35AEF"/>
    <w:rsid w:val="00C414B0"/>
    <w:rsid w:val="00C421F0"/>
    <w:rsid w:val="00C44B74"/>
    <w:rsid w:val="00C50AE7"/>
    <w:rsid w:val="00C55872"/>
    <w:rsid w:val="00C6009E"/>
    <w:rsid w:val="00C72708"/>
    <w:rsid w:val="00C76757"/>
    <w:rsid w:val="00C85B9B"/>
    <w:rsid w:val="00CA1BF5"/>
    <w:rsid w:val="00CB67B6"/>
    <w:rsid w:val="00CC3464"/>
    <w:rsid w:val="00CC557E"/>
    <w:rsid w:val="00CC63E6"/>
    <w:rsid w:val="00CC6DCB"/>
    <w:rsid w:val="00CD008D"/>
    <w:rsid w:val="00CD40C2"/>
    <w:rsid w:val="00CD461B"/>
    <w:rsid w:val="00D020D9"/>
    <w:rsid w:val="00D04574"/>
    <w:rsid w:val="00D1657F"/>
    <w:rsid w:val="00D42DA0"/>
    <w:rsid w:val="00D55C2F"/>
    <w:rsid w:val="00D57FBA"/>
    <w:rsid w:val="00D80D6E"/>
    <w:rsid w:val="00D833FD"/>
    <w:rsid w:val="00D95816"/>
    <w:rsid w:val="00DA09FA"/>
    <w:rsid w:val="00DD00CB"/>
    <w:rsid w:val="00DE6434"/>
    <w:rsid w:val="00E00580"/>
    <w:rsid w:val="00E1270A"/>
    <w:rsid w:val="00E26639"/>
    <w:rsid w:val="00E30C3C"/>
    <w:rsid w:val="00E33024"/>
    <w:rsid w:val="00E42568"/>
    <w:rsid w:val="00E6526C"/>
    <w:rsid w:val="00E672A4"/>
    <w:rsid w:val="00EB1AD3"/>
    <w:rsid w:val="00EB4BAF"/>
    <w:rsid w:val="00EC294D"/>
    <w:rsid w:val="00ED52B6"/>
    <w:rsid w:val="00EF41E3"/>
    <w:rsid w:val="00F007E2"/>
    <w:rsid w:val="00F118EC"/>
    <w:rsid w:val="00F34E01"/>
    <w:rsid w:val="00F37A71"/>
    <w:rsid w:val="00F43CED"/>
    <w:rsid w:val="00F51904"/>
    <w:rsid w:val="00F537E9"/>
    <w:rsid w:val="00F57455"/>
    <w:rsid w:val="00F720CF"/>
    <w:rsid w:val="00F808B5"/>
    <w:rsid w:val="00FB08CA"/>
    <w:rsid w:val="00FB2CA9"/>
    <w:rsid w:val="00FB3B29"/>
    <w:rsid w:val="00FC2227"/>
    <w:rsid w:val="00FC7773"/>
    <w:rsid w:val="00FD0ECE"/>
    <w:rsid w:val="00FE2B7D"/>
    <w:rsid w:val="00FE2C83"/>
    <w:rsid w:val="00FF2DCB"/>
    <w:rsid w:val="00FF32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9B183DE5-E965-433E-AD92-3E3ECCECF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934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Windows User</cp:lastModifiedBy>
  <cp:revision>20</cp:revision>
  <cp:lastPrinted>2020-09-28T20:53:00Z</cp:lastPrinted>
  <dcterms:created xsi:type="dcterms:W3CDTF">2022-05-23T18:15:00Z</dcterms:created>
  <dcterms:modified xsi:type="dcterms:W3CDTF">2022-05-30T13:55:00Z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619347</vt:lpwstr>
  </property>
  <property fmtid="{D5CDD505-2E9C-101B-9397-08002B2CF9AE}" pid="3" name="NXPowerLiteSettings">
    <vt:lpwstr>C700052003A000</vt:lpwstr>
  </property>
  <property fmtid="{D5CDD505-2E9C-101B-9397-08002B2CF9AE}" pid="4" name="NXPowerLiteVersion">
    <vt:lpwstr>D9.1.2</vt:lpwstr>
  </property>
</Properties>
</file>