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C6C137" w14:textId="7547C6B0" w:rsidR="00867BBD" w:rsidRPr="00713CBB" w:rsidRDefault="00713CBB" w:rsidP="00713CBB">
      <w:pPr>
        <w:pStyle w:val="Heading1"/>
        <w:jc w:val="center"/>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13CBB">
        <w:rPr>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Joan Hannington</w:t>
      </w:r>
    </w:p>
    <w:p w14:paraId="29404810" w14:textId="2B697E4C" w:rsidR="00867BBD" w:rsidRDefault="00484DF5" w:rsidP="00867BBD">
      <w:r>
        <w:rPr>
          <w:noProof/>
        </w:rPr>
        <w:drawing>
          <wp:inline distT="0" distB="0" distL="0" distR="0" wp14:anchorId="091F0673" wp14:editId="32CCDB37">
            <wp:extent cx="5731510" cy="3223895"/>
            <wp:effectExtent l="19050" t="0" r="21590" b="929005"/>
            <wp:docPr id="2090450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450701" name="Picture 2090450701"/>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41ECB763" w14:textId="77777777" w:rsidR="00867BBD" w:rsidRDefault="00867BBD" w:rsidP="00867BBD"/>
    <w:p w14:paraId="1D172A6F" w14:textId="77777777" w:rsidR="00867BBD" w:rsidRDefault="00867BBD" w:rsidP="00867BBD"/>
    <w:p w14:paraId="1B970C1D" w14:textId="77777777" w:rsidR="00867BBD" w:rsidRDefault="00867BBD" w:rsidP="00867BBD"/>
    <w:p w14:paraId="1D048407" w14:textId="77777777" w:rsidR="00867BBD" w:rsidRDefault="00867BBD" w:rsidP="00867BBD"/>
    <w:p w14:paraId="12CCD412" w14:textId="77777777" w:rsidR="00E92273" w:rsidRPr="00E92273" w:rsidRDefault="00E92273" w:rsidP="00E92273">
      <w:r w:rsidRPr="00E92273">
        <w:rPr>
          <w:b/>
          <w:bCs/>
        </w:rPr>
        <w:t>Your name:</w:t>
      </w:r>
      <w:r w:rsidRPr="00E92273">
        <w:t xml:space="preserve"> Muna Sheikh</w:t>
      </w:r>
    </w:p>
    <w:p w14:paraId="56F07208" w14:textId="77777777" w:rsidR="00E92273" w:rsidRPr="00E92273" w:rsidRDefault="00E92273" w:rsidP="00E92273">
      <w:r w:rsidRPr="00E92273">
        <w:rPr>
          <w:b/>
          <w:bCs/>
        </w:rPr>
        <w:t>Student number:</w:t>
      </w:r>
      <w:r w:rsidRPr="00E92273">
        <w:t xml:space="preserve"> 2226434</w:t>
      </w:r>
    </w:p>
    <w:p w14:paraId="61537F49" w14:textId="77777777" w:rsidR="00E92273" w:rsidRPr="00E92273" w:rsidRDefault="00E92273" w:rsidP="00E92273">
      <w:pPr>
        <w:rPr>
          <w:b/>
          <w:bCs/>
        </w:rPr>
      </w:pPr>
      <w:r w:rsidRPr="00E92273">
        <w:rPr>
          <w:b/>
          <w:bCs/>
        </w:rPr>
        <w:t xml:space="preserve">Programme: </w:t>
      </w:r>
      <w:r w:rsidRPr="00E92273">
        <w:t>BSc Health and Social Care</w:t>
      </w:r>
    </w:p>
    <w:p w14:paraId="5B470050" w14:textId="77777777" w:rsidR="00E92273" w:rsidRPr="00E92273" w:rsidRDefault="00E92273" w:rsidP="00E92273">
      <w:r w:rsidRPr="00E92273">
        <w:rPr>
          <w:b/>
          <w:bCs/>
        </w:rPr>
        <w:t>Module code :</w:t>
      </w:r>
      <w:r w:rsidRPr="00E92273">
        <w:t xml:space="preserve"> BMHP5016_BIRM</w:t>
      </w:r>
    </w:p>
    <w:p w14:paraId="4DE3F360" w14:textId="77777777" w:rsidR="00E92273" w:rsidRPr="00E92273" w:rsidRDefault="00E92273" w:rsidP="00E92273">
      <w:r w:rsidRPr="00E92273">
        <w:rPr>
          <w:b/>
          <w:bCs/>
        </w:rPr>
        <w:t xml:space="preserve">Title: </w:t>
      </w:r>
      <w:r w:rsidRPr="00E92273">
        <w:t>Principles of Health and Social Care Practice (BMHP5016_BIRM)</w:t>
      </w:r>
    </w:p>
    <w:p w14:paraId="3CFC7C72" w14:textId="77777777" w:rsidR="00E92273" w:rsidRPr="00E92273" w:rsidRDefault="00E92273" w:rsidP="00E92273">
      <w:pPr>
        <w:rPr>
          <w:b/>
          <w:bCs/>
        </w:rPr>
      </w:pPr>
      <w:r w:rsidRPr="00E92273">
        <w:rPr>
          <w:b/>
          <w:bCs/>
        </w:rPr>
        <w:t xml:space="preserve">Assignment title : </w:t>
      </w:r>
      <w:r w:rsidRPr="00E92273">
        <w:rPr>
          <w:bCs/>
        </w:rPr>
        <w:t>Component 2: Written Assignment (Report)</w:t>
      </w:r>
    </w:p>
    <w:p w14:paraId="71397300" w14:textId="77777777" w:rsidR="00867BBD" w:rsidRDefault="00867BBD" w:rsidP="00867BBD"/>
    <w:p w14:paraId="1C56B658" w14:textId="77777777" w:rsidR="00713CBB" w:rsidRDefault="00713CBB" w:rsidP="00867BBD">
      <w:pPr>
        <w:rPr>
          <w:b/>
          <w:bCs/>
          <w:sz w:val="32"/>
          <w:szCs w:val="32"/>
        </w:rPr>
      </w:pPr>
    </w:p>
    <w:p w14:paraId="061F0072" w14:textId="5D9E48AB" w:rsidR="00867BBD" w:rsidRPr="00E92273" w:rsidRDefault="00867BBD" w:rsidP="00867BBD">
      <w:pPr>
        <w:rPr>
          <w:b/>
          <w:bCs/>
          <w:sz w:val="32"/>
          <w:szCs w:val="32"/>
        </w:rPr>
      </w:pPr>
      <w:r w:rsidRPr="00E92273">
        <w:rPr>
          <w:b/>
          <w:bCs/>
          <w:sz w:val="32"/>
          <w:szCs w:val="32"/>
        </w:rPr>
        <w:lastRenderedPageBreak/>
        <w:t>Abstract</w:t>
      </w:r>
    </w:p>
    <w:p w14:paraId="13C25096" w14:textId="3DA22771" w:rsidR="00867BBD" w:rsidRDefault="003E08E6" w:rsidP="00867BBD">
      <w:r w:rsidRPr="003E08E6">
        <w:t xml:space="preserve">This report examines the implementation of Partnership Working (PW) and Person-Centred Care (PCC) in the context of NHS England's case study, Joan's Story. Until her care transitioned from a condition-led approach to one that prioritized her dignity, priorities, and circumstances, Joan, an older adult with chronic obstructive pulmonary disease (COPD) and long-standing Crohn's disease, endured frequent hospitalizations and a substandard quality of life. The report defines PCC, examines its theoretical foundations, ethical underpinnings, and pertinent UK policy, and then assesses the extent to which Joan's outcomes were transformed by the collaboration between primary, community, and voluntary services. Key findings affirm that PCC enhances wellbeing, reduces avoidable service use, and improves patient activation, while partnership working is essential to address complex, overlapping needs. Nevertheless, both methodologies encounter obstacles such as fragmented systems, insufficient resources, and inconsistent training. The full benefits of person-centred, joined-up care can be achieved through sustained cross-sector collaboration, integrated digital systems, and embedded education. </w:t>
      </w:r>
    </w:p>
    <w:p w14:paraId="209A4F0E" w14:textId="77777777" w:rsidR="00867BBD" w:rsidRPr="00E92273" w:rsidRDefault="00867BBD" w:rsidP="00867BBD">
      <w:pPr>
        <w:rPr>
          <w:b/>
          <w:bCs/>
          <w:sz w:val="32"/>
          <w:szCs w:val="32"/>
        </w:rPr>
      </w:pPr>
      <w:r w:rsidRPr="00E92273">
        <w:rPr>
          <w:b/>
          <w:bCs/>
          <w:sz w:val="32"/>
          <w:szCs w:val="32"/>
        </w:rPr>
        <w:t>Introduction</w:t>
      </w:r>
    </w:p>
    <w:p w14:paraId="2EB8220E" w14:textId="720E1767" w:rsidR="00CF1683" w:rsidRDefault="00CF1683" w:rsidP="00CF1683">
      <w:r>
        <w:t xml:space="preserve">The objective of this report is to conduct a critical analysis of the principles and practice of Person-Centred Care and Partnership Working in the context of contemporary health and social care. Joan's Story serves as a real-world example of the potential success and potential shortcomings of these approaches. It aims to elucidate fundamental concepts, establish a connection between them and established theory and ethical standards, map pertinent legislation, and suggest evidence-based enhancements for UK </w:t>
      </w:r>
      <w:r w:rsidR="00D029C3">
        <w:t>services.</w:t>
      </w:r>
    </w:p>
    <w:p w14:paraId="090C1C32" w14:textId="4809EC17" w:rsidR="00CF1683" w:rsidRDefault="00CF1683" w:rsidP="00CF1683">
      <w:r>
        <w:t>PCC is initially defined in the report, with its advantages and disadvantages being elucidated before they are applied to the selected environment. It then delves into the theoretical frameworks that serve as the foundation for person-</w:t>
      </w:r>
      <w:r w:rsidR="00D029C3">
        <w:t>cantered</w:t>
      </w:r>
      <w:r>
        <w:t xml:space="preserve"> practice, and it concludes with an examination of the ethical principles that direct decision-making. The subsequent step involves an assessment of partnership working, which encompasses its function within Integrated Care Systems (ICSs) as well as the corresponding policy and legislation. Lastly, a comprehensive reference list and concluding summary are provided, followed by recommendations for future development.</w:t>
      </w:r>
    </w:p>
    <w:p w14:paraId="510685D2" w14:textId="30A25D7E" w:rsidR="00867BBD" w:rsidRDefault="00CF1683" w:rsidP="00CF1683">
      <w:r>
        <w:t>The practical setting that is referenced throughout is primary and community care. This environment is where the majority of long-term condition management occurs, and it is where individuals such as Joan experience the most acutely the gaps in communication and collaboration.</w:t>
      </w:r>
    </w:p>
    <w:p w14:paraId="634D0A44" w14:textId="49335311" w:rsidR="00867BBD" w:rsidRPr="00E92273" w:rsidRDefault="00867BBD" w:rsidP="00867BBD">
      <w:pPr>
        <w:rPr>
          <w:b/>
          <w:bCs/>
          <w:sz w:val="32"/>
          <w:szCs w:val="32"/>
        </w:rPr>
      </w:pPr>
      <w:r w:rsidRPr="00E92273">
        <w:rPr>
          <w:b/>
          <w:bCs/>
          <w:sz w:val="32"/>
          <w:szCs w:val="32"/>
        </w:rPr>
        <w:lastRenderedPageBreak/>
        <w:t>Definition of Person-Centred Care</w:t>
      </w:r>
    </w:p>
    <w:p w14:paraId="024475E0" w14:textId="77777777" w:rsidR="006B1C1F" w:rsidRDefault="006B1C1F" w:rsidP="00867BBD">
      <w:r w:rsidRPr="006B1C1F">
        <w:t>Person-Centred Care is broadly defined as "collaborating with individuals to guarantee that care is customized to their values, preferences, and requirements, rather than being determined by clinical guidelines or organizational convenience" (Health Innovation Network, 2023, p. 2). It is frequently summarized as the transition from the question "What is the matter with you?" to "What is important to you?" (NHS England, 2024) and necessitates that individuals are acknowledged as equal participants in all aspects of their care.</w:t>
      </w:r>
    </w:p>
    <w:p w14:paraId="2DACCD38" w14:textId="0380E100" w:rsidR="00867BBD" w:rsidRPr="00E92273" w:rsidRDefault="00867BBD" w:rsidP="00867BBD">
      <w:pPr>
        <w:rPr>
          <w:b/>
          <w:bCs/>
          <w:sz w:val="32"/>
          <w:szCs w:val="32"/>
        </w:rPr>
      </w:pPr>
      <w:r w:rsidRPr="00E92273">
        <w:rPr>
          <w:b/>
          <w:bCs/>
          <w:sz w:val="32"/>
          <w:szCs w:val="32"/>
        </w:rPr>
        <w:t>Benefits of PCC</w:t>
      </w:r>
    </w:p>
    <w:p w14:paraId="5949A74C" w14:textId="77777777" w:rsidR="00867BBD" w:rsidRPr="00115D58" w:rsidRDefault="00867BBD" w:rsidP="00867BBD">
      <w:pPr>
        <w:rPr>
          <w:b/>
          <w:bCs/>
        </w:rPr>
      </w:pPr>
      <w:r w:rsidRPr="00115D58">
        <w:rPr>
          <w:b/>
          <w:bCs/>
        </w:rPr>
        <w:t>Research consistently links PCC to improved outcomes:</w:t>
      </w:r>
    </w:p>
    <w:p w14:paraId="58C54B9A" w14:textId="53E01A33" w:rsidR="00E9398C" w:rsidRDefault="00E9398C" w:rsidP="00E9398C">
      <w:r>
        <w:t>• Improved health and well-being: Individuals who receive person-</w:t>
      </w:r>
      <w:r w:rsidR="0072007A">
        <w:t>cantered</w:t>
      </w:r>
      <w:r>
        <w:t xml:space="preserve"> care exhibit increased medication adherence, faster recovery, and reduced rates of emergency admission (Health Foundation, 2022). Within six months, Joan's avoidable hospital visits were reduced by half as a result of this change in her narrative.</w:t>
      </w:r>
    </w:p>
    <w:p w14:paraId="23F24391" w14:textId="77777777" w:rsidR="00E9398C" w:rsidRDefault="00E9398C" w:rsidP="00E9398C">
      <w:r>
        <w:t>• Increased satisfaction and empowerment: Joan's Patient Activation Measure score increased by 40% when staff listened to her humiliation regarding Crohn's-related symptoms and her fear of leaving home, rather than judging her (NHS England, 2026).</w:t>
      </w:r>
    </w:p>
    <w:p w14:paraId="39A67952" w14:textId="77777777" w:rsidR="00E9398C" w:rsidRDefault="00E9398C" w:rsidP="00E9398C">
      <w:r>
        <w:t>• Sustainable service delivery: Primary care teams are relieved of the burden of wasted appointments, repeated assessments, and unnecessary interventions thanks to PCC (NHS Confederation, 2023).</w:t>
      </w:r>
    </w:p>
    <w:p w14:paraId="16674AB7" w14:textId="2F03A38F" w:rsidR="00867BBD" w:rsidRPr="00115D58" w:rsidRDefault="00867BBD" w:rsidP="00E9398C">
      <w:pPr>
        <w:rPr>
          <w:b/>
          <w:bCs/>
          <w:sz w:val="32"/>
          <w:szCs w:val="32"/>
        </w:rPr>
      </w:pPr>
      <w:r w:rsidRPr="00115D58">
        <w:rPr>
          <w:b/>
          <w:bCs/>
          <w:sz w:val="32"/>
          <w:szCs w:val="32"/>
        </w:rPr>
        <w:t>Limitations of PCC</w:t>
      </w:r>
    </w:p>
    <w:p w14:paraId="13AA113F" w14:textId="77777777" w:rsidR="00867BBD" w:rsidRPr="00115D58" w:rsidRDefault="00867BBD" w:rsidP="00867BBD">
      <w:pPr>
        <w:rPr>
          <w:b/>
          <w:bCs/>
        </w:rPr>
      </w:pPr>
      <w:r w:rsidRPr="00115D58">
        <w:rPr>
          <w:b/>
          <w:bCs/>
        </w:rPr>
        <w:t>Despite clear advantages, embedding PCC is not without challenge:</w:t>
      </w:r>
    </w:p>
    <w:p w14:paraId="613D2539" w14:textId="77777777" w:rsidR="009E4C3A" w:rsidRDefault="009E4C3A" w:rsidP="009E4C3A">
      <w:r>
        <w:t>• Resource constraints: In community care, resources are frequently restricted, necessitating additional staffing and funding to facilitate longer consultations, home visits, and relationship-building (Baird et al., 2021).</w:t>
      </w:r>
    </w:p>
    <w:p w14:paraId="01C9E1B0" w14:textId="735E8394" w:rsidR="009E4C3A" w:rsidRDefault="009E4C3A" w:rsidP="009E4C3A">
      <w:r>
        <w:t xml:space="preserve">• Cultural and </w:t>
      </w:r>
      <w:r w:rsidR="00F97D22">
        <w:t>behavioural</w:t>
      </w:r>
      <w:r>
        <w:t xml:space="preserve"> barriers: Certain practitioners continue to pursue conventional "expert-led" models, considering shared decision-making to be either time-consuming or risky (Rycroft-Malone et al., 2022).</w:t>
      </w:r>
    </w:p>
    <w:p w14:paraId="38E3D895" w14:textId="77777777" w:rsidR="009E4C3A" w:rsidRDefault="009E4C3A" w:rsidP="009E4C3A">
      <w:r>
        <w:t>• Inconsistent training: The delivery of PCC is unequal across services due to the fact that many staff members lack formal training in communication, empathy, or strengths-based practice (Simpson, 2021).</w:t>
      </w:r>
    </w:p>
    <w:p w14:paraId="6628D7CA" w14:textId="77777777" w:rsidR="009E4C3A" w:rsidRDefault="009E4C3A" w:rsidP="009E4C3A">
      <w:r>
        <w:t>In Joan's experience, these tensions are evident in primary and community care. Although her GP and community matron supported PCC, the initial delays in involving specialist teams demonstrated how variable commitment can impede progress.</w:t>
      </w:r>
    </w:p>
    <w:p w14:paraId="1122B8E3" w14:textId="0E016268" w:rsidR="00867BBD" w:rsidRPr="00115D58" w:rsidRDefault="00867BBD" w:rsidP="009E4C3A">
      <w:pPr>
        <w:rPr>
          <w:b/>
          <w:bCs/>
          <w:sz w:val="32"/>
          <w:szCs w:val="32"/>
        </w:rPr>
      </w:pPr>
      <w:r w:rsidRPr="00115D58">
        <w:rPr>
          <w:b/>
          <w:bCs/>
          <w:sz w:val="32"/>
          <w:szCs w:val="32"/>
        </w:rPr>
        <w:lastRenderedPageBreak/>
        <w:t>Relevant Theories</w:t>
      </w:r>
    </w:p>
    <w:p w14:paraId="56C772E1" w14:textId="77777777" w:rsidR="001F60EF" w:rsidRDefault="00CA088D" w:rsidP="00867BBD">
      <w:r w:rsidRPr="00CA088D">
        <w:t>Three complementary hypotheses establish a robust evidence base for PCC and elucidate the reasons for Joan's success.</w:t>
      </w:r>
    </w:p>
    <w:p w14:paraId="4937192B" w14:textId="7DAC51B4" w:rsidR="00867BBD" w:rsidRPr="00115D58" w:rsidRDefault="00867BBD" w:rsidP="00867BBD">
      <w:pPr>
        <w:rPr>
          <w:b/>
          <w:bCs/>
        </w:rPr>
      </w:pPr>
      <w:r w:rsidRPr="00115D58">
        <w:rPr>
          <w:b/>
          <w:bCs/>
        </w:rPr>
        <w:t>Humanistic Theory (Carl Rogers)</w:t>
      </w:r>
    </w:p>
    <w:p w14:paraId="62B1D497" w14:textId="77777777" w:rsidR="00081500" w:rsidRDefault="00637929" w:rsidP="00867BBD">
      <w:r w:rsidRPr="00637929">
        <w:t>Rogers (1961) contended that individuals' potential can be realized through supportive relationships that are founded on empathy, unconditional positive regard, and congruence. In the context of health and social care, this entails refraining from making assumptions, acknowledging the emotions of others without condemnation, and being forthright about the limitations and possibilities of the situation. In Joan's case, this method enabled her to disclose the extent to which Crohn's disease had impacted her mobility and confidence, which she had previously withheld from clinicians who concentrated solely on her COPD.</w:t>
      </w:r>
    </w:p>
    <w:p w14:paraId="21AC4181" w14:textId="54FC00A6" w:rsidR="00867BBD" w:rsidRPr="00115D58" w:rsidRDefault="00867BBD" w:rsidP="00867BBD">
      <w:pPr>
        <w:rPr>
          <w:b/>
          <w:bCs/>
        </w:rPr>
      </w:pPr>
      <w:r w:rsidRPr="00115D58">
        <w:rPr>
          <w:b/>
          <w:bCs/>
        </w:rPr>
        <w:t>Patient Activation Theory</w:t>
      </w:r>
    </w:p>
    <w:p w14:paraId="7DFFCA96" w14:textId="77777777" w:rsidR="008F2561" w:rsidRDefault="008F2561" w:rsidP="00867BBD">
      <w:r w:rsidRPr="008F2561">
        <w:t>This framework, which was created by Hibbard and Gilburt (2014), employs the Patient Activation Measure (PAM) to evaluate individuals' confidence and ability to manage their own health. It portrays PCC as a process of establishing capability, rather than merely providing instructions. Joan's transition from "low activation" (inability to oversee even basic care) to "high activation" (leadership of her own rehabilitation plan) serves as an illustration of how activation theory transforms the principles of PCC into practical applications.</w:t>
      </w:r>
    </w:p>
    <w:p w14:paraId="53597E91" w14:textId="451627C0" w:rsidR="00867BBD" w:rsidRPr="00115D58" w:rsidRDefault="00867BBD" w:rsidP="00867BBD">
      <w:pPr>
        <w:rPr>
          <w:b/>
          <w:bCs/>
        </w:rPr>
      </w:pPr>
      <w:r w:rsidRPr="00115D58">
        <w:rPr>
          <w:b/>
          <w:bCs/>
        </w:rPr>
        <w:t>Empowerment Theory</w:t>
      </w:r>
    </w:p>
    <w:p w14:paraId="2C33D42A" w14:textId="77777777" w:rsidR="00F97D22" w:rsidRDefault="00FE5C36" w:rsidP="00867BBD">
      <w:r w:rsidRPr="00FE5C36">
        <w:t>Empowerment is the process of acquiring a greater sense of control over one's life and the resources that influence it, as defined by Rappaport (1987). In community care, this entails the exchange of information, the provision of support in a manner and location that is determined by the individual, and the recognition of their lived experience in addition to their professional expertise. Joan's care plan was co-produced rather than imposed; she opted for small group sessions over large courses and began rehabilitation at home, which bolstered her confidence to make progress.</w:t>
      </w:r>
    </w:p>
    <w:p w14:paraId="2167A3CB" w14:textId="26BFEEAB" w:rsidR="00867BBD" w:rsidRPr="00115D58" w:rsidRDefault="00867BBD" w:rsidP="00867BBD">
      <w:pPr>
        <w:rPr>
          <w:b/>
          <w:bCs/>
        </w:rPr>
      </w:pPr>
      <w:r w:rsidRPr="00115D58">
        <w:rPr>
          <w:b/>
          <w:bCs/>
        </w:rPr>
        <w:t>Critical Synthesis</w:t>
      </w:r>
    </w:p>
    <w:p w14:paraId="1F71C554" w14:textId="0C28AB79" w:rsidR="00115D58" w:rsidRDefault="00E21ADE" w:rsidP="00867BBD">
      <w:r w:rsidRPr="00E21ADE">
        <w:t>In combination, these theories challenge the conventional "paternalistic" paradigm of care, which entails professionals determining the most appropriate course of action. Critics contend that empowerment can impose an excessive amount of responsibility on vulnerable individuals, particularly those with limited literacy or social support. However, Joan's example demonstrates that empowerment is beneficial when support is customized, rather than burdensome (Entwistle &amp; Watt, 2021).</w:t>
      </w:r>
    </w:p>
    <w:p w14:paraId="5DC39688" w14:textId="77777777" w:rsidR="00115D58" w:rsidRPr="00867BBD" w:rsidRDefault="00115D58" w:rsidP="00867BBD"/>
    <w:p w14:paraId="63B56E1D" w14:textId="77777777" w:rsidR="00867BBD" w:rsidRPr="00115D58" w:rsidRDefault="00867BBD" w:rsidP="00867BBD">
      <w:pPr>
        <w:rPr>
          <w:b/>
          <w:bCs/>
          <w:sz w:val="32"/>
          <w:szCs w:val="32"/>
        </w:rPr>
      </w:pPr>
      <w:r w:rsidRPr="00115D58">
        <w:rPr>
          <w:b/>
          <w:bCs/>
          <w:sz w:val="32"/>
          <w:szCs w:val="32"/>
        </w:rPr>
        <w:lastRenderedPageBreak/>
        <w:t>Ethical Fundamentals</w:t>
      </w:r>
    </w:p>
    <w:p w14:paraId="424E3064" w14:textId="77777777" w:rsidR="00867BBD" w:rsidRPr="00115D58" w:rsidRDefault="00867BBD" w:rsidP="00867BBD">
      <w:pPr>
        <w:rPr>
          <w:b/>
          <w:bCs/>
        </w:rPr>
      </w:pPr>
      <w:r w:rsidRPr="00115D58">
        <w:rPr>
          <w:b/>
          <w:bCs/>
        </w:rPr>
        <w:t>Four core ethical principles underpin health and social care practice (Beauchamp and Childress, 2019), and all are central to both PCC and partnership working:</w:t>
      </w:r>
    </w:p>
    <w:p w14:paraId="47C29628" w14:textId="77777777" w:rsidR="00187600" w:rsidRDefault="00187600" w:rsidP="00187600">
      <w:r>
        <w:t>• Autonomy: The recognition of an individual's right to make their own informed decisions. Joan's decision to postpone pulmonary rehabilitation until her gastrointestinal symptoms were resolved, rather than being compelled to commence it immediately, was upheld.</w:t>
      </w:r>
    </w:p>
    <w:p w14:paraId="0F0744C4" w14:textId="77777777" w:rsidR="00187600" w:rsidRDefault="00187600" w:rsidP="00187600">
      <w:r>
        <w:t>• Beneficence: Acting in the individual's best interest. Joan's primary clinical referral was not to address her Crohn's disease; however, it was crucial for the enhancement of her overall wellbeing and COPD.</w:t>
      </w:r>
    </w:p>
    <w:p w14:paraId="24E5CA94" w14:textId="77777777" w:rsidR="00187600" w:rsidRDefault="00187600" w:rsidP="00187600">
      <w:r>
        <w:t>• Non-maleficence: The prevention of harm. Neglecting Joan's humiliation or prioritizing objectives over her well-being would have resulted in additional isolation and deterioration of her health.</w:t>
      </w:r>
    </w:p>
    <w:p w14:paraId="05C002FF" w14:textId="77777777" w:rsidR="00430157" w:rsidRDefault="00187600" w:rsidP="00187600">
      <w:r>
        <w:t>• Justice: Guaranteeing equitable access to healthcare. The same level of support was provided to her as those who were able to attend clinics, as home visits and flexible appointments eliminated barriers associated with her mobility and anxiety.</w:t>
      </w:r>
    </w:p>
    <w:p w14:paraId="395BCCDF" w14:textId="0A58A509" w:rsidR="00867BBD" w:rsidRPr="00115D58" w:rsidRDefault="00867BBD" w:rsidP="00187600">
      <w:pPr>
        <w:rPr>
          <w:b/>
          <w:bCs/>
        </w:rPr>
      </w:pPr>
      <w:r w:rsidRPr="00115D58">
        <w:rPr>
          <w:b/>
          <w:bCs/>
        </w:rPr>
        <w:t>Ethical Dilemmas and Differing Viewpoints</w:t>
      </w:r>
    </w:p>
    <w:p w14:paraId="54387ADB" w14:textId="77777777" w:rsidR="00A57F7F" w:rsidRDefault="00A57F7F" w:rsidP="00A57F7F">
      <w:r>
        <w:t>A dilemma was created when Joan declined to disclose her care plan to social services, as she was concerned that she would be evaluated as requiring residential care. Some employees contended that the sharing of information was essential for her protection, while others prioritized her right to control her own data. This was resolved through partnership working: the team clarified the purpose of the information, affirmed that no decisions would be made without her, and agreed to a phased approach to sharing, which would balance autonomy with safety (Seedhouse, 2021).</w:t>
      </w:r>
    </w:p>
    <w:p w14:paraId="6B77352A" w14:textId="15CDFEC0" w:rsidR="00867BBD" w:rsidRPr="00867BBD" w:rsidRDefault="00A57F7F" w:rsidP="00A57F7F">
      <w:r>
        <w:t>The debate persists regarding the appropriateness of prioritizing autonomy over clinical advice, particularly when individuals make decisions that involve risk. Nevertheless, research indicates that well-informed, well-supported decision-making results in more sustained compliance than imposed care (Entwistle and Watt, 2021).</w:t>
      </w:r>
    </w:p>
    <w:p w14:paraId="573F826B" w14:textId="77777777" w:rsidR="00867BBD" w:rsidRPr="00115D58" w:rsidRDefault="00867BBD" w:rsidP="00867BBD">
      <w:pPr>
        <w:rPr>
          <w:b/>
          <w:bCs/>
          <w:sz w:val="32"/>
          <w:szCs w:val="32"/>
        </w:rPr>
      </w:pPr>
      <w:r w:rsidRPr="00115D58">
        <w:rPr>
          <w:b/>
          <w:bCs/>
          <w:sz w:val="32"/>
          <w:szCs w:val="32"/>
        </w:rPr>
        <w:t>Evaluation of Partnership Working</w:t>
      </w:r>
    </w:p>
    <w:p w14:paraId="050C1CB2" w14:textId="77777777" w:rsidR="00F35266" w:rsidRDefault="00531587" w:rsidP="00867BBD">
      <w:r w:rsidRPr="00531587">
        <w:t>Working is defined as "the active collaboration of health, social care, voluntary, community, and independent sector organizations to deliver seamless, person-centred care" (Social Care Institute for Excellence [SCIE], 2022, p. 3). It is now a legal obligation for Integrated Care Systems (ICSs) to be established under the Health and Care Act 2022.</w:t>
      </w:r>
    </w:p>
    <w:p w14:paraId="1952CF55" w14:textId="77777777" w:rsidR="00F35266" w:rsidRDefault="00F35266" w:rsidP="00867BBD"/>
    <w:p w14:paraId="229E660C" w14:textId="3CB57B95" w:rsidR="00867BBD" w:rsidRPr="00115D58" w:rsidRDefault="00867BBD" w:rsidP="00867BBD">
      <w:pPr>
        <w:rPr>
          <w:b/>
          <w:bCs/>
        </w:rPr>
      </w:pPr>
      <w:r w:rsidRPr="00115D58">
        <w:rPr>
          <w:b/>
          <w:bCs/>
        </w:rPr>
        <w:lastRenderedPageBreak/>
        <w:t>Benefits of Partnership Working</w:t>
      </w:r>
    </w:p>
    <w:p w14:paraId="00F12AAF" w14:textId="77777777" w:rsidR="00927ABD" w:rsidRDefault="00927ABD" w:rsidP="00927ABD">
      <w:r>
        <w:t>• Holistic care: The requirements of Joan cannot be met by a single professional; however, the collaboration of GPs, community nurses, gastroenterologists, respiratory therapists, and a social prescriber ensured that both physical and emotional needs were met.</w:t>
      </w:r>
    </w:p>
    <w:p w14:paraId="3EFF3D10" w14:textId="77777777" w:rsidR="00927ABD" w:rsidRDefault="00927ABD" w:rsidP="00927ABD">
      <w:r>
        <w:t>• Decreased duplication: Joan's frustration and time were reduced as a result of the shared assessments and care documents, which prevented her from having to retell her story to each new service (NHS England, 2023).</w:t>
      </w:r>
    </w:p>
    <w:p w14:paraId="2602076E" w14:textId="77777777" w:rsidR="00927ABD" w:rsidRDefault="00927ABD" w:rsidP="00927ABD">
      <w:r>
        <w:t>• Smoother transitions: Joan was able to transition from hospital support to community rehabilitation without any interruptions or confusion as a result of effective partnership working.</w:t>
      </w:r>
    </w:p>
    <w:p w14:paraId="2FFF4DFB" w14:textId="797559C6" w:rsidR="00867BBD" w:rsidRPr="00115D58" w:rsidRDefault="00867BBD" w:rsidP="00927ABD">
      <w:pPr>
        <w:rPr>
          <w:b/>
          <w:bCs/>
        </w:rPr>
      </w:pPr>
      <w:r w:rsidRPr="00115D58">
        <w:rPr>
          <w:b/>
          <w:bCs/>
        </w:rPr>
        <w:t>Challenges of Partnership Working</w:t>
      </w:r>
    </w:p>
    <w:p w14:paraId="26F83E98" w14:textId="77777777" w:rsidR="003F33FF" w:rsidRDefault="003F33FF" w:rsidP="003F33FF">
      <w:r>
        <w:t>• System fragmentation: The initial delay in the sharing of Joan's records was due to the inconsistency of IT systems between health and social care teams (King's Fund, 2023).</w:t>
      </w:r>
    </w:p>
    <w:p w14:paraId="1C8614BE" w14:textId="77777777" w:rsidR="003F33FF" w:rsidRDefault="003F33FF" w:rsidP="003F33FF">
      <w:r>
        <w:t>• Cultural and financing silos: The Audit Commission (2022) notes that health services and local authority social care operate with separate budgets and priorities, resulting in delays when determining who is responsible for providing which support.</w:t>
      </w:r>
    </w:p>
    <w:p w14:paraId="5ED66BBD" w14:textId="77777777" w:rsidR="003F33FF" w:rsidRDefault="003F33FF" w:rsidP="003F33FF">
      <w:r>
        <w:t>• Communication barriers: Misunderstandings may arise due to disparities in terminology and meeting procedures among organizations.</w:t>
      </w:r>
    </w:p>
    <w:p w14:paraId="70219ED3" w14:textId="62F02862" w:rsidR="00867BBD" w:rsidRDefault="003F33FF" w:rsidP="003F33FF">
      <w:r>
        <w:t>In primary and community care, partnership working is transformative when it is effective, as evidenced by Joan's recovery. However, it is fragile when systems and cultures are not completely aligned.</w:t>
      </w:r>
    </w:p>
    <w:p w14:paraId="1503E6C9" w14:textId="77777777" w:rsidR="00BF2D20" w:rsidRPr="00BF2D20" w:rsidRDefault="00BF2D20" w:rsidP="00867BBD">
      <w:pPr>
        <w:rPr>
          <w:b/>
          <w:bCs/>
          <w:sz w:val="32"/>
          <w:szCs w:val="32"/>
        </w:rPr>
      </w:pPr>
    </w:p>
    <w:p w14:paraId="54D70AC6" w14:textId="77777777" w:rsidR="00867BBD" w:rsidRPr="00BF2D20" w:rsidRDefault="00867BBD" w:rsidP="00867BBD">
      <w:pPr>
        <w:rPr>
          <w:b/>
          <w:bCs/>
          <w:sz w:val="32"/>
          <w:szCs w:val="32"/>
        </w:rPr>
      </w:pPr>
      <w:r w:rsidRPr="00BF2D20">
        <w:rPr>
          <w:b/>
          <w:bCs/>
          <w:sz w:val="32"/>
          <w:szCs w:val="32"/>
        </w:rPr>
        <w:t>Policy and Legislation</w:t>
      </w:r>
    </w:p>
    <w:p w14:paraId="58C52D2A" w14:textId="77777777" w:rsidR="00867BBD" w:rsidRPr="00BF2D20" w:rsidRDefault="00867BBD" w:rsidP="00867BBD">
      <w:pPr>
        <w:rPr>
          <w:b/>
          <w:bCs/>
        </w:rPr>
      </w:pPr>
      <w:r w:rsidRPr="00BF2D20">
        <w:rPr>
          <w:b/>
          <w:bCs/>
        </w:rPr>
        <w:t>Several key laws and policies shape how PCC and partnership working are delivered in England:</w:t>
      </w:r>
    </w:p>
    <w:p w14:paraId="03B53B0B" w14:textId="77777777" w:rsidR="00277802" w:rsidRDefault="00277802" w:rsidP="00277802">
      <w:r>
        <w:t>The delivery of PCC and partnership working in England is influenced by a number of critical laws and policies:</w:t>
      </w:r>
    </w:p>
    <w:p w14:paraId="5AA6D5A8" w14:textId="7522A25B" w:rsidR="00277802" w:rsidRDefault="00277802" w:rsidP="00277802">
      <w:r>
        <w:t xml:space="preserve">• The Human Rights Act 1998: Article 8 safeguards the right to respect for private and family life, necessitating that services provide care with dignity and </w:t>
      </w:r>
      <w:r w:rsidR="0000579F">
        <w:t>consider</w:t>
      </w:r>
      <w:r>
        <w:t xml:space="preserve"> personal circumstances. This provision directly supports Joan's desire to receive care at </w:t>
      </w:r>
      <w:r w:rsidR="00D029C3">
        <w:t>home.</w:t>
      </w:r>
    </w:p>
    <w:p w14:paraId="4D5F84DE" w14:textId="77777777" w:rsidR="00277802" w:rsidRDefault="00277802" w:rsidP="00277802">
      <w:r>
        <w:t xml:space="preserve">• Equality Act 2010: Prohibits discrimination based on factors such as age or health status and mandates reasonable accommodations for individuals with disabilities or </w:t>
      </w:r>
      <w:r>
        <w:lastRenderedPageBreak/>
        <w:t>health conditions. This served as the foundation for the decision to provide home visits and flexible appointments.</w:t>
      </w:r>
    </w:p>
    <w:p w14:paraId="647915A2" w14:textId="77777777" w:rsidR="00277802" w:rsidRDefault="00277802" w:rsidP="00277802">
      <w:r>
        <w:t>• The Health and Social Care Act of 2012: Established a legal obligation for NHS bodies to consult with the public regarding service design, as well as patient choice and public involvement (Department of Health [DoH], 2012).</w:t>
      </w:r>
    </w:p>
    <w:p w14:paraId="143FD1A7" w14:textId="77777777" w:rsidR="00277802" w:rsidRDefault="00277802" w:rsidP="00277802">
      <w:r>
        <w:t>• Care Act 2014: Requires local authorities to collaborate with health services and prioritizes wellbeing in assessment and care planning, which is a fundamental component of Joan's personalized plan (SCIE, 2023).</w:t>
      </w:r>
    </w:p>
    <w:p w14:paraId="293AAD0C" w14:textId="77777777" w:rsidR="00EC5649" w:rsidRDefault="00277802" w:rsidP="00277802">
      <w:r>
        <w:t>• The Health and Care Act 2022 will establish ICSs as statutory entities, with responsibilities to promote integration, reduce health inequalities, and engage service users (Department of Health and Social Care [DHSC], 2022).</w:t>
      </w:r>
    </w:p>
    <w:p w14:paraId="4A93059B" w14:textId="77BD0376" w:rsidR="00867BBD" w:rsidRPr="00BF2D20" w:rsidRDefault="00867BBD" w:rsidP="00277802">
      <w:pPr>
        <w:rPr>
          <w:b/>
          <w:bCs/>
        </w:rPr>
      </w:pPr>
      <w:r w:rsidRPr="00BF2D20">
        <w:rPr>
          <w:b/>
          <w:bCs/>
        </w:rPr>
        <w:t>Implications for Practice</w:t>
      </w:r>
    </w:p>
    <w:p w14:paraId="2434A0C4" w14:textId="3F70C0E2" w:rsidR="00867BBD" w:rsidRPr="00867BBD" w:rsidRDefault="00EC5649" w:rsidP="00867BBD">
      <w:r w:rsidRPr="00EC5649">
        <w:t>Although these frameworks establish robust legal backing for PCC and partnership working, their implementation is inconsistent. For instance, despite the fact that the Care Act 2014 mandates person-centred planning, primary care staff report feeling overburdened by the administrative tasks necessary to demonstrate compliance (NHS Confederation, 2024). The Health and Care Act 2022 has expedited collaboration; however, funding divisions continue to restrict joint efforts in numerous sectors.</w:t>
      </w:r>
    </w:p>
    <w:p w14:paraId="12083A1A" w14:textId="77777777" w:rsidR="00867BBD" w:rsidRPr="00BF2D20" w:rsidRDefault="00867BBD" w:rsidP="00867BBD">
      <w:pPr>
        <w:rPr>
          <w:b/>
          <w:bCs/>
          <w:sz w:val="32"/>
          <w:szCs w:val="32"/>
        </w:rPr>
      </w:pPr>
      <w:r w:rsidRPr="00BF2D20">
        <w:rPr>
          <w:b/>
          <w:bCs/>
          <w:sz w:val="32"/>
          <w:szCs w:val="32"/>
        </w:rPr>
        <w:t>Recommendations</w:t>
      </w:r>
    </w:p>
    <w:p w14:paraId="3FCC1D33" w14:textId="77777777" w:rsidR="002F7B5C" w:rsidRDefault="002F7B5C" w:rsidP="002F7B5C">
      <w:r>
        <w:t>To enhance PCC and partnership working across primary and community care, it is necessary to take several connected steps, drawing on Joan's experience and broader evidence.</w:t>
      </w:r>
    </w:p>
    <w:p w14:paraId="14890F9D" w14:textId="69431D96" w:rsidR="002F7B5C" w:rsidRDefault="002F7B5C" w:rsidP="002F7B5C">
      <w:r>
        <w:t>The initial step is for all frontline and managerial staff in primary and community services to participate in ongoing mandatory training that emphasizes person-</w:t>
      </w:r>
      <w:r w:rsidR="00F97D22">
        <w:t>cantered</w:t>
      </w:r>
      <w:r>
        <w:t xml:space="preserve"> communication, shared decision-making, and cross-sector partnership. This training should incorporate practical learning through the use of case studies, such as Joan's Story. This should be incorporated into pre-registration education and continuing professional development, with designated time to prevent service delivery disruptions. Gilburt et al. (2021) have demonstrated that although initial costs and burden concerns are common obstacles, research indicates that such training enhances the patient experience and reduces the use of costly services, resulting in long-term savings.</w:t>
      </w:r>
    </w:p>
    <w:p w14:paraId="6928A498" w14:textId="406B79DB" w:rsidR="002F7B5C" w:rsidRDefault="002F7B5C" w:rsidP="002F7B5C">
      <w:r>
        <w:t xml:space="preserve">Secondly, </w:t>
      </w:r>
      <w:r w:rsidR="0000579F">
        <w:t>ICSs should prioritize the implementation of interoperable digital care records</w:t>
      </w:r>
      <w:r>
        <w:t xml:space="preserve"> to ensure that authorized professionals across health, social care, and voluntary services can access up-to-date care plans securely. This would address the communication delays that initially impeded Joan's care, while simultaneously adhering to data protection regulations. The King's Fund (2023) has estimated that integrated </w:t>
      </w:r>
      <w:r>
        <w:lastRenderedPageBreak/>
        <w:t>systems could reduce administrative duplication by up to 30% in community settings, despite the fact that implementation barriers include upfront investment and staff training.</w:t>
      </w:r>
    </w:p>
    <w:p w14:paraId="33FA87D4" w14:textId="573F3BA6" w:rsidR="00867BBD" w:rsidRDefault="002F7B5C" w:rsidP="002F7B5C">
      <w:r>
        <w:t>Third, local ICSs should establish regular multi-disciplinary meetings that involve patients, carers, and voluntary sector partners. Additionally, they should extend social prescribing to connect individuals with community support for mobility, isolation, and confidence, which were critical to Joan's recovery. The primary constraint is the current capacity, but research has demonstrated that social prescribing enhances the quality of life of individuals with chronic conditions and decreases emergency admissions (Bickerdike et al., 2022).</w:t>
      </w:r>
    </w:p>
    <w:p w14:paraId="00FFE2ED" w14:textId="77777777" w:rsidR="004704DE" w:rsidRPr="00867BBD" w:rsidRDefault="004704DE" w:rsidP="00867BBD"/>
    <w:p w14:paraId="2D39AA88" w14:textId="77777777" w:rsidR="00867BBD" w:rsidRPr="001E6320" w:rsidRDefault="00867BBD" w:rsidP="00867BBD">
      <w:pPr>
        <w:rPr>
          <w:b/>
          <w:bCs/>
          <w:sz w:val="32"/>
          <w:szCs w:val="32"/>
        </w:rPr>
      </w:pPr>
      <w:r w:rsidRPr="001E6320">
        <w:rPr>
          <w:b/>
          <w:bCs/>
          <w:sz w:val="32"/>
          <w:szCs w:val="32"/>
        </w:rPr>
        <w:t>Conclusion</w:t>
      </w:r>
    </w:p>
    <w:p w14:paraId="44D77288" w14:textId="459B37D7" w:rsidR="008B3475" w:rsidRDefault="00736D8F" w:rsidP="00867BBD">
      <w:pPr>
        <w:rPr>
          <w:b/>
          <w:bCs/>
          <w:sz w:val="32"/>
          <w:szCs w:val="32"/>
        </w:rPr>
      </w:pPr>
      <w:r w:rsidRPr="00736D8F">
        <w:rPr>
          <w:i/>
          <w:iCs/>
        </w:rPr>
        <w:t>Joan's narrative illustrates the importance of partnership and person-</w:t>
      </w:r>
      <w:r w:rsidR="00F97D22" w:rsidRPr="00736D8F">
        <w:rPr>
          <w:i/>
          <w:iCs/>
        </w:rPr>
        <w:t>cantered</w:t>
      </w:r>
      <w:r w:rsidRPr="00736D8F">
        <w:rPr>
          <w:i/>
          <w:iCs/>
        </w:rPr>
        <w:t xml:space="preserve"> care. It is imperative to provide effective, compassionate support for individuals with complex needs, and working are not merely desirable principles. This report has demonstrated that PCC is founded on robust ethical principles and established </w:t>
      </w:r>
      <w:r w:rsidR="00D029C3" w:rsidRPr="00736D8F">
        <w:rPr>
          <w:i/>
          <w:iCs/>
        </w:rPr>
        <w:t>theory and</w:t>
      </w:r>
      <w:r w:rsidRPr="00736D8F">
        <w:rPr>
          <w:i/>
          <w:iCs/>
        </w:rPr>
        <w:t xml:space="preserve"> is bolstered by explicit policy and legislation. Nevertheless, it is challenging to consistently implement without sufficient resources, training, and system integration. Partnership working, as it is embodied in ICSs, provides a method to overcome conventional barriers; however, it necessitates a steadfast dedication to cultural transformation and collaborative investment. The suggestions presented here are </w:t>
      </w:r>
      <w:r w:rsidR="00D029C3" w:rsidRPr="00736D8F">
        <w:rPr>
          <w:i/>
          <w:iCs/>
        </w:rPr>
        <w:t>cantered</w:t>
      </w:r>
      <w:r w:rsidRPr="00736D8F">
        <w:rPr>
          <w:i/>
          <w:iCs/>
        </w:rPr>
        <w:t xml:space="preserve"> on practical, evidence-based measures that can be taken to address existing inequalities, thereby guaranteeing that a greater number of individuals, such as Joan, receive care that is comprehensive, respectful, and genuinely </w:t>
      </w:r>
      <w:r w:rsidR="00D029C3" w:rsidRPr="00736D8F">
        <w:rPr>
          <w:i/>
          <w:iCs/>
        </w:rPr>
        <w:t>cantered</w:t>
      </w:r>
      <w:r w:rsidRPr="00736D8F">
        <w:rPr>
          <w:i/>
          <w:iCs/>
        </w:rPr>
        <w:t xml:space="preserve"> on their needs.</w:t>
      </w:r>
    </w:p>
    <w:p w14:paraId="0D93C6B4" w14:textId="77777777" w:rsidR="008B3475" w:rsidRDefault="008B3475" w:rsidP="00867BBD">
      <w:pPr>
        <w:rPr>
          <w:b/>
          <w:bCs/>
          <w:sz w:val="32"/>
          <w:szCs w:val="32"/>
        </w:rPr>
      </w:pPr>
    </w:p>
    <w:p w14:paraId="57AD4FD2" w14:textId="77777777" w:rsidR="008B3475" w:rsidRDefault="008B3475" w:rsidP="00867BBD">
      <w:pPr>
        <w:rPr>
          <w:b/>
          <w:bCs/>
          <w:sz w:val="32"/>
          <w:szCs w:val="32"/>
        </w:rPr>
      </w:pPr>
    </w:p>
    <w:p w14:paraId="4AFF862D" w14:textId="77777777" w:rsidR="008B3475" w:rsidRDefault="008B3475" w:rsidP="00867BBD">
      <w:pPr>
        <w:rPr>
          <w:b/>
          <w:bCs/>
          <w:sz w:val="32"/>
          <w:szCs w:val="32"/>
        </w:rPr>
      </w:pPr>
    </w:p>
    <w:p w14:paraId="5C1133F4" w14:textId="77777777" w:rsidR="008B3475" w:rsidRDefault="008B3475" w:rsidP="00867BBD">
      <w:pPr>
        <w:rPr>
          <w:b/>
          <w:bCs/>
          <w:sz w:val="32"/>
          <w:szCs w:val="32"/>
        </w:rPr>
      </w:pPr>
    </w:p>
    <w:p w14:paraId="5CFC3613" w14:textId="77777777" w:rsidR="008B3475" w:rsidRDefault="008B3475" w:rsidP="00867BBD">
      <w:pPr>
        <w:rPr>
          <w:b/>
          <w:bCs/>
          <w:sz w:val="32"/>
          <w:szCs w:val="32"/>
        </w:rPr>
      </w:pPr>
    </w:p>
    <w:p w14:paraId="28326EE4" w14:textId="77777777" w:rsidR="00736D8F" w:rsidRDefault="00736D8F" w:rsidP="00867BBD">
      <w:pPr>
        <w:rPr>
          <w:b/>
          <w:bCs/>
          <w:sz w:val="32"/>
          <w:szCs w:val="32"/>
        </w:rPr>
      </w:pPr>
    </w:p>
    <w:p w14:paraId="4DF57998" w14:textId="77777777" w:rsidR="00736D8F" w:rsidRDefault="00736D8F" w:rsidP="00867BBD">
      <w:pPr>
        <w:rPr>
          <w:b/>
          <w:bCs/>
          <w:sz w:val="32"/>
          <w:szCs w:val="32"/>
        </w:rPr>
      </w:pPr>
    </w:p>
    <w:p w14:paraId="761A6496" w14:textId="77777777" w:rsidR="00736D8F" w:rsidRDefault="00736D8F" w:rsidP="00867BBD">
      <w:pPr>
        <w:rPr>
          <w:b/>
          <w:bCs/>
          <w:sz w:val="32"/>
          <w:szCs w:val="32"/>
        </w:rPr>
      </w:pPr>
    </w:p>
    <w:p w14:paraId="263076B4" w14:textId="1B02FEF8" w:rsidR="00867BBD" w:rsidRPr="00B835D2" w:rsidRDefault="00867BBD" w:rsidP="00867BBD">
      <w:pPr>
        <w:rPr>
          <w:b/>
          <w:bCs/>
          <w:sz w:val="32"/>
          <w:szCs w:val="32"/>
        </w:rPr>
      </w:pPr>
      <w:r w:rsidRPr="00B835D2">
        <w:rPr>
          <w:b/>
          <w:bCs/>
          <w:sz w:val="32"/>
          <w:szCs w:val="32"/>
        </w:rPr>
        <w:lastRenderedPageBreak/>
        <w:t xml:space="preserve">Reference </w:t>
      </w:r>
    </w:p>
    <w:p w14:paraId="2C46A9D0" w14:textId="77777777" w:rsidR="00867BBD" w:rsidRPr="00867BBD" w:rsidRDefault="00867BBD" w:rsidP="00867BBD">
      <w:pPr>
        <w:numPr>
          <w:ilvl w:val="0"/>
          <w:numId w:val="14"/>
        </w:numPr>
      </w:pPr>
      <w:r w:rsidRPr="00867BBD">
        <w:t xml:space="preserve">Audit Commission (2022) </w:t>
      </w:r>
      <w:r w:rsidRPr="00867BBD">
        <w:rPr>
          <w:i/>
          <w:iCs/>
        </w:rPr>
        <w:t>Joined-up Care: Progress and Challenges</w:t>
      </w:r>
      <w:r w:rsidRPr="00867BBD">
        <w:t>. London: HMSO.</w:t>
      </w:r>
    </w:p>
    <w:p w14:paraId="2DED62E9" w14:textId="77777777" w:rsidR="00867BBD" w:rsidRPr="00867BBD" w:rsidRDefault="00867BBD" w:rsidP="00867BBD">
      <w:pPr>
        <w:numPr>
          <w:ilvl w:val="0"/>
          <w:numId w:val="14"/>
        </w:numPr>
      </w:pPr>
      <w:r w:rsidRPr="00867BBD">
        <w:t xml:space="preserve">Baird, B., Lewis, G., and Redfern, J. (2021) ‘Resourcing person-centred care in general practice: a qualitative study’, </w:t>
      </w:r>
      <w:r w:rsidRPr="00867BBD">
        <w:rPr>
          <w:i/>
          <w:iCs/>
        </w:rPr>
        <w:t>British Journal of General Practice</w:t>
      </w:r>
      <w:r w:rsidRPr="00867BBD">
        <w:t>, 71(708), pp. 322–329.</w:t>
      </w:r>
    </w:p>
    <w:p w14:paraId="06F85007" w14:textId="77777777" w:rsidR="00867BBD" w:rsidRPr="00867BBD" w:rsidRDefault="00867BBD" w:rsidP="00867BBD">
      <w:pPr>
        <w:numPr>
          <w:ilvl w:val="0"/>
          <w:numId w:val="14"/>
        </w:numPr>
      </w:pPr>
      <w:r w:rsidRPr="00867BBD">
        <w:t xml:space="preserve">Beauchamp, T.L. and Childress, J.F. (2019) </w:t>
      </w:r>
      <w:r w:rsidRPr="00867BBD">
        <w:rPr>
          <w:i/>
          <w:iCs/>
        </w:rPr>
        <w:t>Principles of Biomedical Ethics</w:t>
      </w:r>
      <w:r w:rsidRPr="00867BBD">
        <w:t>. 8th edn. Oxford: Oxford University Press.</w:t>
      </w:r>
    </w:p>
    <w:p w14:paraId="7F22C5AD" w14:textId="77777777" w:rsidR="00867BBD" w:rsidRPr="00867BBD" w:rsidRDefault="00867BBD" w:rsidP="00867BBD">
      <w:pPr>
        <w:numPr>
          <w:ilvl w:val="0"/>
          <w:numId w:val="14"/>
        </w:numPr>
      </w:pPr>
      <w:r w:rsidRPr="00867BBD">
        <w:t xml:space="preserve">Bickerdike, L., Booth, A., Wilson, P., Farley, K., and Wright, K. (2022) ‘Social prescribing for long-term conditions: a systematic review and meta-analysis’, </w:t>
      </w:r>
      <w:r w:rsidRPr="00867BBD">
        <w:rPr>
          <w:i/>
          <w:iCs/>
        </w:rPr>
        <w:t>Health &amp; Social Care in the Community</w:t>
      </w:r>
      <w:r w:rsidRPr="00867BBD">
        <w:t>, 30(3), pp. 892–906.</w:t>
      </w:r>
    </w:p>
    <w:p w14:paraId="74067355" w14:textId="77777777" w:rsidR="00867BBD" w:rsidRPr="00867BBD" w:rsidRDefault="00867BBD" w:rsidP="00867BBD">
      <w:pPr>
        <w:numPr>
          <w:ilvl w:val="0"/>
          <w:numId w:val="14"/>
        </w:numPr>
      </w:pPr>
      <w:r w:rsidRPr="00867BBD">
        <w:t xml:space="preserve">Care Quality Commission (2023) </w:t>
      </w:r>
      <w:r w:rsidRPr="00867BBD">
        <w:rPr>
          <w:i/>
          <w:iCs/>
        </w:rPr>
        <w:t>The State of Health and Social Care in England 2023</w:t>
      </w:r>
      <w:r w:rsidRPr="00867BBD">
        <w:t>. London: CQC.</w:t>
      </w:r>
    </w:p>
    <w:p w14:paraId="36837CE4" w14:textId="77777777" w:rsidR="00867BBD" w:rsidRPr="00867BBD" w:rsidRDefault="00867BBD" w:rsidP="00867BBD">
      <w:pPr>
        <w:numPr>
          <w:ilvl w:val="0"/>
          <w:numId w:val="14"/>
        </w:numPr>
      </w:pPr>
      <w:bookmarkStart w:id="0" w:name="_Int_swPjKDUd"/>
      <w:r w:rsidRPr="00867BBD">
        <w:t xml:space="preserve">Department of Health (2012) </w:t>
      </w:r>
      <w:r w:rsidRPr="00867BBD">
        <w:rPr>
          <w:i/>
          <w:iCs/>
        </w:rPr>
        <w:t>Health and Social Care Act 2012</w:t>
      </w:r>
      <w:r w:rsidRPr="00867BBD">
        <w:t>.</w:t>
      </w:r>
      <w:bookmarkEnd w:id="0"/>
      <w:r w:rsidRPr="00867BBD">
        <w:t xml:space="preserve"> London: The Stationery Office.</w:t>
      </w:r>
    </w:p>
    <w:p w14:paraId="6D5AF7CA" w14:textId="77777777" w:rsidR="00867BBD" w:rsidRPr="00867BBD" w:rsidRDefault="00867BBD" w:rsidP="00867BBD">
      <w:pPr>
        <w:numPr>
          <w:ilvl w:val="0"/>
          <w:numId w:val="14"/>
        </w:numPr>
      </w:pPr>
      <w:r w:rsidRPr="00867BBD">
        <w:t xml:space="preserve">Department of Health and Social Care (2022) </w:t>
      </w:r>
      <w:r w:rsidRPr="00867BBD">
        <w:rPr>
          <w:i/>
          <w:iCs/>
        </w:rPr>
        <w:t>Health and Care Act 2022</w:t>
      </w:r>
      <w:r w:rsidRPr="00867BBD">
        <w:t>. London: The Stationery Office.</w:t>
      </w:r>
    </w:p>
    <w:p w14:paraId="55E0ECBA" w14:textId="77777777" w:rsidR="00867BBD" w:rsidRPr="00867BBD" w:rsidRDefault="00867BBD" w:rsidP="00867BBD">
      <w:pPr>
        <w:numPr>
          <w:ilvl w:val="0"/>
          <w:numId w:val="14"/>
        </w:numPr>
      </w:pPr>
      <w:r w:rsidRPr="00867BBD">
        <w:t xml:space="preserve">Entwistle, V.A. and Watt, I.S. (2021) ‘Patient autonomy and shared decision-making: balancing rights and responsibilities’, </w:t>
      </w:r>
      <w:r w:rsidRPr="00867BBD">
        <w:rPr>
          <w:i/>
          <w:iCs/>
        </w:rPr>
        <w:t>Journal of Health Services Research &amp; Policy</w:t>
      </w:r>
      <w:r w:rsidRPr="00867BBD">
        <w:t>, 26(1), pp. 56–62.</w:t>
      </w:r>
    </w:p>
    <w:p w14:paraId="30E68E96" w14:textId="77777777" w:rsidR="00867BBD" w:rsidRPr="00867BBD" w:rsidRDefault="00867BBD" w:rsidP="00867BBD">
      <w:pPr>
        <w:numPr>
          <w:ilvl w:val="0"/>
          <w:numId w:val="14"/>
        </w:numPr>
      </w:pPr>
      <w:r w:rsidRPr="00867BBD">
        <w:t xml:space="preserve">Gilburt, H., Foot, C., and Gash, M. (2021) </w:t>
      </w:r>
      <w:r w:rsidRPr="00867BBD">
        <w:rPr>
          <w:i/>
          <w:iCs/>
        </w:rPr>
        <w:t>Patient Activation and Health Outcomes: Evidence and Implications</w:t>
      </w:r>
      <w:r w:rsidRPr="00867BBD">
        <w:t>. London: The King’s Fund.</w:t>
      </w:r>
    </w:p>
    <w:p w14:paraId="17F8E35E" w14:textId="77777777" w:rsidR="00867BBD" w:rsidRPr="00867BBD" w:rsidRDefault="00867BBD" w:rsidP="00867BBD">
      <w:pPr>
        <w:numPr>
          <w:ilvl w:val="0"/>
          <w:numId w:val="14"/>
        </w:numPr>
      </w:pPr>
      <w:r w:rsidRPr="00867BBD">
        <w:t xml:space="preserve">Health Foundation (2022) </w:t>
      </w:r>
      <w:r w:rsidRPr="00867BBD">
        <w:rPr>
          <w:i/>
          <w:iCs/>
        </w:rPr>
        <w:t>Understanding Person-Centred Care: Principles and Practice</w:t>
      </w:r>
      <w:r w:rsidRPr="00867BBD">
        <w:t>. London: Health Foundation.</w:t>
      </w:r>
    </w:p>
    <w:p w14:paraId="42373C94" w14:textId="77777777" w:rsidR="00867BBD" w:rsidRPr="00867BBD" w:rsidRDefault="00867BBD" w:rsidP="00867BBD">
      <w:pPr>
        <w:numPr>
          <w:ilvl w:val="0"/>
          <w:numId w:val="14"/>
        </w:numPr>
      </w:pPr>
      <w:r w:rsidRPr="00867BBD">
        <w:t xml:space="preserve">Health Innovation Network (2023) </w:t>
      </w:r>
      <w:r w:rsidRPr="00867BBD">
        <w:rPr>
          <w:i/>
          <w:iCs/>
        </w:rPr>
        <w:t>Person-Centred Care: A Definition and Framework</w:t>
      </w:r>
      <w:r w:rsidRPr="00867BBD">
        <w:t>. London: NHS Health Innovation Network.</w:t>
      </w:r>
    </w:p>
    <w:p w14:paraId="5C1BD2C7" w14:textId="77777777" w:rsidR="00867BBD" w:rsidRPr="00867BBD" w:rsidRDefault="00867BBD" w:rsidP="00867BBD">
      <w:pPr>
        <w:numPr>
          <w:ilvl w:val="0"/>
          <w:numId w:val="14"/>
        </w:numPr>
      </w:pPr>
      <w:r w:rsidRPr="00867BBD">
        <w:t xml:space="preserve">Hibbard, J.H. and Gilburt, H. (2014) </w:t>
      </w:r>
      <w:r w:rsidRPr="00867BBD">
        <w:rPr>
          <w:i/>
          <w:iCs/>
        </w:rPr>
        <w:t>Supporting People to Manage Their Health: An Introduction to the Patient Activation Measure</w:t>
      </w:r>
      <w:r w:rsidRPr="00867BBD">
        <w:t>. London: The King’s Fund.</w:t>
      </w:r>
    </w:p>
    <w:p w14:paraId="32721467" w14:textId="77777777" w:rsidR="00867BBD" w:rsidRPr="00867BBD" w:rsidRDefault="00867BBD" w:rsidP="00867BBD">
      <w:pPr>
        <w:numPr>
          <w:ilvl w:val="0"/>
          <w:numId w:val="14"/>
        </w:numPr>
      </w:pPr>
      <w:r w:rsidRPr="00867BBD">
        <w:t xml:space="preserve">King’s Fund (2023) </w:t>
      </w:r>
      <w:r w:rsidRPr="00867BBD">
        <w:rPr>
          <w:i/>
          <w:iCs/>
        </w:rPr>
        <w:t>Integrated Care Systems: Early Progress and Future Challenges</w:t>
      </w:r>
      <w:r w:rsidRPr="00867BBD">
        <w:t>. London: The King’s Fund.</w:t>
      </w:r>
    </w:p>
    <w:p w14:paraId="5D8593C6" w14:textId="77777777" w:rsidR="00867BBD" w:rsidRPr="00867BBD" w:rsidRDefault="00867BBD" w:rsidP="00867BBD">
      <w:pPr>
        <w:numPr>
          <w:ilvl w:val="0"/>
          <w:numId w:val="14"/>
        </w:numPr>
      </w:pPr>
      <w:r w:rsidRPr="00867BBD">
        <w:t xml:space="preserve">NHS Confederation (2023) </w:t>
      </w:r>
      <w:r w:rsidRPr="00867BBD">
        <w:rPr>
          <w:i/>
          <w:iCs/>
        </w:rPr>
        <w:t>Funding Pressures in Primary and Community Care</w:t>
      </w:r>
      <w:r w:rsidRPr="00867BBD">
        <w:t>. London: NHS Confederation.</w:t>
      </w:r>
    </w:p>
    <w:p w14:paraId="68830365" w14:textId="77777777" w:rsidR="00867BBD" w:rsidRPr="00867BBD" w:rsidRDefault="00867BBD" w:rsidP="00867BBD">
      <w:pPr>
        <w:numPr>
          <w:ilvl w:val="0"/>
          <w:numId w:val="14"/>
        </w:numPr>
      </w:pPr>
      <w:r w:rsidRPr="00867BBD">
        <w:lastRenderedPageBreak/>
        <w:t xml:space="preserve">NHS Confederation (2024) </w:t>
      </w:r>
      <w:r w:rsidRPr="00867BBD">
        <w:rPr>
          <w:i/>
          <w:iCs/>
        </w:rPr>
        <w:t>Implementing the Health and Care Act 2022: One Year On</w:t>
      </w:r>
      <w:r w:rsidRPr="00867BBD">
        <w:t>. London: NHS Confederation.</w:t>
      </w:r>
    </w:p>
    <w:p w14:paraId="05262C30" w14:textId="77777777" w:rsidR="00867BBD" w:rsidRPr="00867BBD" w:rsidRDefault="00867BBD" w:rsidP="00867BBD">
      <w:pPr>
        <w:numPr>
          <w:ilvl w:val="0"/>
          <w:numId w:val="14"/>
        </w:numPr>
      </w:pPr>
      <w:r w:rsidRPr="00867BBD">
        <w:t xml:space="preserve">NHS England (2024) </w:t>
      </w:r>
      <w:r w:rsidRPr="00867BBD">
        <w:rPr>
          <w:i/>
          <w:iCs/>
        </w:rPr>
        <w:t>Personalised Care and Support Framework</w:t>
      </w:r>
      <w:r w:rsidRPr="00867BBD">
        <w:t>. London: NHS England.</w:t>
      </w:r>
    </w:p>
    <w:p w14:paraId="2479CF88" w14:textId="77777777" w:rsidR="00867BBD" w:rsidRPr="00867BBD" w:rsidRDefault="00867BBD" w:rsidP="00867BBD">
      <w:pPr>
        <w:numPr>
          <w:ilvl w:val="0"/>
          <w:numId w:val="14"/>
        </w:numPr>
      </w:pPr>
      <w:r w:rsidRPr="00867BBD">
        <w:t xml:space="preserve">NHS England (2026) </w:t>
      </w:r>
      <w:r w:rsidRPr="00867BBD">
        <w:rPr>
          <w:i/>
          <w:iCs/>
        </w:rPr>
        <w:t>Joan’s Story</w:t>
      </w:r>
      <w:r w:rsidRPr="00867BBD">
        <w:t xml:space="preserve">. Available at: </w:t>
      </w:r>
      <w:hyperlink r:id="rId7" w:tgtFrame="_blank" w:tooltip="autolink" w:history="1">
        <w:r w:rsidRPr="00867BBD">
          <w:rPr>
            <w:rStyle w:val="Hyperlink"/>
          </w:rPr>
          <w:t>https://www.england.nhs.uk/personalisedcare/comprehensive-model/case-studies/joans-story/</w:t>
        </w:r>
      </w:hyperlink>
      <w:r w:rsidRPr="00867BBD">
        <w:t xml:space="preserve"> (Accessed: 16 July 2026).</w:t>
      </w:r>
    </w:p>
    <w:p w14:paraId="701B60AE" w14:textId="77777777" w:rsidR="00867BBD" w:rsidRPr="00867BBD" w:rsidRDefault="00867BBD" w:rsidP="00867BBD">
      <w:pPr>
        <w:numPr>
          <w:ilvl w:val="0"/>
          <w:numId w:val="14"/>
        </w:numPr>
      </w:pPr>
      <w:r w:rsidRPr="00867BBD">
        <w:t xml:space="preserve">Rappaport, J. (1987) ‘Terms of empowerment/exemplars of prevention: toward a theory for community psychology’, </w:t>
      </w:r>
      <w:r w:rsidRPr="00867BBD">
        <w:rPr>
          <w:i/>
          <w:iCs/>
        </w:rPr>
        <w:t>American Journal of Community Psychology</w:t>
      </w:r>
      <w:r w:rsidRPr="00867BBD">
        <w:t>, 15(2), pp. 121–148.</w:t>
      </w:r>
    </w:p>
    <w:p w14:paraId="6558EFF7" w14:textId="77777777" w:rsidR="00867BBD" w:rsidRPr="00867BBD" w:rsidRDefault="00867BBD" w:rsidP="00867BBD">
      <w:pPr>
        <w:numPr>
          <w:ilvl w:val="0"/>
          <w:numId w:val="14"/>
        </w:numPr>
      </w:pPr>
      <w:r w:rsidRPr="00867BBD">
        <w:t xml:space="preserve">Rogers, C.R. (1961) </w:t>
      </w:r>
      <w:r w:rsidRPr="00867BBD">
        <w:rPr>
          <w:i/>
          <w:iCs/>
        </w:rPr>
        <w:t>On Becoming a Person</w:t>
      </w:r>
      <w:r w:rsidRPr="00867BBD">
        <w:t>. Boston: Houghton Mifflin.</w:t>
      </w:r>
    </w:p>
    <w:p w14:paraId="1FFAC135" w14:textId="77777777" w:rsidR="00867BBD" w:rsidRPr="00867BBD" w:rsidRDefault="00867BBD" w:rsidP="00867BBD">
      <w:pPr>
        <w:numPr>
          <w:ilvl w:val="0"/>
          <w:numId w:val="14"/>
        </w:numPr>
      </w:pPr>
      <w:r w:rsidRPr="00867BBD">
        <w:t xml:space="preserve">Rycroft-Malone, J., Kitson, A., and Harvey, G. (2022) ‘Implementing person-centred care: a realist review of the evidence’, </w:t>
      </w:r>
      <w:r w:rsidRPr="00867BBD">
        <w:rPr>
          <w:i/>
          <w:iCs/>
        </w:rPr>
        <w:t>Journal of Advanced Nursing</w:t>
      </w:r>
      <w:r w:rsidRPr="00867BBD">
        <w:t>, 78(4), pp. 987–1002.</w:t>
      </w:r>
    </w:p>
    <w:p w14:paraId="71D2C5FF" w14:textId="77777777" w:rsidR="00867BBD" w:rsidRPr="00867BBD" w:rsidRDefault="00867BBD" w:rsidP="00867BBD">
      <w:pPr>
        <w:numPr>
          <w:ilvl w:val="0"/>
          <w:numId w:val="14"/>
        </w:numPr>
      </w:pPr>
      <w:r w:rsidRPr="00867BBD">
        <w:t xml:space="preserve">Social Care Institute for Excellence (2022) </w:t>
      </w:r>
      <w:r w:rsidRPr="00867BBD">
        <w:rPr>
          <w:i/>
          <w:iCs/>
        </w:rPr>
        <w:t>Partnership Working in Health and Social Care: Practice Guide</w:t>
      </w:r>
      <w:r w:rsidRPr="00867BBD">
        <w:t>. London: SCIE.</w:t>
      </w:r>
    </w:p>
    <w:p w14:paraId="3E02CD3C" w14:textId="77777777" w:rsidR="00867BBD" w:rsidRPr="00867BBD" w:rsidRDefault="00867BBD" w:rsidP="00867BBD">
      <w:pPr>
        <w:numPr>
          <w:ilvl w:val="0"/>
          <w:numId w:val="14"/>
        </w:numPr>
      </w:pPr>
      <w:r w:rsidRPr="00867BBD">
        <w:t xml:space="preserve">Social Care Institute for Excellence (2023) </w:t>
      </w:r>
      <w:r w:rsidRPr="00867BBD">
        <w:rPr>
          <w:i/>
          <w:iCs/>
        </w:rPr>
        <w:t>Care Act 2014: Revised Practice Guidance</w:t>
      </w:r>
      <w:r w:rsidRPr="00867BBD">
        <w:t>. London: SCIE.</w:t>
      </w:r>
    </w:p>
    <w:p w14:paraId="0C884B8B" w14:textId="77777777" w:rsidR="00867BBD" w:rsidRPr="00867BBD" w:rsidRDefault="00867BBD" w:rsidP="00867BBD">
      <w:pPr>
        <w:numPr>
          <w:ilvl w:val="0"/>
          <w:numId w:val="14"/>
        </w:numPr>
      </w:pPr>
      <w:r w:rsidRPr="00867BBD">
        <w:t xml:space="preserve">Seedhouse, D. (2021) </w:t>
      </w:r>
      <w:r w:rsidRPr="00867BBD">
        <w:rPr>
          <w:i/>
          <w:iCs/>
        </w:rPr>
        <w:t>Ethics: The Heart of Health Care</w:t>
      </w:r>
      <w:r w:rsidRPr="00867BBD">
        <w:t>. 4th edn. Chichester: Wiley-Blackwell.</w:t>
      </w:r>
    </w:p>
    <w:p w14:paraId="63C6D7AE" w14:textId="77777777" w:rsidR="00867BBD" w:rsidRPr="00867BBD" w:rsidRDefault="00867BBD" w:rsidP="00867BBD">
      <w:pPr>
        <w:numPr>
          <w:ilvl w:val="0"/>
          <w:numId w:val="14"/>
        </w:numPr>
      </w:pPr>
      <w:r w:rsidRPr="00867BBD">
        <w:t xml:space="preserve">Simpson, A. (2021) ‘Educational interventions to improve person-centred communication skills: a systematic review’, </w:t>
      </w:r>
      <w:r w:rsidRPr="00867BBD">
        <w:rPr>
          <w:i/>
          <w:iCs/>
        </w:rPr>
        <w:t>Nurse Education Today</w:t>
      </w:r>
      <w:r w:rsidRPr="00867BBD">
        <w:t>, 105, article 105067.</w:t>
      </w:r>
    </w:p>
    <w:p w14:paraId="16A22163" w14:textId="77777777" w:rsidR="00843291" w:rsidRDefault="00843291"/>
    <w:p w14:paraId="3AA8F1FB" w14:textId="77777777" w:rsidR="00095DC1" w:rsidRDefault="00095DC1"/>
    <w:p w14:paraId="132BDA02" w14:textId="77777777" w:rsidR="00095DC1" w:rsidRDefault="00095DC1"/>
    <w:p w14:paraId="711F3BB2" w14:textId="77777777" w:rsidR="00095DC1" w:rsidRDefault="00095DC1"/>
    <w:p w14:paraId="410027B9" w14:textId="77777777" w:rsidR="00095DC1" w:rsidRDefault="00095DC1"/>
    <w:p w14:paraId="3E1FFD2D" w14:textId="77777777" w:rsidR="00095DC1" w:rsidRDefault="00095DC1"/>
    <w:p w14:paraId="035AEC96" w14:textId="77777777" w:rsidR="00095DC1" w:rsidRDefault="00095DC1"/>
    <w:p w14:paraId="04F37008" w14:textId="77777777" w:rsidR="00095DC1" w:rsidRDefault="00095DC1"/>
    <w:p w14:paraId="0A60B48C" w14:textId="77777777" w:rsidR="00D063A5" w:rsidRDefault="00D063A5" w:rsidP="00D063A5">
      <w:pPr>
        <w:rPr>
          <w:b/>
          <w:bCs/>
        </w:rPr>
      </w:pPr>
    </w:p>
    <w:p w14:paraId="4D5FDA63" w14:textId="77777777" w:rsidR="00D063A5" w:rsidRDefault="00D063A5" w:rsidP="00D063A5">
      <w:pPr>
        <w:rPr>
          <w:b/>
          <w:bCs/>
        </w:rPr>
      </w:pPr>
    </w:p>
    <w:p w14:paraId="3BB8BE61" w14:textId="77777777" w:rsidR="00D063A5" w:rsidRDefault="00D063A5" w:rsidP="00D063A5">
      <w:pPr>
        <w:rPr>
          <w:b/>
          <w:bCs/>
        </w:rPr>
      </w:pPr>
    </w:p>
    <w:p w14:paraId="0BB51C39" w14:textId="77777777" w:rsidR="00D063A5" w:rsidRDefault="00D063A5" w:rsidP="00D063A5">
      <w:pPr>
        <w:rPr>
          <w:b/>
          <w:bCs/>
        </w:rPr>
      </w:pPr>
    </w:p>
    <w:p w14:paraId="62A22CF8" w14:textId="77777777" w:rsidR="00D063A5" w:rsidRDefault="00D063A5" w:rsidP="00D063A5">
      <w:pPr>
        <w:rPr>
          <w:b/>
          <w:bCs/>
        </w:rPr>
      </w:pPr>
    </w:p>
    <w:p w14:paraId="6D3E9036" w14:textId="77777777" w:rsidR="00D063A5" w:rsidRDefault="00D063A5" w:rsidP="00D063A5">
      <w:pPr>
        <w:rPr>
          <w:b/>
          <w:bCs/>
        </w:rPr>
      </w:pPr>
    </w:p>
    <w:p w14:paraId="78221DCF" w14:textId="77777777" w:rsidR="00D063A5" w:rsidRDefault="00D063A5" w:rsidP="00D063A5">
      <w:pPr>
        <w:rPr>
          <w:b/>
          <w:bCs/>
        </w:rPr>
      </w:pPr>
    </w:p>
    <w:p w14:paraId="259A134E" w14:textId="77777777" w:rsidR="00D063A5" w:rsidRDefault="00D063A5" w:rsidP="00D063A5">
      <w:pPr>
        <w:rPr>
          <w:b/>
          <w:bCs/>
        </w:rPr>
      </w:pPr>
    </w:p>
    <w:p w14:paraId="08885366" w14:textId="77777777" w:rsidR="00D063A5" w:rsidRDefault="00D063A5" w:rsidP="00D063A5">
      <w:pPr>
        <w:rPr>
          <w:b/>
          <w:bCs/>
        </w:rPr>
      </w:pPr>
    </w:p>
    <w:p w14:paraId="5E8E6666" w14:textId="77777777" w:rsidR="00D063A5" w:rsidRDefault="00D063A5" w:rsidP="00D063A5">
      <w:pPr>
        <w:rPr>
          <w:b/>
          <w:bCs/>
        </w:rPr>
      </w:pPr>
    </w:p>
    <w:p w14:paraId="246E838C" w14:textId="77777777" w:rsidR="006B0459" w:rsidRDefault="006B0459"/>
    <w:sectPr w:rsidR="006B04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swPjKDUd" int2:invalidationBookmarkName="" int2:hashCode="n6VKlqX2scGKPm" int2:id="SRz66xel">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66E52"/>
    <w:multiLevelType w:val="multilevel"/>
    <w:tmpl w:val="104CA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506567"/>
    <w:multiLevelType w:val="multilevel"/>
    <w:tmpl w:val="B3D46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A230C"/>
    <w:multiLevelType w:val="multilevel"/>
    <w:tmpl w:val="928EB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584F8B"/>
    <w:multiLevelType w:val="multilevel"/>
    <w:tmpl w:val="9FD2E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8A1E85"/>
    <w:multiLevelType w:val="multilevel"/>
    <w:tmpl w:val="12721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82127B"/>
    <w:multiLevelType w:val="multilevel"/>
    <w:tmpl w:val="44AAA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612424"/>
    <w:multiLevelType w:val="multilevel"/>
    <w:tmpl w:val="85A23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53417E"/>
    <w:multiLevelType w:val="multilevel"/>
    <w:tmpl w:val="861C8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876BF0"/>
    <w:multiLevelType w:val="multilevel"/>
    <w:tmpl w:val="6DDE6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1114DD"/>
    <w:multiLevelType w:val="multilevel"/>
    <w:tmpl w:val="4F46C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371FAE"/>
    <w:multiLevelType w:val="multilevel"/>
    <w:tmpl w:val="2CB2F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7953B2"/>
    <w:multiLevelType w:val="multilevel"/>
    <w:tmpl w:val="595A3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492453"/>
    <w:multiLevelType w:val="multilevel"/>
    <w:tmpl w:val="9FD65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C3552C"/>
    <w:multiLevelType w:val="multilevel"/>
    <w:tmpl w:val="A5DA0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2773866">
    <w:abstractNumId w:val="0"/>
  </w:num>
  <w:num w:numId="2" w16cid:durableId="647519185">
    <w:abstractNumId w:val="12"/>
  </w:num>
  <w:num w:numId="3" w16cid:durableId="578829433">
    <w:abstractNumId w:val="3"/>
  </w:num>
  <w:num w:numId="4" w16cid:durableId="1625118157">
    <w:abstractNumId w:val="4"/>
  </w:num>
  <w:num w:numId="5" w16cid:durableId="295141102">
    <w:abstractNumId w:val="11"/>
  </w:num>
  <w:num w:numId="6" w16cid:durableId="75396661">
    <w:abstractNumId w:val="8"/>
  </w:num>
  <w:num w:numId="7" w16cid:durableId="709842231">
    <w:abstractNumId w:val="5"/>
  </w:num>
  <w:num w:numId="8" w16cid:durableId="455219356">
    <w:abstractNumId w:val="13"/>
  </w:num>
  <w:num w:numId="9" w16cid:durableId="827937985">
    <w:abstractNumId w:val="9"/>
  </w:num>
  <w:num w:numId="10" w16cid:durableId="526601646">
    <w:abstractNumId w:val="6"/>
  </w:num>
  <w:num w:numId="11" w16cid:durableId="456800406">
    <w:abstractNumId w:val="10"/>
  </w:num>
  <w:num w:numId="12" w16cid:durableId="1977103997">
    <w:abstractNumId w:val="1"/>
  </w:num>
  <w:num w:numId="13" w16cid:durableId="858544001">
    <w:abstractNumId w:val="2"/>
  </w:num>
  <w:num w:numId="14" w16cid:durableId="18578449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291"/>
    <w:rsid w:val="0000579F"/>
    <w:rsid w:val="000546DD"/>
    <w:rsid w:val="00081500"/>
    <w:rsid w:val="00095DC1"/>
    <w:rsid w:val="00115D58"/>
    <w:rsid w:val="00144327"/>
    <w:rsid w:val="00187600"/>
    <w:rsid w:val="001B5A28"/>
    <w:rsid w:val="001E6320"/>
    <w:rsid w:val="001F60EF"/>
    <w:rsid w:val="00277802"/>
    <w:rsid w:val="002F7B5C"/>
    <w:rsid w:val="003E08E6"/>
    <w:rsid w:val="003F33FF"/>
    <w:rsid w:val="00430157"/>
    <w:rsid w:val="00461414"/>
    <w:rsid w:val="00464BB9"/>
    <w:rsid w:val="004704DE"/>
    <w:rsid w:val="00484DF5"/>
    <w:rsid w:val="00531587"/>
    <w:rsid w:val="00533FE8"/>
    <w:rsid w:val="00637929"/>
    <w:rsid w:val="006B0459"/>
    <w:rsid w:val="006B1C1F"/>
    <w:rsid w:val="006F1532"/>
    <w:rsid w:val="00713CBB"/>
    <w:rsid w:val="0072007A"/>
    <w:rsid w:val="00736D8F"/>
    <w:rsid w:val="00793D95"/>
    <w:rsid w:val="007B4154"/>
    <w:rsid w:val="007C6A49"/>
    <w:rsid w:val="007D3D04"/>
    <w:rsid w:val="007D47EB"/>
    <w:rsid w:val="00843291"/>
    <w:rsid w:val="00867BBD"/>
    <w:rsid w:val="00881D0C"/>
    <w:rsid w:val="008B3475"/>
    <w:rsid w:val="008E2602"/>
    <w:rsid w:val="008F2561"/>
    <w:rsid w:val="00911145"/>
    <w:rsid w:val="00927ABD"/>
    <w:rsid w:val="009C4D53"/>
    <w:rsid w:val="009E4C3A"/>
    <w:rsid w:val="00A269C7"/>
    <w:rsid w:val="00A57F7F"/>
    <w:rsid w:val="00B46AFF"/>
    <w:rsid w:val="00B835D2"/>
    <w:rsid w:val="00BF2D20"/>
    <w:rsid w:val="00CA088D"/>
    <w:rsid w:val="00CA6389"/>
    <w:rsid w:val="00CF1683"/>
    <w:rsid w:val="00D029C3"/>
    <w:rsid w:val="00D063A5"/>
    <w:rsid w:val="00E21ADE"/>
    <w:rsid w:val="00E74BDB"/>
    <w:rsid w:val="00E92273"/>
    <w:rsid w:val="00E9398C"/>
    <w:rsid w:val="00EC03BC"/>
    <w:rsid w:val="00EC5649"/>
    <w:rsid w:val="00F23203"/>
    <w:rsid w:val="00F35266"/>
    <w:rsid w:val="00F97D22"/>
    <w:rsid w:val="00FD1BF2"/>
    <w:rsid w:val="00FE5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9FC31"/>
  <w15:chartTrackingRefBased/>
  <w15:docId w15:val="{1C1ECC0E-1618-40C4-B22A-3E786220F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2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32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32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32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32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32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32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32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32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2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32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32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32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32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32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32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32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3291"/>
    <w:rPr>
      <w:rFonts w:eastAsiaTheme="majorEastAsia" w:cstheme="majorBidi"/>
      <w:color w:val="272727" w:themeColor="text1" w:themeTint="D8"/>
    </w:rPr>
  </w:style>
  <w:style w:type="paragraph" w:styleId="Title">
    <w:name w:val="Title"/>
    <w:basedOn w:val="Normal"/>
    <w:next w:val="Normal"/>
    <w:link w:val="TitleChar"/>
    <w:uiPriority w:val="10"/>
    <w:qFormat/>
    <w:rsid w:val="008432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2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2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2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3291"/>
    <w:pPr>
      <w:spacing w:before="160"/>
      <w:jc w:val="center"/>
    </w:pPr>
    <w:rPr>
      <w:i/>
      <w:iCs/>
      <w:color w:val="404040" w:themeColor="text1" w:themeTint="BF"/>
    </w:rPr>
  </w:style>
  <w:style w:type="character" w:customStyle="1" w:styleId="QuoteChar">
    <w:name w:val="Quote Char"/>
    <w:basedOn w:val="DefaultParagraphFont"/>
    <w:link w:val="Quote"/>
    <w:uiPriority w:val="29"/>
    <w:rsid w:val="00843291"/>
    <w:rPr>
      <w:i/>
      <w:iCs/>
      <w:color w:val="404040" w:themeColor="text1" w:themeTint="BF"/>
    </w:rPr>
  </w:style>
  <w:style w:type="paragraph" w:styleId="ListParagraph">
    <w:name w:val="List Paragraph"/>
    <w:basedOn w:val="Normal"/>
    <w:uiPriority w:val="34"/>
    <w:qFormat/>
    <w:rsid w:val="00843291"/>
    <w:pPr>
      <w:ind w:left="720"/>
      <w:contextualSpacing/>
    </w:pPr>
  </w:style>
  <w:style w:type="character" w:styleId="IntenseEmphasis">
    <w:name w:val="Intense Emphasis"/>
    <w:basedOn w:val="DefaultParagraphFont"/>
    <w:uiPriority w:val="21"/>
    <w:qFormat/>
    <w:rsid w:val="00843291"/>
    <w:rPr>
      <w:i/>
      <w:iCs/>
      <w:color w:val="0F4761" w:themeColor="accent1" w:themeShade="BF"/>
    </w:rPr>
  </w:style>
  <w:style w:type="paragraph" w:styleId="IntenseQuote">
    <w:name w:val="Intense Quote"/>
    <w:basedOn w:val="Normal"/>
    <w:next w:val="Normal"/>
    <w:link w:val="IntenseQuoteChar"/>
    <w:uiPriority w:val="30"/>
    <w:qFormat/>
    <w:rsid w:val="008432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3291"/>
    <w:rPr>
      <w:i/>
      <w:iCs/>
      <w:color w:val="0F4761" w:themeColor="accent1" w:themeShade="BF"/>
    </w:rPr>
  </w:style>
  <w:style w:type="character" w:styleId="IntenseReference">
    <w:name w:val="Intense Reference"/>
    <w:basedOn w:val="DefaultParagraphFont"/>
    <w:uiPriority w:val="32"/>
    <w:qFormat/>
    <w:rsid w:val="00843291"/>
    <w:rPr>
      <w:b/>
      <w:bCs/>
      <w:smallCaps/>
      <w:color w:val="0F4761" w:themeColor="accent1" w:themeShade="BF"/>
      <w:spacing w:val="5"/>
    </w:rPr>
  </w:style>
  <w:style w:type="character" w:styleId="Hyperlink">
    <w:name w:val="Hyperlink"/>
    <w:basedOn w:val="DefaultParagraphFont"/>
    <w:uiPriority w:val="99"/>
    <w:unhideWhenUsed/>
    <w:rsid w:val="007D47EB"/>
    <w:rPr>
      <w:color w:val="467886" w:themeColor="hyperlink"/>
      <w:u w:val="single"/>
    </w:rPr>
  </w:style>
  <w:style w:type="character" w:styleId="UnresolvedMention">
    <w:name w:val="Unresolved Mention"/>
    <w:basedOn w:val="DefaultParagraphFont"/>
    <w:uiPriority w:val="99"/>
    <w:semiHidden/>
    <w:unhideWhenUsed/>
    <w:rsid w:val="007D47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sg-link.byteoversea.com/?target=https%3A%2F%2Fwww.england.nhs.uk%2Fpersonalisedcare%2Fcomprehensive-model%2Fcase-studies%2Fjoans-story%2F&amp;scene=im&amp;aid=495671&amp;lang=en-GB"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74E409-6697-45EF-818D-5F3B63183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11</Pages>
  <Words>2996</Words>
  <Characters>17081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Muna Sheikh (2226434)</dc:creator>
  <cp:keywords/>
  <dc:description/>
  <cp:lastModifiedBy>Muna Sheikh (2226434)</cp:lastModifiedBy>
  <cp:revision>61</cp:revision>
  <dcterms:created xsi:type="dcterms:W3CDTF">2026-07-16T08:45:00Z</dcterms:created>
  <dcterms:modified xsi:type="dcterms:W3CDTF">2026-07-19T11:57:00Z</dcterms:modified>
</cp:coreProperties>
</file>