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B7A24" w14:textId="7F79984E" w:rsidR="00472D65" w:rsidRPr="009210C3" w:rsidRDefault="001202A6" w:rsidP="00D64936">
      <w:pPr>
        <w:rPr>
          <w:b/>
          <w:bCs/>
          <w:sz w:val="24"/>
          <w:szCs w:val="24"/>
        </w:rPr>
      </w:pPr>
      <w:r>
        <w:tab/>
      </w:r>
      <w:r w:rsidR="00976C9D" w:rsidRPr="009210C3">
        <w:rPr>
          <w:b/>
          <w:bCs/>
          <w:sz w:val="24"/>
          <w:szCs w:val="24"/>
        </w:rPr>
        <w:t xml:space="preserve">Cosmina-Violeta Dragomir </w:t>
      </w:r>
    </w:p>
    <w:p w14:paraId="6C7C93E1" w14:textId="03A1F42B" w:rsidR="00976C9D" w:rsidRPr="009210C3" w:rsidRDefault="00976C9D" w:rsidP="00D64936">
      <w:pPr>
        <w:rPr>
          <w:b/>
          <w:bCs/>
          <w:sz w:val="24"/>
          <w:szCs w:val="24"/>
        </w:rPr>
      </w:pPr>
      <w:r w:rsidRPr="009210C3">
        <w:rPr>
          <w:b/>
          <w:bCs/>
          <w:sz w:val="24"/>
          <w:szCs w:val="24"/>
        </w:rPr>
        <w:tab/>
      </w:r>
      <w:r w:rsidR="00A94916" w:rsidRPr="009210C3">
        <w:rPr>
          <w:b/>
          <w:bCs/>
          <w:sz w:val="24"/>
          <w:szCs w:val="24"/>
        </w:rPr>
        <w:t>2130906</w:t>
      </w:r>
    </w:p>
    <w:p w14:paraId="0112DCEF" w14:textId="77777777" w:rsidR="00976C9D" w:rsidRDefault="00976C9D" w:rsidP="00D64936"/>
    <w:p w14:paraId="4BEFE3D5" w14:textId="2EBC18DF" w:rsidR="00906F10" w:rsidRDefault="001202A6" w:rsidP="00D64936">
      <w:pPr>
        <w:rPr>
          <w:sz w:val="40"/>
          <w:szCs w:val="40"/>
        </w:rPr>
      </w:pPr>
      <w:r>
        <w:tab/>
      </w:r>
      <w:r w:rsidRPr="001202A6">
        <w:rPr>
          <w:sz w:val="40"/>
          <w:szCs w:val="40"/>
        </w:rPr>
        <w:tab/>
        <w:t>Accounting Principl</w:t>
      </w:r>
      <w:r w:rsidR="00A04EF5">
        <w:rPr>
          <w:sz w:val="40"/>
          <w:szCs w:val="40"/>
        </w:rPr>
        <w:t>e</w:t>
      </w:r>
      <w:r w:rsidRPr="001202A6">
        <w:rPr>
          <w:sz w:val="40"/>
          <w:szCs w:val="40"/>
        </w:rPr>
        <w:t xml:space="preserve">s </w:t>
      </w:r>
    </w:p>
    <w:p w14:paraId="1063E378" w14:textId="631A2552" w:rsidR="001202A6" w:rsidRPr="005417CD" w:rsidRDefault="001202A6">
      <w:pPr>
        <w:rPr>
          <w:sz w:val="40"/>
          <w:szCs w:val="40"/>
          <w:u w:val="single"/>
        </w:rPr>
      </w:pPr>
    </w:p>
    <w:p w14:paraId="7D169380" w14:textId="67E2F0CC" w:rsidR="001202A6" w:rsidRDefault="001202A6" w:rsidP="006F1148">
      <w:pPr>
        <w:ind w:firstLine="720"/>
      </w:pPr>
      <w:r w:rsidRPr="001202A6">
        <w:t>Accou</w:t>
      </w:r>
      <w:r>
        <w:t>nting principl</w:t>
      </w:r>
      <w:r w:rsidR="00A04EF5">
        <w:t>e</w:t>
      </w:r>
      <w:r>
        <w:t xml:space="preserve">s are the rules and guideline that an organisation follows when reporting financial information. These rules make it easier to examine financial data and methods that accountants must use it. The purpose of having and following accounting principles is </w:t>
      </w:r>
      <w:r w:rsidR="00683348">
        <w:t>too</w:t>
      </w:r>
      <w:r>
        <w:t xml:space="preserve"> able to communicate economic </w:t>
      </w:r>
      <w:r w:rsidR="00836715">
        <w:t>data between businesses. Companies that release their financial data to the public are required to follow these principals in preparation of their statements.</w:t>
      </w:r>
      <w:r w:rsidR="00C271BC" w:rsidRPr="00C271BC">
        <w:t xml:space="preserve"> A company's reporting of its liabilities, assets, expenses, and revenue can be made clearer by an auditor, investor, or other reviewer with the aid of these standards.</w:t>
      </w:r>
      <w:r w:rsidR="00836715">
        <w:t xml:space="preserve"> </w:t>
      </w:r>
      <w:r w:rsidR="00683348">
        <w:t>There are 14 principals:</w:t>
      </w:r>
    </w:p>
    <w:p w14:paraId="32261BD4" w14:textId="73B1C4AC" w:rsidR="00C271BC" w:rsidRDefault="00C271BC">
      <w:r w:rsidRPr="00C271BC">
        <w:t>1.Accrual principle</w:t>
      </w:r>
    </w:p>
    <w:p w14:paraId="3F346399" w14:textId="35F19A30" w:rsidR="00683348" w:rsidRDefault="00140D8B" w:rsidP="00140D8B">
      <w:pPr>
        <w:ind w:firstLine="720"/>
      </w:pPr>
      <w:r w:rsidRPr="00140D8B">
        <w:t xml:space="preserve">As per accrual principle of accounting, all transactions should be evaluated in the periods in which they occur rather than when a cash flow is projected to be earned from them. In accrual accounting, this principle is particularly necessary since it makes it possible to achieve financial statements that are easier to follow and that fully reflect the period's </w:t>
      </w:r>
      <w:r w:rsidR="008977D6" w:rsidRPr="00140D8B">
        <w:t>facts.</w:t>
      </w:r>
      <w:r w:rsidR="008977D6">
        <w:t xml:space="preserve"> If</w:t>
      </w:r>
      <w:r>
        <w:t xml:space="preserve"> a firm does not follow to the accrual principle, the resulting cashflow may trigger an artificial acceleration or delay of the transaction. According to the vendor's payment terms, an accountant might, for instance, record an expense at the time the fees are paid, which could lead to delays.</w:t>
      </w:r>
    </w:p>
    <w:p w14:paraId="16C79EAC" w14:textId="1A28F5F5" w:rsidR="00140D8B" w:rsidRDefault="00140D8B" w:rsidP="00140D8B">
      <w:r>
        <w:t>2.Conservatism principl</w:t>
      </w:r>
      <w:r w:rsidR="00A04EF5">
        <w:t>e</w:t>
      </w:r>
      <w:r>
        <w:t xml:space="preserve">s </w:t>
      </w:r>
    </w:p>
    <w:p w14:paraId="027B954F" w14:textId="10B50440" w:rsidR="00140D8B" w:rsidRDefault="00140D8B" w:rsidP="00140D8B">
      <w:r>
        <w:tab/>
      </w:r>
      <w:r w:rsidRPr="00140D8B">
        <w:t>The principle of conservatism refers to the idea that all liabilities and expenses should be recorded as soon as possible, while assets and revenues should only be recorded when an accountant is certain they will occur. Due to the delays in asset and revenue recognition, applying this principle could push the financial documents in a meticulous side, leading to a lower reported profit. To minimize misleading a company's finances and keep them looking realistic, this can be a wise idea to stop against moving further than this principle.</w:t>
      </w:r>
    </w:p>
    <w:p w14:paraId="0B70B271" w14:textId="6511AF4F" w:rsidR="008977D6" w:rsidRDefault="008977D6" w:rsidP="00140D8B">
      <w:r>
        <w:t>3.</w:t>
      </w:r>
      <w:r w:rsidR="00C157E9">
        <w:t>Cons</w:t>
      </w:r>
      <w:r w:rsidR="003D189F">
        <w:t>is</w:t>
      </w:r>
      <w:r w:rsidR="004E5FB7">
        <w:t>t</w:t>
      </w:r>
      <w:r w:rsidR="003D189F">
        <w:t>ency princip</w:t>
      </w:r>
      <w:r w:rsidR="00A04EF5">
        <w:t>le</w:t>
      </w:r>
      <w:r w:rsidR="003D189F">
        <w:t xml:space="preserve">s </w:t>
      </w:r>
    </w:p>
    <w:p w14:paraId="6F47BADB" w14:textId="20222C63" w:rsidR="004E5FB7" w:rsidRDefault="004E5FB7" w:rsidP="00140D8B">
      <w:r>
        <w:tab/>
      </w:r>
      <w:r w:rsidR="001F6AE3" w:rsidRPr="001F6AE3">
        <w:t>Following the consistency principle involves keeping also with accounting methods and principles you've decided up until a clearly better one or principle comes to market. By keeping the concept of consistency, the business makes sure that everyone going through its financial records can understand all the figures and data being displayed and how the accountants put the records up. Without consistency, a company could change between numerous accounting processes, which would be misleading.</w:t>
      </w:r>
    </w:p>
    <w:p w14:paraId="5A0DA356" w14:textId="066058A9" w:rsidR="001F6AE3" w:rsidRDefault="001F6AE3" w:rsidP="00140D8B">
      <w:r>
        <w:t>4.</w:t>
      </w:r>
      <w:r w:rsidR="00280536">
        <w:t>Cost prin</w:t>
      </w:r>
      <w:r w:rsidR="00F945BE">
        <w:t>cip</w:t>
      </w:r>
      <w:r w:rsidR="00FC23F8">
        <w:t xml:space="preserve">les </w:t>
      </w:r>
    </w:p>
    <w:p w14:paraId="75E0C0BC" w14:textId="6ACFB3BF" w:rsidR="00F945BE" w:rsidRDefault="00F945BE" w:rsidP="00140D8B">
      <w:r>
        <w:tab/>
      </w:r>
      <w:r w:rsidR="002E6A6E" w:rsidRPr="002E6A6E">
        <w:t xml:space="preserve">The cost principle of considers that all equity investments, assets, and liabilities should be recognized at the original purchase rates at which they were achieved. This rule makes it even explicit that the recorded sums will not be modified to keep up with inflation or depending on </w:t>
      </w:r>
      <w:r w:rsidR="002E6A6E" w:rsidRPr="002E6A6E">
        <w:lastRenderedPageBreak/>
        <w:t>market value. A short-term investment in a company's capital stock is an exception to this rule if its market value has changed.</w:t>
      </w:r>
    </w:p>
    <w:p w14:paraId="456364C1" w14:textId="4BF8556F" w:rsidR="004E5FB7" w:rsidRDefault="002E6A6E" w:rsidP="00140D8B">
      <w:r>
        <w:t>5.</w:t>
      </w:r>
      <w:r w:rsidR="007C5B6F">
        <w:t xml:space="preserve">Econimic entity </w:t>
      </w:r>
    </w:p>
    <w:p w14:paraId="7FA2398B" w14:textId="77777777" w:rsidR="00BF19E4" w:rsidRDefault="00E203A7" w:rsidP="00BF19E4">
      <w:r>
        <w:tab/>
      </w:r>
      <w:r w:rsidR="00BF19E4">
        <w:t>The transactions of an entity should not be mixed with other businesses or business owners.</w:t>
      </w:r>
    </w:p>
    <w:p w14:paraId="10F25500" w14:textId="41152573" w:rsidR="00E203A7" w:rsidRDefault="00BF19E4" w:rsidP="00E84F9E">
      <w:pPr>
        <w:ind w:firstLine="720"/>
      </w:pPr>
      <w:r>
        <w:t>Government entities, sole proprietorships, corporations, and partnerships are just a few instances of the many various types of business entities that might exist. Due to the fact that they are run by people who may not have received proper training in recognizing the benefits of keeping business and personal actions apart, sole proprietorships usually have more challenges with the economic entity principle.</w:t>
      </w:r>
    </w:p>
    <w:p w14:paraId="634A7143" w14:textId="4A005E23" w:rsidR="00E84F9E" w:rsidRDefault="00E84F9E" w:rsidP="00E84F9E">
      <w:r>
        <w:t>6.</w:t>
      </w:r>
      <w:r w:rsidR="00C23D76">
        <w:t xml:space="preserve">Full disclosure </w:t>
      </w:r>
    </w:p>
    <w:p w14:paraId="0B283305" w14:textId="097092F2" w:rsidR="00C23D76" w:rsidRDefault="00C23D76" w:rsidP="00E84F9E">
      <w:r>
        <w:tab/>
      </w:r>
      <w:r w:rsidR="001D309D" w:rsidRPr="001D309D">
        <w:t xml:space="preserve">The key objective of this principle is to assure that any agent with an interest in the organisation can evaluate relevant information defining its odds of success. When reading the paperwork, this information </w:t>
      </w:r>
      <w:r w:rsidR="005A0168" w:rsidRPr="001D309D">
        <w:t>needs</w:t>
      </w:r>
      <w:r w:rsidR="001D309D" w:rsidRPr="001D309D">
        <w:t xml:space="preserve"> to make it simple for an expert reader to appreciate a business's finances.</w:t>
      </w:r>
    </w:p>
    <w:p w14:paraId="0EE64AC4" w14:textId="26534F76" w:rsidR="00B7311A" w:rsidRDefault="00B7311A" w:rsidP="00E84F9E">
      <w:r>
        <w:t>7. Matching Princip</w:t>
      </w:r>
      <w:r w:rsidR="00FC23F8">
        <w:t xml:space="preserve">le </w:t>
      </w:r>
    </w:p>
    <w:p w14:paraId="2C986240" w14:textId="59342A4D" w:rsidR="005A0168" w:rsidRDefault="005A0168" w:rsidP="00E84F9E">
      <w:r>
        <w:tab/>
      </w:r>
      <w:r w:rsidRPr="005A0168">
        <w:t>Under the matching concept, all expenses will be recorded with their linked revenue. When reporting the revenue from the sale of each item, a business could charge inventory to the cost of goods sold by using this technique. Expenses are included on the statement from the time they are used or expire if they are not directly related to business revenue. All expenses that the firm cannot instantly identify a future benefit to must be directly assigned to the expense category of the accounting records.</w:t>
      </w:r>
    </w:p>
    <w:p w14:paraId="4147C0F0" w14:textId="09E91806" w:rsidR="00B64791" w:rsidRDefault="00B64791" w:rsidP="00E84F9E">
      <w:r>
        <w:t>8.Revenue recog</w:t>
      </w:r>
      <w:r w:rsidR="00CF6AB8">
        <w:t xml:space="preserve">nition </w:t>
      </w:r>
      <w:r w:rsidR="00FC23F8">
        <w:t xml:space="preserve">principle </w:t>
      </w:r>
    </w:p>
    <w:p w14:paraId="4E4B5E2B" w14:textId="4E4E23DA" w:rsidR="00044ACB" w:rsidRDefault="00044ACB" w:rsidP="00E84F9E">
      <w:r>
        <w:tab/>
      </w:r>
      <w:r w:rsidRPr="00044ACB">
        <w:t>According to the revenue recognition principle, an entity should only earn profits after the earnings process was successfully completed and can be validated.</w:t>
      </w:r>
      <w:r w:rsidR="00963147" w:rsidRPr="00963147">
        <w:t xml:space="preserve"> Regardless of when it is collected, income is recorded when it is earned</w:t>
      </w:r>
      <w:r w:rsidR="00BB654F">
        <w:t>.</w:t>
      </w:r>
      <w:r w:rsidR="00AC1989" w:rsidRPr="00AC1989">
        <w:t xml:space="preserve"> The multiple accounting laws and regulations boards have given additional details describing what defines the proper earnings in response to fraud concerns. The accrual method of accounting also includes the revenue recognition principle.</w:t>
      </w:r>
    </w:p>
    <w:p w14:paraId="26C2306C" w14:textId="3427AB63" w:rsidR="004D36C6" w:rsidRDefault="004D36C6" w:rsidP="00E84F9E">
      <w:r>
        <w:t xml:space="preserve">9.Time period principle </w:t>
      </w:r>
    </w:p>
    <w:p w14:paraId="318F0166" w14:textId="30854497" w:rsidR="00FD6352" w:rsidRDefault="00D63BE8" w:rsidP="00E84F9E">
      <w:r>
        <w:tab/>
      </w:r>
      <w:r w:rsidRPr="00D63BE8">
        <w:t xml:space="preserve">The time period principle, which is thought </w:t>
      </w:r>
      <w:r w:rsidR="00CF69AF">
        <w:t xml:space="preserve">to be </w:t>
      </w:r>
      <w:r w:rsidRPr="00D63BE8">
        <w:t xml:space="preserve">one of the most transparent, refers to the concept that a business should report </w:t>
      </w:r>
      <w:r w:rsidR="00120715" w:rsidRPr="00D63BE8">
        <w:t>all</w:t>
      </w:r>
      <w:r w:rsidRPr="00D63BE8">
        <w:t xml:space="preserve"> its financial information within a specific period of time and that the business can organize all of its activities into specific time periods. The most common timings are weekly, monthly, semi-annually, and annually, although a business can establish its own timescales as required.</w:t>
      </w:r>
      <w:r w:rsidR="000E152E" w:rsidRPr="000E152E">
        <w:t xml:space="preserve"> This rule aims at ensuring that all established time periods generate accurate and consistent data that can be evaluated. When a company is going public, seeking for investors, or asking loans for business purposes, it is very important to provide regular and consistent reports.</w:t>
      </w:r>
    </w:p>
    <w:p w14:paraId="4E93CC95" w14:textId="42C98473" w:rsidR="00566A00" w:rsidRDefault="000E152E" w:rsidP="00E84F9E">
      <w:r>
        <w:t>10.</w:t>
      </w:r>
      <w:r w:rsidR="00A87410" w:rsidRPr="00A87410">
        <w:t xml:space="preserve"> Reliability</w:t>
      </w:r>
      <w:r w:rsidR="00A87410">
        <w:t xml:space="preserve"> principle </w:t>
      </w:r>
    </w:p>
    <w:p w14:paraId="47EAFC6E" w14:textId="29741C95" w:rsidR="00A87410" w:rsidRDefault="00A87410" w:rsidP="00E84F9E">
      <w:r>
        <w:tab/>
      </w:r>
      <w:r w:rsidR="00AE365A" w:rsidRPr="00AE365A">
        <w:t>All activities which can be proven should be recorded, according to this concept. A supplier invoice, for example, offers definite evidence that an expense has been documented. Auditors are especially interested in this idea since they are often looking for evidence to verify transactions.</w:t>
      </w:r>
    </w:p>
    <w:p w14:paraId="42936099" w14:textId="48B68C62" w:rsidR="00566A00" w:rsidRPr="00C97BA2" w:rsidRDefault="008D2CAD" w:rsidP="00E84F9E">
      <w:r>
        <w:t>11.</w:t>
      </w:r>
      <w:r w:rsidRPr="00C97BA2">
        <w:rPr>
          <w:b/>
          <w:bCs/>
        </w:rPr>
        <w:t xml:space="preserve"> </w:t>
      </w:r>
      <w:r w:rsidRPr="00C97BA2">
        <w:t>Going concern principle</w:t>
      </w:r>
    </w:p>
    <w:p w14:paraId="1E345F26" w14:textId="309CE67A" w:rsidR="00C97BA2" w:rsidRDefault="00C97BA2" w:rsidP="00E84F9E">
      <w:r w:rsidRPr="00C97BA2">
        <w:lastRenderedPageBreak/>
        <w:tab/>
        <w:t>This concept shows that a firm will likely continue to survive for some period. This suggests that delaying the reporting of some costs, such depreciation, until subsequent periods could be acceptable. If not, they would have to report all expense straight away and not delay any of them.</w:t>
      </w:r>
    </w:p>
    <w:p w14:paraId="4DECF300" w14:textId="0D732730" w:rsidR="00B33C80" w:rsidRDefault="00635F6A" w:rsidP="00B33C80">
      <w:r>
        <w:t>12.</w:t>
      </w:r>
      <w:r w:rsidR="00B33C80" w:rsidRPr="00B33C80">
        <w:t xml:space="preserve"> Monetary Unit Concept</w:t>
      </w:r>
    </w:p>
    <w:p w14:paraId="15B30ECB" w14:textId="5904692C" w:rsidR="009E02BA" w:rsidRDefault="009E02BA" w:rsidP="00B33C80">
      <w:r>
        <w:tab/>
      </w:r>
      <w:r w:rsidRPr="009E02BA">
        <w:t xml:space="preserve">A fact or transaction will only be recorded in the accounting books if the effect of that fact or transaction can be evaluated in monetary terms, in conformity with the money measurement </w:t>
      </w:r>
      <w:r w:rsidR="00CF19C9" w:rsidRPr="009E02BA">
        <w:t>concept</w:t>
      </w:r>
      <w:r w:rsidR="00CF19C9">
        <w:t>.</w:t>
      </w:r>
      <w:r w:rsidR="00CF19C9" w:rsidRPr="00CF19C9">
        <w:t xml:space="preserve"> If that's not the case, no information should be documented even if that was important and may </w:t>
      </w:r>
      <w:r w:rsidR="00B93392" w:rsidRPr="00CF19C9">
        <w:t>influence</w:t>
      </w:r>
      <w:r w:rsidR="00CF19C9" w:rsidRPr="00CF19C9">
        <w:t xml:space="preserve"> the company's finances. For example, the loss of goods due to fire can be recorded in the books, but it will have negative effect on sales due to a lack of coordination between the sales team and production team.</w:t>
      </w:r>
      <w:r w:rsidR="00B93392" w:rsidRPr="00B93392">
        <w:t xml:space="preserve"> The concept of money measurement is important in accounting because critical decisions such setting a product's selling price, paying dividends to shareholders, paying wages and salaries to employees, etc. depend on an item's worth rather than its quantity or appearance.</w:t>
      </w:r>
      <w:r w:rsidR="002B0D89" w:rsidRPr="002B0D89">
        <w:t xml:space="preserve"> Ascertaining the profitability and/or solvency of the business organization is one of the objectives of accounting, which is done by transaction records in terms of money.</w:t>
      </w:r>
    </w:p>
    <w:p w14:paraId="0337FE70" w14:textId="77777777" w:rsidR="00745D61" w:rsidRPr="00745D61" w:rsidRDefault="00745D61" w:rsidP="00745D61">
      <w:pPr>
        <w:pStyle w:val="Heading3"/>
        <w:shd w:val="clear" w:color="auto" w:fill="FFFFFF"/>
        <w:spacing w:before="0" w:beforeAutospacing="0" w:after="0" w:afterAutospacing="0" w:line="360" w:lineRule="atLeast"/>
        <w:textAlignment w:val="baseline"/>
        <w:rPr>
          <w:rFonts w:asciiTheme="minorHAnsi" w:eastAsiaTheme="minorHAnsi" w:hAnsiTheme="minorHAnsi" w:cstheme="minorBidi"/>
          <w:b w:val="0"/>
          <w:bCs w:val="0"/>
          <w:sz w:val="22"/>
          <w:szCs w:val="22"/>
          <w:lang w:eastAsia="en-US"/>
        </w:rPr>
      </w:pPr>
      <w:r w:rsidRPr="00745D61">
        <w:rPr>
          <w:rFonts w:asciiTheme="minorHAnsi" w:eastAsiaTheme="minorHAnsi" w:hAnsiTheme="minorHAnsi" w:cstheme="minorBidi"/>
          <w:b w:val="0"/>
          <w:bCs w:val="0"/>
          <w:sz w:val="22"/>
          <w:szCs w:val="22"/>
          <w:lang w:eastAsia="en-US"/>
        </w:rPr>
        <w:t>13. Periodic Concept</w:t>
      </w:r>
    </w:p>
    <w:p w14:paraId="3FFAFBCA" w14:textId="6C0A0CB4" w:rsidR="00182368" w:rsidRDefault="00BA0919" w:rsidP="00E84F9E">
      <w:r>
        <w:tab/>
      </w:r>
      <w:r w:rsidR="00BA6B29" w:rsidRPr="00BA6B29">
        <w:t>An accounting period generally lasts for a calendar year, financial year, or any other year with 12 months. The accounting period is helpful for maintaining accounting records, determining actual profit or loss, determining a true and fair image of the enterprise's financial status, and disseminating business information to the target audience. The true success or failure of a company is shown when it eventually closes and ceases operations permanently. Users of accounting information cannot wait indefinitely to assess the data regarding the firm's sustainability and profitability</w:t>
      </w:r>
      <w:r w:rsidR="00B31A4C">
        <w:t xml:space="preserve">. </w:t>
      </w:r>
      <w:r w:rsidR="00B31A4C" w:rsidRPr="00B31A4C">
        <w:t>In consideration of this, the infinite accounting period is divided up into accounting period-sized pieces. Financial statements are produced that show the financial performance of those times. This provides businesses with enough time to put corrective and preventative measures in place. This would resolve problems for both the owners and the numerous users of accounting information by quickly evaluating the financial results in each accounting period.</w:t>
      </w:r>
    </w:p>
    <w:p w14:paraId="7D8EA7DF" w14:textId="214345F9" w:rsidR="00B7311A" w:rsidRDefault="00B7311A" w:rsidP="00E84F9E">
      <w:r>
        <w:tab/>
      </w:r>
    </w:p>
    <w:p w14:paraId="2CE02D23" w14:textId="14B5D3C7" w:rsidR="009B3B34" w:rsidRDefault="009B3B34" w:rsidP="00E84F9E"/>
    <w:p w14:paraId="1E8A2607" w14:textId="34E19EE1" w:rsidR="006E1892" w:rsidRDefault="006E1892" w:rsidP="00E84F9E"/>
    <w:p w14:paraId="4E98EA64" w14:textId="02777A68" w:rsidR="006E1892" w:rsidRDefault="007624D5" w:rsidP="00E84F9E">
      <w:r>
        <w:t xml:space="preserve">References </w:t>
      </w:r>
    </w:p>
    <w:p w14:paraId="3C9F8F1F" w14:textId="60761D1A" w:rsidR="007624D5" w:rsidRDefault="009919A7" w:rsidP="00E84F9E">
      <w:r w:rsidRPr="009919A7">
        <w:t>https://www.accountingtools.com/articles/basic-accounting-principles</w:t>
      </w:r>
    </w:p>
    <w:p w14:paraId="45BA6752" w14:textId="1B1A8DCE" w:rsidR="006E1892" w:rsidRDefault="006E1892" w:rsidP="00E84F9E"/>
    <w:p w14:paraId="64BEE995" w14:textId="1DA24A72" w:rsidR="006E1892" w:rsidRDefault="009919A7" w:rsidP="00E84F9E">
      <w:r w:rsidRPr="009919A7">
        <w:t>https://www.accountingnotes.net/accounting-principles/top-14-principles-of-accounting-discussed/3851</w:t>
      </w:r>
    </w:p>
    <w:p w14:paraId="138B5A84" w14:textId="641C4614" w:rsidR="006E1892" w:rsidRDefault="006E1892" w:rsidP="00E84F9E"/>
    <w:p w14:paraId="2BB95C16" w14:textId="77777777" w:rsidR="006E1892" w:rsidRDefault="006E1892" w:rsidP="00E84F9E"/>
    <w:p w14:paraId="6F89F161" w14:textId="334BABC4" w:rsidR="009B3B34" w:rsidRDefault="009B3B34" w:rsidP="00E84F9E"/>
    <w:p w14:paraId="79094D66" w14:textId="74EB4208" w:rsidR="009B3B34" w:rsidRDefault="009B3B34" w:rsidP="00E84F9E"/>
    <w:p w14:paraId="24F52176" w14:textId="77777777" w:rsidR="006E1892" w:rsidRDefault="006E1892" w:rsidP="00E84F9E">
      <w:pPr>
        <w:rPr>
          <w:b/>
          <w:bCs/>
          <w:sz w:val="24"/>
          <w:szCs w:val="24"/>
        </w:rPr>
      </w:pPr>
    </w:p>
    <w:p w14:paraId="16FED390" w14:textId="77777777" w:rsidR="006E1892" w:rsidRDefault="006E1892" w:rsidP="00E84F9E">
      <w:pPr>
        <w:rPr>
          <w:b/>
          <w:bCs/>
          <w:sz w:val="24"/>
          <w:szCs w:val="24"/>
        </w:rPr>
      </w:pPr>
    </w:p>
    <w:p w14:paraId="2DA6E328" w14:textId="77777777" w:rsidR="006E1892" w:rsidRDefault="006E1892" w:rsidP="00E84F9E">
      <w:pPr>
        <w:rPr>
          <w:b/>
          <w:bCs/>
          <w:sz w:val="24"/>
          <w:szCs w:val="24"/>
        </w:rPr>
      </w:pPr>
    </w:p>
    <w:p w14:paraId="0051100A" w14:textId="49070711" w:rsidR="009B3B34" w:rsidRPr="008D2548" w:rsidRDefault="000E152E" w:rsidP="00E84F9E">
      <w:pPr>
        <w:rPr>
          <w:b/>
          <w:bCs/>
          <w:sz w:val="24"/>
          <w:szCs w:val="24"/>
        </w:rPr>
      </w:pPr>
      <w:r w:rsidRPr="008D2548">
        <w:rPr>
          <w:b/>
          <w:bCs/>
          <w:sz w:val="24"/>
          <w:szCs w:val="24"/>
        </w:rPr>
        <w:t xml:space="preserve">Preparation of </w:t>
      </w:r>
      <w:r w:rsidR="008D2548" w:rsidRPr="008D2548">
        <w:rPr>
          <w:b/>
          <w:bCs/>
          <w:sz w:val="24"/>
          <w:szCs w:val="24"/>
        </w:rPr>
        <w:t xml:space="preserve">Income statement </w:t>
      </w:r>
    </w:p>
    <w:p w14:paraId="7078E338" w14:textId="77777777" w:rsidR="009B3B34" w:rsidRDefault="009B3B34" w:rsidP="00E84F9E"/>
    <w:p w14:paraId="6A7C63FF" w14:textId="31DA3FD8" w:rsidR="00E84F9E" w:rsidRDefault="00E84F9E" w:rsidP="00BF19E4"/>
    <w:tbl>
      <w:tblPr>
        <w:tblW w:w="6720" w:type="dxa"/>
        <w:tblLook w:val="04A0" w:firstRow="1" w:lastRow="0" w:firstColumn="1" w:lastColumn="0" w:noHBand="0" w:noVBand="1"/>
      </w:tblPr>
      <w:tblGrid>
        <w:gridCol w:w="4061"/>
        <w:gridCol w:w="687"/>
        <w:gridCol w:w="1972"/>
      </w:tblGrid>
      <w:tr w:rsidR="00A4358D" w:rsidRPr="00A4358D" w14:paraId="28AC0843" w14:textId="77777777" w:rsidTr="00A4358D">
        <w:trPr>
          <w:trHeight w:val="360"/>
        </w:trPr>
        <w:tc>
          <w:tcPr>
            <w:tcW w:w="6720" w:type="dxa"/>
            <w:gridSpan w:val="3"/>
            <w:tcBorders>
              <w:top w:val="single" w:sz="4" w:space="0" w:color="auto"/>
              <w:left w:val="single" w:sz="4" w:space="0" w:color="auto"/>
              <w:bottom w:val="nil"/>
              <w:right w:val="single" w:sz="4" w:space="0" w:color="000000"/>
            </w:tcBorders>
            <w:shd w:val="clear" w:color="auto" w:fill="auto"/>
            <w:noWrap/>
            <w:vAlign w:val="bottom"/>
            <w:hideMark/>
          </w:tcPr>
          <w:p w14:paraId="54CBC75C" w14:textId="77777777" w:rsidR="00A4358D" w:rsidRPr="00A4358D" w:rsidRDefault="00A4358D" w:rsidP="00A4358D">
            <w:pPr>
              <w:spacing w:after="0" w:line="240" w:lineRule="auto"/>
              <w:jc w:val="center"/>
              <w:rPr>
                <w:rFonts w:ascii="Calibri" w:eastAsia="Times New Roman" w:hAnsi="Calibri" w:cs="Calibri"/>
                <w:b/>
                <w:bCs/>
                <w:color w:val="000000"/>
                <w:sz w:val="28"/>
                <w:szCs w:val="28"/>
                <w:lang w:eastAsia="en-GB"/>
              </w:rPr>
            </w:pPr>
            <w:r w:rsidRPr="00A4358D">
              <w:rPr>
                <w:rFonts w:ascii="Calibri" w:eastAsia="Times New Roman" w:hAnsi="Calibri" w:cs="Calibri"/>
                <w:b/>
                <w:bCs/>
                <w:color w:val="000000"/>
                <w:sz w:val="28"/>
                <w:szCs w:val="28"/>
                <w:lang w:eastAsia="en-GB"/>
              </w:rPr>
              <w:t xml:space="preserve">Income statement </w:t>
            </w:r>
          </w:p>
        </w:tc>
      </w:tr>
      <w:tr w:rsidR="00A4358D" w:rsidRPr="00A4358D" w14:paraId="2F72B571" w14:textId="77777777" w:rsidTr="00A4358D">
        <w:trPr>
          <w:trHeight w:val="312"/>
        </w:trPr>
        <w:tc>
          <w:tcPr>
            <w:tcW w:w="4061" w:type="dxa"/>
            <w:tcBorders>
              <w:top w:val="nil"/>
              <w:left w:val="single" w:sz="4" w:space="0" w:color="auto"/>
              <w:bottom w:val="single" w:sz="4" w:space="0" w:color="auto"/>
              <w:right w:val="nil"/>
            </w:tcBorders>
            <w:shd w:val="clear" w:color="auto" w:fill="auto"/>
            <w:noWrap/>
            <w:vAlign w:val="bottom"/>
            <w:hideMark/>
          </w:tcPr>
          <w:p w14:paraId="6AC5C522"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 xml:space="preserve">Particulars </w:t>
            </w:r>
          </w:p>
        </w:tc>
        <w:tc>
          <w:tcPr>
            <w:tcW w:w="687" w:type="dxa"/>
            <w:tcBorders>
              <w:top w:val="nil"/>
              <w:left w:val="nil"/>
              <w:bottom w:val="single" w:sz="4" w:space="0" w:color="auto"/>
              <w:right w:val="nil"/>
            </w:tcBorders>
            <w:shd w:val="clear" w:color="auto" w:fill="auto"/>
            <w:noWrap/>
            <w:vAlign w:val="bottom"/>
            <w:hideMark/>
          </w:tcPr>
          <w:p w14:paraId="40289E8A"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WN</w:t>
            </w:r>
          </w:p>
        </w:tc>
        <w:tc>
          <w:tcPr>
            <w:tcW w:w="1972" w:type="dxa"/>
            <w:tcBorders>
              <w:top w:val="nil"/>
              <w:left w:val="nil"/>
              <w:bottom w:val="single" w:sz="4" w:space="0" w:color="auto"/>
              <w:right w:val="single" w:sz="4" w:space="0" w:color="000000"/>
            </w:tcBorders>
            <w:shd w:val="clear" w:color="auto" w:fill="auto"/>
            <w:noWrap/>
            <w:vAlign w:val="bottom"/>
            <w:hideMark/>
          </w:tcPr>
          <w:p w14:paraId="7156F144"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Amount (£)</w:t>
            </w:r>
          </w:p>
        </w:tc>
      </w:tr>
      <w:tr w:rsidR="00A4358D" w:rsidRPr="00A4358D" w14:paraId="120340D1"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A76DB7" w14:textId="77777777" w:rsidR="00A4358D" w:rsidRPr="00A4358D" w:rsidRDefault="00A4358D" w:rsidP="00A4358D">
            <w:pPr>
              <w:spacing w:after="0" w:line="240" w:lineRule="auto"/>
              <w:jc w:val="center"/>
              <w:rPr>
                <w:rFonts w:ascii="Calibri" w:eastAsia="Times New Roman" w:hAnsi="Calibri" w:cs="Calibri"/>
                <w:b/>
                <w:bCs/>
                <w:color w:val="000000"/>
                <w:lang w:eastAsia="en-GB"/>
              </w:rPr>
            </w:pPr>
            <w:r w:rsidRPr="00A4358D">
              <w:rPr>
                <w:rFonts w:ascii="Calibri" w:eastAsia="Times New Roman" w:hAnsi="Calibri" w:cs="Calibri"/>
                <w:b/>
                <w:bCs/>
                <w:color w:val="000000"/>
                <w:lang w:eastAsia="en-GB"/>
              </w:rPr>
              <w:t xml:space="preserve">Revenues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5828F220"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35DD9E00"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r>
      <w:tr w:rsidR="00A4358D" w:rsidRPr="00A4358D" w14:paraId="0835DE07" w14:textId="77777777" w:rsidTr="00A4358D">
        <w:trPr>
          <w:trHeight w:val="288"/>
        </w:trPr>
        <w:tc>
          <w:tcPr>
            <w:tcW w:w="4061" w:type="dxa"/>
            <w:tcBorders>
              <w:top w:val="nil"/>
              <w:left w:val="single" w:sz="4" w:space="0" w:color="auto"/>
              <w:bottom w:val="single" w:sz="4" w:space="0" w:color="auto"/>
              <w:right w:val="single" w:sz="4" w:space="0" w:color="000000"/>
            </w:tcBorders>
            <w:shd w:val="clear" w:color="auto" w:fill="auto"/>
            <w:noWrap/>
            <w:vAlign w:val="bottom"/>
            <w:hideMark/>
          </w:tcPr>
          <w:p w14:paraId="21DA4B19"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xml:space="preserve">Sales </w:t>
            </w:r>
          </w:p>
        </w:tc>
        <w:tc>
          <w:tcPr>
            <w:tcW w:w="687" w:type="dxa"/>
            <w:tcBorders>
              <w:top w:val="nil"/>
              <w:left w:val="nil"/>
              <w:bottom w:val="single" w:sz="4" w:space="0" w:color="auto"/>
              <w:right w:val="single" w:sz="4" w:space="0" w:color="000000"/>
            </w:tcBorders>
            <w:shd w:val="clear" w:color="auto" w:fill="auto"/>
            <w:noWrap/>
            <w:vAlign w:val="bottom"/>
            <w:hideMark/>
          </w:tcPr>
          <w:p w14:paraId="4E7FC843"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nil"/>
              <w:left w:val="nil"/>
              <w:bottom w:val="single" w:sz="4" w:space="0" w:color="auto"/>
              <w:right w:val="single" w:sz="4" w:space="0" w:color="000000"/>
            </w:tcBorders>
            <w:shd w:val="clear" w:color="auto" w:fill="auto"/>
            <w:noWrap/>
            <w:vAlign w:val="bottom"/>
            <w:hideMark/>
          </w:tcPr>
          <w:p w14:paraId="17328570"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310423</w:t>
            </w:r>
          </w:p>
        </w:tc>
      </w:tr>
      <w:tr w:rsidR="00A4358D" w:rsidRPr="00A4358D" w14:paraId="7769FE02" w14:textId="77777777" w:rsidTr="00A4358D">
        <w:trPr>
          <w:trHeight w:val="288"/>
        </w:trPr>
        <w:tc>
          <w:tcPr>
            <w:tcW w:w="406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59358D6" w14:textId="77777777" w:rsidR="00A4358D" w:rsidRPr="00A4358D" w:rsidRDefault="00A4358D" w:rsidP="00A4358D">
            <w:pPr>
              <w:spacing w:after="0" w:line="240" w:lineRule="auto"/>
              <w:jc w:val="center"/>
              <w:rPr>
                <w:rFonts w:ascii="Calibri" w:eastAsia="Times New Roman" w:hAnsi="Calibri" w:cs="Calibri"/>
                <w:color w:val="000000"/>
                <w:lang w:eastAsia="en-GB"/>
              </w:rPr>
            </w:pPr>
            <w:proofErr w:type="spellStart"/>
            <w:r w:rsidRPr="00A4358D">
              <w:rPr>
                <w:rFonts w:ascii="Calibri" w:eastAsia="Times New Roman" w:hAnsi="Calibri" w:cs="Calibri"/>
                <w:color w:val="000000"/>
                <w:lang w:eastAsia="en-GB"/>
              </w:rPr>
              <w:t>Less:COGS</w:t>
            </w:r>
            <w:proofErr w:type="spellEnd"/>
            <w:r w:rsidRPr="00A4358D">
              <w:rPr>
                <w:rFonts w:ascii="Calibri" w:eastAsia="Times New Roman" w:hAnsi="Calibri" w:cs="Calibri"/>
                <w:color w:val="000000"/>
                <w:lang w:eastAsia="en-GB"/>
              </w:rPr>
              <w:t xml:space="preserve"> </w:t>
            </w:r>
          </w:p>
        </w:tc>
        <w:tc>
          <w:tcPr>
            <w:tcW w:w="687" w:type="dxa"/>
            <w:tcBorders>
              <w:top w:val="single" w:sz="4" w:space="0" w:color="auto"/>
              <w:left w:val="nil"/>
              <w:bottom w:val="single" w:sz="4" w:space="0" w:color="auto"/>
              <w:right w:val="single" w:sz="4" w:space="0" w:color="000000"/>
            </w:tcBorders>
            <w:shd w:val="clear" w:color="auto" w:fill="auto"/>
            <w:noWrap/>
            <w:vAlign w:val="bottom"/>
            <w:hideMark/>
          </w:tcPr>
          <w:p w14:paraId="50C3B640"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1</w:t>
            </w:r>
          </w:p>
        </w:tc>
        <w:tc>
          <w:tcPr>
            <w:tcW w:w="1972" w:type="dxa"/>
            <w:tcBorders>
              <w:top w:val="single" w:sz="4" w:space="0" w:color="auto"/>
              <w:left w:val="nil"/>
              <w:bottom w:val="single" w:sz="4" w:space="0" w:color="auto"/>
              <w:right w:val="single" w:sz="4" w:space="0" w:color="000000"/>
            </w:tcBorders>
            <w:shd w:val="clear" w:color="auto" w:fill="auto"/>
            <w:noWrap/>
            <w:vAlign w:val="bottom"/>
            <w:hideMark/>
          </w:tcPr>
          <w:p w14:paraId="7F338B0A"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219223</w:t>
            </w:r>
          </w:p>
        </w:tc>
      </w:tr>
      <w:tr w:rsidR="00A4358D" w:rsidRPr="00A4358D" w14:paraId="3E829E64"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428AD6"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6BD5142C"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6873D36B"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r>
      <w:tr w:rsidR="00A4358D" w:rsidRPr="00A4358D" w14:paraId="75772820" w14:textId="77777777" w:rsidTr="00A4358D">
        <w:trPr>
          <w:trHeight w:val="312"/>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033919"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 xml:space="preserve">GROSS PROFIT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7AB23498"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000000"/>
            </w:tcBorders>
            <w:shd w:val="clear" w:color="auto" w:fill="auto"/>
            <w:noWrap/>
            <w:vAlign w:val="bottom"/>
            <w:hideMark/>
          </w:tcPr>
          <w:p w14:paraId="2198941F"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91200</w:t>
            </w:r>
          </w:p>
        </w:tc>
      </w:tr>
      <w:tr w:rsidR="00A4358D" w:rsidRPr="00A4358D" w14:paraId="6D5263BC"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4B3CAC"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1C6385CD"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3110D1EE"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r>
      <w:tr w:rsidR="00A4358D" w:rsidRPr="00A4358D" w14:paraId="52E6EDAA"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C9200E" w14:textId="77777777" w:rsidR="00A4358D" w:rsidRPr="00A4358D" w:rsidRDefault="00A4358D" w:rsidP="00A4358D">
            <w:pPr>
              <w:spacing w:after="0" w:line="240" w:lineRule="auto"/>
              <w:jc w:val="center"/>
              <w:rPr>
                <w:rFonts w:ascii="Calibri" w:eastAsia="Times New Roman" w:hAnsi="Calibri" w:cs="Calibri"/>
                <w:b/>
                <w:bCs/>
                <w:color w:val="000000"/>
                <w:lang w:eastAsia="en-GB"/>
              </w:rPr>
            </w:pPr>
            <w:r w:rsidRPr="00A4358D">
              <w:rPr>
                <w:rFonts w:ascii="Calibri" w:eastAsia="Times New Roman" w:hAnsi="Calibri" w:cs="Calibri"/>
                <w:b/>
                <w:bCs/>
                <w:color w:val="000000"/>
                <w:lang w:eastAsia="en-GB"/>
              </w:rPr>
              <w:t xml:space="preserve">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1ADF7D33"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0AD2C547"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r>
      <w:tr w:rsidR="00A4358D" w:rsidRPr="00A4358D" w14:paraId="36A852F7"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38676E"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xml:space="preserve">Sundry 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0EE4A42E"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747B3B8C"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2250</w:t>
            </w:r>
          </w:p>
        </w:tc>
      </w:tr>
      <w:tr w:rsidR="00A4358D" w:rsidRPr="00A4358D" w14:paraId="322CD610"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83A95D" w14:textId="27234191"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xml:space="preserve">Rental and </w:t>
            </w:r>
            <w:r w:rsidR="009B3B34" w:rsidRPr="00A4358D">
              <w:rPr>
                <w:rFonts w:ascii="Calibri" w:eastAsia="Times New Roman" w:hAnsi="Calibri" w:cs="Calibri"/>
                <w:color w:val="000000"/>
                <w:lang w:eastAsia="en-GB"/>
              </w:rPr>
              <w:t>insurance</w:t>
            </w:r>
            <w:r w:rsidRPr="00A4358D">
              <w:rPr>
                <w:rFonts w:ascii="Calibri" w:eastAsia="Times New Roman" w:hAnsi="Calibri" w:cs="Calibri"/>
                <w:color w:val="000000"/>
                <w:lang w:eastAsia="en-GB"/>
              </w:rPr>
              <w:t xml:space="preserve"> cost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40055A9B"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2871D609"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19200</w:t>
            </w:r>
          </w:p>
        </w:tc>
      </w:tr>
      <w:tr w:rsidR="00A4358D" w:rsidRPr="00A4358D" w14:paraId="24B7B65A"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1CDF87"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xml:space="preserve">Administration 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57B83554"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50E2B7F3"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2772</w:t>
            </w:r>
          </w:p>
        </w:tc>
      </w:tr>
      <w:tr w:rsidR="00A4358D" w:rsidRPr="00A4358D" w14:paraId="4379FA05"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DB62B4"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xml:space="preserve">Salaries and wages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19665C39"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06ECBF77"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35804</w:t>
            </w:r>
          </w:p>
        </w:tc>
      </w:tr>
      <w:tr w:rsidR="00A4358D" w:rsidRPr="00A4358D" w14:paraId="7FD44004"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7957BA"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xml:space="preserve">Bad debts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7F27401A"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1FD314DE"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980</w:t>
            </w:r>
          </w:p>
        </w:tc>
      </w:tr>
      <w:tr w:rsidR="00A4358D" w:rsidRPr="00A4358D" w14:paraId="2A02D7CB" w14:textId="77777777" w:rsidTr="00A4358D">
        <w:trPr>
          <w:trHeight w:val="312"/>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A8E293"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 xml:space="preserve">Total expenses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4608E477"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5E317282"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61006</w:t>
            </w:r>
          </w:p>
        </w:tc>
      </w:tr>
      <w:tr w:rsidR="00A4358D" w:rsidRPr="00A4358D" w14:paraId="1567C259" w14:textId="77777777" w:rsidTr="00A4358D">
        <w:trPr>
          <w:trHeight w:val="288"/>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1D562B"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627F9E23"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54E2A1D8"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r>
      <w:tr w:rsidR="00A4358D" w:rsidRPr="00A4358D" w14:paraId="0EA47F8D" w14:textId="77777777" w:rsidTr="00A4358D">
        <w:trPr>
          <w:trHeight w:val="312"/>
        </w:trPr>
        <w:tc>
          <w:tcPr>
            <w:tcW w:w="4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9792DE"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 xml:space="preserve">Net profit </w:t>
            </w:r>
          </w:p>
        </w:tc>
        <w:tc>
          <w:tcPr>
            <w:tcW w:w="687" w:type="dxa"/>
            <w:tcBorders>
              <w:top w:val="single" w:sz="4" w:space="0" w:color="auto"/>
              <w:left w:val="nil"/>
              <w:bottom w:val="single" w:sz="4" w:space="0" w:color="auto"/>
              <w:right w:val="single" w:sz="4" w:space="0" w:color="auto"/>
            </w:tcBorders>
            <w:shd w:val="clear" w:color="auto" w:fill="auto"/>
            <w:noWrap/>
            <w:vAlign w:val="bottom"/>
            <w:hideMark/>
          </w:tcPr>
          <w:p w14:paraId="79EA33E0" w14:textId="77777777" w:rsidR="00A4358D" w:rsidRPr="00A4358D" w:rsidRDefault="00A4358D" w:rsidP="00A4358D">
            <w:pPr>
              <w:spacing w:after="0" w:line="240" w:lineRule="auto"/>
              <w:jc w:val="center"/>
              <w:rPr>
                <w:rFonts w:ascii="Calibri" w:eastAsia="Times New Roman" w:hAnsi="Calibri" w:cs="Calibri"/>
                <w:color w:val="000000"/>
                <w:lang w:eastAsia="en-GB"/>
              </w:rPr>
            </w:pPr>
            <w:r w:rsidRPr="00A4358D">
              <w:rPr>
                <w:rFonts w:ascii="Calibri" w:eastAsia="Times New Roman" w:hAnsi="Calibri" w:cs="Calibri"/>
                <w:color w:val="000000"/>
                <w:lang w:eastAsia="en-GB"/>
              </w:rPr>
              <w:t> </w:t>
            </w:r>
          </w:p>
        </w:tc>
        <w:tc>
          <w:tcPr>
            <w:tcW w:w="1972" w:type="dxa"/>
            <w:tcBorders>
              <w:top w:val="single" w:sz="4" w:space="0" w:color="auto"/>
              <w:left w:val="nil"/>
              <w:bottom w:val="single" w:sz="4" w:space="0" w:color="auto"/>
              <w:right w:val="single" w:sz="4" w:space="0" w:color="auto"/>
            </w:tcBorders>
            <w:shd w:val="clear" w:color="auto" w:fill="auto"/>
            <w:noWrap/>
            <w:vAlign w:val="bottom"/>
            <w:hideMark/>
          </w:tcPr>
          <w:p w14:paraId="28D5016D" w14:textId="77777777" w:rsidR="00A4358D" w:rsidRPr="00A4358D" w:rsidRDefault="00A4358D" w:rsidP="00A4358D">
            <w:pPr>
              <w:spacing w:after="0" w:line="240" w:lineRule="auto"/>
              <w:jc w:val="center"/>
              <w:rPr>
                <w:rFonts w:ascii="Calibri" w:eastAsia="Times New Roman" w:hAnsi="Calibri" w:cs="Calibri"/>
                <w:b/>
                <w:bCs/>
                <w:color w:val="000000"/>
                <w:sz w:val="24"/>
                <w:szCs w:val="24"/>
                <w:lang w:eastAsia="en-GB"/>
              </w:rPr>
            </w:pPr>
            <w:r w:rsidRPr="00A4358D">
              <w:rPr>
                <w:rFonts w:ascii="Calibri" w:eastAsia="Times New Roman" w:hAnsi="Calibri" w:cs="Calibri"/>
                <w:b/>
                <w:bCs/>
                <w:color w:val="000000"/>
                <w:sz w:val="24"/>
                <w:szCs w:val="24"/>
                <w:lang w:eastAsia="en-GB"/>
              </w:rPr>
              <w:t>30194</w:t>
            </w:r>
          </w:p>
        </w:tc>
      </w:tr>
    </w:tbl>
    <w:p w14:paraId="1CD0091A" w14:textId="4F76FA1B" w:rsidR="00A4358D" w:rsidRDefault="00A4358D" w:rsidP="00BF19E4"/>
    <w:p w14:paraId="2265BE3E" w14:textId="34402199" w:rsidR="00B064AA" w:rsidRDefault="00B064AA" w:rsidP="00BF19E4"/>
    <w:p w14:paraId="1B55B297" w14:textId="68B1C3DE" w:rsidR="00B064AA" w:rsidRDefault="00B064AA" w:rsidP="00BF19E4"/>
    <w:p w14:paraId="06B4047A" w14:textId="431C7438" w:rsidR="009B3B34" w:rsidRDefault="009B3B34" w:rsidP="00BF19E4"/>
    <w:p w14:paraId="35A34F27" w14:textId="55205798" w:rsidR="009B3B34" w:rsidRDefault="009B3B34" w:rsidP="00BF19E4"/>
    <w:p w14:paraId="54CD468C" w14:textId="62184B04" w:rsidR="009B3B34" w:rsidRDefault="009B3B34" w:rsidP="00BF19E4"/>
    <w:p w14:paraId="5902B058" w14:textId="5733FC48" w:rsidR="009B3B34" w:rsidRDefault="009B3B34" w:rsidP="00BF19E4"/>
    <w:p w14:paraId="0062279C" w14:textId="509629CB" w:rsidR="009B3B34" w:rsidRDefault="009B3B34" w:rsidP="00BF19E4"/>
    <w:p w14:paraId="2BCE2B56" w14:textId="1F615B42" w:rsidR="009B3B34" w:rsidRDefault="009B3B34" w:rsidP="00BF19E4"/>
    <w:p w14:paraId="74F6C4B8" w14:textId="39E5CD91" w:rsidR="009B3B34" w:rsidRDefault="009B3B34" w:rsidP="00BF19E4"/>
    <w:p w14:paraId="400BFDEE" w14:textId="27196D87" w:rsidR="009B3B34" w:rsidRDefault="009B3B34" w:rsidP="00BF19E4"/>
    <w:p w14:paraId="158B9442" w14:textId="26C37501" w:rsidR="009B3B34" w:rsidRDefault="009B3B34" w:rsidP="00BF19E4"/>
    <w:p w14:paraId="336C76B7" w14:textId="63130BAB" w:rsidR="009B3B34" w:rsidRDefault="009B3B34" w:rsidP="00BF19E4"/>
    <w:p w14:paraId="6CB37A02" w14:textId="3C5C853B" w:rsidR="009B3B34" w:rsidRDefault="009B3B34" w:rsidP="00BF19E4"/>
    <w:p w14:paraId="446FEE7E" w14:textId="151D2B3F" w:rsidR="009B3B34" w:rsidRDefault="009B3B34" w:rsidP="00BF19E4"/>
    <w:p w14:paraId="1B10D0B4" w14:textId="6F23416F" w:rsidR="009B3B34" w:rsidRDefault="009B3B34" w:rsidP="00BF19E4"/>
    <w:p w14:paraId="36923A6F" w14:textId="027EB18C" w:rsidR="009B3B34" w:rsidRPr="008D2548" w:rsidRDefault="008D2548" w:rsidP="00BF19E4">
      <w:pPr>
        <w:rPr>
          <w:b/>
          <w:bCs/>
          <w:sz w:val="24"/>
          <w:szCs w:val="24"/>
        </w:rPr>
      </w:pPr>
      <w:r w:rsidRPr="008D2548">
        <w:rPr>
          <w:b/>
          <w:bCs/>
          <w:sz w:val="24"/>
          <w:szCs w:val="24"/>
        </w:rPr>
        <w:t xml:space="preserve">Preparation of balance sheet </w:t>
      </w:r>
    </w:p>
    <w:p w14:paraId="6596D82C" w14:textId="77777777" w:rsidR="009B3B34" w:rsidRDefault="009B3B34" w:rsidP="00BF19E4"/>
    <w:p w14:paraId="414D0FB1" w14:textId="445FE173" w:rsidR="00B064AA" w:rsidRDefault="00B064AA" w:rsidP="00BF19E4"/>
    <w:tbl>
      <w:tblPr>
        <w:tblW w:w="6420" w:type="dxa"/>
        <w:tblLook w:val="04A0" w:firstRow="1" w:lastRow="0" w:firstColumn="1" w:lastColumn="0" w:noHBand="0" w:noVBand="1"/>
      </w:tblPr>
      <w:tblGrid>
        <w:gridCol w:w="5431"/>
        <w:gridCol w:w="989"/>
      </w:tblGrid>
      <w:tr w:rsidR="00B064AA" w:rsidRPr="001702F8" w14:paraId="15DA975C" w14:textId="77777777" w:rsidTr="007240DF">
        <w:trPr>
          <w:trHeight w:val="312"/>
        </w:trPr>
        <w:tc>
          <w:tcPr>
            <w:tcW w:w="6420" w:type="dxa"/>
            <w:gridSpan w:val="2"/>
            <w:tcBorders>
              <w:top w:val="nil"/>
              <w:left w:val="nil"/>
              <w:bottom w:val="nil"/>
              <w:right w:val="nil"/>
            </w:tcBorders>
            <w:shd w:val="clear" w:color="auto" w:fill="auto"/>
            <w:noWrap/>
            <w:vAlign w:val="bottom"/>
            <w:hideMark/>
          </w:tcPr>
          <w:p w14:paraId="2C175312" w14:textId="66F00D56" w:rsidR="00B064AA" w:rsidRPr="001702F8" w:rsidRDefault="00B064AA" w:rsidP="009B3B34">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Balance sheet</w:t>
            </w:r>
          </w:p>
        </w:tc>
      </w:tr>
      <w:tr w:rsidR="00B064AA" w:rsidRPr="001702F8" w14:paraId="330C58BC"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DED5246"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 xml:space="preserve">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47A4DEE"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304DF33B"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BB503C1"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Current 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6A5DECAF"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2698D998"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978E95D"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Cash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6E9D60D6"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82</w:t>
            </w:r>
          </w:p>
        </w:tc>
      </w:tr>
      <w:tr w:rsidR="00B064AA" w:rsidRPr="001702F8" w14:paraId="03500737"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0E06CC4"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Inventory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4CB97F28"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25164</w:t>
            </w:r>
          </w:p>
        </w:tc>
      </w:tr>
      <w:tr w:rsidR="00B064AA" w:rsidRPr="001702F8" w14:paraId="0F85F380"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03168C0" w14:textId="76043C58"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Trade </w:t>
            </w:r>
            <w:r w:rsidR="009B3B34" w:rsidRPr="001702F8">
              <w:rPr>
                <w:rFonts w:ascii="Calibri" w:eastAsia="Times New Roman" w:hAnsi="Calibri" w:cs="Calibri"/>
                <w:color w:val="000000"/>
                <w:lang w:eastAsia="en-GB"/>
              </w:rPr>
              <w:t>Receivables (</w:t>
            </w:r>
            <w:r w:rsidRPr="001702F8">
              <w:rPr>
                <w:rFonts w:ascii="Calibri" w:eastAsia="Times New Roman" w:hAnsi="Calibri" w:cs="Calibri"/>
                <w:color w:val="000000"/>
                <w:lang w:eastAsia="en-GB"/>
              </w:rPr>
              <w:t>6860)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728C6830"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20D3F512"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0DB24EF" w14:textId="1779CFDC" w:rsidR="00B064AA" w:rsidRPr="001702F8" w:rsidRDefault="009B3B34"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Less: Bad</w:t>
            </w:r>
            <w:r w:rsidR="00B064AA" w:rsidRPr="001702F8">
              <w:rPr>
                <w:rFonts w:ascii="Calibri" w:eastAsia="Times New Roman" w:hAnsi="Calibri" w:cs="Calibri"/>
                <w:color w:val="000000"/>
                <w:lang w:eastAsia="en-GB"/>
              </w:rPr>
              <w:t xml:space="preserve"> debts (980)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224977B"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5880</w:t>
            </w:r>
          </w:p>
        </w:tc>
      </w:tr>
      <w:tr w:rsidR="00B064AA" w:rsidRPr="001702F8" w14:paraId="48B25F94"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E6D6D88"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470FEAE0"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31126</w:t>
            </w:r>
          </w:p>
        </w:tc>
      </w:tr>
      <w:tr w:rsidR="00B064AA" w:rsidRPr="001702F8" w14:paraId="671050D8"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E098030" w14:textId="6402998E" w:rsidR="00B064AA" w:rsidRPr="001702F8" w:rsidRDefault="009B3B34"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Non-current</w:t>
            </w:r>
            <w:r w:rsidR="00B064AA" w:rsidRPr="001702F8">
              <w:rPr>
                <w:rFonts w:ascii="Calibri" w:eastAsia="Times New Roman" w:hAnsi="Calibri" w:cs="Calibri"/>
                <w:color w:val="000000"/>
                <w:lang w:eastAsia="en-GB"/>
              </w:rPr>
              <w:t xml:space="preserve"> 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4D879FF5"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521B16C8"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7FA5C4F"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Shop fittings (12200)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5AB44DD7"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77D10270"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445E326" w14:textId="71F31D52" w:rsidR="00B064AA" w:rsidRPr="001702F8" w:rsidRDefault="009B3B34"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Less: Depreciation</w:t>
            </w:r>
            <w:r w:rsidR="00B064AA" w:rsidRPr="001702F8">
              <w:rPr>
                <w:rFonts w:ascii="Calibri" w:eastAsia="Times New Roman" w:hAnsi="Calibri" w:cs="Calibri"/>
                <w:color w:val="000000"/>
                <w:lang w:eastAsia="en-GB"/>
              </w:rPr>
              <w:t xml:space="preserve"> (1220)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828299B"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2B36623A"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8576871" w14:textId="77777777" w:rsidR="00B064AA" w:rsidRPr="001702F8" w:rsidRDefault="00B064AA" w:rsidP="007240DF">
            <w:pPr>
              <w:spacing w:after="0" w:line="240" w:lineRule="auto"/>
              <w:rPr>
                <w:rFonts w:ascii="Calibri" w:eastAsia="Times New Roman" w:hAnsi="Calibri" w:cs="Calibri"/>
                <w:color w:val="000000"/>
                <w:lang w:eastAsia="en-GB"/>
              </w:rPr>
            </w:pPr>
            <w:r w:rsidRPr="001702F8">
              <w:rPr>
                <w:rFonts w:ascii="Calibri" w:eastAsia="Times New Roman" w:hAnsi="Calibri" w:cs="Calibri"/>
                <w:color w:val="000000"/>
                <w:lang w:eastAsia="en-GB"/>
              </w:rPr>
              <w:t>Less: Accumulated depreciation (7320)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C4E844D"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3660</w:t>
            </w:r>
          </w:p>
        </w:tc>
      </w:tr>
      <w:tr w:rsidR="00B064AA" w:rsidRPr="001702F8" w14:paraId="0DB6FEDA"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0632642"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Delivery van (35580)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56BF8DFD"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3ECEF107"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05B9FCD" w14:textId="18D7DCD8" w:rsidR="00B064AA" w:rsidRPr="001702F8" w:rsidRDefault="009B3B34"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Less: </w:t>
            </w:r>
            <w:r>
              <w:rPr>
                <w:rFonts w:ascii="Calibri" w:eastAsia="Times New Roman" w:hAnsi="Calibri" w:cs="Calibri"/>
                <w:color w:val="000000"/>
                <w:lang w:eastAsia="en-GB"/>
              </w:rPr>
              <w:t>d</w:t>
            </w:r>
            <w:r w:rsidRPr="001702F8">
              <w:rPr>
                <w:rFonts w:ascii="Calibri" w:eastAsia="Times New Roman" w:hAnsi="Calibri" w:cs="Calibri"/>
                <w:color w:val="000000"/>
                <w:lang w:eastAsia="en-GB"/>
              </w:rPr>
              <w:t>epreciation (</w:t>
            </w:r>
            <w:r w:rsidR="00B064AA" w:rsidRPr="001702F8">
              <w:rPr>
                <w:rFonts w:ascii="Calibri" w:eastAsia="Times New Roman" w:hAnsi="Calibri" w:cs="Calibri"/>
                <w:color w:val="000000"/>
                <w:lang w:eastAsia="en-GB"/>
              </w:rPr>
              <w:t>6918)</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60E5491"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7612BB51"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40175C8" w14:textId="15553EFB" w:rsidR="00B064AA" w:rsidRPr="001702F8" w:rsidRDefault="009B3B34"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Less: Accumulated</w:t>
            </w:r>
            <w:r w:rsidR="00B064AA" w:rsidRPr="001702F8">
              <w:rPr>
                <w:rFonts w:ascii="Calibri" w:eastAsia="Times New Roman" w:hAnsi="Calibri" w:cs="Calibri"/>
                <w:color w:val="000000"/>
                <w:lang w:eastAsia="en-GB"/>
              </w:rPr>
              <w:t xml:space="preserve"> </w:t>
            </w:r>
            <w:r w:rsidRPr="001702F8">
              <w:rPr>
                <w:rFonts w:ascii="Calibri" w:eastAsia="Times New Roman" w:hAnsi="Calibri" w:cs="Calibri"/>
                <w:color w:val="000000"/>
                <w:lang w:eastAsia="en-GB"/>
              </w:rPr>
              <w:t>depreciation (</w:t>
            </w:r>
            <w:r w:rsidR="00B064AA" w:rsidRPr="001702F8">
              <w:rPr>
                <w:rFonts w:ascii="Calibri" w:eastAsia="Times New Roman" w:hAnsi="Calibri" w:cs="Calibri"/>
                <w:color w:val="000000"/>
                <w:lang w:eastAsia="en-GB"/>
              </w:rPr>
              <w:t>12520)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67104422"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16142</w:t>
            </w:r>
          </w:p>
        </w:tc>
      </w:tr>
      <w:tr w:rsidR="00B064AA" w:rsidRPr="001702F8" w14:paraId="1ED41BBD"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7A91301"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C4ADB84"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19802</w:t>
            </w:r>
          </w:p>
        </w:tc>
      </w:tr>
      <w:tr w:rsidR="00B064AA" w:rsidRPr="001702F8" w14:paraId="52FDBE96"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A38F1C2"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 xml:space="preserve">Total Assets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059F7FFD"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50928</w:t>
            </w:r>
          </w:p>
        </w:tc>
      </w:tr>
      <w:tr w:rsidR="00B064AA" w:rsidRPr="001702F8" w14:paraId="19E0D0BF"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B856ABD"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785CC43A"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31FAF84D"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0B4E39C"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 xml:space="preserve">Equity and Liability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68CC8AB"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5EA0E4AA"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41473F3"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Current liability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FB0D9D1"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74ADE363"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D71415F"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Creditors for VAT</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5CE5BDC4"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7729</w:t>
            </w:r>
          </w:p>
        </w:tc>
      </w:tr>
      <w:tr w:rsidR="00B064AA" w:rsidRPr="001702F8" w14:paraId="0499E178"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DF94F57"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Trade Payables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7065988A"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34420</w:t>
            </w:r>
          </w:p>
        </w:tc>
      </w:tr>
      <w:tr w:rsidR="00B064AA" w:rsidRPr="001702F8" w14:paraId="103061E2"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E6B6B79"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A06C140"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42149</w:t>
            </w:r>
          </w:p>
        </w:tc>
      </w:tr>
      <w:tr w:rsidR="00B064AA" w:rsidRPr="001702F8" w14:paraId="2D36226B"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B27E655"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 xml:space="preserve">Equity and Shareholders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4BC0C71"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3023BD5D"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0D334C5" w14:textId="20E2310E"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xml:space="preserve">Share </w:t>
            </w:r>
            <w:r w:rsidR="009B3B34" w:rsidRPr="001702F8">
              <w:rPr>
                <w:rFonts w:ascii="Calibri" w:eastAsia="Times New Roman" w:hAnsi="Calibri" w:cs="Calibri"/>
                <w:color w:val="000000"/>
                <w:lang w:eastAsia="en-GB"/>
              </w:rPr>
              <w:t>capital (</w:t>
            </w:r>
            <w:r w:rsidRPr="001702F8">
              <w:rPr>
                <w:rFonts w:ascii="Calibri" w:eastAsia="Times New Roman" w:hAnsi="Calibri" w:cs="Calibri"/>
                <w:color w:val="000000"/>
                <w:lang w:eastAsia="en-GB"/>
              </w:rPr>
              <w:t>4993)</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19C3180"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10DD1D6B"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62465A9" w14:textId="06856E89" w:rsidR="00B064AA" w:rsidRPr="001702F8" w:rsidRDefault="009B3B34"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Add: Profit (</w:t>
            </w:r>
            <w:r w:rsidR="00B064AA" w:rsidRPr="001702F8">
              <w:rPr>
                <w:rFonts w:ascii="Calibri" w:eastAsia="Times New Roman" w:hAnsi="Calibri" w:cs="Calibri"/>
                <w:color w:val="000000"/>
                <w:lang w:eastAsia="en-GB"/>
              </w:rPr>
              <w:t>22056)</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1D5CEC2C"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 </w:t>
            </w:r>
          </w:p>
        </w:tc>
      </w:tr>
      <w:tr w:rsidR="00B064AA" w:rsidRPr="001702F8" w14:paraId="4CEC5C51" w14:textId="77777777" w:rsidTr="007240DF">
        <w:trPr>
          <w:trHeight w:val="288"/>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DBE45A6" w14:textId="00358BDD" w:rsidR="00B064AA" w:rsidRPr="001702F8" w:rsidRDefault="009B3B34"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Less: Drawings (</w:t>
            </w:r>
            <w:r w:rsidR="00B064AA" w:rsidRPr="001702F8">
              <w:rPr>
                <w:rFonts w:ascii="Calibri" w:eastAsia="Times New Roman" w:hAnsi="Calibri" w:cs="Calibri"/>
                <w:color w:val="000000"/>
                <w:lang w:eastAsia="en-GB"/>
              </w:rPr>
              <w:t>18270)</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5782B87C" w14:textId="77777777" w:rsidR="00B064AA" w:rsidRPr="001702F8" w:rsidRDefault="00B064AA" w:rsidP="007240DF">
            <w:pPr>
              <w:spacing w:after="0" w:line="240" w:lineRule="auto"/>
              <w:jc w:val="center"/>
              <w:rPr>
                <w:rFonts w:ascii="Calibri" w:eastAsia="Times New Roman" w:hAnsi="Calibri" w:cs="Calibri"/>
                <w:color w:val="000000"/>
                <w:lang w:eastAsia="en-GB"/>
              </w:rPr>
            </w:pPr>
            <w:r w:rsidRPr="001702F8">
              <w:rPr>
                <w:rFonts w:ascii="Calibri" w:eastAsia="Times New Roman" w:hAnsi="Calibri" w:cs="Calibri"/>
                <w:color w:val="000000"/>
                <w:lang w:eastAsia="en-GB"/>
              </w:rPr>
              <w:t>8779</w:t>
            </w:r>
          </w:p>
        </w:tc>
      </w:tr>
      <w:tr w:rsidR="00B064AA" w:rsidRPr="001702F8" w14:paraId="2E869007" w14:textId="77777777" w:rsidTr="007240DF">
        <w:trPr>
          <w:trHeight w:val="312"/>
        </w:trPr>
        <w:tc>
          <w:tcPr>
            <w:tcW w:w="543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29E5F27"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 xml:space="preserve">Total Liability </w:t>
            </w:r>
          </w:p>
        </w:tc>
        <w:tc>
          <w:tcPr>
            <w:tcW w:w="989" w:type="dxa"/>
            <w:tcBorders>
              <w:top w:val="single" w:sz="4" w:space="0" w:color="auto"/>
              <w:left w:val="nil"/>
              <w:bottom w:val="single" w:sz="4" w:space="0" w:color="auto"/>
              <w:right w:val="single" w:sz="4" w:space="0" w:color="000000"/>
            </w:tcBorders>
            <w:shd w:val="clear" w:color="auto" w:fill="auto"/>
            <w:noWrap/>
            <w:vAlign w:val="bottom"/>
            <w:hideMark/>
          </w:tcPr>
          <w:p w14:paraId="30B518D6" w14:textId="77777777" w:rsidR="00B064AA" w:rsidRPr="001702F8" w:rsidRDefault="00B064AA" w:rsidP="007240DF">
            <w:pPr>
              <w:spacing w:after="0" w:line="240" w:lineRule="auto"/>
              <w:jc w:val="center"/>
              <w:rPr>
                <w:rFonts w:ascii="Calibri" w:eastAsia="Times New Roman" w:hAnsi="Calibri" w:cs="Calibri"/>
                <w:b/>
                <w:bCs/>
                <w:color w:val="000000"/>
                <w:sz w:val="24"/>
                <w:szCs w:val="24"/>
                <w:lang w:eastAsia="en-GB"/>
              </w:rPr>
            </w:pPr>
            <w:r w:rsidRPr="001702F8">
              <w:rPr>
                <w:rFonts w:ascii="Calibri" w:eastAsia="Times New Roman" w:hAnsi="Calibri" w:cs="Calibri"/>
                <w:b/>
                <w:bCs/>
                <w:color w:val="000000"/>
                <w:sz w:val="24"/>
                <w:szCs w:val="24"/>
                <w:lang w:eastAsia="en-GB"/>
              </w:rPr>
              <w:t>50928</w:t>
            </w:r>
          </w:p>
        </w:tc>
      </w:tr>
    </w:tbl>
    <w:p w14:paraId="2D58E50D" w14:textId="4657E942" w:rsidR="00B064AA" w:rsidRDefault="00B064AA" w:rsidP="00BF19E4"/>
    <w:p w14:paraId="359C5208" w14:textId="4903DA91" w:rsidR="00B064AA" w:rsidRDefault="00B064AA" w:rsidP="00BF19E4"/>
    <w:p w14:paraId="33E4C877" w14:textId="6AEB4443" w:rsidR="00B064AA" w:rsidRDefault="00B064AA" w:rsidP="00BF19E4"/>
    <w:p w14:paraId="5EA69FAC" w14:textId="39486187" w:rsidR="00B064AA" w:rsidRDefault="00B064AA" w:rsidP="00BF19E4"/>
    <w:p w14:paraId="28D23BEE" w14:textId="2451E2AB" w:rsidR="00B064AA" w:rsidRDefault="00B064AA" w:rsidP="00BF19E4"/>
    <w:p w14:paraId="74717F5A" w14:textId="412F999B" w:rsidR="00B064AA" w:rsidRDefault="00B064AA" w:rsidP="00BF19E4"/>
    <w:p w14:paraId="5A24972A" w14:textId="48C80784" w:rsidR="00B064AA" w:rsidRDefault="00B064AA" w:rsidP="00BF19E4"/>
    <w:p w14:paraId="3CD523F3" w14:textId="57D108AD" w:rsidR="00B064AA" w:rsidRDefault="00B064AA" w:rsidP="00BF19E4"/>
    <w:p w14:paraId="0946C82A" w14:textId="7B79BBA3" w:rsidR="00B064AA" w:rsidRDefault="00B064AA" w:rsidP="00BF19E4"/>
    <w:p w14:paraId="082047E4" w14:textId="5972AA0D" w:rsidR="00B064AA" w:rsidRDefault="00B064AA" w:rsidP="00BF19E4"/>
    <w:p w14:paraId="1EF2A5B8" w14:textId="5DCC3405" w:rsidR="00B064AA" w:rsidRDefault="00B064AA" w:rsidP="00BF19E4"/>
    <w:p w14:paraId="7DF49C26" w14:textId="77777777" w:rsidR="00B064AA" w:rsidRPr="001202A6" w:rsidRDefault="00B064AA" w:rsidP="00BF19E4"/>
    <w:sectPr w:rsidR="00B064AA" w:rsidRPr="001202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2A6"/>
    <w:rsid w:val="00044ACB"/>
    <w:rsid w:val="000E152E"/>
    <w:rsid w:val="000E289D"/>
    <w:rsid w:val="001202A6"/>
    <w:rsid w:val="00120715"/>
    <w:rsid w:val="00140D8B"/>
    <w:rsid w:val="00182368"/>
    <w:rsid w:val="001D309D"/>
    <w:rsid w:val="001F6AE3"/>
    <w:rsid w:val="00231BF1"/>
    <w:rsid w:val="00280536"/>
    <w:rsid w:val="002B0D89"/>
    <w:rsid w:val="002E6A6E"/>
    <w:rsid w:val="003602E4"/>
    <w:rsid w:val="003C774A"/>
    <w:rsid w:val="003D189F"/>
    <w:rsid w:val="004377C2"/>
    <w:rsid w:val="00472D65"/>
    <w:rsid w:val="004D36C6"/>
    <w:rsid w:val="004E5FB7"/>
    <w:rsid w:val="005417CD"/>
    <w:rsid w:val="00566A00"/>
    <w:rsid w:val="005A0168"/>
    <w:rsid w:val="005D2252"/>
    <w:rsid w:val="00635F6A"/>
    <w:rsid w:val="00664BAE"/>
    <w:rsid w:val="00683348"/>
    <w:rsid w:val="006E1892"/>
    <w:rsid w:val="006F1148"/>
    <w:rsid w:val="00745D61"/>
    <w:rsid w:val="007624D5"/>
    <w:rsid w:val="007C5B6F"/>
    <w:rsid w:val="00836715"/>
    <w:rsid w:val="008977D6"/>
    <w:rsid w:val="008D2548"/>
    <w:rsid w:val="008D2CAD"/>
    <w:rsid w:val="00906F10"/>
    <w:rsid w:val="009210C3"/>
    <w:rsid w:val="0093593A"/>
    <w:rsid w:val="00963147"/>
    <w:rsid w:val="00976C9D"/>
    <w:rsid w:val="009919A7"/>
    <w:rsid w:val="009B3B34"/>
    <w:rsid w:val="009E02BA"/>
    <w:rsid w:val="009F0C32"/>
    <w:rsid w:val="00A04EF5"/>
    <w:rsid w:val="00A4358D"/>
    <w:rsid w:val="00A87410"/>
    <w:rsid w:val="00A94916"/>
    <w:rsid w:val="00AC1989"/>
    <w:rsid w:val="00AD627F"/>
    <w:rsid w:val="00AE365A"/>
    <w:rsid w:val="00B064AA"/>
    <w:rsid w:val="00B31A4C"/>
    <w:rsid w:val="00B33C80"/>
    <w:rsid w:val="00B64791"/>
    <w:rsid w:val="00B7311A"/>
    <w:rsid w:val="00B93392"/>
    <w:rsid w:val="00BA0919"/>
    <w:rsid w:val="00BA6B29"/>
    <w:rsid w:val="00BB654F"/>
    <w:rsid w:val="00BF19E4"/>
    <w:rsid w:val="00C157E9"/>
    <w:rsid w:val="00C23D76"/>
    <w:rsid w:val="00C271BC"/>
    <w:rsid w:val="00C97BA2"/>
    <w:rsid w:val="00CF19C9"/>
    <w:rsid w:val="00CF69AF"/>
    <w:rsid w:val="00CF6AB8"/>
    <w:rsid w:val="00D63BE8"/>
    <w:rsid w:val="00D64936"/>
    <w:rsid w:val="00DE390D"/>
    <w:rsid w:val="00E203A7"/>
    <w:rsid w:val="00E84F9E"/>
    <w:rsid w:val="00F21258"/>
    <w:rsid w:val="00F945BE"/>
    <w:rsid w:val="00FC23F8"/>
    <w:rsid w:val="00FD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E11D5"/>
  <w15:chartTrackingRefBased/>
  <w15:docId w15:val="{7BEC2460-2F00-439A-925C-4EC579EA0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8236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82368"/>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D64936"/>
    <w:pPr>
      <w:ind w:left="720"/>
      <w:contextualSpacing/>
    </w:pPr>
  </w:style>
  <w:style w:type="character" w:styleId="Emphasis">
    <w:name w:val="Emphasis"/>
    <w:basedOn w:val="DefaultParagraphFont"/>
    <w:uiPriority w:val="20"/>
    <w:qFormat/>
    <w:rsid w:val="00A8741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4493">
      <w:bodyDiv w:val="1"/>
      <w:marLeft w:val="0"/>
      <w:marRight w:val="0"/>
      <w:marTop w:val="0"/>
      <w:marBottom w:val="0"/>
      <w:divBdr>
        <w:top w:val="none" w:sz="0" w:space="0" w:color="auto"/>
        <w:left w:val="none" w:sz="0" w:space="0" w:color="auto"/>
        <w:bottom w:val="none" w:sz="0" w:space="0" w:color="auto"/>
        <w:right w:val="none" w:sz="0" w:space="0" w:color="auto"/>
      </w:divBdr>
    </w:div>
    <w:div w:id="108398508">
      <w:bodyDiv w:val="1"/>
      <w:marLeft w:val="0"/>
      <w:marRight w:val="0"/>
      <w:marTop w:val="0"/>
      <w:marBottom w:val="0"/>
      <w:divBdr>
        <w:top w:val="none" w:sz="0" w:space="0" w:color="auto"/>
        <w:left w:val="none" w:sz="0" w:space="0" w:color="auto"/>
        <w:bottom w:val="none" w:sz="0" w:space="0" w:color="auto"/>
        <w:right w:val="none" w:sz="0" w:space="0" w:color="auto"/>
      </w:divBdr>
    </w:div>
    <w:div w:id="407844838">
      <w:bodyDiv w:val="1"/>
      <w:marLeft w:val="0"/>
      <w:marRight w:val="0"/>
      <w:marTop w:val="0"/>
      <w:marBottom w:val="0"/>
      <w:divBdr>
        <w:top w:val="none" w:sz="0" w:space="0" w:color="auto"/>
        <w:left w:val="none" w:sz="0" w:space="0" w:color="auto"/>
        <w:bottom w:val="none" w:sz="0" w:space="0" w:color="auto"/>
        <w:right w:val="none" w:sz="0" w:space="0" w:color="auto"/>
      </w:divBdr>
    </w:div>
    <w:div w:id="748700269">
      <w:bodyDiv w:val="1"/>
      <w:marLeft w:val="0"/>
      <w:marRight w:val="0"/>
      <w:marTop w:val="0"/>
      <w:marBottom w:val="0"/>
      <w:divBdr>
        <w:top w:val="none" w:sz="0" w:space="0" w:color="auto"/>
        <w:left w:val="none" w:sz="0" w:space="0" w:color="auto"/>
        <w:bottom w:val="none" w:sz="0" w:space="0" w:color="auto"/>
        <w:right w:val="none" w:sz="0" w:space="0" w:color="auto"/>
      </w:divBdr>
    </w:div>
    <w:div w:id="1387071286">
      <w:bodyDiv w:val="1"/>
      <w:marLeft w:val="0"/>
      <w:marRight w:val="0"/>
      <w:marTop w:val="0"/>
      <w:marBottom w:val="0"/>
      <w:divBdr>
        <w:top w:val="none" w:sz="0" w:space="0" w:color="auto"/>
        <w:left w:val="none" w:sz="0" w:space="0" w:color="auto"/>
        <w:bottom w:val="none" w:sz="0" w:space="0" w:color="auto"/>
        <w:right w:val="none" w:sz="0" w:space="0" w:color="auto"/>
      </w:divBdr>
    </w:div>
    <w:div w:id="1420369721">
      <w:bodyDiv w:val="1"/>
      <w:marLeft w:val="0"/>
      <w:marRight w:val="0"/>
      <w:marTop w:val="0"/>
      <w:marBottom w:val="0"/>
      <w:divBdr>
        <w:top w:val="none" w:sz="0" w:space="0" w:color="auto"/>
        <w:left w:val="none" w:sz="0" w:space="0" w:color="auto"/>
        <w:bottom w:val="none" w:sz="0" w:space="0" w:color="auto"/>
        <w:right w:val="none" w:sz="0" w:space="0" w:color="auto"/>
      </w:divBdr>
    </w:div>
    <w:div w:id="1900052232">
      <w:bodyDiv w:val="1"/>
      <w:marLeft w:val="0"/>
      <w:marRight w:val="0"/>
      <w:marTop w:val="0"/>
      <w:marBottom w:val="0"/>
      <w:divBdr>
        <w:top w:val="none" w:sz="0" w:space="0" w:color="auto"/>
        <w:left w:val="none" w:sz="0" w:space="0" w:color="auto"/>
        <w:bottom w:val="none" w:sz="0" w:space="0" w:color="auto"/>
        <w:right w:val="none" w:sz="0" w:space="0" w:color="auto"/>
      </w:divBdr>
    </w:div>
    <w:div w:id="1940866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838BB3B328474EA6A7F6413B0ABD47" ma:contentTypeVersion="10" ma:contentTypeDescription="Create a new document." ma:contentTypeScope="" ma:versionID="63741b7a526aeb22d2145f08e25ea54d">
  <xsd:schema xmlns:xsd="http://www.w3.org/2001/XMLSchema" xmlns:xs="http://www.w3.org/2001/XMLSchema" xmlns:p="http://schemas.microsoft.com/office/2006/metadata/properties" xmlns:ns3="5a069f5c-268c-42d1-979c-abcca21ba24d" targetNamespace="http://schemas.microsoft.com/office/2006/metadata/properties" ma:root="true" ma:fieldsID="8438927efc0d92482bbaa8a27ed1874e" ns3:_="">
    <xsd:import namespace="5a069f5c-268c-42d1-979c-abcca21ba24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069f5c-268c-42d1-979c-abcca21ba2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2D0544-BCE0-4183-B3CF-F601A90FF2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069f5c-268c-42d1-979c-abcca21ba2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4E07DD-8495-42A3-851F-8ECFFC7DAB35}">
  <ds:schemaRefs>
    <ds:schemaRef ds:uri="http://schemas.microsoft.com/sharepoint/v3/contenttype/forms"/>
  </ds:schemaRefs>
</ds:datastoreItem>
</file>

<file path=customXml/itemProps3.xml><?xml version="1.0" encoding="utf-8"?>
<ds:datastoreItem xmlns:ds="http://schemas.openxmlformats.org/officeDocument/2006/customXml" ds:itemID="{3524FBC3-D2EE-446B-9593-D296AD18AF4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3DB6AA5-A09F-4AF5-8603-3EC58B639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2665</TotalTime>
  <Pages>6</Pages>
  <Words>1414</Words>
  <Characters>8066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75</cp:revision>
  <dcterms:created xsi:type="dcterms:W3CDTF">2022-07-03T14:54:00Z</dcterms:created>
  <dcterms:modified xsi:type="dcterms:W3CDTF">2022-07-05T12:56:00Z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0x01010093838BB3B328474EA6A7F6413B0ABD47</vt:lpwstr>
  </property>
</Properties>
</file>