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80541" w14:textId="198E878F" w:rsidR="00C92ACC" w:rsidRDefault="00123023">
      <w:pPr>
        <w:spacing w:line="259" w:lineRule="auto"/>
        <w:jc w:val="left"/>
        <w:rPr>
          <w:sz w:val="28"/>
          <w:szCs w:val="28"/>
        </w:rPr>
      </w:pPr>
      <w:r>
        <w:rPr>
          <w:sz w:val="28"/>
          <w:szCs w:val="28"/>
        </w:rPr>
        <w:t xml:space="preserve">                  </w:t>
      </w:r>
      <w:r w:rsidR="00931D1D">
        <w:rPr>
          <w:sz w:val="28"/>
          <w:szCs w:val="28"/>
        </w:rPr>
        <w:t xml:space="preserve">              </w:t>
      </w:r>
      <w:r w:rsidR="000A0ED8">
        <w:rPr>
          <w:sz w:val="28"/>
          <w:szCs w:val="28"/>
        </w:rPr>
        <w:t xml:space="preserve">COMMUNITY </w:t>
      </w:r>
      <w:r w:rsidR="00C92ACC">
        <w:rPr>
          <w:sz w:val="28"/>
          <w:szCs w:val="28"/>
        </w:rPr>
        <w:t>ENGAGEMENT</w:t>
      </w:r>
    </w:p>
    <w:p w14:paraId="585C67F0" w14:textId="77777777" w:rsidR="00E83A9D" w:rsidRDefault="00C92ACC">
      <w:pPr>
        <w:spacing w:line="259" w:lineRule="auto"/>
        <w:jc w:val="left"/>
        <w:rPr>
          <w:sz w:val="28"/>
          <w:szCs w:val="28"/>
        </w:rPr>
      </w:pPr>
      <w:r>
        <w:rPr>
          <w:sz w:val="28"/>
          <w:szCs w:val="28"/>
        </w:rPr>
        <w:t xml:space="preserve">                         </w:t>
      </w:r>
      <w:r w:rsidR="00E83A9D">
        <w:rPr>
          <w:sz w:val="28"/>
          <w:szCs w:val="28"/>
        </w:rPr>
        <w:t xml:space="preserve">                   LCBB4002</w:t>
      </w:r>
    </w:p>
    <w:p w14:paraId="2C05EE9D" w14:textId="77777777" w:rsidR="00E83A9D" w:rsidRDefault="00E83A9D">
      <w:pPr>
        <w:spacing w:line="259" w:lineRule="auto"/>
        <w:jc w:val="left"/>
        <w:rPr>
          <w:sz w:val="28"/>
          <w:szCs w:val="28"/>
        </w:rPr>
      </w:pPr>
    </w:p>
    <w:p w14:paraId="17E77EE6" w14:textId="77777777" w:rsidR="00A54EF9" w:rsidRDefault="00FF6EC9">
      <w:pPr>
        <w:spacing w:line="259" w:lineRule="auto"/>
        <w:jc w:val="left"/>
        <w:rPr>
          <w:sz w:val="28"/>
          <w:szCs w:val="28"/>
        </w:rPr>
      </w:pPr>
      <w:r>
        <w:rPr>
          <w:sz w:val="28"/>
          <w:szCs w:val="28"/>
        </w:rPr>
        <w:t>Student name: Mihae</w:t>
      </w:r>
      <w:r w:rsidR="00A54EF9">
        <w:rPr>
          <w:sz w:val="28"/>
          <w:szCs w:val="28"/>
        </w:rPr>
        <w:t>la Daniela Simcea</w:t>
      </w:r>
    </w:p>
    <w:p w14:paraId="361E9641" w14:textId="77777777" w:rsidR="00C37FE7" w:rsidRDefault="00A54EF9">
      <w:pPr>
        <w:spacing w:line="259" w:lineRule="auto"/>
        <w:jc w:val="left"/>
        <w:rPr>
          <w:sz w:val="28"/>
          <w:szCs w:val="28"/>
        </w:rPr>
      </w:pPr>
      <w:r>
        <w:rPr>
          <w:sz w:val="28"/>
          <w:szCs w:val="28"/>
        </w:rPr>
        <w:t xml:space="preserve">Student ID </w:t>
      </w:r>
      <w:r w:rsidR="00C37FE7">
        <w:rPr>
          <w:sz w:val="28"/>
          <w:szCs w:val="28"/>
        </w:rPr>
        <w:t>:2028830</w:t>
      </w:r>
    </w:p>
    <w:p w14:paraId="460F3C63" w14:textId="77777777" w:rsidR="00C37FE7" w:rsidRDefault="00C37FE7">
      <w:pPr>
        <w:spacing w:line="259" w:lineRule="auto"/>
        <w:jc w:val="left"/>
        <w:rPr>
          <w:sz w:val="28"/>
          <w:szCs w:val="28"/>
        </w:rPr>
      </w:pPr>
    </w:p>
    <w:p w14:paraId="14A768D2" w14:textId="77777777" w:rsidR="00C37FE7" w:rsidRDefault="00C37FE7">
      <w:pPr>
        <w:spacing w:line="259" w:lineRule="auto"/>
        <w:jc w:val="left"/>
        <w:rPr>
          <w:sz w:val="28"/>
          <w:szCs w:val="28"/>
        </w:rPr>
      </w:pPr>
    </w:p>
    <w:p w14:paraId="5EBBF89D" w14:textId="644D4EBA" w:rsidR="00396D01" w:rsidRPr="00E83A9D" w:rsidRDefault="00C37FE7">
      <w:pPr>
        <w:spacing w:line="259" w:lineRule="auto"/>
        <w:jc w:val="left"/>
        <w:rPr>
          <w:sz w:val="28"/>
          <w:szCs w:val="28"/>
        </w:rPr>
      </w:pPr>
      <w:r>
        <w:rPr>
          <w:sz w:val="28"/>
          <w:szCs w:val="28"/>
        </w:rPr>
        <w:t xml:space="preserve">                                                                        </w:t>
      </w:r>
      <w:r w:rsidR="00F17912">
        <w:rPr>
          <w:sz w:val="28"/>
          <w:szCs w:val="28"/>
        </w:rPr>
        <w:t xml:space="preserve">Lecturer: Dr Olu </w:t>
      </w:r>
      <w:r w:rsidR="00D028F0">
        <w:rPr>
          <w:sz w:val="28"/>
          <w:szCs w:val="28"/>
        </w:rPr>
        <w:t>A</w:t>
      </w:r>
      <w:r w:rsidR="00902640">
        <w:rPr>
          <w:sz w:val="28"/>
          <w:szCs w:val="28"/>
        </w:rPr>
        <w:t xml:space="preserve">degbite </w:t>
      </w:r>
      <w:r w:rsidR="00396D01">
        <w:br w:type="page"/>
      </w:r>
    </w:p>
    <w:sdt>
      <w:sdtPr>
        <w:rPr>
          <w:rFonts w:ascii="Arial" w:eastAsiaTheme="minorHAnsi" w:hAnsi="Arial" w:cstheme="minorBidi"/>
          <w:color w:val="auto"/>
          <w:sz w:val="24"/>
          <w:szCs w:val="22"/>
        </w:rPr>
        <w:id w:val="49653965"/>
        <w:docPartObj>
          <w:docPartGallery w:val="Table of Contents"/>
          <w:docPartUnique/>
        </w:docPartObj>
      </w:sdtPr>
      <w:sdtEndPr>
        <w:rPr>
          <w:b/>
          <w:bCs/>
          <w:noProof/>
        </w:rPr>
      </w:sdtEndPr>
      <w:sdtContent>
        <w:p w14:paraId="5DA241DC" w14:textId="2D3928B2" w:rsidR="00396D01" w:rsidRPr="00606197" w:rsidRDefault="00396D01" w:rsidP="00606197">
          <w:pPr>
            <w:pStyle w:val="TOCHeading"/>
            <w:shd w:val="clear" w:color="auto" w:fill="002060"/>
            <w:jc w:val="center"/>
            <w:rPr>
              <w:rFonts w:ascii="Arial" w:hAnsi="Arial" w:cs="Arial"/>
              <w:b/>
              <w:color w:val="FFFFFF" w:themeColor="background1"/>
              <w:sz w:val="36"/>
            </w:rPr>
          </w:pPr>
          <w:r w:rsidRPr="00606197">
            <w:rPr>
              <w:rFonts w:ascii="Arial" w:hAnsi="Arial" w:cs="Arial"/>
              <w:b/>
              <w:color w:val="FFFFFF" w:themeColor="background1"/>
              <w:sz w:val="36"/>
            </w:rPr>
            <w:t>Table of Contents</w:t>
          </w:r>
        </w:p>
        <w:p w14:paraId="01DD5F49" w14:textId="11D1595F" w:rsidR="00E53B95" w:rsidRDefault="00396D0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5320495" w:history="1">
            <w:r w:rsidR="00E53B95" w:rsidRPr="0022597B">
              <w:rPr>
                <w:rStyle w:val="Hyperlink"/>
                <w:noProof/>
              </w:rPr>
              <w:t>Introduction</w:t>
            </w:r>
            <w:r w:rsidR="00E53B95">
              <w:rPr>
                <w:noProof/>
                <w:webHidden/>
              </w:rPr>
              <w:tab/>
            </w:r>
            <w:r w:rsidR="00E53B95">
              <w:rPr>
                <w:noProof/>
                <w:webHidden/>
              </w:rPr>
              <w:fldChar w:fldCharType="begin"/>
            </w:r>
            <w:r w:rsidR="00E53B95">
              <w:rPr>
                <w:noProof/>
                <w:webHidden/>
              </w:rPr>
              <w:instrText xml:space="preserve"> PAGEREF _Toc85320495 \h </w:instrText>
            </w:r>
            <w:r w:rsidR="00E53B95">
              <w:rPr>
                <w:noProof/>
                <w:webHidden/>
              </w:rPr>
            </w:r>
            <w:r w:rsidR="00E53B95">
              <w:rPr>
                <w:noProof/>
                <w:webHidden/>
              </w:rPr>
              <w:fldChar w:fldCharType="separate"/>
            </w:r>
            <w:r w:rsidR="00E53B95">
              <w:rPr>
                <w:noProof/>
                <w:webHidden/>
              </w:rPr>
              <w:t>3</w:t>
            </w:r>
            <w:r w:rsidR="00E53B95">
              <w:rPr>
                <w:noProof/>
                <w:webHidden/>
              </w:rPr>
              <w:fldChar w:fldCharType="end"/>
            </w:r>
          </w:hyperlink>
        </w:p>
        <w:p w14:paraId="249D12B1" w14:textId="64AB5D08" w:rsidR="00E53B95" w:rsidRDefault="00617413">
          <w:pPr>
            <w:pStyle w:val="TOC1"/>
            <w:tabs>
              <w:tab w:val="right" w:leader="dot" w:pos="9350"/>
            </w:tabs>
            <w:rPr>
              <w:rFonts w:asciiTheme="minorHAnsi" w:eastAsiaTheme="minorEastAsia" w:hAnsiTheme="minorHAnsi"/>
              <w:noProof/>
              <w:sz w:val="22"/>
            </w:rPr>
          </w:pPr>
          <w:hyperlink w:anchor="_Toc85320496" w:history="1">
            <w:r w:rsidR="00E53B95" w:rsidRPr="0022597B">
              <w:rPr>
                <w:rStyle w:val="Hyperlink"/>
                <w:noProof/>
              </w:rPr>
              <w:t>Discussion and Analysis</w:t>
            </w:r>
            <w:r w:rsidR="00E53B95">
              <w:rPr>
                <w:noProof/>
                <w:webHidden/>
              </w:rPr>
              <w:tab/>
            </w:r>
            <w:r w:rsidR="00E53B95">
              <w:rPr>
                <w:noProof/>
                <w:webHidden/>
              </w:rPr>
              <w:fldChar w:fldCharType="begin"/>
            </w:r>
            <w:r w:rsidR="00E53B95">
              <w:rPr>
                <w:noProof/>
                <w:webHidden/>
              </w:rPr>
              <w:instrText xml:space="preserve"> PAGEREF _Toc85320496 \h </w:instrText>
            </w:r>
            <w:r w:rsidR="00E53B95">
              <w:rPr>
                <w:noProof/>
                <w:webHidden/>
              </w:rPr>
            </w:r>
            <w:r w:rsidR="00E53B95">
              <w:rPr>
                <w:noProof/>
                <w:webHidden/>
              </w:rPr>
              <w:fldChar w:fldCharType="separate"/>
            </w:r>
            <w:r w:rsidR="00E53B95">
              <w:rPr>
                <w:noProof/>
                <w:webHidden/>
              </w:rPr>
              <w:t>4</w:t>
            </w:r>
            <w:r w:rsidR="00E53B95">
              <w:rPr>
                <w:noProof/>
                <w:webHidden/>
              </w:rPr>
              <w:fldChar w:fldCharType="end"/>
            </w:r>
          </w:hyperlink>
        </w:p>
        <w:p w14:paraId="38E2D95C" w14:textId="0844C612" w:rsidR="00E53B95" w:rsidRDefault="00617413">
          <w:pPr>
            <w:pStyle w:val="TOC2"/>
            <w:tabs>
              <w:tab w:val="right" w:leader="dot" w:pos="9350"/>
            </w:tabs>
            <w:rPr>
              <w:rFonts w:asciiTheme="minorHAnsi" w:eastAsiaTheme="minorEastAsia" w:hAnsiTheme="minorHAnsi"/>
              <w:noProof/>
              <w:sz w:val="22"/>
            </w:rPr>
          </w:pPr>
          <w:hyperlink w:anchor="_Toc85320497" w:history="1">
            <w:r w:rsidR="00E53B95" w:rsidRPr="0022597B">
              <w:rPr>
                <w:rStyle w:val="Hyperlink"/>
                <w:noProof/>
              </w:rPr>
              <w:t>Importance of community engagement</w:t>
            </w:r>
            <w:r w:rsidR="00E53B95">
              <w:rPr>
                <w:noProof/>
                <w:webHidden/>
              </w:rPr>
              <w:tab/>
            </w:r>
            <w:r w:rsidR="00E53B95">
              <w:rPr>
                <w:noProof/>
                <w:webHidden/>
              </w:rPr>
              <w:fldChar w:fldCharType="begin"/>
            </w:r>
            <w:r w:rsidR="00E53B95">
              <w:rPr>
                <w:noProof/>
                <w:webHidden/>
              </w:rPr>
              <w:instrText xml:space="preserve"> PAGEREF _Toc85320497 \h </w:instrText>
            </w:r>
            <w:r w:rsidR="00E53B95">
              <w:rPr>
                <w:noProof/>
                <w:webHidden/>
              </w:rPr>
            </w:r>
            <w:r w:rsidR="00E53B95">
              <w:rPr>
                <w:noProof/>
                <w:webHidden/>
              </w:rPr>
              <w:fldChar w:fldCharType="separate"/>
            </w:r>
            <w:r w:rsidR="00E53B95">
              <w:rPr>
                <w:noProof/>
                <w:webHidden/>
              </w:rPr>
              <w:t>4</w:t>
            </w:r>
            <w:r w:rsidR="00E53B95">
              <w:rPr>
                <w:noProof/>
                <w:webHidden/>
              </w:rPr>
              <w:fldChar w:fldCharType="end"/>
            </w:r>
          </w:hyperlink>
        </w:p>
        <w:p w14:paraId="71B96CB8" w14:textId="5E967541" w:rsidR="00E53B95" w:rsidRDefault="00617413">
          <w:pPr>
            <w:pStyle w:val="TOC2"/>
            <w:tabs>
              <w:tab w:val="right" w:leader="dot" w:pos="9350"/>
            </w:tabs>
            <w:rPr>
              <w:rFonts w:asciiTheme="minorHAnsi" w:eastAsiaTheme="minorEastAsia" w:hAnsiTheme="minorHAnsi"/>
              <w:noProof/>
              <w:sz w:val="22"/>
            </w:rPr>
          </w:pPr>
          <w:hyperlink w:anchor="_Toc85320498" w:history="1">
            <w:r w:rsidR="00E53B95" w:rsidRPr="0022597B">
              <w:rPr>
                <w:rStyle w:val="Hyperlink"/>
                <w:noProof/>
              </w:rPr>
              <w:t>Importance of transferable skills in community engagement</w:t>
            </w:r>
            <w:r w:rsidR="00E53B95">
              <w:rPr>
                <w:noProof/>
                <w:webHidden/>
              </w:rPr>
              <w:tab/>
            </w:r>
            <w:r w:rsidR="00E53B95">
              <w:rPr>
                <w:noProof/>
                <w:webHidden/>
              </w:rPr>
              <w:fldChar w:fldCharType="begin"/>
            </w:r>
            <w:r w:rsidR="00E53B95">
              <w:rPr>
                <w:noProof/>
                <w:webHidden/>
              </w:rPr>
              <w:instrText xml:space="preserve"> PAGEREF _Toc85320498 \h </w:instrText>
            </w:r>
            <w:r w:rsidR="00E53B95">
              <w:rPr>
                <w:noProof/>
                <w:webHidden/>
              </w:rPr>
            </w:r>
            <w:r w:rsidR="00E53B95">
              <w:rPr>
                <w:noProof/>
                <w:webHidden/>
              </w:rPr>
              <w:fldChar w:fldCharType="separate"/>
            </w:r>
            <w:r w:rsidR="00E53B95">
              <w:rPr>
                <w:noProof/>
                <w:webHidden/>
              </w:rPr>
              <w:t>6</w:t>
            </w:r>
            <w:r w:rsidR="00E53B95">
              <w:rPr>
                <w:noProof/>
                <w:webHidden/>
              </w:rPr>
              <w:fldChar w:fldCharType="end"/>
            </w:r>
          </w:hyperlink>
        </w:p>
        <w:p w14:paraId="718CC7ED" w14:textId="11334BE1" w:rsidR="00E53B95" w:rsidRDefault="00617413">
          <w:pPr>
            <w:pStyle w:val="TOC2"/>
            <w:tabs>
              <w:tab w:val="right" w:leader="dot" w:pos="9350"/>
            </w:tabs>
            <w:rPr>
              <w:rFonts w:asciiTheme="minorHAnsi" w:eastAsiaTheme="minorEastAsia" w:hAnsiTheme="minorHAnsi"/>
              <w:noProof/>
              <w:sz w:val="22"/>
            </w:rPr>
          </w:pPr>
          <w:hyperlink w:anchor="_Toc85320499" w:history="1">
            <w:r w:rsidR="00E53B95" w:rsidRPr="0022597B">
              <w:rPr>
                <w:rStyle w:val="Hyperlink"/>
                <w:noProof/>
              </w:rPr>
              <w:t>Transferable skills in the case of Tony Clark’s community engagement</w:t>
            </w:r>
            <w:r w:rsidR="00E53B95">
              <w:rPr>
                <w:noProof/>
                <w:webHidden/>
              </w:rPr>
              <w:tab/>
            </w:r>
            <w:r w:rsidR="00E53B95">
              <w:rPr>
                <w:noProof/>
                <w:webHidden/>
              </w:rPr>
              <w:fldChar w:fldCharType="begin"/>
            </w:r>
            <w:r w:rsidR="00E53B95">
              <w:rPr>
                <w:noProof/>
                <w:webHidden/>
              </w:rPr>
              <w:instrText xml:space="preserve"> PAGEREF _Toc85320499 \h </w:instrText>
            </w:r>
            <w:r w:rsidR="00E53B95">
              <w:rPr>
                <w:noProof/>
                <w:webHidden/>
              </w:rPr>
            </w:r>
            <w:r w:rsidR="00E53B95">
              <w:rPr>
                <w:noProof/>
                <w:webHidden/>
              </w:rPr>
              <w:fldChar w:fldCharType="separate"/>
            </w:r>
            <w:r w:rsidR="00E53B95">
              <w:rPr>
                <w:noProof/>
                <w:webHidden/>
              </w:rPr>
              <w:t>8</w:t>
            </w:r>
            <w:r w:rsidR="00E53B95">
              <w:rPr>
                <w:noProof/>
                <w:webHidden/>
              </w:rPr>
              <w:fldChar w:fldCharType="end"/>
            </w:r>
          </w:hyperlink>
        </w:p>
        <w:p w14:paraId="40DEBD51" w14:textId="501B85A3" w:rsidR="00E53B95" w:rsidRDefault="00617413">
          <w:pPr>
            <w:pStyle w:val="TOC2"/>
            <w:tabs>
              <w:tab w:val="right" w:leader="dot" w:pos="9350"/>
            </w:tabs>
            <w:rPr>
              <w:rFonts w:asciiTheme="minorHAnsi" w:eastAsiaTheme="minorEastAsia" w:hAnsiTheme="minorHAnsi"/>
              <w:noProof/>
              <w:sz w:val="22"/>
            </w:rPr>
          </w:pPr>
          <w:hyperlink w:anchor="_Toc85320500" w:history="1">
            <w:r w:rsidR="00E53B95" w:rsidRPr="0022597B">
              <w:rPr>
                <w:rStyle w:val="Hyperlink"/>
                <w:noProof/>
              </w:rPr>
              <w:t>Recommendations for Mr. Clark’s employer for taking community engagement to next level</w:t>
            </w:r>
            <w:r w:rsidR="00E53B95">
              <w:rPr>
                <w:noProof/>
                <w:webHidden/>
              </w:rPr>
              <w:tab/>
            </w:r>
            <w:r w:rsidR="007A6977">
              <w:rPr>
                <w:noProof/>
                <w:webHidden/>
              </w:rPr>
              <w:t>10</w:t>
            </w:r>
          </w:hyperlink>
        </w:p>
        <w:p w14:paraId="3C11ADC2" w14:textId="4A1DB11C" w:rsidR="00E53B95" w:rsidRDefault="00617413">
          <w:pPr>
            <w:pStyle w:val="TOC1"/>
            <w:tabs>
              <w:tab w:val="right" w:leader="dot" w:pos="9350"/>
            </w:tabs>
            <w:rPr>
              <w:rFonts w:asciiTheme="minorHAnsi" w:eastAsiaTheme="minorEastAsia" w:hAnsiTheme="minorHAnsi"/>
              <w:noProof/>
              <w:sz w:val="22"/>
            </w:rPr>
          </w:pPr>
          <w:hyperlink w:anchor="_Toc85320501" w:history="1">
            <w:r w:rsidR="00E53B95" w:rsidRPr="0022597B">
              <w:rPr>
                <w:rStyle w:val="Hyperlink"/>
                <w:noProof/>
              </w:rPr>
              <w:t>Conclusion</w:t>
            </w:r>
            <w:r w:rsidR="00E53B95">
              <w:rPr>
                <w:noProof/>
                <w:webHidden/>
              </w:rPr>
              <w:tab/>
            </w:r>
            <w:r w:rsidR="00E53B95">
              <w:rPr>
                <w:noProof/>
                <w:webHidden/>
              </w:rPr>
              <w:fldChar w:fldCharType="begin"/>
            </w:r>
            <w:r w:rsidR="00E53B95">
              <w:rPr>
                <w:noProof/>
                <w:webHidden/>
              </w:rPr>
              <w:instrText xml:space="preserve"> PAGEREF _Toc85320501 \h </w:instrText>
            </w:r>
            <w:r w:rsidR="00E53B95">
              <w:rPr>
                <w:noProof/>
                <w:webHidden/>
              </w:rPr>
            </w:r>
            <w:r w:rsidR="00E53B95">
              <w:rPr>
                <w:noProof/>
                <w:webHidden/>
              </w:rPr>
              <w:fldChar w:fldCharType="separate"/>
            </w:r>
            <w:r w:rsidR="00E53B95">
              <w:rPr>
                <w:noProof/>
                <w:webHidden/>
              </w:rPr>
              <w:t>11</w:t>
            </w:r>
            <w:r w:rsidR="00E53B95">
              <w:rPr>
                <w:noProof/>
                <w:webHidden/>
              </w:rPr>
              <w:fldChar w:fldCharType="end"/>
            </w:r>
          </w:hyperlink>
        </w:p>
        <w:p w14:paraId="0D43C372" w14:textId="295E1A77" w:rsidR="00E53B95" w:rsidRDefault="00617413">
          <w:pPr>
            <w:pStyle w:val="TOC1"/>
            <w:tabs>
              <w:tab w:val="right" w:leader="dot" w:pos="9350"/>
            </w:tabs>
            <w:rPr>
              <w:rFonts w:asciiTheme="minorHAnsi" w:eastAsiaTheme="minorEastAsia" w:hAnsiTheme="minorHAnsi"/>
              <w:noProof/>
              <w:sz w:val="22"/>
            </w:rPr>
          </w:pPr>
          <w:hyperlink w:anchor="_Toc85320502" w:history="1">
            <w:r w:rsidR="00E53B95" w:rsidRPr="0022597B">
              <w:rPr>
                <w:rStyle w:val="Hyperlink"/>
                <w:noProof/>
              </w:rPr>
              <w:t>References</w:t>
            </w:r>
            <w:r w:rsidR="00E53B95">
              <w:rPr>
                <w:noProof/>
                <w:webHidden/>
              </w:rPr>
              <w:tab/>
            </w:r>
            <w:r w:rsidR="00E53B95">
              <w:rPr>
                <w:noProof/>
                <w:webHidden/>
              </w:rPr>
              <w:fldChar w:fldCharType="begin"/>
            </w:r>
            <w:r w:rsidR="00E53B95">
              <w:rPr>
                <w:noProof/>
                <w:webHidden/>
              </w:rPr>
              <w:instrText xml:space="preserve"> PAGEREF _Toc85320502 \h </w:instrText>
            </w:r>
            <w:r w:rsidR="00E53B95">
              <w:rPr>
                <w:noProof/>
                <w:webHidden/>
              </w:rPr>
            </w:r>
            <w:r w:rsidR="00E53B95">
              <w:rPr>
                <w:noProof/>
                <w:webHidden/>
              </w:rPr>
              <w:fldChar w:fldCharType="separate"/>
            </w:r>
            <w:r w:rsidR="00E53B95">
              <w:rPr>
                <w:noProof/>
                <w:webHidden/>
              </w:rPr>
              <w:t>12</w:t>
            </w:r>
            <w:r w:rsidR="00E53B95">
              <w:rPr>
                <w:noProof/>
                <w:webHidden/>
              </w:rPr>
              <w:fldChar w:fldCharType="end"/>
            </w:r>
          </w:hyperlink>
        </w:p>
        <w:p w14:paraId="34C58F6E" w14:textId="7BADA954" w:rsidR="00396D01" w:rsidRDefault="00396D01">
          <w:r>
            <w:rPr>
              <w:b/>
              <w:bCs/>
              <w:noProof/>
            </w:rPr>
            <w:fldChar w:fldCharType="end"/>
          </w:r>
        </w:p>
      </w:sdtContent>
    </w:sdt>
    <w:p w14:paraId="4D733EC3" w14:textId="08371D84" w:rsidR="00396D01" w:rsidRDefault="00396D01">
      <w:pPr>
        <w:spacing w:line="259" w:lineRule="auto"/>
        <w:jc w:val="left"/>
      </w:pPr>
      <w:r>
        <w:br w:type="page"/>
      </w:r>
    </w:p>
    <w:p w14:paraId="457406FA" w14:textId="14373BF2" w:rsidR="00EE7F25" w:rsidRPr="00E22475" w:rsidRDefault="00396D01" w:rsidP="00E22475">
      <w:pPr>
        <w:pStyle w:val="Heading1"/>
        <w:pBdr>
          <w:bottom w:val="single" w:sz="4" w:space="1" w:color="auto"/>
        </w:pBdr>
        <w:rPr>
          <w:rFonts w:cs="Arial"/>
          <w:b/>
          <w:sz w:val="22"/>
          <w:szCs w:val="22"/>
        </w:rPr>
      </w:pPr>
      <w:bookmarkStart w:id="0" w:name="_Toc85320495"/>
      <w:r w:rsidRPr="00E22475">
        <w:rPr>
          <w:rFonts w:cs="Arial"/>
          <w:b/>
          <w:sz w:val="22"/>
          <w:szCs w:val="22"/>
        </w:rPr>
        <w:lastRenderedPageBreak/>
        <w:t>Introduction</w:t>
      </w:r>
      <w:bookmarkEnd w:id="0"/>
    </w:p>
    <w:p w14:paraId="07BE0F84" w14:textId="77777777" w:rsidR="00606197" w:rsidRPr="00E22475" w:rsidRDefault="00396D01" w:rsidP="00E22475">
      <w:pPr>
        <w:rPr>
          <w:rFonts w:cs="Arial"/>
          <w:sz w:val="22"/>
        </w:rPr>
      </w:pPr>
      <w:r w:rsidRPr="00E22475">
        <w:rPr>
          <w:rFonts w:cs="Arial"/>
          <w:sz w:val="22"/>
        </w:rPr>
        <w:t xml:space="preserve">In this report, the concept of community engagement and its significance in personal development, social development, and organizational development have been critically evaluated. This report has assessed the role and contributions of community engagement based on the case of Tony Clark, who is a community firefighter and the developer of the community as well which works </w:t>
      </w:r>
      <w:r w:rsidR="007C67C6" w:rsidRPr="00E22475">
        <w:rPr>
          <w:rFonts w:cs="Arial"/>
          <w:sz w:val="22"/>
        </w:rPr>
        <w:t>for</w:t>
      </w:r>
      <w:r w:rsidRPr="00E22475">
        <w:rPr>
          <w:rFonts w:cs="Arial"/>
          <w:sz w:val="22"/>
        </w:rPr>
        <w:t xml:space="preserve"> ensuring the </w:t>
      </w:r>
      <w:r w:rsidR="007C67C6" w:rsidRPr="00E22475">
        <w:rPr>
          <w:rFonts w:cs="Arial"/>
          <w:sz w:val="22"/>
        </w:rPr>
        <w:t>well-being</w:t>
      </w:r>
      <w:r w:rsidRPr="00E22475">
        <w:rPr>
          <w:rFonts w:cs="Arial"/>
          <w:sz w:val="22"/>
        </w:rPr>
        <w:t xml:space="preserve"> and security of the people through saving lives and properties during fire accidents</w:t>
      </w:r>
      <w:r w:rsidR="009F7CE7" w:rsidRPr="00E22475">
        <w:rPr>
          <w:rFonts w:cs="Arial"/>
          <w:sz w:val="22"/>
        </w:rPr>
        <w:t xml:space="preserve"> (</w:t>
      </w:r>
      <w:r w:rsidR="009F7CE7" w:rsidRPr="00E22475">
        <w:rPr>
          <w:rFonts w:cs="Arial"/>
          <w:sz w:val="22"/>
          <w:shd w:val="clear" w:color="auto" w:fill="FFFFFF"/>
        </w:rPr>
        <w:t>Kumar, and Kumar, 2020)</w:t>
      </w:r>
      <w:r w:rsidRPr="00E22475">
        <w:rPr>
          <w:rFonts w:cs="Arial"/>
          <w:sz w:val="22"/>
        </w:rPr>
        <w:t xml:space="preserve">. The community works for </w:t>
      </w:r>
      <w:r w:rsidR="00E95F49" w:rsidRPr="00E22475">
        <w:rPr>
          <w:rFonts w:cs="Arial"/>
          <w:sz w:val="22"/>
        </w:rPr>
        <w:t>assisting with</w:t>
      </w:r>
      <w:r w:rsidRPr="00E22475">
        <w:rPr>
          <w:rFonts w:cs="Arial"/>
          <w:sz w:val="22"/>
        </w:rPr>
        <w:t xml:space="preserve"> medical emergencies as well. Tony Clark had founded the community around 10 years ago and many individuals have voluntarily participated in this community. </w:t>
      </w:r>
    </w:p>
    <w:p w14:paraId="1D8F48E3" w14:textId="2165F7F2" w:rsidR="00396D01" w:rsidRPr="00E22475" w:rsidRDefault="00396D01" w:rsidP="00E22475">
      <w:pPr>
        <w:rPr>
          <w:rFonts w:cs="Arial"/>
          <w:sz w:val="22"/>
        </w:rPr>
      </w:pPr>
      <w:r w:rsidRPr="00E22475">
        <w:rPr>
          <w:rFonts w:cs="Arial"/>
          <w:sz w:val="22"/>
        </w:rPr>
        <w:t xml:space="preserve">Since the development of the community, it has </w:t>
      </w:r>
      <w:r w:rsidR="00E95F49" w:rsidRPr="00E22475">
        <w:rPr>
          <w:rFonts w:cs="Arial"/>
          <w:sz w:val="22"/>
        </w:rPr>
        <w:t>assisted with</w:t>
      </w:r>
      <w:r w:rsidRPr="00E22475">
        <w:rPr>
          <w:rFonts w:cs="Arial"/>
          <w:sz w:val="22"/>
        </w:rPr>
        <w:t xml:space="preserve"> around 1791 fire accidents and 1037 medical emergency cases. Based on this case, the evaluation of community engagement and its importance have been evaluated throughout the report.</w:t>
      </w:r>
    </w:p>
    <w:p w14:paraId="215EA222" w14:textId="60574DCE" w:rsidR="007C67C6" w:rsidRPr="00E22475" w:rsidRDefault="00396D01" w:rsidP="00E22475">
      <w:pPr>
        <w:rPr>
          <w:rFonts w:cs="Arial"/>
          <w:sz w:val="22"/>
        </w:rPr>
      </w:pPr>
      <w:r w:rsidRPr="00E22475">
        <w:rPr>
          <w:rFonts w:cs="Arial"/>
          <w:sz w:val="22"/>
        </w:rPr>
        <w:t xml:space="preserve">In this report, the importance of community engagement </w:t>
      </w:r>
      <w:r w:rsidR="007C67C6" w:rsidRPr="00E22475">
        <w:rPr>
          <w:rFonts w:cs="Arial"/>
          <w:sz w:val="22"/>
        </w:rPr>
        <w:t>has been evaluated and the transferrable skills one can develop through community engagement have been identified and discussed. Moreover, based on the case of the community firefighter Tony Clark, the transferable skills have been identified and suggestions have been provided on how the employer of the community firefighter can achieve higher levels of community engagement.</w:t>
      </w:r>
    </w:p>
    <w:p w14:paraId="1050D412" w14:textId="77777777" w:rsidR="007C67C6" w:rsidRPr="00E22475" w:rsidRDefault="007C67C6" w:rsidP="00E22475">
      <w:pPr>
        <w:jc w:val="left"/>
        <w:rPr>
          <w:rFonts w:cs="Arial"/>
          <w:sz w:val="22"/>
        </w:rPr>
      </w:pPr>
      <w:r w:rsidRPr="00E22475">
        <w:rPr>
          <w:rFonts w:cs="Arial"/>
          <w:sz w:val="22"/>
        </w:rPr>
        <w:br w:type="page"/>
      </w:r>
    </w:p>
    <w:p w14:paraId="1C82C89F" w14:textId="11604A2E" w:rsidR="00396D01" w:rsidRPr="00E22475" w:rsidRDefault="008E100A" w:rsidP="00E22475">
      <w:pPr>
        <w:pStyle w:val="Heading1"/>
        <w:pBdr>
          <w:bottom w:val="single" w:sz="4" w:space="1" w:color="auto"/>
        </w:pBdr>
        <w:rPr>
          <w:rFonts w:cs="Arial"/>
          <w:b/>
          <w:sz w:val="22"/>
          <w:szCs w:val="22"/>
        </w:rPr>
      </w:pPr>
      <w:bookmarkStart w:id="1" w:name="_Toc85320496"/>
      <w:r w:rsidRPr="00E22475">
        <w:rPr>
          <w:rFonts w:cs="Arial"/>
          <w:b/>
          <w:sz w:val="22"/>
          <w:szCs w:val="22"/>
        </w:rPr>
        <w:lastRenderedPageBreak/>
        <w:t>Discussion and Analysis</w:t>
      </w:r>
      <w:bookmarkEnd w:id="1"/>
    </w:p>
    <w:p w14:paraId="360A7E29" w14:textId="23AFD10A" w:rsidR="008E100A" w:rsidRPr="00E22475" w:rsidRDefault="008E100A" w:rsidP="00E22475">
      <w:pPr>
        <w:pStyle w:val="Heading2"/>
        <w:rPr>
          <w:rFonts w:cs="Arial"/>
          <w:b/>
          <w:sz w:val="22"/>
          <w:szCs w:val="22"/>
        </w:rPr>
      </w:pPr>
      <w:bookmarkStart w:id="2" w:name="_Toc85320497"/>
      <w:r w:rsidRPr="00E22475">
        <w:rPr>
          <w:rFonts w:cs="Arial"/>
          <w:b/>
          <w:sz w:val="22"/>
          <w:szCs w:val="22"/>
        </w:rPr>
        <w:t>Importance of community engagement</w:t>
      </w:r>
      <w:bookmarkEnd w:id="2"/>
    </w:p>
    <w:p w14:paraId="2AF34559" w14:textId="6990208E" w:rsidR="008E100A" w:rsidRPr="00E22475" w:rsidRDefault="008E100A" w:rsidP="00E22475">
      <w:pPr>
        <w:rPr>
          <w:rFonts w:cs="Arial"/>
          <w:sz w:val="22"/>
        </w:rPr>
      </w:pPr>
      <w:r w:rsidRPr="00E22475">
        <w:rPr>
          <w:rFonts w:cs="Arial"/>
          <w:sz w:val="22"/>
        </w:rPr>
        <w:t>Community engagement refers to the direct participation in a community and involv</w:t>
      </w:r>
      <w:r w:rsidR="00E95F49" w:rsidRPr="00E22475">
        <w:rPr>
          <w:rFonts w:cs="Arial"/>
          <w:sz w:val="22"/>
        </w:rPr>
        <w:t>ement</w:t>
      </w:r>
      <w:r w:rsidRPr="00E22475">
        <w:rPr>
          <w:rFonts w:cs="Arial"/>
          <w:sz w:val="22"/>
        </w:rPr>
        <w:t xml:space="preserve"> in the operations to achieve the aim and </w:t>
      </w:r>
      <w:r w:rsidR="00F44447" w:rsidRPr="00E22475">
        <w:rPr>
          <w:rFonts w:cs="Arial"/>
          <w:sz w:val="22"/>
        </w:rPr>
        <w:t>objectives</w:t>
      </w:r>
      <w:r w:rsidRPr="00E22475">
        <w:rPr>
          <w:rFonts w:cs="Arial"/>
          <w:sz w:val="22"/>
        </w:rPr>
        <w:t xml:space="preserve"> of the community</w:t>
      </w:r>
      <w:r w:rsidR="009F7CE7" w:rsidRPr="00E22475">
        <w:rPr>
          <w:rFonts w:cs="Arial"/>
          <w:sz w:val="22"/>
        </w:rPr>
        <w:t xml:space="preserve"> (</w:t>
      </w:r>
      <w:r w:rsidR="009F7CE7" w:rsidRPr="00E22475">
        <w:rPr>
          <w:rFonts w:cs="Arial"/>
          <w:sz w:val="22"/>
          <w:shd w:val="clear" w:color="auto" w:fill="FFFFFF"/>
        </w:rPr>
        <w:t>Burgess, et al, 2021)</w:t>
      </w:r>
      <w:r w:rsidRPr="00E22475">
        <w:rPr>
          <w:rFonts w:cs="Arial"/>
          <w:sz w:val="22"/>
        </w:rPr>
        <w:t xml:space="preserve">. Providing emergency assistance during emergency cases as fire accidents or medical emergencies like the given case of the community developed by Tony Clark is a crucial example of community </w:t>
      </w:r>
      <w:r w:rsidR="00F44447" w:rsidRPr="00E22475">
        <w:rPr>
          <w:rFonts w:cs="Arial"/>
          <w:sz w:val="22"/>
        </w:rPr>
        <w:t>engagement</w:t>
      </w:r>
      <w:r w:rsidR="00E53B95" w:rsidRPr="00E22475">
        <w:rPr>
          <w:rFonts w:cs="Arial"/>
          <w:sz w:val="22"/>
        </w:rPr>
        <w:t xml:space="preserve"> (</w:t>
      </w:r>
      <w:r w:rsidR="00E53B95" w:rsidRPr="00E22475">
        <w:rPr>
          <w:rFonts w:cs="Arial"/>
          <w:sz w:val="22"/>
          <w:shd w:val="clear" w:color="auto" w:fill="FFFFFF"/>
        </w:rPr>
        <w:t>Brunton, et al, 2017)</w:t>
      </w:r>
      <w:r w:rsidRPr="00E22475">
        <w:rPr>
          <w:rFonts w:cs="Arial"/>
          <w:sz w:val="22"/>
        </w:rPr>
        <w:t>. Besides these, many other types of communities such as communit</w:t>
      </w:r>
      <w:r w:rsidR="00E95F49" w:rsidRPr="00E22475">
        <w:rPr>
          <w:rFonts w:cs="Arial"/>
          <w:sz w:val="22"/>
        </w:rPr>
        <w:t>ies</w:t>
      </w:r>
      <w:r w:rsidRPr="00E22475">
        <w:rPr>
          <w:rFonts w:cs="Arial"/>
          <w:sz w:val="22"/>
        </w:rPr>
        <w:t xml:space="preserve"> for environmental protection, financial protection, human rights, etc. are also highly evident in organizations</w:t>
      </w:r>
      <w:r w:rsidR="009F7CE7" w:rsidRPr="00E22475">
        <w:rPr>
          <w:rFonts w:cs="Arial"/>
          <w:sz w:val="22"/>
        </w:rPr>
        <w:t xml:space="preserve"> (</w:t>
      </w:r>
      <w:r w:rsidR="009F7CE7" w:rsidRPr="00E22475">
        <w:rPr>
          <w:rFonts w:cs="Arial"/>
          <w:sz w:val="22"/>
          <w:shd w:val="clear" w:color="auto" w:fill="FFFFFF"/>
        </w:rPr>
        <w:t>Adhikari, et al, 2020)</w:t>
      </w:r>
      <w:r w:rsidRPr="00E22475">
        <w:rPr>
          <w:rFonts w:cs="Arial"/>
          <w:sz w:val="22"/>
        </w:rPr>
        <w:t xml:space="preserve">. </w:t>
      </w:r>
      <w:r w:rsidR="009F7CE7" w:rsidRPr="00E22475">
        <w:rPr>
          <w:rFonts w:cs="Arial"/>
          <w:sz w:val="22"/>
        </w:rPr>
        <w:t>P</w:t>
      </w:r>
      <w:r w:rsidRPr="00E22475">
        <w:rPr>
          <w:rFonts w:cs="Arial"/>
          <w:sz w:val="22"/>
        </w:rPr>
        <w:t xml:space="preserve">articipating in such communities provides both the participants and the organizations with multifaceted benefits. In this part, the importance of </w:t>
      </w:r>
      <w:r w:rsidR="00F44447" w:rsidRPr="00E22475">
        <w:rPr>
          <w:rFonts w:cs="Arial"/>
          <w:sz w:val="22"/>
        </w:rPr>
        <w:t>community engagement has been evaluated and discussed.</w:t>
      </w:r>
    </w:p>
    <w:p w14:paraId="2E432948" w14:textId="1CA254DD" w:rsidR="00E53B95" w:rsidRPr="00E22475" w:rsidRDefault="00E53B95" w:rsidP="00E22475">
      <w:pPr>
        <w:rPr>
          <w:rFonts w:cs="Arial"/>
          <w:sz w:val="22"/>
        </w:rPr>
      </w:pPr>
      <w:r w:rsidRPr="00E22475">
        <w:rPr>
          <w:rFonts w:cs="Arial"/>
          <w:noProof/>
          <w:sz w:val="22"/>
        </w:rPr>
        <w:drawing>
          <wp:inline distT="0" distB="0" distL="0" distR="0" wp14:anchorId="41AD9481" wp14:editId="66168C5A">
            <wp:extent cx="5560828" cy="3902149"/>
            <wp:effectExtent l="0" t="0" r="0" b="222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73E7185" w14:textId="04E3D8F1" w:rsidR="00E53B95" w:rsidRPr="00E22475" w:rsidRDefault="00E53B95" w:rsidP="00E22475">
      <w:pPr>
        <w:jc w:val="center"/>
        <w:rPr>
          <w:rFonts w:cs="Arial"/>
          <w:sz w:val="22"/>
        </w:rPr>
      </w:pPr>
      <w:r w:rsidRPr="00E22475">
        <w:rPr>
          <w:rFonts w:cs="Arial"/>
          <w:sz w:val="22"/>
        </w:rPr>
        <w:t>Figure 1: Importance of community engagement</w:t>
      </w:r>
    </w:p>
    <w:p w14:paraId="34064821" w14:textId="1E8856B8" w:rsidR="00E53B95" w:rsidRPr="00E22475" w:rsidRDefault="00E53B95" w:rsidP="00E22475">
      <w:pPr>
        <w:jc w:val="center"/>
        <w:rPr>
          <w:rFonts w:cs="Arial"/>
          <w:sz w:val="22"/>
        </w:rPr>
      </w:pPr>
      <w:r w:rsidRPr="00E22475">
        <w:rPr>
          <w:rFonts w:cs="Arial"/>
          <w:sz w:val="22"/>
        </w:rPr>
        <w:t>Source: (</w:t>
      </w:r>
      <w:r w:rsidRPr="00E22475">
        <w:rPr>
          <w:rFonts w:cs="Arial"/>
          <w:sz w:val="22"/>
          <w:shd w:val="clear" w:color="auto" w:fill="FFFFFF"/>
        </w:rPr>
        <w:t>Adhikari, et al, 2020)</w:t>
      </w:r>
    </w:p>
    <w:p w14:paraId="2F496F40" w14:textId="77777777" w:rsidR="00035805" w:rsidRPr="00E22475" w:rsidRDefault="00035805" w:rsidP="00E22475">
      <w:pPr>
        <w:rPr>
          <w:rFonts w:cs="Arial"/>
          <w:b/>
          <w:bCs/>
          <w:sz w:val="22"/>
          <w:u w:val="single"/>
        </w:rPr>
      </w:pPr>
    </w:p>
    <w:p w14:paraId="7A90E654" w14:textId="42A42C6F" w:rsidR="00F44447" w:rsidRPr="00E22475" w:rsidRDefault="00F44447" w:rsidP="00E22475">
      <w:pPr>
        <w:rPr>
          <w:rFonts w:cs="Arial"/>
          <w:b/>
          <w:bCs/>
          <w:sz w:val="22"/>
          <w:u w:val="single"/>
        </w:rPr>
      </w:pPr>
      <w:r w:rsidRPr="00E22475">
        <w:rPr>
          <w:rFonts w:cs="Arial"/>
          <w:b/>
          <w:bCs/>
          <w:sz w:val="22"/>
          <w:u w:val="single"/>
        </w:rPr>
        <w:t>Develops problem</w:t>
      </w:r>
      <w:r w:rsidR="00E95F49" w:rsidRPr="00E22475">
        <w:rPr>
          <w:rFonts w:cs="Arial"/>
          <w:b/>
          <w:bCs/>
          <w:sz w:val="22"/>
          <w:u w:val="single"/>
        </w:rPr>
        <w:t>-</w:t>
      </w:r>
      <w:r w:rsidRPr="00E22475">
        <w:rPr>
          <w:rFonts w:cs="Arial"/>
          <w:b/>
          <w:bCs/>
          <w:sz w:val="22"/>
          <w:u w:val="single"/>
        </w:rPr>
        <w:t>solving skills</w:t>
      </w:r>
    </w:p>
    <w:p w14:paraId="790863E3" w14:textId="74E1C027" w:rsidR="00F44447" w:rsidRPr="00E22475" w:rsidRDefault="00F44447" w:rsidP="00E22475">
      <w:pPr>
        <w:rPr>
          <w:rFonts w:cs="Arial"/>
          <w:sz w:val="22"/>
        </w:rPr>
      </w:pPr>
      <w:r w:rsidRPr="00E22475">
        <w:rPr>
          <w:rFonts w:cs="Arial"/>
          <w:sz w:val="22"/>
        </w:rPr>
        <w:lastRenderedPageBreak/>
        <w:t>The individuals who participate in community activities and operations get the opportunity of developing problem-solving skills, a valuable skill both in personal and professional lives</w:t>
      </w:r>
      <w:r w:rsidR="00E53B95" w:rsidRPr="00E22475">
        <w:rPr>
          <w:rFonts w:cs="Arial"/>
          <w:sz w:val="22"/>
        </w:rPr>
        <w:t xml:space="preserve"> (</w:t>
      </w:r>
      <w:r w:rsidR="00E53B95" w:rsidRPr="00E22475">
        <w:rPr>
          <w:rFonts w:cs="Arial"/>
          <w:sz w:val="22"/>
          <w:shd w:val="clear" w:color="auto" w:fill="FFFFFF"/>
        </w:rPr>
        <w:t>Brunton, et al, 2017)</w:t>
      </w:r>
      <w:r w:rsidRPr="00E22475">
        <w:rPr>
          <w:rFonts w:cs="Arial"/>
          <w:sz w:val="22"/>
        </w:rPr>
        <w:t>. The individuals who engage in communities achieve practical experiences of generating solutions based on the generation of innovative ideas</w:t>
      </w:r>
      <w:r w:rsidR="009F7CE7" w:rsidRPr="00E22475">
        <w:rPr>
          <w:rFonts w:cs="Arial"/>
          <w:sz w:val="22"/>
        </w:rPr>
        <w:t xml:space="preserve"> (</w:t>
      </w:r>
      <w:r w:rsidR="009F7CE7" w:rsidRPr="00E22475">
        <w:rPr>
          <w:rFonts w:cs="Arial"/>
          <w:sz w:val="22"/>
          <w:shd w:val="clear" w:color="auto" w:fill="FFFFFF"/>
        </w:rPr>
        <w:t>Brunton, et al, 2017)</w:t>
      </w:r>
      <w:r w:rsidRPr="00E22475">
        <w:rPr>
          <w:rFonts w:cs="Arial"/>
          <w:sz w:val="22"/>
        </w:rPr>
        <w:t>. This enables them to develop the ability to create decisions and to develop problem-specific solutions through critically assessing the situations and the options available. Thus, it has been identified that community engagement assists in developing problem-solving skills which add to the significance and importance of participating in community works and services.</w:t>
      </w:r>
    </w:p>
    <w:p w14:paraId="6BEC5987" w14:textId="7AFF9496" w:rsidR="00F44447" w:rsidRPr="00E22475" w:rsidRDefault="00F44447" w:rsidP="00E22475">
      <w:pPr>
        <w:jc w:val="center"/>
        <w:rPr>
          <w:rFonts w:cs="Arial"/>
          <w:b/>
          <w:bCs/>
          <w:sz w:val="22"/>
          <w:u w:val="single"/>
        </w:rPr>
      </w:pPr>
      <w:r w:rsidRPr="00E22475">
        <w:rPr>
          <w:rFonts w:cs="Arial"/>
          <w:b/>
          <w:bCs/>
          <w:sz w:val="22"/>
          <w:u w:val="single"/>
        </w:rPr>
        <w:t>Develops collaborative relationships</w:t>
      </w:r>
    </w:p>
    <w:p w14:paraId="39F434F4" w14:textId="226976D0" w:rsidR="00F44447" w:rsidRPr="00E22475" w:rsidRDefault="00F44447" w:rsidP="00E22475">
      <w:pPr>
        <w:rPr>
          <w:rFonts w:cs="Arial"/>
          <w:sz w:val="22"/>
          <w:shd w:val="clear" w:color="auto" w:fill="FFFFFF"/>
        </w:rPr>
      </w:pPr>
      <w:r w:rsidRPr="00E22475">
        <w:rPr>
          <w:rFonts w:cs="Arial"/>
          <w:sz w:val="22"/>
        </w:rPr>
        <w:t>Since the participants in a community are required to work collaboratively to attain the core aim of the community, the participants receive the opportunity of developing collaborative relationship</w:t>
      </w:r>
      <w:r w:rsidR="00E95F49" w:rsidRPr="00E22475">
        <w:rPr>
          <w:rFonts w:cs="Arial"/>
          <w:sz w:val="22"/>
        </w:rPr>
        <w:t>s</w:t>
      </w:r>
      <w:r w:rsidRPr="00E22475">
        <w:rPr>
          <w:rFonts w:cs="Arial"/>
          <w:sz w:val="22"/>
        </w:rPr>
        <w:t xml:space="preserve"> with one another also with the organization</w:t>
      </w:r>
      <w:r w:rsidR="009F7CE7" w:rsidRPr="00E22475">
        <w:rPr>
          <w:rFonts w:cs="Arial"/>
          <w:sz w:val="22"/>
        </w:rPr>
        <w:t xml:space="preserve"> (</w:t>
      </w:r>
      <w:r w:rsidR="009F7CE7" w:rsidRPr="00E22475">
        <w:rPr>
          <w:rFonts w:cs="Arial"/>
          <w:sz w:val="22"/>
          <w:shd w:val="clear" w:color="auto" w:fill="FFFFFF"/>
        </w:rPr>
        <w:t xml:space="preserve">Reynolds, and </w:t>
      </w:r>
      <w:proofErr w:type="spellStart"/>
      <w:r w:rsidR="009F7CE7" w:rsidRPr="00E22475">
        <w:rPr>
          <w:rFonts w:cs="Arial"/>
          <w:sz w:val="22"/>
          <w:shd w:val="clear" w:color="auto" w:fill="FFFFFF"/>
        </w:rPr>
        <w:t>Sariola</w:t>
      </w:r>
      <w:proofErr w:type="spellEnd"/>
      <w:r w:rsidR="009F7CE7" w:rsidRPr="00E22475">
        <w:rPr>
          <w:rFonts w:cs="Arial"/>
          <w:sz w:val="22"/>
          <w:shd w:val="clear" w:color="auto" w:fill="FFFFFF"/>
        </w:rPr>
        <w:t>, 2018)</w:t>
      </w:r>
      <w:r w:rsidRPr="00E22475">
        <w:rPr>
          <w:rFonts w:cs="Arial"/>
          <w:sz w:val="22"/>
        </w:rPr>
        <w:t>. The individuals who engage in community operations and activities get practical experience of collaboratively working with a diversified group of people who have the same aim and are working to achieve the same objective</w:t>
      </w:r>
      <w:r w:rsidR="00E460F5" w:rsidRPr="00E22475">
        <w:rPr>
          <w:rFonts w:cs="Arial"/>
          <w:sz w:val="22"/>
        </w:rPr>
        <w:t xml:space="preserve"> (</w:t>
      </w:r>
      <w:r w:rsidR="00E460F5" w:rsidRPr="00E22475">
        <w:rPr>
          <w:rFonts w:cs="Arial"/>
          <w:sz w:val="22"/>
          <w:shd w:val="clear" w:color="auto" w:fill="FFFFFF"/>
        </w:rPr>
        <w:t>Martinez, et al, 2020)</w:t>
      </w:r>
      <w:r w:rsidRPr="00E22475">
        <w:rPr>
          <w:rFonts w:cs="Arial"/>
          <w:sz w:val="22"/>
        </w:rPr>
        <w:t>. This enhances collaborative values in an organization. Thus, it is identified that community engagement increases collaborative relationships.</w:t>
      </w:r>
    </w:p>
    <w:p w14:paraId="63361C17" w14:textId="7F0DFDA4" w:rsidR="00F44447" w:rsidRPr="00E22475" w:rsidRDefault="00816423" w:rsidP="00E22475">
      <w:pPr>
        <w:jc w:val="center"/>
        <w:rPr>
          <w:rFonts w:cs="Arial"/>
          <w:b/>
          <w:bCs/>
          <w:sz w:val="22"/>
          <w:u w:val="single"/>
        </w:rPr>
      </w:pPr>
      <w:r w:rsidRPr="00E22475">
        <w:rPr>
          <w:rFonts w:cs="Arial"/>
          <w:b/>
          <w:bCs/>
          <w:sz w:val="22"/>
          <w:u w:val="single"/>
        </w:rPr>
        <w:t>Assists in reducing conflicts</w:t>
      </w:r>
    </w:p>
    <w:p w14:paraId="56C86F98" w14:textId="685FEF41" w:rsidR="00816423" w:rsidRPr="00E22475" w:rsidRDefault="00816423" w:rsidP="00E22475">
      <w:pPr>
        <w:rPr>
          <w:rFonts w:cs="Arial"/>
          <w:sz w:val="22"/>
        </w:rPr>
      </w:pPr>
      <w:r w:rsidRPr="00E22475">
        <w:rPr>
          <w:rFonts w:cs="Arial"/>
          <w:sz w:val="22"/>
        </w:rPr>
        <w:t>Since community engagement develops greater and more effective communication among the participants of the community and also a collaborative relationship through leading the participants towards a common goal, the level of understanding and respect towards the individuals enhance which ultimately assists in eliminating conflicts and other issues</w:t>
      </w:r>
      <w:r w:rsidR="008126D8" w:rsidRPr="00E22475">
        <w:rPr>
          <w:rFonts w:cs="Arial"/>
          <w:sz w:val="22"/>
        </w:rPr>
        <w:t xml:space="preserve"> (</w:t>
      </w:r>
      <w:r w:rsidR="008126D8" w:rsidRPr="00E22475">
        <w:rPr>
          <w:rFonts w:cs="Arial"/>
          <w:sz w:val="22"/>
          <w:shd w:val="clear" w:color="auto" w:fill="FFFFFF"/>
        </w:rPr>
        <w:t>Pratt, et al, 2020)</w:t>
      </w:r>
      <w:r w:rsidRPr="00E22475">
        <w:rPr>
          <w:rFonts w:cs="Arial"/>
          <w:sz w:val="22"/>
        </w:rPr>
        <w:t xml:space="preserve">. This is one major importance of community engagement. </w:t>
      </w:r>
    </w:p>
    <w:p w14:paraId="36B22CB0" w14:textId="2A4B0D71" w:rsidR="00816423" w:rsidRPr="00E22475" w:rsidRDefault="00816423" w:rsidP="00E22475">
      <w:pPr>
        <w:jc w:val="center"/>
        <w:rPr>
          <w:rFonts w:cs="Arial"/>
          <w:b/>
          <w:bCs/>
          <w:sz w:val="22"/>
          <w:u w:val="single"/>
        </w:rPr>
      </w:pPr>
      <w:r w:rsidRPr="00E22475">
        <w:rPr>
          <w:rFonts w:cs="Arial"/>
          <w:b/>
          <w:bCs/>
          <w:sz w:val="22"/>
          <w:u w:val="single"/>
        </w:rPr>
        <w:t xml:space="preserve">Develops </w:t>
      </w:r>
      <w:r w:rsidR="00E95F49" w:rsidRPr="00E22475">
        <w:rPr>
          <w:rFonts w:cs="Arial"/>
          <w:b/>
          <w:bCs/>
          <w:sz w:val="22"/>
          <w:u w:val="single"/>
        </w:rPr>
        <w:t xml:space="preserve">a </w:t>
      </w:r>
      <w:r w:rsidRPr="00E22475">
        <w:rPr>
          <w:rFonts w:cs="Arial"/>
          <w:b/>
          <w:bCs/>
          <w:sz w:val="22"/>
          <w:u w:val="single"/>
        </w:rPr>
        <w:t>positive organizational culture</w:t>
      </w:r>
    </w:p>
    <w:p w14:paraId="49630ACA" w14:textId="6A2BE179" w:rsidR="00816423" w:rsidRPr="00E22475" w:rsidRDefault="00816423" w:rsidP="00E22475">
      <w:pPr>
        <w:rPr>
          <w:rFonts w:cs="Arial"/>
          <w:sz w:val="22"/>
        </w:rPr>
      </w:pPr>
      <w:r w:rsidRPr="00E22475">
        <w:rPr>
          <w:rFonts w:cs="Arial"/>
          <w:sz w:val="22"/>
        </w:rPr>
        <w:t xml:space="preserve">An organization where a community has been developed </w:t>
      </w:r>
      <w:r w:rsidR="00E95F49" w:rsidRPr="00E22475">
        <w:rPr>
          <w:rFonts w:cs="Arial"/>
          <w:sz w:val="22"/>
        </w:rPr>
        <w:t>that</w:t>
      </w:r>
      <w:r w:rsidRPr="00E22475">
        <w:rPr>
          <w:rFonts w:cs="Arial"/>
          <w:sz w:val="22"/>
        </w:rPr>
        <w:t xml:space="preserve"> operates to achieve the aim of ensuring the well-being of the members of the organization contains a positive working environment since the employees feel safe and secured</w:t>
      </w:r>
      <w:r w:rsidR="008126D8" w:rsidRPr="00E22475">
        <w:rPr>
          <w:rFonts w:cs="Arial"/>
          <w:sz w:val="22"/>
        </w:rPr>
        <w:t xml:space="preserve"> (</w:t>
      </w:r>
      <w:r w:rsidR="008126D8" w:rsidRPr="00E22475">
        <w:rPr>
          <w:rFonts w:cs="Arial"/>
          <w:sz w:val="22"/>
          <w:shd w:val="clear" w:color="auto" w:fill="FFFFFF"/>
        </w:rPr>
        <w:t>De Weger, et al, 2018)</w:t>
      </w:r>
      <w:r w:rsidRPr="00E22475">
        <w:rPr>
          <w:rFonts w:cs="Arial"/>
          <w:sz w:val="22"/>
        </w:rPr>
        <w:t xml:space="preserve">. Community engagement also creates greater employee empowerment and it adds to employee satisfaction level as well. these factors </w:t>
      </w:r>
      <w:r w:rsidR="001C21BC" w:rsidRPr="00E22475">
        <w:rPr>
          <w:rFonts w:cs="Arial"/>
          <w:sz w:val="22"/>
        </w:rPr>
        <w:t xml:space="preserve">acting </w:t>
      </w:r>
      <w:r w:rsidR="00E95F49" w:rsidRPr="00E22475">
        <w:rPr>
          <w:rFonts w:cs="Arial"/>
          <w:sz w:val="22"/>
        </w:rPr>
        <w:t xml:space="preserve">as </w:t>
      </w:r>
      <w:r w:rsidR="001C21BC" w:rsidRPr="00E22475">
        <w:rPr>
          <w:rFonts w:cs="Arial"/>
          <w:sz w:val="22"/>
        </w:rPr>
        <w:t xml:space="preserve">a combined force contribute </w:t>
      </w:r>
      <w:r w:rsidR="00E95F49" w:rsidRPr="00E22475">
        <w:rPr>
          <w:rFonts w:cs="Arial"/>
          <w:sz w:val="22"/>
        </w:rPr>
        <w:t>to</w:t>
      </w:r>
      <w:r w:rsidR="001C21BC" w:rsidRPr="00E22475">
        <w:rPr>
          <w:rFonts w:cs="Arial"/>
          <w:sz w:val="22"/>
        </w:rPr>
        <w:t xml:space="preserve"> developing a positive working environment and organizational culture. </w:t>
      </w:r>
    </w:p>
    <w:p w14:paraId="1E72678E" w14:textId="0C3E12FA" w:rsidR="00543CDD" w:rsidRPr="00E22475" w:rsidRDefault="00543CDD" w:rsidP="00E22475">
      <w:pPr>
        <w:pStyle w:val="Heading2"/>
        <w:rPr>
          <w:rFonts w:cs="Arial"/>
          <w:b/>
          <w:sz w:val="22"/>
          <w:szCs w:val="22"/>
        </w:rPr>
      </w:pPr>
      <w:bookmarkStart w:id="3" w:name="_Toc85320498"/>
      <w:r w:rsidRPr="00E22475">
        <w:rPr>
          <w:rFonts w:cs="Arial"/>
          <w:b/>
          <w:sz w:val="22"/>
          <w:szCs w:val="22"/>
        </w:rPr>
        <w:lastRenderedPageBreak/>
        <w:t xml:space="preserve">Importance of </w:t>
      </w:r>
      <w:r w:rsidR="008126D8" w:rsidRPr="00E22475">
        <w:rPr>
          <w:rFonts w:cs="Arial"/>
          <w:b/>
          <w:sz w:val="22"/>
          <w:szCs w:val="22"/>
        </w:rPr>
        <w:t>t</w:t>
      </w:r>
      <w:r w:rsidRPr="00E22475">
        <w:rPr>
          <w:rFonts w:cs="Arial"/>
          <w:b/>
          <w:sz w:val="22"/>
          <w:szCs w:val="22"/>
        </w:rPr>
        <w:t xml:space="preserve">ransferable </w:t>
      </w:r>
      <w:r w:rsidR="008126D8" w:rsidRPr="00E22475">
        <w:rPr>
          <w:rFonts w:cs="Arial"/>
          <w:b/>
          <w:sz w:val="22"/>
          <w:szCs w:val="22"/>
        </w:rPr>
        <w:t>s</w:t>
      </w:r>
      <w:r w:rsidRPr="00E22475">
        <w:rPr>
          <w:rFonts w:cs="Arial"/>
          <w:b/>
          <w:sz w:val="22"/>
          <w:szCs w:val="22"/>
        </w:rPr>
        <w:t xml:space="preserve">kills in </w:t>
      </w:r>
      <w:r w:rsidR="008126D8" w:rsidRPr="00E22475">
        <w:rPr>
          <w:rFonts w:cs="Arial"/>
          <w:b/>
          <w:sz w:val="22"/>
          <w:szCs w:val="22"/>
        </w:rPr>
        <w:t>c</w:t>
      </w:r>
      <w:r w:rsidRPr="00E22475">
        <w:rPr>
          <w:rFonts w:cs="Arial"/>
          <w:b/>
          <w:sz w:val="22"/>
          <w:szCs w:val="22"/>
        </w:rPr>
        <w:t xml:space="preserve">ommunity </w:t>
      </w:r>
      <w:r w:rsidR="008126D8" w:rsidRPr="00E22475">
        <w:rPr>
          <w:rFonts w:cs="Arial"/>
          <w:b/>
          <w:sz w:val="22"/>
          <w:szCs w:val="22"/>
        </w:rPr>
        <w:t>e</w:t>
      </w:r>
      <w:r w:rsidRPr="00E22475">
        <w:rPr>
          <w:rFonts w:cs="Arial"/>
          <w:b/>
          <w:sz w:val="22"/>
          <w:szCs w:val="22"/>
        </w:rPr>
        <w:t>ngagement</w:t>
      </w:r>
      <w:bookmarkEnd w:id="3"/>
    </w:p>
    <w:p w14:paraId="1FA8AADF" w14:textId="77777777" w:rsidR="00E53B95" w:rsidRPr="00E22475" w:rsidRDefault="00543CDD" w:rsidP="00E22475">
      <w:pPr>
        <w:rPr>
          <w:rFonts w:cs="Arial"/>
          <w:sz w:val="22"/>
        </w:rPr>
      </w:pPr>
      <w:r w:rsidRPr="00E22475">
        <w:rPr>
          <w:rFonts w:cs="Arial"/>
          <w:sz w:val="22"/>
        </w:rPr>
        <w:t>Participating in community activities provides the participants the opportunity to experience real</w:t>
      </w:r>
      <w:r w:rsidR="00E95F49" w:rsidRPr="00E22475">
        <w:rPr>
          <w:rFonts w:cs="Arial"/>
          <w:sz w:val="22"/>
        </w:rPr>
        <w:t>-</w:t>
      </w:r>
      <w:r w:rsidRPr="00E22475">
        <w:rPr>
          <w:rFonts w:cs="Arial"/>
          <w:sz w:val="22"/>
        </w:rPr>
        <w:t>life experiences from which they can develop many valuable skills and competencies</w:t>
      </w:r>
      <w:r w:rsidR="00E460F5" w:rsidRPr="00E22475">
        <w:rPr>
          <w:rFonts w:cs="Arial"/>
          <w:sz w:val="22"/>
        </w:rPr>
        <w:t xml:space="preserve"> (</w:t>
      </w:r>
      <w:r w:rsidR="00E460F5" w:rsidRPr="00E22475">
        <w:rPr>
          <w:rFonts w:cs="Arial"/>
          <w:sz w:val="22"/>
          <w:shd w:val="clear" w:color="auto" w:fill="FFFFFF"/>
        </w:rPr>
        <w:t>Abimbola, 2020)</w:t>
      </w:r>
      <w:r w:rsidRPr="00E22475">
        <w:rPr>
          <w:rFonts w:cs="Arial"/>
          <w:sz w:val="22"/>
        </w:rPr>
        <w:t xml:space="preserve">. </w:t>
      </w:r>
    </w:p>
    <w:p w14:paraId="0D96C6CE" w14:textId="2C5E7495" w:rsidR="00E53B95" w:rsidRPr="00E22475" w:rsidRDefault="00E53B95" w:rsidP="00E22475">
      <w:pPr>
        <w:jc w:val="center"/>
        <w:rPr>
          <w:rFonts w:cs="Arial"/>
          <w:sz w:val="22"/>
        </w:rPr>
      </w:pPr>
      <w:r w:rsidRPr="00E22475">
        <w:rPr>
          <w:rFonts w:cs="Arial"/>
          <w:noProof/>
          <w:sz w:val="22"/>
        </w:rPr>
        <w:drawing>
          <wp:inline distT="0" distB="0" distL="0" distR="0" wp14:anchorId="3FEF1F32" wp14:editId="4B1B0BB0">
            <wp:extent cx="4935736" cy="4200525"/>
            <wp:effectExtent l="0" t="0" r="0" b="0"/>
            <wp:docPr id="2" name="Picture 2" descr="50 Essential Skills in Community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 Essential Skills in Community Management"/>
                    <pic:cNvPicPr>
                      <a:picLocks noChangeAspect="1" noChangeArrowheads="1"/>
                    </pic:cNvPicPr>
                  </pic:nvPicPr>
                  <pic:blipFill rotWithShape="1">
                    <a:blip r:embed="rId13">
                      <a:extLst>
                        <a:ext uri="{28A0092B-C50C-407E-A947-70E740481C1C}">
                          <a14:useLocalDpi xmlns:a14="http://schemas.microsoft.com/office/drawing/2010/main" val="0"/>
                        </a:ext>
                      </a:extLst>
                    </a:blip>
                    <a:srcRect l="205" t="7497" r="-205" b="12699"/>
                    <a:stretch/>
                  </pic:blipFill>
                  <pic:spPr bwMode="auto">
                    <a:xfrm>
                      <a:off x="0" y="0"/>
                      <a:ext cx="4942669" cy="4206425"/>
                    </a:xfrm>
                    <a:prstGeom prst="rect">
                      <a:avLst/>
                    </a:prstGeom>
                    <a:noFill/>
                    <a:ln>
                      <a:noFill/>
                    </a:ln>
                    <a:extLst>
                      <a:ext uri="{53640926-AAD7-44D8-BBD7-CCE9431645EC}">
                        <a14:shadowObscured xmlns:a14="http://schemas.microsoft.com/office/drawing/2010/main"/>
                      </a:ext>
                    </a:extLst>
                  </pic:spPr>
                </pic:pic>
              </a:graphicData>
            </a:graphic>
          </wp:inline>
        </w:drawing>
      </w:r>
    </w:p>
    <w:p w14:paraId="3EAB5424" w14:textId="5FC84AB0" w:rsidR="00E53B95" w:rsidRPr="00E22475" w:rsidRDefault="00E53B95" w:rsidP="00E22475">
      <w:pPr>
        <w:jc w:val="center"/>
        <w:rPr>
          <w:rFonts w:cs="Arial"/>
          <w:sz w:val="22"/>
        </w:rPr>
      </w:pPr>
      <w:r w:rsidRPr="00E22475">
        <w:rPr>
          <w:rFonts w:cs="Arial"/>
          <w:sz w:val="22"/>
        </w:rPr>
        <w:t>Figure 2: Community skill framework</w:t>
      </w:r>
    </w:p>
    <w:p w14:paraId="21E61AF4" w14:textId="46095661" w:rsidR="00E53B95" w:rsidRPr="00E22475" w:rsidRDefault="00E53B95" w:rsidP="00E22475">
      <w:pPr>
        <w:jc w:val="center"/>
        <w:rPr>
          <w:rFonts w:cs="Arial"/>
          <w:sz w:val="22"/>
        </w:rPr>
      </w:pPr>
      <w:r w:rsidRPr="00E22475">
        <w:rPr>
          <w:rFonts w:cs="Arial"/>
          <w:sz w:val="22"/>
        </w:rPr>
        <w:t>Source: (</w:t>
      </w:r>
      <w:r w:rsidRPr="00E22475">
        <w:rPr>
          <w:rFonts w:cs="Arial"/>
          <w:sz w:val="22"/>
          <w:shd w:val="clear" w:color="auto" w:fill="FFFFFF"/>
        </w:rPr>
        <w:t>Burgess, et al, 2021)</w:t>
      </w:r>
    </w:p>
    <w:p w14:paraId="5401A3F0" w14:textId="24AFF6AB" w:rsidR="00543CDD" w:rsidRPr="00E22475" w:rsidRDefault="00E34B02" w:rsidP="00E22475">
      <w:pPr>
        <w:rPr>
          <w:rFonts w:cs="Arial"/>
          <w:sz w:val="22"/>
        </w:rPr>
      </w:pPr>
      <w:r w:rsidRPr="00E22475">
        <w:rPr>
          <w:rFonts w:cs="Arial"/>
          <w:sz w:val="22"/>
        </w:rPr>
        <w:t xml:space="preserve">These skills have great value in both personal and professional developments and thus, developing transferable skills is one major objective of participating in community engagement. Some valuable </w:t>
      </w:r>
      <w:r w:rsidR="007D0150" w:rsidRPr="00E22475">
        <w:rPr>
          <w:rFonts w:cs="Arial"/>
          <w:sz w:val="22"/>
        </w:rPr>
        <w:t xml:space="preserve">skills that are highly important in </w:t>
      </w:r>
      <w:r w:rsidRPr="00E22475">
        <w:rPr>
          <w:rFonts w:cs="Arial"/>
          <w:sz w:val="22"/>
        </w:rPr>
        <w:t>community engagement have been identified and discussed below.</w:t>
      </w:r>
    </w:p>
    <w:p w14:paraId="1D09E28B" w14:textId="77777777" w:rsidR="00D2155E" w:rsidRPr="00E22475" w:rsidRDefault="00D2155E" w:rsidP="00E22475">
      <w:pPr>
        <w:pStyle w:val="ListParagraph"/>
        <w:numPr>
          <w:ilvl w:val="0"/>
          <w:numId w:val="3"/>
        </w:numPr>
        <w:rPr>
          <w:rFonts w:cs="Arial"/>
          <w:b/>
          <w:bCs/>
          <w:sz w:val="22"/>
        </w:rPr>
      </w:pPr>
      <w:r w:rsidRPr="00E22475">
        <w:rPr>
          <w:rFonts w:cs="Arial"/>
          <w:b/>
          <w:bCs/>
          <w:sz w:val="22"/>
        </w:rPr>
        <w:t>Time management skill</w:t>
      </w:r>
    </w:p>
    <w:p w14:paraId="1F44A99E" w14:textId="4302EDD6" w:rsidR="00D2155E" w:rsidRPr="00E22475" w:rsidRDefault="00D2155E" w:rsidP="00E22475">
      <w:pPr>
        <w:rPr>
          <w:rFonts w:cs="Arial"/>
          <w:sz w:val="22"/>
        </w:rPr>
      </w:pPr>
      <w:r w:rsidRPr="00E22475">
        <w:rPr>
          <w:rFonts w:cs="Arial"/>
          <w:sz w:val="22"/>
        </w:rPr>
        <w:t>Most community operations and tasks are highly time-sensitive which refers that the tasks are needed to be executed and completed within a specific time to generate successful results</w:t>
      </w:r>
      <w:r w:rsidR="008126D8" w:rsidRPr="00E22475">
        <w:rPr>
          <w:rFonts w:cs="Arial"/>
          <w:sz w:val="22"/>
        </w:rPr>
        <w:t xml:space="preserve"> (</w:t>
      </w:r>
      <w:r w:rsidR="008126D8" w:rsidRPr="00E22475">
        <w:rPr>
          <w:rFonts w:cs="Arial"/>
          <w:sz w:val="22"/>
          <w:shd w:val="clear" w:color="auto" w:fill="FFFFFF"/>
        </w:rPr>
        <w:t xml:space="preserve">De </w:t>
      </w:r>
      <w:r w:rsidR="008126D8" w:rsidRPr="00E22475">
        <w:rPr>
          <w:rFonts w:cs="Arial"/>
          <w:sz w:val="22"/>
          <w:shd w:val="clear" w:color="auto" w:fill="FFFFFF"/>
        </w:rPr>
        <w:lastRenderedPageBreak/>
        <w:t>Weger, et al, 2018)</w:t>
      </w:r>
      <w:r w:rsidRPr="00E22475">
        <w:rPr>
          <w:rFonts w:cs="Arial"/>
          <w:sz w:val="22"/>
        </w:rPr>
        <w:t xml:space="preserve">. For example, in the case of Tony Clark, the community needs to </w:t>
      </w:r>
      <w:r w:rsidR="00E95F49" w:rsidRPr="00E22475">
        <w:rPr>
          <w:rFonts w:cs="Arial"/>
          <w:sz w:val="22"/>
        </w:rPr>
        <w:t>assist in</w:t>
      </w:r>
      <w:r w:rsidRPr="00E22475">
        <w:rPr>
          <w:rFonts w:cs="Arial"/>
          <w:sz w:val="22"/>
        </w:rPr>
        <w:t xml:space="preserve"> the emergenc</w:t>
      </w:r>
      <w:r w:rsidR="00E95F49" w:rsidRPr="00E22475">
        <w:rPr>
          <w:rFonts w:cs="Arial"/>
          <w:sz w:val="22"/>
        </w:rPr>
        <w:t>ie</w:t>
      </w:r>
      <w:r w:rsidRPr="00E22475">
        <w:rPr>
          <w:rFonts w:cs="Arial"/>
          <w:sz w:val="22"/>
        </w:rPr>
        <w:t>s such as fire accidents or medical emergencies. Lack of time management in such cases will result in disasters and will also fail the aim and goal of the community</w:t>
      </w:r>
      <w:r w:rsidR="00E460F5" w:rsidRPr="00E22475">
        <w:rPr>
          <w:rFonts w:cs="Arial"/>
          <w:sz w:val="22"/>
        </w:rPr>
        <w:t xml:space="preserve"> (</w:t>
      </w:r>
      <w:r w:rsidR="00E460F5" w:rsidRPr="00E22475">
        <w:rPr>
          <w:rFonts w:cs="Arial"/>
          <w:sz w:val="22"/>
          <w:shd w:val="clear" w:color="auto" w:fill="FFFFFF"/>
        </w:rPr>
        <w:t>Martinez, et al, 2020)</w:t>
      </w:r>
      <w:r w:rsidRPr="00E22475">
        <w:rPr>
          <w:rFonts w:cs="Arial"/>
          <w:sz w:val="22"/>
        </w:rPr>
        <w:t>. Thus, time management skills are highly required for community engagement.</w:t>
      </w:r>
    </w:p>
    <w:p w14:paraId="282BDD71" w14:textId="77777777" w:rsidR="00D2155E" w:rsidRPr="00E22475" w:rsidRDefault="00D2155E" w:rsidP="00E22475">
      <w:pPr>
        <w:pStyle w:val="ListParagraph"/>
        <w:numPr>
          <w:ilvl w:val="0"/>
          <w:numId w:val="3"/>
        </w:numPr>
        <w:rPr>
          <w:rFonts w:cs="Arial"/>
          <w:b/>
          <w:bCs/>
          <w:sz w:val="22"/>
        </w:rPr>
      </w:pPr>
      <w:r w:rsidRPr="00E22475">
        <w:rPr>
          <w:rFonts w:cs="Arial"/>
          <w:b/>
          <w:bCs/>
          <w:sz w:val="22"/>
        </w:rPr>
        <w:t>Communication skills</w:t>
      </w:r>
    </w:p>
    <w:p w14:paraId="01906F49" w14:textId="40C940B6" w:rsidR="00D2155E" w:rsidRPr="00E22475" w:rsidRDefault="00D2155E" w:rsidP="00E22475">
      <w:pPr>
        <w:rPr>
          <w:rFonts w:cs="Arial"/>
          <w:sz w:val="22"/>
        </w:rPr>
      </w:pPr>
      <w:r w:rsidRPr="00E22475">
        <w:rPr>
          <w:rFonts w:cs="Arial"/>
          <w:sz w:val="22"/>
        </w:rPr>
        <w:t>For developing effective collaborations within a community among the members of the community, effective communication skills are highly required</w:t>
      </w:r>
      <w:r w:rsidR="008126D8" w:rsidRPr="00E22475">
        <w:rPr>
          <w:rFonts w:cs="Arial"/>
          <w:sz w:val="22"/>
        </w:rPr>
        <w:t xml:space="preserve"> (</w:t>
      </w:r>
      <w:r w:rsidR="008126D8" w:rsidRPr="00E22475">
        <w:rPr>
          <w:rFonts w:cs="Arial"/>
          <w:sz w:val="22"/>
          <w:shd w:val="clear" w:color="auto" w:fill="FFFFFF"/>
        </w:rPr>
        <w:t>Pratt, et al, 2020)</w:t>
      </w:r>
      <w:r w:rsidRPr="00E22475">
        <w:rPr>
          <w:rFonts w:cs="Arial"/>
          <w:sz w:val="22"/>
        </w:rPr>
        <w:t xml:space="preserve">. communication skills enable individuals to express their ideas, viewpoints, and opinions while understanding those of others as well. without good communication skills, the operations of a community may fail to attain the goals due to </w:t>
      </w:r>
      <w:r w:rsidR="00E95F49" w:rsidRPr="00E22475">
        <w:rPr>
          <w:rFonts w:cs="Arial"/>
          <w:sz w:val="22"/>
        </w:rPr>
        <w:t xml:space="preserve">a </w:t>
      </w:r>
      <w:r w:rsidRPr="00E22475">
        <w:rPr>
          <w:rFonts w:cs="Arial"/>
          <w:sz w:val="22"/>
        </w:rPr>
        <w:t xml:space="preserve">lack of collaboration and coordination. Thus, communication skill is very important in community engagement. </w:t>
      </w:r>
    </w:p>
    <w:p w14:paraId="427AF38D" w14:textId="253EF7D0" w:rsidR="00E34B02" w:rsidRPr="00E22475" w:rsidRDefault="00E34B02" w:rsidP="00E22475">
      <w:pPr>
        <w:pStyle w:val="ListParagraph"/>
        <w:numPr>
          <w:ilvl w:val="0"/>
          <w:numId w:val="3"/>
        </w:numPr>
        <w:rPr>
          <w:rFonts w:cs="Arial"/>
          <w:b/>
          <w:bCs/>
          <w:sz w:val="22"/>
        </w:rPr>
      </w:pPr>
      <w:r w:rsidRPr="00E22475">
        <w:rPr>
          <w:rFonts w:cs="Arial"/>
          <w:b/>
          <w:bCs/>
          <w:sz w:val="22"/>
        </w:rPr>
        <w:t>Interpersonal skills</w:t>
      </w:r>
    </w:p>
    <w:p w14:paraId="5D286584" w14:textId="6D34260E" w:rsidR="00DD07C5" w:rsidRPr="00E22475" w:rsidRDefault="00E34B02" w:rsidP="00E22475">
      <w:pPr>
        <w:rPr>
          <w:rFonts w:cs="Arial"/>
          <w:sz w:val="22"/>
        </w:rPr>
      </w:pPr>
      <w:r w:rsidRPr="00E22475">
        <w:rPr>
          <w:rFonts w:cs="Arial"/>
          <w:sz w:val="22"/>
        </w:rPr>
        <w:t xml:space="preserve">During community engagement, individuals work with </w:t>
      </w:r>
      <w:r w:rsidR="00E95F49" w:rsidRPr="00E22475">
        <w:rPr>
          <w:rFonts w:cs="Arial"/>
          <w:sz w:val="22"/>
        </w:rPr>
        <w:t xml:space="preserve">a </w:t>
      </w:r>
      <w:r w:rsidRPr="00E22475">
        <w:rPr>
          <w:rFonts w:cs="Arial"/>
          <w:sz w:val="22"/>
        </w:rPr>
        <w:t>diversified group of people with different backgrounds, age</w:t>
      </w:r>
      <w:r w:rsidR="00E95F49" w:rsidRPr="00E22475">
        <w:rPr>
          <w:rFonts w:cs="Arial"/>
          <w:sz w:val="22"/>
        </w:rPr>
        <w:t>s</w:t>
      </w:r>
      <w:r w:rsidRPr="00E22475">
        <w:rPr>
          <w:rFonts w:cs="Arial"/>
          <w:sz w:val="22"/>
        </w:rPr>
        <w:t>, race</w:t>
      </w:r>
      <w:r w:rsidR="00E95F49" w:rsidRPr="00E22475">
        <w:rPr>
          <w:rFonts w:cs="Arial"/>
          <w:sz w:val="22"/>
        </w:rPr>
        <w:t>s</w:t>
      </w:r>
      <w:r w:rsidRPr="00E22475">
        <w:rPr>
          <w:rFonts w:cs="Arial"/>
          <w:sz w:val="22"/>
        </w:rPr>
        <w:t>, gender, even nationality</w:t>
      </w:r>
      <w:r w:rsidR="00E95F49" w:rsidRPr="00E22475">
        <w:rPr>
          <w:rFonts w:cs="Arial"/>
          <w:sz w:val="22"/>
        </w:rPr>
        <w:t>,</w:t>
      </w:r>
      <w:r w:rsidRPr="00E22475">
        <w:rPr>
          <w:rFonts w:cs="Arial"/>
          <w:sz w:val="22"/>
        </w:rPr>
        <w:t xml:space="preserve"> and language</w:t>
      </w:r>
      <w:r w:rsidR="00E53B95" w:rsidRPr="00E22475">
        <w:rPr>
          <w:rFonts w:cs="Arial"/>
          <w:sz w:val="22"/>
        </w:rPr>
        <w:t xml:space="preserve"> (</w:t>
      </w:r>
      <w:r w:rsidR="00E53B95" w:rsidRPr="00E22475">
        <w:rPr>
          <w:rFonts w:cs="Arial"/>
          <w:sz w:val="22"/>
          <w:shd w:val="clear" w:color="auto" w:fill="FFFFFF"/>
        </w:rPr>
        <w:t>De Weger, et al, 2018)</w:t>
      </w:r>
      <w:r w:rsidRPr="00E22475">
        <w:rPr>
          <w:rFonts w:cs="Arial"/>
          <w:sz w:val="22"/>
        </w:rPr>
        <w:t xml:space="preserve">. Since the participants who engage in community works get to connect and communicate with a large number of people and </w:t>
      </w:r>
      <w:r w:rsidR="00DD07C5" w:rsidRPr="00E22475">
        <w:rPr>
          <w:rFonts w:cs="Arial"/>
          <w:sz w:val="22"/>
        </w:rPr>
        <w:t>get to work with them for achieving a common goal and objectives, the participants develop interpersonal skills</w:t>
      </w:r>
      <w:r w:rsidR="009F7CE7" w:rsidRPr="00E22475">
        <w:rPr>
          <w:rFonts w:cs="Arial"/>
          <w:sz w:val="22"/>
        </w:rPr>
        <w:t xml:space="preserve"> (</w:t>
      </w:r>
      <w:r w:rsidR="009F7CE7" w:rsidRPr="00E22475">
        <w:rPr>
          <w:rFonts w:cs="Arial"/>
          <w:sz w:val="22"/>
          <w:shd w:val="clear" w:color="auto" w:fill="FFFFFF"/>
        </w:rPr>
        <w:t>Brunton, et al, 2017)</w:t>
      </w:r>
      <w:r w:rsidR="00DD07C5" w:rsidRPr="00E22475">
        <w:rPr>
          <w:rFonts w:cs="Arial"/>
          <w:sz w:val="22"/>
        </w:rPr>
        <w:t xml:space="preserve">. The importance of interpersonal skills in both personal and professional areas </w:t>
      </w:r>
      <w:r w:rsidR="00E95F49" w:rsidRPr="00E22475">
        <w:rPr>
          <w:rFonts w:cs="Arial"/>
          <w:sz w:val="22"/>
        </w:rPr>
        <w:t>is</w:t>
      </w:r>
      <w:r w:rsidR="00DD07C5" w:rsidRPr="00E22475">
        <w:rPr>
          <w:rFonts w:cs="Arial"/>
          <w:sz w:val="22"/>
        </w:rPr>
        <w:t xml:space="preserve"> highly significant because this skill enables individuals to effectively communicate with people, build successful relationships, and effectively express their ideas and feelings to others.</w:t>
      </w:r>
    </w:p>
    <w:p w14:paraId="621C9F1F" w14:textId="77777777" w:rsidR="00606197" w:rsidRPr="00E22475" w:rsidRDefault="00606197" w:rsidP="00E22475">
      <w:pPr>
        <w:jc w:val="left"/>
        <w:rPr>
          <w:rFonts w:cs="Arial"/>
          <w:b/>
          <w:bCs/>
          <w:sz w:val="22"/>
        </w:rPr>
      </w:pPr>
      <w:r w:rsidRPr="00E22475">
        <w:rPr>
          <w:rFonts w:cs="Arial"/>
          <w:b/>
          <w:bCs/>
          <w:sz w:val="22"/>
        </w:rPr>
        <w:br w:type="page"/>
      </w:r>
    </w:p>
    <w:p w14:paraId="0262C7FE" w14:textId="6ED7A688" w:rsidR="00DD07C5" w:rsidRPr="00E22475" w:rsidRDefault="00DD07C5" w:rsidP="00E22475">
      <w:pPr>
        <w:pStyle w:val="ListParagraph"/>
        <w:numPr>
          <w:ilvl w:val="0"/>
          <w:numId w:val="3"/>
        </w:numPr>
        <w:rPr>
          <w:rFonts w:cs="Arial"/>
          <w:b/>
          <w:bCs/>
          <w:sz w:val="22"/>
        </w:rPr>
      </w:pPr>
      <w:r w:rsidRPr="00E22475">
        <w:rPr>
          <w:rFonts w:cs="Arial"/>
          <w:b/>
          <w:bCs/>
          <w:sz w:val="22"/>
        </w:rPr>
        <w:lastRenderedPageBreak/>
        <w:t>Leadership skills</w:t>
      </w:r>
    </w:p>
    <w:p w14:paraId="1928C7D6" w14:textId="171700BD" w:rsidR="00DD07C5" w:rsidRPr="00E22475" w:rsidRDefault="00DD07C5" w:rsidP="00E22475">
      <w:pPr>
        <w:rPr>
          <w:rFonts w:cs="Arial"/>
          <w:sz w:val="22"/>
        </w:rPr>
      </w:pPr>
      <w:r w:rsidRPr="00E22475">
        <w:rPr>
          <w:rFonts w:cs="Arial"/>
          <w:sz w:val="22"/>
        </w:rPr>
        <w:t>Community engagement provides the participants the opportunity of working with a group of people and also to lead them towards the common goal of the community</w:t>
      </w:r>
      <w:r w:rsidR="00E460F5" w:rsidRPr="00E22475">
        <w:rPr>
          <w:rFonts w:cs="Arial"/>
          <w:sz w:val="22"/>
        </w:rPr>
        <w:t xml:space="preserve"> (</w:t>
      </w:r>
      <w:r w:rsidR="00E460F5" w:rsidRPr="00E22475">
        <w:rPr>
          <w:rFonts w:cs="Arial"/>
          <w:sz w:val="22"/>
          <w:shd w:val="clear" w:color="auto" w:fill="FFFFFF"/>
        </w:rPr>
        <w:t>Galiatsatos,</w:t>
      </w:r>
      <w:r w:rsidR="008126D8" w:rsidRPr="00E22475">
        <w:rPr>
          <w:rFonts w:cs="Arial"/>
          <w:sz w:val="22"/>
          <w:shd w:val="clear" w:color="auto" w:fill="FFFFFF"/>
        </w:rPr>
        <w:t xml:space="preserve"> et al</w:t>
      </w:r>
      <w:r w:rsidR="00E460F5" w:rsidRPr="00E22475">
        <w:rPr>
          <w:rFonts w:cs="Arial"/>
          <w:sz w:val="22"/>
          <w:shd w:val="clear" w:color="auto" w:fill="FFFFFF"/>
        </w:rPr>
        <w:t>, 2020)</w:t>
      </w:r>
      <w:r w:rsidRPr="00E22475">
        <w:rPr>
          <w:rFonts w:cs="Arial"/>
          <w:sz w:val="22"/>
        </w:rPr>
        <w:t>. Practical experience of leading people and guiding them on how to conduct the operations and activities provide the participants with the valuable skill of leadership</w:t>
      </w:r>
      <w:r w:rsidR="009F7CE7" w:rsidRPr="00E22475">
        <w:rPr>
          <w:rFonts w:cs="Arial"/>
          <w:sz w:val="22"/>
        </w:rPr>
        <w:t xml:space="preserve"> (</w:t>
      </w:r>
      <w:r w:rsidR="009F7CE7" w:rsidRPr="00E22475">
        <w:rPr>
          <w:rFonts w:cs="Arial"/>
          <w:sz w:val="22"/>
          <w:shd w:val="clear" w:color="auto" w:fill="FFFFFF"/>
        </w:rPr>
        <w:t xml:space="preserve">Reynolds, and </w:t>
      </w:r>
      <w:proofErr w:type="spellStart"/>
      <w:r w:rsidR="009F7CE7" w:rsidRPr="00E22475">
        <w:rPr>
          <w:rFonts w:cs="Arial"/>
          <w:sz w:val="22"/>
          <w:shd w:val="clear" w:color="auto" w:fill="FFFFFF"/>
        </w:rPr>
        <w:t>Sariola</w:t>
      </w:r>
      <w:proofErr w:type="spellEnd"/>
      <w:r w:rsidR="009F7CE7" w:rsidRPr="00E22475">
        <w:rPr>
          <w:rFonts w:cs="Arial"/>
          <w:sz w:val="22"/>
          <w:shd w:val="clear" w:color="auto" w:fill="FFFFFF"/>
        </w:rPr>
        <w:t>, 2018)</w:t>
      </w:r>
      <w:r w:rsidRPr="00E22475">
        <w:rPr>
          <w:rFonts w:cs="Arial"/>
          <w:sz w:val="22"/>
        </w:rPr>
        <w:t xml:space="preserve">. Leadership is a highly significant competency </w:t>
      </w:r>
      <w:r w:rsidR="00E95F49" w:rsidRPr="00E22475">
        <w:rPr>
          <w:rFonts w:cs="Arial"/>
          <w:sz w:val="22"/>
        </w:rPr>
        <w:t>that</w:t>
      </w:r>
      <w:r w:rsidRPr="00E22475">
        <w:rPr>
          <w:rFonts w:cs="Arial"/>
          <w:sz w:val="22"/>
        </w:rPr>
        <w:t xml:space="preserve"> is greatly valued in organizations since people with such skills can directly contribute </w:t>
      </w:r>
      <w:r w:rsidR="00E95F49" w:rsidRPr="00E22475">
        <w:rPr>
          <w:rFonts w:cs="Arial"/>
          <w:sz w:val="22"/>
        </w:rPr>
        <w:t>to</w:t>
      </w:r>
      <w:r w:rsidRPr="00E22475">
        <w:rPr>
          <w:rFonts w:cs="Arial"/>
          <w:sz w:val="22"/>
        </w:rPr>
        <w:t xml:space="preserve"> facilitating the process of goal achievement through their effective skills of leadership.</w:t>
      </w:r>
    </w:p>
    <w:p w14:paraId="7CD21789" w14:textId="0629EAEC" w:rsidR="00816423" w:rsidRPr="00E22475" w:rsidRDefault="00D2155E" w:rsidP="00E22475">
      <w:pPr>
        <w:pStyle w:val="Heading2"/>
        <w:rPr>
          <w:rFonts w:cs="Arial"/>
          <w:b/>
          <w:sz w:val="22"/>
          <w:szCs w:val="22"/>
        </w:rPr>
      </w:pPr>
      <w:bookmarkStart w:id="4" w:name="_Toc85320499"/>
      <w:r w:rsidRPr="00E22475">
        <w:rPr>
          <w:rFonts w:cs="Arial"/>
          <w:b/>
          <w:sz w:val="22"/>
          <w:szCs w:val="22"/>
        </w:rPr>
        <w:t xml:space="preserve">Transferable </w:t>
      </w:r>
      <w:r w:rsidR="008126D8" w:rsidRPr="00E22475">
        <w:rPr>
          <w:rFonts w:cs="Arial"/>
          <w:b/>
          <w:sz w:val="22"/>
          <w:szCs w:val="22"/>
        </w:rPr>
        <w:t>s</w:t>
      </w:r>
      <w:r w:rsidRPr="00E22475">
        <w:rPr>
          <w:rFonts w:cs="Arial"/>
          <w:b/>
          <w:sz w:val="22"/>
          <w:szCs w:val="22"/>
        </w:rPr>
        <w:t xml:space="preserve">kills in </w:t>
      </w:r>
      <w:r w:rsidR="008126D8" w:rsidRPr="00E22475">
        <w:rPr>
          <w:rFonts w:cs="Arial"/>
          <w:b/>
          <w:sz w:val="22"/>
          <w:szCs w:val="22"/>
        </w:rPr>
        <w:t>t</w:t>
      </w:r>
      <w:r w:rsidRPr="00E22475">
        <w:rPr>
          <w:rFonts w:cs="Arial"/>
          <w:b/>
          <w:sz w:val="22"/>
          <w:szCs w:val="22"/>
        </w:rPr>
        <w:t xml:space="preserve">he </w:t>
      </w:r>
      <w:r w:rsidR="008126D8" w:rsidRPr="00E22475">
        <w:rPr>
          <w:rFonts w:cs="Arial"/>
          <w:b/>
          <w:sz w:val="22"/>
          <w:szCs w:val="22"/>
        </w:rPr>
        <w:t>c</w:t>
      </w:r>
      <w:r w:rsidRPr="00E22475">
        <w:rPr>
          <w:rFonts w:cs="Arial"/>
          <w:b/>
          <w:sz w:val="22"/>
          <w:szCs w:val="22"/>
        </w:rPr>
        <w:t xml:space="preserve">ase of Tony Clark’s </w:t>
      </w:r>
      <w:r w:rsidR="008126D8" w:rsidRPr="00E22475">
        <w:rPr>
          <w:rFonts w:cs="Arial"/>
          <w:b/>
          <w:sz w:val="22"/>
          <w:szCs w:val="22"/>
        </w:rPr>
        <w:t>c</w:t>
      </w:r>
      <w:r w:rsidRPr="00E22475">
        <w:rPr>
          <w:rFonts w:cs="Arial"/>
          <w:b/>
          <w:sz w:val="22"/>
          <w:szCs w:val="22"/>
        </w:rPr>
        <w:t xml:space="preserve">ommunity </w:t>
      </w:r>
      <w:r w:rsidR="008126D8" w:rsidRPr="00E22475">
        <w:rPr>
          <w:rFonts w:cs="Arial"/>
          <w:b/>
          <w:sz w:val="22"/>
          <w:szCs w:val="22"/>
        </w:rPr>
        <w:t>e</w:t>
      </w:r>
      <w:r w:rsidRPr="00E22475">
        <w:rPr>
          <w:rFonts w:cs="Arial"/>
          <w:b/>
          <w:sz w:val="22"/>
          <w:szCs w:val="22"/>
        </w:rPr>
        <w:t>ngagement</w:t>
      </w:r>
      <w:bookmarkEnd w:id="4"/>
      <w:r w:rsidRPr="00E22475">
        <w:rPr>
          <w:rFonts w:cs="Arial"/>
          <w:b/>
          <w:sz w:val="22"/>
          <w:szCs w:val="22"/>
        </w:rPr>
        <w:t xml:space="preserve"> </w:t>
      </w:r>
    </w:p>
    <w:p w14:paraId="4055C164" w14:textId="77777777" w:rsidR="00E53B95" w:rsidRPr="00E22475" w:rsidRDefault="00D2155E" w:rsidP="00E22475">
      <w:pPr>
        <w:rPr>
          <w:rFonts w:cs="Arial"/>
          <w:sz w:val="22"/>
        </w:rPr>
      </w:pPr>
      <w:r w:rsidRPr="00E22475">
        <w:rPr>
          <w:rFonts w:cs="Arial"/>
          <w:sz w:val="22"/>
        </w:rPr>
        <w:t>The provided case of the community developed by Tony Clark showcases effective community operations through which the members of the community have</w:t>
      </w:r>
      <w:r w:rsidR="00E95F49" w:rsidRPr="00E22475">
        <w:rPr>
          <w:rFonts w:cs="Arial"/>
          <w:sz w:val="22"/>
        </w:rPr>
        <w:t xml:space="preserve"> to</w:t>
      </w:r>
      <w:r w:rsidRPr="00E22475">
        <w:rPr>
          <w:rFonts w:cs="Arial"/>
          <w:sz w:val="22"/>
        </w:rPr>
        <w:t xml:space="preserve"> save many lives and properties</w:t>
      </w:r>
      <w:r w:rsidR="00E460F5" w:rsidRPr="00E22475">
        <w:rPr>
          <w:rFonts w:cs="Arial"/>
          <w:sz w:val="22"/>
        </w:rPr>
        <w:t xml:space="preserve"> (</w:t>
      </w:r>
      <w:proofErr w:type="spellStart"/>
      <w:r w:rsidR="00E460F5" w:rsidRPr="00E22475">
        <w:rPr>
          <w:rFonts w:cs="Arial"/>
          <w:sz w:val="22"/>
          <w:shd w:val="clear" w:color="auto" w:fill="FFFFFF"/>
        </w:rPr>
        <w:t>Hollebeek</w:t>
      </w:r>
      <w:proofErr w:type="spellEnd"/>
      <w:r w:rsidR="00E460F5" w:rsidRPr="00E22475">
        <w:rPr>
          <w:rFonts w:cs="Arial"/>
          <w:sz w:val="22"/>
          <w:shd w:val="clear" w:color="auto" w:fill="FFFFFF"/>
        </w:rPr>
        <w:t>, et al, 2017)</w:t>
      </w:r>
      <w:r w:rsidRPr="00E22475">
        <w:rPr>
          <w:rFonts w:cs="Arial"/>
          <w:sz w:val="22"/>
        </w:rPr>
        <w:t>. T</w:t>
      </w:r>
      <w:r w:rsidR="00E95F49" w:rsidRPr="00E22475">
        <w:rPr>
          <w:rFonts w:cs="Arial"/>
          <w:sz w:val="22"/>
        </w:rPr>
        <w:t>o</w:t>
      </w:r>
      <w:r w:rsidRPr="00E22475">
        <w:rPr>
          <w:rFonts w:cs="Arial"/>
          <w:sz w:val="22"/>
        </w:rPr>
        <w:t xml:space="preserve"> date, the firefighting community founded by Tony Clark around 10 years ago, ha</w:t>
      </w:r>
      <w:r w:rsidR="00E95F49" w:rsidRPr="00E22475">
        <w:rPr>
          <w:rFonts w:cs="Arial"/>
          <w:sz w:val="22"/>
        </w:rPr>
        <w:t>s</w:t>
      </w:r>
      <w:r w:rsidRPr="00E22475">
        <w:rPr>
          <w:rFonts w:cs="Arial"/>
          <w:sz w:val="22"/>
        </w:rPr>
        <w:t xml:space="preserve"> provided assistance and</w:t>
      </w:r>
      <w:r w:rsidR="00FB7F68" w:rsidRPr="00E22475">
        <w:rPr>
          <w:rFonts w:cs="Arial"/>
          <w:sz w:val="22"/>
        </w:rPr>
        <w:t xml:space="preserve"> services</w:t>
      </w:r>
      <w:r w:rsidRPr="00E22475">
        <w:rPr>
          <w:rFonts w:cs="Arial"/>
          <w:sz w:val="22"/>
        </w:rPr>
        <w:t xml:space="preserve"> to a wide number of people</w:t>
      </w:r>
      <w:r w:rsidR="00FB7F68" w:rsidRPr="00E22475">
        <w:rPr>
          <w:rFonts w:cs="Arial"/>
          <w:sz w:val="22"/>
        </w:rPr>
        <w:t xml:space="preserve"> and saved 60 lives</w:t>
      </w:r>
      <w:r w:rsidRPr="00E22475">
        <w:rPr>
          <w:rFonts w:cs="Arial"/>
          <w:sz w:val="22"/>
        </w:rPr>
        <w:t xml:space="preserve">. </w:t>
      </w:r>
    </w:p>
    <w:p w14:paraId="66F0D3DC" w14:textId="55158B82" w:rsidR="00E53B95" w:rsidRPr="00E22475" w:rsidRDefault="00E53B95" w:rsidP="00E22475">
      <w:pPr>
        <w:jc w:val="center"/>
        <w:rPr>
          <w:rFonts w:cs="Arial"/>
          <w:sz w:val="22"/>
        </w:rPr>
      </w:pPr>
      <w:r w:rsidRPr="00E22475">
        <w:rPr>
          <w:rFonts w:cs="Arial"/>
          <w:noProof/>
          <w:sz w:val="22"/>
        </w:rPr>
        <w:drawing>
          <wp:inline distT="0" distB="0" distL="0" distR="0" wp14:anchorId="5CCE7D7D" wp14:editId="49DD97CE">
            <wp:extent cx="3944679" cy="2566143"/>
            <wp:effectExtent l="0" t="0" r="0" b="5715"/>
            <wp:docPr id="3" name="Picture 3" descr="Skillsology | Transferable Skills: The Key to Career Progr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illsology | Transferable Skills: The Key to Career Progress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5083" cy="2572911"/>
                    </a:xfrm>
                    <a:prstGeom prst="rect">
                      <a:avLst/>
                    </a:prstGeom>
                    <a:noFill/>
                    <a:ln>
                      <a:noFill/>
                    </a:ln>
                  </pic:spPr>
                </pic:pic>
              </a:graphicData>
            </a:graphic>
          </wp:inline>
        </w:drawing>
      </w:r>
    </w:p>
    <w:p w14:paraId="3695D39E" w14:textId="0994ED0A" w:rsidR="00E53B95" w:rsidRPr="00E22475" w:rsidRDefault="00E53B95" w:rsidP="00E22475">
      <w:pPr>
        <w:jc w:val="center"/>
        <w:rPr>
          <w:rFonts w:cs="Arial"/>
          <w:sz w:val="22"/>
        </w:rPr>
      </w:pPr>
      <w:r w:rsidRPr="00E22475">
        <w:rPr>
          <w:rFonts w:cs="Arial"/>
          <w:sz w:val="22"/>
        </w:rPr>
        <w:t>Figure 3: Transferable skills in community engagement</w:t>
      </w:r>
    </w:p>
    <w:p w14:paraId="31565C38" w14:textId="06536D22" w:rsidR="00E53B95" w:rsidRPr="00E22475" w:rsidRDefault="00E53B95" w:rsidP="00E22475">
      <w:pPr>
        <w:jc w:val="center"/>
        <w:rPr>
          <w:rFonts w:cs="Arial"/>
          <w:sz w:val="22"/>
        </w:rPr>
      </w:pPr>
      <w:r w:rsidRPr="00E22475">
        <w:rPr>
          <w:rFonts w:cs="Arial"/>
          <w:sz w:val="22"/>
        </w:rPr>
        <w:t>Source: (</w:t>
      </w:r>
      <w:r w:rsidRPr="00E22475">
        <w:rPr>
          <w:rFonts w:cs="Arial"/>
          <w:sz w:val="22"/>
          <w:shd w:val="clear" w:color="auto" w:fill="FFFFFF"/>
        </w:rPr>
        <w:t>Brunton, et al, 2017)</w:t>
      </w:r>
    </w:p>
    <w:p w14:paraId="739BC270" w14:textId="10FA48C5" w:rsidR="00D2155E" w:rsidRPr="00E22475" w:rsidRDefault="00D2155E" w:rsidP="00E22475">
      <w:pPr>
        <w:rPr>
          <w:rFonts w:cs="Arial"/>
          <w:sz w:val="22"/>
        </w:rPr>
      </w:pPr>
      <w:r w:rsidRPr="00E22475">
        <w:rPr>
          <w:rFonts w:cs="Arial"/>
          <w:sz w:val="22"/>
        </w:rPr>
        <w:t>For their significant contribution to society</w:t>
      </w:r>
      <w:r w:rsidR="00FB7F68" w:rsidRPr="00E22475">
        <w:rPr>
          <w:rFonts w:cs="Arial"/>
          <w:sz w:val="22"/>
        </w:rPr>
        <w:t>, the founder of the community, Tony Clark has also received Queen’s Fire Service Medal</w:t>
      </w:r>
      <w:r w:rsidR="00E53B95" w:rsidRPr="00E22475">
        <w:rPr>
          <w:rFonts w:cs="Arial"/>
          <w:sz w:val="22"/>
        </w:rPr>
        <w:t xml:space="preserve"> (</w:t>
      </w:r>
      <w:r w:rsidR="00E53B95" w:rsidRPr="00E22475">
        <w:rPr>
          <w:rFonts w:cs="Arial"/>
          <w:sz w:val="22"/>
          <w:shd w:val="clear" w:color="auto" w:fill="FFFFFF"/>
        </w:rPr>
        <w:t>Burgess, et al, 2021)</w:t>
      </w:r>
      <w:r w:rsidR="00FB7F68" w:rsidRPr="00E22475">
        <w:rPr>
          <w:rFonts w:cs="Arial"/>
          <w:sz w:val="22"/>
        </w:rPr>
        <w:t>. This outstanding performance and effective community engagement have been assisted by some transferable skills which have been identified and discussed below.</w:t>
      </w:r>
    </w:p>
    <w:p w14:paraId="327D5C4A" w14:textId="63E847AE" w:rsidR="00FB7F68" w:rsidRPr="00E22475" w:rsidRDefault="00345EA3" w:rsidP="00E22475">
      <w:pPr>
        <w:rPr>
          <w:rFonts w:cs="Arial"/>
          <w:sz w:val="22"/>
        </w:rPr>
      </w:pPr>
      <w:r w:rsidRPr="00E22475">
        <w:rPr>
          <w:rFonts w:cs="Arial"/>
          <w:sz w:val="22"/>
        </w:rPr>
        <w:lastRenderedPageBreak/>
        <w:t>The most significant skill that has been recognized in the case of Tony Clark’s community engagement is teamwork. This community firefighter has developed an effective system for adding greater value to teamwork skills in the community</w:t>
      </w:r>
      <w:r w:rsidR="00E460F5" w:rsidRPr="00E22475">
        <w:rPr>
          <w:rFonts w:cs="Arial"/>
          <w:sz w:val="22"/>
        </w:rPr>
        <w:t xml:space="preserve"> (</w:t>
      </w:r>
      <w:r w:rsidR="00E460F5" w:rsidRPr="00E22475">
        <w:rPr>
          <w:rFonts w:cs="Arial"/>
          <w:sz w:val="22"/>
          <w:shd w:val="clear" w:color="auto" w:fill="FFFFFF"/>
        </w:rPr>
        <w:t>Ryan, et al, 2020)</w:t>
      </w:r>
      <w:r w:rsidRPr="00E22475">
        <w:rPr>
          <w:rFonts w:cs="Arial"/>
          <w:sz w:val="22"/>
        </w:rPr>
        <w:t xml:space="preserve">. Due to such effective teamwork skills of Mr. Clark, he could successfully implement collaborative approaches and maintain coordination among the team members. </w:t>
      </w:r>
    </w:p>
    <w:p w14:paraId="171DD028" w14:textId="08ACEE07" w:rsidR="00345EA3" w:rsidRPr="00E22475" w:rsidRDefault="00345EA3" w:rsidP="00E22475">
      <w:pPr>
        <w:rPr>
          <w:rFonts w:cs="Arial"/>
          <w:sz w:val="22"/>
        </w:rPr>
      </w:pPr>
      <w:r w:rsidRPr="00E22475">
        <w:rPr>
          <w:rFonts w:cs="Arial"/>
          <w:sz w:val="22"/>
        </w:rPr>
        <w:t>Another transferable skill identified in the community services of Mr. Clark is the skill of working under pressure. the firefighting community provides services during fire accidents to protect people and properties from fire hazards on an emergency basis</w:t>
      </w:r>
      <w:r w:rsidR="00E53B95" w:rsidRPr="00E22475">
        <w:rPr>
          <w:rFonts w:cs="Arial"/>
          <w:sz w:val="22"/>
        </w:rPr>
        <w:t xml:space="preserve"> (</w:t>
      </w:r>
      <w:r w:rsidR="00E53B95" w:rsidRPr="00E22475">
        <w:rPr>
          <w:rFonts w:cs="Arial"/>
          <w:sz w:val="22"/>
          <w:shd w:val="clear" w:color="auto" w:fill="FFFFFF"/>
        </w:rPr>
        <w:t>De Weger, et al, 2018)</w:t>
      </w:r>
      <w:r w:rsidRPr="00E22475">
        <w:rPr>
          <w:rFonts w:cs="Arial"/>
          <w:sz w:val="22"/>
        </w:rPr>
        <w:t>. Such situations put much pressure o</w:t>
      </w:r>
      <w:r w:rsidR="00E95F49" w:rsidRPr="00E22475">
        <w:rPr>
          <w:rFonts w:cs="Arial"/>
          <w:sz w:val="22"/>
        </w:rPr>
        <w:t>n</w:t>
      </w:r>
      <w:r w:rsidRPr="00E22475">
        <w:rPr>
          <w:rFonts w:cs="Arial"/>
          <w:sz w:val="22"/>
        </w:rPr>
        <w:t xml:space="preserve"> the members of the community but the skill of working under pressure has enabled the community members to successfully operate the community operations</w:t>
      </w:r>
      <w:r w:rsidR="009F7CE7" w:rsidRPr="00E22475">
        <w:rPr>
          <w:rFonts w:cs="Arial"/>
          <w:sz w:val="22"/>
        </w:rPr>
        <w:t xml:space="preserve"> (</w:t>
      </w:r>
      <w:r w:rsidR="009F7CE7" w:rsidRPr="00E22475">
        <w:rPr>
          <w:rFonts w:cs="Arial"/>
          <w:sz w:val="22"/>
          <w:shd w:val="clear" w:color="auto" w:fill="FFFFFF"/>
        </w:rPr>
        <w:t>Abimbola, 2020)</w:t>
      </w:r>
      <w:r w:rsidRPr="00E22475">
        <w:rPr>
          <w:rFonts w:cs="Arial"/>
          <w:sz w:val="22"/>
        </w:rPr>
        <w:t>. Thus, it has been identified that the skill of working under pressure has played an important role in this case of community engagement.</w:t>
      </w:r>
    </w:p>
    <w:p w14:paraId="007FC201" w14:textId="6466C96F" w:rsidR="00345EA3" w:rsidRPr="00E22475" w:rsidRDefault="00345EA3" w:rsidP="00E22475">
      <w:pPr>
        <w:rPr>
          <w:rFonts w:cs="Arial"/>
          <w:sz w:val="22"/>
        </w:rPr>
      </w:pPr>
      <w:r w:rsidRPr="00E22475">
        <w:rPr>
          <w:rFonts w:cs="Arial"/>
          <w:sz w:val="22"/>
        </w:rPr>
        <w:t xml:space="preserve">Two more skills have been identified as playing major roles in the case of community engagement of Mr. Clark which are </w:t>
      </w:r>
      <w:r w:rsidR="009E78EF" w:rsidRPr="00E22475">
        <w:rPr>
          <w:rFonts w:cs="Arial"/>
          <w:sz w:val="22"/>
        </w:rPr>
        <w:t>adaptability skills and problem-solving skills</w:t>
      </w:r>
      <w:r w:rsidR="00E53B95" w:rsidRPr="00E22475">
        <w:rPr>
          <w:rFonts w:cs="Arial"/>
          <w:sz w:val="22"/>
        </w:rPr>
        <w:t xml:space="preserve"> (</w:t>
      </w:r>
      <w:r w:rsidR="00E53B95" w:rsidRPr="00E22475">
        <w:rPr>
          <w:rFonts w:cs="Arial"/>
          <w:sz w:val="22"/>
          <w:shd w:val="clear" w:color="auto" w:fill="FFFFFF"/>
        </w:rPr>
        <w:t>Brunton, et al, 2017)</w:t>
      </w:r>
      <w:r w:rsidR="009E78EF" w:rsidRPr="00E22475">
        <w:rPr>
          <w:rFonts w:cs="Arial"/>
          <w:sz w:val="22"/>
        </w:rPr>
        <w:t>. These skills have played important role in the community services in this case through enabling the community members to cope up with the changing situations and by enabling them to develop effective and problem-specific solutions.</w:t>
      </w:r>
    </w:p>
    <w:p w14:paraId="07F9C2D0" w14:textId="77777777" w:rsidR="00606197" w:rsidRPr="00E22475" w:rsidRDefault="00606197" w:rsidP="00E22475">
      <w:pPr>
        <w:jc w:val="left"/>
        <w:rPr>
          <w:rFonts w:eastAsiaTheme="majorEastAsia" w:cs="Arial"/>
          <w:b/>
          <w:color w:val="2F5496" w:themeColor="accent1" w:themeShade="BF"/>
          <w:sz w:val="22"/>
        </w:rPr>
      </w:pPr>
      <w:bookmarkStart w:id="5" w:name="_Toc85320500"/>
      <w:r w:rsidRPr="00E22475">
        <w:rPr>
          <w:rFonts w:cs="Arial"/>
          <w:b/>
          <w:sz w:val="22"/>
        </w:rPr>
        <w:br w:type="page"/>
      </w:r>
    </w:p>
    <w:p w14:paraId="00C1EDBA" w14:textId="653A486F" w:rsidR="009E78EF" w:rsidRPr="00E22475" w:rsidRDefault="009E78EF" w:rsidP="00E22475">
      <w:pPr>
        <w:pStyle w:val="Heading2"/>
        <w:rPr>
          <w:rFonts w:cs="Arial"/>
          <w:b/>
          <w:sz w:val="22"/>
          <w:szCs w:val="22"/>
        </w:rPr>
      </w:pPr>
      <w:r w:rsidRPr="00E22475">
        <w:rPr>
          <w:rFonts w:cs="Arial"/>
          <w:b/>
          <w:sz w:val="22"/>
          <w:szCs w:val="22"/>
        </w:rPr>
        <w:lastRenderedPageBreak/>
        <w:t xml:space="preserve">Recommendations for Mr. Clark’s </w:t>
      </w:r>
      <w:r w:rsidR="008126D8" w:rsidRPr="00E22475">
        <w:rPr>
          <w:rFonts w:cs="Arial"/>
          <w:b/>
          <w:sz w:val="22"/>
          <w:szCs w:val="22"/>
        </w:rPr>
        <w:t>e</w:t>
      </w:r>
      <w:r w:rsidRPr="00E22475">
        <w:rPr>
          <w:rFonts w:cs="Arial"/>
          <w:b/>
          <w:sz w:val="22"/>
          <w:szCs w:val="22"/>
        </w:rPr>
        <w:t xml:space="preserve">mployer for </w:t>
      </w:r>
      <w:r w:rsidR="008126D8" w:rsidRPr="00E22475">
        <w:rPr>
          <w:rFonts w:cs="Arial"/>
          <w:b/>
          <w:sz w:val="22"/>
          <w:szCs w:val="22"/>
        </w:rPr>
        <w:t>t</w:t>
      </w:r>
      <w:r w:rsidRPr="00E22475">
        <w:rPr>
          <w:rFonts w:cs="Arial"/>
          <w:b/>
          <w:sz w:val="22"/>
          <w:szCs w:val="22"/>
        </w:rPr>
        <w:t xml:space="preserve">aking </w:t>
      </w:r>
      <w:r w:rsidR="008126D8" w:rsidRPr="00E22475">
        <w:rPr>
          <w:rFonts w:cs="Arial"/>
          <w:b/>
          <w:sz w:val="22"/>
          <w:szCs w:val="22"/>
        </w:rPr>
        <w:t>c</w:t>
      </w:r>
      <w:r w:rsidRPr="00E22475">
        <w:rPr>
          <w:rFonts w:cs="Arial"/>
          <w:b/>
          <w:sz w:val="22"/>
          <w:szCs w:val="22"/>
        </w:rPr>
        <w:t xml:space="preserve">ommunity </w:t>
      </w:r>
      <w:r w:rsidR="008126D8" w:rsidRPr="00E22475">
        <w:rPr>
          <w:rFonts w:cs="Arial"/>
          <w:b/>
          <w:sz w:val="22"/>
          <w:szCs w:val="22"/>
        </w:rPr>
        <w:t>e</w:t>
      </w:r>
      <w:r w:rsidRPr="00E22475">
        <w:rPr>
          <w:rFonts w:cs="Arial"/>
          <w:b/>
          <w:sz w:val="22"/>
          <w:szCs w:val="22"/>
        </w:rPr>
        <w:t xml:space="preserve">ngagement to </w:t>
      </w:r>
      <w:r w:rsidR="008126D8" w:rsidRPr="00E22475">
        <w:rPr>
          <w:rFonts w:cs="Arial"/>
          <w:b/>
          <w:sz w:val="22"/>
          <w:szCs w:val="22"/>
        </w:rPr>
        <w:t>n</w:t>
      </w:r>
      <w:r w:rsidRPr="00E22475">
        <w:rPr>
          <w:rFonts w:cs="Arial"/>
          <w:b/>
          <w:sz w:val="22"/>
          <w:szCs w:val="22"/>
        </w:rPr>
        <w:t xml:space="preserve">ext </w:t>
      </w:r>
      <w:r w:rsidR="008126D8" w:rsidRPr="00E22475">
        <w:rPr>
          <w:rFonts w:cs="Arial"/>
          <w:b/>
          <w:sz w:val="22"/>
          <w:szCs w:val="22"/>
        </w:rPr>
        <w:t>l</w:t>
      </w:r>
      <w:r w:rsidRPr="00E22475">
        <w:rPr>
          <w:rFonts w:cs="Arial"/>
          <w:b/>
          <w:sz w:val="22"/>
          <w:szCs w:val="22"/>
        </w:rPr>
        <w:t>evel</w:t>
      </w:r>
      <w:bookmarkEnd w:id="5"/>
    </w:p>
    <w:p w14:paraId="5AB4C337" w14:textId="43B3A259" w:rsidR="009E78EF" w:rsidRPr="00E22475" w:rsidRDefault="00D60ABC" w:rsidP="00E22475">
      <w:pPr>
        <w:rPr>
          <w:rFonts w:cs="Arial"/>
          <w:sz w:val="22"/>
        </w:rPr>
      </w:pPr>
      <w:r w:rsidRPr="00E22475">
        <w:rPr>
          <w:rFonts w:cs="Arial"/>
          <w:sz w:val="22"/>
        </w:rPr>
        <w:t xml:space="preserve">For increasing the </w:t>
      </w:r>
      <w:r w:rsidR="00F5582C" w:rsidRPr="00E22475">
        <w:rPr>
          <w:rFonts w:cs="Arial"/>
          <w:sz w:val="22"/>
        </w:rPr>
        <w:t xml:space="preserve">level of community engagement in the organization, the employer needs to encourage the employees to participate in community services </w:t>
      </w:r>
      <w:r w:rsidR="00E95F49" w:rsidRPr="00E22475">
        <w:rPr>
          <w:rFonts w:cs="Arial"/>
          <w:sz w:val="22"/>
        </w:rPr>
        <w:t>by</w:t>
      </w:r>
      <w:r w:rsidR="00F5582C" w:rsidRPr="00E22475">
        <w:rPr>
          <w:rFonts w:cs="Arial"/>
          <w:sz w:val="22"/>
        </w:rPr>
        <w:t xml:space="preserve"> motivating them with rewards and recognition for their excellen</w:t>
      </w:r>
      <w:r w:rsidR="00E95F49" w:rsidRPr="00E22475">
        <w:rPr>
          <w:rFonts w:cs="Arial"/>
          <w:sz w:val="22"/>
        </w:rPr>
        <w:t>t</w:t>
      </w:r>
      <w:r w:rsidR="00F5582C" w:rsidRPr="00E22475">
        <w:rPr>
          <w:rFonts w:cs="Arial"/>
          <w:sz w:val="22"/>
        </w:rPr>
        <w:t xml:space="preserve"> contributions to the community goal and objectives</w:t>
      </w:r>
      <w:r w:rsidR="00E460F5" w:rsidRPr="00E22475">
        <w:rPr>
          <w:rFonts w:cs="Arial"/>
          <w:sz w:val="22"/>
        </w:rPr>
        <w:t xml:space="preserve"> (</w:t>
      </w:r>
      <w:r w:rsidR="00E460F5" w:rsidRPr="00E22475">
        <w:rPr>
          <w:rFonts w:cs="Arial"/>
          <w:sz w:val="22"/>
          <w:shd w:val="clear" w:color="auto" w:fill="FFFFFF"/>
        </w:rPr>
        <w:t>Ryan, et al, 2020)</w:t>
      </w:r>
      <w:r w:rsidR="00F5582C" w:rsidRPr="00E22475">
        <w:rPr>
          <w:rFonts w:cs="Arial"/>
          <w:sz w:val="22"/>
        </w:rPr>
        <w:t xml:space="preserve">. In the case of Mr. Clark’s community engagement, the employer has already awarded Mr. Clark with an award and recognition which will be assisting in enhancing the level of community engagement in the organization. But for further growth of community engagement, the employer shall take develop some strategies and take actions accordingly. </w:t>
      </w:r>
    </w:p>
    <w:p w14:paraId="1CB458C4" w14:textId="7961226A" w:rsidR="00F5582C" w:rsidRPr="00E22475" w:rsidRDefault="00F5582C" w:rsidP="00E22475">
      <w:pPr>
        <w:pStyle w:val="ListParagraph"/>
        <w:numPr>
          <w:ilvl w:val="0"/>
          <w:numId w:val="2"/>
        </w:numPr>
        <w:rPr>
          <w:rFonts w:cs="Arial"/>
          <w:sz w:val="22"/>
        </w:rPr>
      </w:pPr>
      <w:r w:rsidRPr="00E22475">
        <w:rPr>
          <w:rFonts w:cs="Arial"/>
          <w:sz w:val="22"/>
        </w:rPr>
        <w:t xml:space="preserve">Firstly, the employer shall offer the employees paid time offs for the hours in which they will work for the communities. Since most employees do not engage in community services because they have the risk of losing their salaries for the time they contribute </w:t>
      </w:r>
      <w:r w:rsidR="00E95F49" w:rsidRPr="00E22475">
        <w:rPr>
          <w:rFonts w:cs="Arial"/>
          <w:sz w:val="22"/>
        </w:rPr>
        <w:t>to</w:t>
      </w:r>
      <w:r w:rsidRPr="00E22475">
        <w:rPr>
          <w:rFonts w:cs="Arial"/>
          <w:sz w:val="22"/>
        </w:rPr>
        <w:t xml:space="preserve"> community activities, providing them with paid offs for their contributions in community works will protect them from such risks and thus will encourage the employees to participate in community services</w:t>
      </w:r>
      <w:r w:rsidR="009F7CE7" w:rsidRPr="00E22475">
        <w:rPr>
          <w:rFonts w:cs="Arial"/>
          <w:sz w:val="22"/>
        </w:rPr>
        <w:t xml:space="preserve"> (</w:t>
      </w:r>
      <w:r w:rsidR="009F7CE7" w:rsidRPr="00E22475">
        <w:rPr>
          <w:rFonts w:cs="Arial"/>
          <w:sz w:val="22"/>
          <w:shd w:val="clear" w:color="auto" w:fill="FFFFFF"/>
        </w:rPr>
        <w:t>Adhikari, et al, 2020)</w:t>
      </w:r>
      <w:r w:rsidRPr="00E22475">
        <w:rPr>
          <w:rFonts w:cs="Arial"/>
          <w:sz w:val="22"/>
        </w:rPr>
        <w:t>. This will thus assist in taking community engagement to a greater level.</w:t>
      </w:r>
    </w:p>
    <w:p w14:paraId="1446839E" w14:textId="26877E1F" w:rsidR="00F5582C" w:rsidRPr="00E22475" w:rsidRDefault="00F5582C" w:rsidP="00E22475">
      <w:pPr>
        <w:pStyle w:val="ListParagraph"/>
        <w:numPr>
          <w:ilvl w:val="0"/>
          <w:numId w:val="2"/>
        </w:numPr>
        <w:rPr>
          <w:rFonts w:cs="Arial"/>
          <w:sz w:val="22"/>
        </w:rPr>
      </w:pPr>
      <w:r w:rsidRPr="00E22475">
        <w:rPr>
          <w:rFonts w:cs="Arial"/>
          <w:sz w:val="22"/>
        </w:rPr>
        <w:t xml:space="preserve">The employer shall also motivate the employees for community engagement through </w:t>
      </w:r>
      <w:r w:rsidR="00B337DE" w:rsidRPr="00E22475">
        <w:rPr>
          <w:rFonts w:cs="Arial"/>
          <w:sz w:val="22"/>
        </w:rPr>
        <w:t>developing partnerships with community institutions</w:t>
      </w:r>
      <w:r w:rsidR="009F7CE7" w:rsidRPr="00E22475">
        <w:rPr>
          <w:rFonts w:cs="Arial"/>
          <w:sz w:val="22"/>
        </w:rPr>
        <w:t xml:space="preserve"> (</w:t>
      </w:r>
      <w:r w:rsidR="009F7CE7" w:rsidRPr="00E22475">
        <w:rPr>
          <w:rFonts w:cs="Arial"/>
          <w:sz w:val="22"/>
          <w:shd w:val="clear" w:color="auto" w:fill="FFFFFF"/>
        </w:rPr>
        <w:t xml:space="preserve">Reynolds, and </w:t>
      </w:r>
      <w:proofErr w:type="spellStart"/>
      <w:r w:rsidR="009F7CE7" w:rsidRPr="00E22475">
        <w:rPr>
          <w:rFonts w:cs="Arial"/>
          <w:sz w:val="22"/>
          <w:shd w:val="clear" w:color="auto" w:fill="FFFFFF"/>
        </w:rPr>
        <w:t>Sariola</w:t>
      </w:r>
      <w:proofErr w:type="spellEnd"/>
      <w:r w:rsidR="009F7CE7" w:rsidRPr="00E22475">
        <w:rPr>
          <w:rFonts w:cs="Arial"/>
          <w:sz w:val="22"/>
          <w:shd w:val="clear" w:color="auto" w:fill="FFFFFF"/>
        </w:rPr>
        <w:t>, 2018)</w:t>
      </w:r>
      <w:r w:rsidR="00B337DE" w:rsidRPr="00E22475">
        <w:rPr>
          <w:rFonts w:cs="Arial"/>
          <w:sz w:val="22"/>
        </w:rPr>
        <w:t>. This will enable the employees to easily engage in community activities since the organization will already have collaborative relationships with the community institutions.</w:t>
      </w:r>
    </w:p>
    <w:p w14:paraId="41452BCC" w14:textId="3561E8D6" w:rsidR="00B337DE" w:rsidRPr="00E22475" w:rsidRDefault="00B337DE" w:rsidP="00E22475">
      <w:pPr>
        <w:pStyle w:val="ListParagraph"/>
        <w:numPr>
          <w:ilvl w:val="0"/>
          <w:numId w:val="2"/>
        </w:numPr>
        <w:rPr>
          <w:rFonts w:cs="Arial"/>
          <w:sz w:val="22"/>
        </w:rPr>
      </w:pPr>
      <w:r w:rsidRPr="00E22475">
        <w:rPr>
          <w:rFonts w:cs="Arial"/>
          <w:sz w:val="22"/>
        </w:rPr>
        <w:t>Moreover, the employer shall arrange training programs aiming at developing the major skills required in community activities</w:t>
      </w:r>
      <w:r w:rsidR="00E53B95" w:rsidRPr="00E22475">
        <w:rPr>
          <w:rFonts w:cs="Arial"/>
          <w:sz w:val="22"/>
        </w:rPr>
        <w:t xml:space="preserve"> (</w:t>
      </w:r>
      <w:r w:rsidR="00E53B95" w:rsidRPr="00E22475">
        <w:rPr>
          <w:rFonts w:cs="Arial"/>
          <w:sz w:val="22"/>
          <w:shd w:val="clear" w:color="auto" w:fill="FFFFFF"/>
        </w:rPr>
        <w:t>Adhikari, et al, 2020)</w:t>
      </w:r>
      <w:r w:rsidRPr="00E22475">
        <w:rPr>
          <w:rFonts w:cs="Arial"/>
          <w:sz w:val="22"/>
        </w:rPr>
        <w:t xml:space="preserve">. </w:t>
      </w:r>
      <w:r w:rsidR="00E53B95" w:rsidRPr="00E22475">
        <w:rPr>
          <w:rFonts w:cs="Arial"/>
          <w:sz w:val="22"/>
        </w:rPr>
        <w:t>T</w:t>
      </w:r>
      <w:r w:rsidRPr="00E22475">
        <w:rPr>
          <w:rFonts w:cs="Arial"/>
          <w:sz w:val="22"/>
        </w:rPr>
        <w:t>his will enable the employees to develop the required skills and thus effectively participate in community operations and services.</w:t>
      </w:r>
    </w:p>
    <w:p w14:paraId="0443DDB2" w14:textId="618B27C9" w:rsidR="00B337DE" w:rsidRPr="00E22475" w:rsidRDefault="00B337DE" w:rsidP="00E22475">
      <w:pPr>
        <w:rPr>
          <w:rFonts w:cs="Arial"/>
          <w:sz w:val="22"/>
        </w:rPr>
      </w:pPr>
      <w:r w:rsidRPr="00E22475">
        <w:rPr>
          <w:rFonts w:cs="Arial"/>
          <w:sz w:val="22"/>
        </w:rPr>
        <w:t>Finally, the employer shall periodically hold community service days during which the employees will be participating in different community services and activities</w:t>
      </w:r>
      <w:r w:rsidR="008126D8" w:rsidRPr="00E22475">
        <w:rPr>
          <w:rFonts w:cs="Arial"/>
          <w:sz w:val="22"/>
        </w:rPr>
        <w:t xml:space="preserve"> (</w:t>
      </w:r>
      <w:r w:rsidR="008126D8" w:rsidRPr="00E22475">
        <w:rPr>
          <w:rFonts w:cs="Arial"/>
          <w:sz w:val="22"/>
          <w:shd w:val="clear" w:color="auto" w:fill="FFFFFF"/>
        </w:rPr>
        <w:t>De Weger, et al, 2018)</w:t>
      </w:r>
      <w:r w:rsidRPr="00E22475">
        <w:rPr>
          <w:rFonts w:cs="Arial"/>
          <w:sz w:val="22"/>
        </w:rPr>
        <w:t xml:space="preserve">. Such arrangements will automatically enhance the level of community engagement among the employees since it will make them familiar with this concept and will also shape their interests </w:t>
      </w:r>
      <w:r w:rsidR="00E95F49" w:rsidRPr="00E22475">
        <w:rPr>
          <w:rFonts w:cs="Arial"/>
          <w:sz w:val="22"/>
        </w:rPr>
        <w:t>in</w:t>
      </w:r>
      <w:r w:rsidRPr="00E22475">
        <w:rPr>
          <w:rFonts w:cs="Arial"/>
          <w:sz w:val="22"/>
        </w:rPr>
        <w:t xml:space="preserve"> community activities.</w:t>
      </w:r>
      <w:r w:rsidR="00667220" w:rsidRPr="00E22475">
        <w:rPr>
          <w:rFonts w:cs="Arial"/>
          <w:sz w:val="22"/>
        </w:rPr>
        <w:t xml:space="preserve"> </w:t>
      </w:r>
      <w:r w:rsidRPr="00E22475">
        <w:rPr>
          <w:rFonts w:cs="Arial"/>
          <w:sz w:val="22"/>
        </w:rPr>
        <w:t>Successful implementation of the above</w:t>
      </w:r>
      <w:r w:rsidR="00E95F49" w:rsidRPr="00E22475">
        <w:rPr>
          <w:rFonts w:cs="Arial"/>
          <w:sz w:val="22"/>
        </w:rPr>
        <w:t>-</w:t>
      </w:r>
      <w:r w:rsidRPr="00E22475">
        <w:rPr>
          <w:rFonts w:cs="Arial"/>
          <w:sz w:val="22"/>
        </w:rPr>
        <w:t>stated strategies will enable the employer to take community engagement to a higher level.</w:t>
      </w:r>
    </w:p>
    <w:p w14:paraId="3CA25D53" w14:textId="13B35C0A" w:rsidR="00B337DE" w:rsidRPr="00E22475" w:rsidRDefault="00B337DE" w:rsidP="00E22475">
      <w:pPr>
        <w:jc w:val="left"/>
        <w:rPr>
          <w:rFonts w:eastAsiaTheme="majorEastAsia" w:cs="Arial"/>
          <w:color w:val="2F5496" w:themeColor="accent1" w:themeShade="BF"/>
          <w:sz w:val="22"/>
        </w:rPr>
      </w:pPr>
    </w:p>
    <w:p w14:paraId="631A0406" w14:textId="183B791F" w:rsidR="00B337DE" w:rsidRPr="00E22475" w:rsidRDefault="00B337DE" w:rsidP="00E22475">
      <w:pPr>
        <w:pStyle w:val="Heading1"/>
        <w:pBdr>
          <w:bottom w:val="single" w:sz="4" w:space="1" w:color="auto"/>
        </w:pBdr>
        <w:rPr>
          <w:rFonts w:cs="Arial"/>
          <w:b/>
          <w:sz w:val="22"/>
          <w:szCs w:val="22"/>
        </w:rPr>
      </w:pPr>
      <w:bookmarkStart w:id="6" w:name="_Toc85320501"/>
      <w:r w:rsidRPr="00E22475">
        <w:rPr>
          <w:rFonts w:cs="Arial"/>
          <w:b/>
          <w:sz w:val="22"/>
          <w:szCs w:val="22"/>
        </w:rPr>
        <w:lastRenderedPageBreak/>
        <w:t>Conclusion</w:t>
      </w:r>
      <w:bookmarkEnd w:id="6"/>
    </w:p>
    <w:p w14:paraId="275F30EB" w14:textId="6322E62C" w:rsidR="00B337DE" w:rsidRPr="00E22475" w:rsidRDefault="00B337DE" w:rsidP="00E22475">
      <w:pPr>
        <w:rPr>
          <w:rFonts w:cs="Arial"/>
          <w:sz w:val="22"/>
        </w:rPr>
      </w:pPr>
      <w:r w:rsidRPr="00E22475">
        <w:rPr>
          <w:rFonts w:cs="Arial"/>
          <w:sz w:val="22"/>
        </w:rPr>
        <w:t xml:space="preserve">Community refers to a group of people who have similar goals and objectives and work collaboratively to pursue those goals voluntarily. </w:t>
      </w:r>
      <w:r w:rsidR="00E95F49" w:rsidRPr="00E22475">
        <w:rPr>
          <w:rFonts w:cs="Arial"/>
          <w:sz w:val="22"/>
        </w:rPr>
        <w:t>Most communities aim</w:t>
      </w:r>
      <w:r w:rsidRPr="00E22475">
        <w:rPr>
          <w:rFonts w:cs="Arial"/>
          <w:sz w:val="22"/>
        </w:rPr>
        <w:t xml:space="preserve"> to ensure the well-being of the members of the community, the members of the society, or the country </w:t>
      </w:r>
      <w:r w:rsidR="00E95F49" w:rsidRPr="00E22475">
        <w:rPr>
          <w:rFonts w:cs="Arial"/>
          <w:sz w:val="22"/>
        </w:rPr>
        <w:t>as</w:t>
      </w:r>
      <w:r w:rsidRPr="00E22475">
        <w:rPr>
          <w:rFonts w:cs="Arial"/>
          <w:sz w:val="22"/>
        </w:rPr>
        <w:t xml:space="preserve"> a whole. Community engagement refers to the process of participating in these community activities, working for the betterment of the society or the organization, and ensuring that collaborative actions are being taken with one another. Based on </w:t>
      </w:r>
      <w:r w:rsidR="00E95F49" w:rsidRPr="00E22475">
        <w:rPr>
          <w:rFonts w:cs="Arial"/>
          <w:sz w:val="22"/>
        </w:rPr>
        <w:t xml:space="preserve">the </w:t>
      </w:r>
      <w:r w:rsidRPr="00E22475">
        <w:rPr>
          <w:rFonts w:cs="Arial"/>
          <w:sz w:val="22"/>
        </w:rPr>
        <w:t xml:space="preserve">assessment conducted throughout the report, it can be concluded that community engagement directly contributes </w:t>
      </w:r>
      <w:r w:rsidR="00E95F49" w:rsidRPr="00E22475">
        <w:rPr>
          <w:rFonts w:cs="Arial"/>
          <w:sz w:val="22"/>
        </w:rPr>
        <w:t>to</w:t>
      </w:r>
      <w:r w:rsidRPr="00E22475">
        <w:rPr>
          <w:rFonts w:cs="Arial"/>
          <w:sz w:val="22"/>
        </w:rPr>
        <w:t xml:space="preserve"> generating highly valuable and transferable skills</w:t>
      </w:r>
      <w:r w:rsidR="00E95F49" w:rsidRPr="00E22475">
        <w:rPr>
          <w:rFonts w:cs="Arial"/>
          <w:sz w:val="22"/>
        </w:rPr>
        <w:t>,</w:t>
      </w:r>
      <w:r w:rsidRPr="00E22475">
        <w:rPr>
          <w:rFonts w:cs="Arial"/>
          <w:sz w:val="22"/>
        </w:rPr>
        <w:t xml:space="preserve"> and thus employers shall motivate employees for participating in community services through developing and implementing effective strategies in this regard. </w:t>
      </w:r>
    </w:p>
    <w:p w14:paraId="2A023501" w14:textId="77777777" w:rsidR="00B337DE" w:rsidRPr="00E22475" w:rsidRDefault="00B337DE" w:rsidP="00E22475">
      <w:pPr>
        <w:jc w:val="left"/>
        <w:rPr>
          <w:rFonts w:cs="Arial"/>
          <w:sz w:val="22"/>
        </w:rPr>
      </w:pPr>
      <w:r w:rsidRPr="00E22475">
        <w:rPr>
          <w:rFonts w:cs="Arial"/>
          <w:sz w:val="22"/>
        </w:rPr>
        <w:br w:type="page"/>
      </w:r>
    </w:p>
    <w:p w14:paraId="4BDE9938" w14:textId="2EA8F379" w:rsidR="00B337DE" w:rsidRPr="00E22475" w:rsidRDefault="00B337DE" w:rsidP="00E22475">
      <w:pPr>
        <w:pStyle w:val="Heading1"/>
        <w:pBdr>
          <w:bottom w:val="single" w:sz="4" w:space="1" w:color="auto"/>
        </w:pBdr>
        <w:rPr>
          <w:rFonts w:cs="Arial"/>
          <w:b/>
          <w:sz w:val="22"/>
          <w:szCs w:val="22"/>
        </w:rPr>
      </w:pPr>
      <w:bookmarkStart w:id="7" w:name="_Toc85320502"/>
      <w:r w:rsidRPr="00E22475">
        <w:rPr>
          <w:rFonts w:cs="Arial"/>
          <w:b/>
          <w:sz w:val="22"/>
          <w:szCs w:val="22"/>
        </w:rPr>
        <w:lastRenderedPageBreak/>
        <w:t>References</w:t>
      </w:r>
      <w:bookmarkEnd w:id="7"/>
      <w:r w:rsidRPr="00E22475">
        <w:rPr>
          <w:rFonts w:cs="Arial"/>
          <w:b/>
          <w:sz w:val="22"/>
          <w:szCs w:val="22"/>
        </w:rPr>
        <w:t xml:space="preserve"> </w:t>
      </w:r>
    </w:p>
    <w:p w14:paraId="180337CB" w14:textId="77777777" w:rsidR="008126D8" w:rsidRPr="00E22475" w:rsidRDefault="008126D8" w:rsidP="00E22475">
      <w:pPr>
        <w:rPr>
          <w:rFonts w:cs="Arial"/>
          <w:sz w:val="22"/>
          <w:shd w:val="clear" w:color="auto" w:fill="FFFFFF"/>
        </w:rPr>
      </w:pPr>
      <w:r w:rsidRPr="00E22475">
        <w:rPr>
          <w:rFonts w:cs="Arial"/>
          <w:sz w:val="22"/>
          <w:shd w:val="clear" w:color="auto" w:fill="FFFFFF"/>
        </w:rPr>
        <w:t>Abimbola, S., 2020. Beyond positive a priori bias: reframing community engagement in LMICs. </w:t>
      </w:r>
      <w:r w:rsidRPr="00E22475">
        <w:rPr>
          <w:rFonts w:cs="Arial"/>
          <w:i/>
          <w:iCs/>
          <w:sz w:val="22"/>
          <w:shd w:val="clear" w:color="auto" w:fill="FFFFFF"/>
        </w:rPr>
        <w:t>Health Promotion International</w:t>
      </w:r>
      <w:r w:rsidRPr="00E22475">
        <w:rPr>
          <w:rFonts w:cs="Arial"/>
          <w:sz w:val="22"/>
          <w:shd w:val="clear" w:color="auto" w:fill="FFFFFF"/>
        </w:rPr>
        <w:t>, </w:t>
      </w:r>
      <w:r w:rsidRPr="00E22475">
        <w:rPr>
          <w:rFonts w:cs="Arial"/>
          <w:i/>
          <w:iCs/>
          <w:sz w:val="22"/>
          <w:shd w:val="clear" w:color="auto" w:fill="FFFFFF"/>
        </w:rPr>
        <w:t>35</w:t>
      </w:r>
      <w:r w:rsidRPr="00E22475">
        <w:rPr>
          <w:rFonts w:cs="Arial"/>
          <w:sz w:val="22"/>
          <w:shd w:val="clear" w:color="auto" w:fill="FFFFFF"/>
        </w:rPr>
        <w:t>(3), pp.598-609.</w:t>
      </w:r>
    </w:p>
    <w:p w14:paraId="4E80289C" w14:textId="77777777" w:rsidR="008126D8" w:rsidRPr="00E22475" w:rsidRDefault="008126D8" w:rsidP="00E22475">
      <w:pPr>
        <w:rPr>
          <w:rFonts w:cs="Arial"/>
          <w:sz w:val="22"/>
          <w:shd w:val="clear" w:color="auto" w:fill="FFFFFF"/>
        </w:rPr>
      </w:pPr>
      <w:r w:rsidRPr="00E22475">
        <w:rPr>
          <w:rFonts w:cs="Arial"/>
          <w:sz w:val="22"/>
          <w:shd w:val="clear" w:color="auto" w:fill="FFFFFF"/>
        </w:rPr>
        <w:t>Adhikari, B., Pell, C. and Cheah, P.Y., 2020. Community engagement and ethical global health research. </w:t>
      </w:r>
      <w:r w:rsidRPr="00E22475">
        <w:rPr>
          <w:rFonts w:cs="Arial"/>
          <w:i/>
          <w:iCs/>
          <w:sz w:val="22"/>
          <w:shd w:val="clear" w:color="auto" w:fill="FFFFFF"/>
        </w:rPr>
        <w:t>Global Bioethics</w:t>
      </w:r>
      <w:r w:rsidRPr="00E22475">
        <w:rPr>
          <w:rFonts w:cs="Arial"/>
          <w:sz w:val="22"/>
          <w:shd w:val="clear" w:color="auto" w:fill="FFFFFF"/>
        </w:rPr>
        <w:t>, </w:t>
      </w:r>
      <w:r w:rsidRPr="00E22475">
        <w:rPr>
          <w:rFonts w:cs="Arial"/>
          <w:i/>
          <w:iCs/>
          <w:sz w:val="22"/>
          <w:shd w:val="clear" w:color="auto" w:fill="FFFFFF"/>
        </w:rPr>
        <w:t>31</w:t>
      </w:r>
      <w:r w:rsidRPr="00E22475">
        <w:rPr>
          <w:rFonts w:cs="Arial"/>
          <w:sz w:val="22"/>
          <w:shd w:val="clear" w:color="auto" w:fill="FFFFFF"/>
        </w:rPr>
        <w:t>(1), pp.1-12.</w:t>
      </w:r>
    </w:p>
    <w:p w14:paraId="25A2B58D" w14:textId="220ED80D" w:rsidR="008126D8" w:rsidRPr="00E22475" w:rsidRDefault="008126D8" w:rsidP="00E22475">
      <w:pPr>
        <w:rPr>
          <w:rFonts w:cs="Arial"/>
          <w:sz w:val="22"/>
          <w:shd w:val="clear" w:color="auto" w:fill="FFFFFF"/>
        </w:rPr>
      </w:pPr>
      <w:r w:rsidRPr="00E22475">
        <w:rPr>
          <w:rFonts w:cs="Arial"/>
          <w:sz w:val="22"/>
          <w:shd w:val="clear" w:color="auto" w:fill="FFFFFF"/>
        </w:rPr>
        <w:t>Brunton, G., Thomas, J., O’Mara-Eves, A., Jamal, F., Oliver, S.</w:t>
      </w:r>
      <w:r w:rsidR="00E95F49" w:rsidRPr="00E22475">
        <w:rPr>
          <w:rFonts w:cs="Arial"/>
          <w:sz w:val="22"/>
          <w:shd w:val="clear" w:color="auto" w:fill="FFFFFF"/>
        </w:rPr>
        <w:t>,</w:t>
      </w:r>
      <w:r w:rsidRPr="00E22475">
        <w:rPr>
          <w:rFonts w:cs="Arial"/>
          <w:sz w:val="22"/>
          <w:shd w:val="clear" w:color="auto" w:fill="FFFFFF"/>
        </w:rPr>
        <w:t xml:space="preserve"> and Kavanagh, J., 2017. Narratives of community engagement: a systematic review-derived conceptual framework for public health interventions. </w:t>
      </w:r>
      <w:r w:rsidRPr="00E22475">
        <w:rPr>
          <w:rFonts w:cs="Arial"/>
          <w:i/>
          <w:iCs/>
          <w:sz w:val="22"/>
          <w:shd w:val="clear" w:color="auto" w:fill="FFFFFF"/>
        </w:rPr>
        <w:t>BMC Public Health</w:t>
      </w:r>
      <w:r w:rsidRPr="00E22475">
        <w:rPr>
          <w:rFonts w:cs="Arial"/>
          <w:sz w:val="22"/>
          <w:shd w:val="clear" w:color="auto" w:fill="FFFFFF"/>
        </w:rPr>
        <w:t>, </w:t>
      </w:r>
      <w:r w:rsidRPr="00E22475">
        <w:rPr>
          <w:rFonts w:cs="Arial"/>
          <w:i/>
          <w:iCs/>
          <w:sz w:val="22"/>
          <w:shd w:val="clear" w:color="auto" w:fill="FFFFFF"/>
        </w:rPr>
        <w:t>17</w:t>
      </w:r>
      <w:r w:rsidRPr="00E22475">
        <w:rPr>
          <w:rFonts w:cs="Arial"/>
          <w:sz w:val="22"/>
          <w:shd w:val="clear" w:color="auto" w:fill="FFFFFF"/>
        </w:rPr>
        <w:t>(1), pp.1-15.</w:t>
      </w:r>
    </w:p>
    <w:p w14:paraId="6E1BA3A2" w14:textId="77777777" w:rsidR="008126D8" w:rsidRPr="00E22475" w:rsidRDefault="008126D8" w:rsidP="00E22475">
      <w:pPr>
        <w:rPr>
          <w:rFonts w:cs="Arial"/>
          <w:sz w:val="22"/>
          <w:shd w:val="clear" w:color="auto" w:fill="FFFFFF"/>
        </w:rPr>
      </w:pPr>
      <w:r w:rsidRPr="00E22475">
        <w:rPr>
          <w:rFonts w:cs="Arial"/>
          <w:sz w:val="22"/>
          <w:shd w:val="clear" w:color="auto" w:fill="FFFFFF"/>
        </w:rPr>
        <w:t xml:space="preserve">Burgess, R.A., Osborne, R.H., </w:t>
      </w:r>
      <w:proofErr w:type="spellStart"/>
      <w:r w:rsidRPr="00E22475">
        <w:rPr>
          <w:rFonts w:cs="Arial"/>
          <w:sz w:val="22"/>
          <w:shd w:val="clear" w:color="auto" w:fill="FFFFFF"/>
        </w:rPr>
        <w:t>Yongabi</w:t>
      </w:r>
      <w:proofErr w:type="spellEnd"/>
      <w:r w:rsidRPr="00E22475">
        <w:rPr>
          <w:rFonts w:cs="Arial"/>
          <w:sz w:val="22"/>
          <w:shd w:val="clear" w:color="auto" w:fill="FFFFFF"/>
        </w:rPr>
        <w:t xml:space="preserve">, K.A., Greenhalgh, T., </w:t>
      </w:r>
      <w:proofErr w:type="spellStart"/>
      <w:r w:rsidRPr="00E22475">
        <w:rPr>
          <w:rFonts w:cs="Arial"/>
          <w:sz w:val="22"/>
          <w:shd w:val="clear" w:color="auto" w:fill="FFFFFF"/>
        </w:rPr>
        <w:t>Gurdasani</w:t>
      </w:r>
      <w:proofErr w:type="spellEnd"/>
      <w:r w:rsidRPr="00E22475">
        <w:rPr>
          <w:rFonts w:cs="Arial"/>
          <w:sz w:val="22"/>
          <w:shd w:val="clear" w:color="auto" w:fill="FFFFFF"/>
        </w:rPr>
        <w:t>, D., Kang, G., Falade, A.G., Odone, A., Busse, R., Martin-Moreno, J.M. and Reicher, S., 2021. The COVID-19 vaccines rush: participatory community engagement matters more than ever. </w:t>
      </w:r>
      <w:r w:rsidRPr="00E22475">
        <w:rPr>
          <w:rFonts w:cs="Arial"/>
          <w:i/>
          <w:iCs/>
          <w:sz w:val="22"/>
          <w:shd w:val="clear" w:color="auto" w:fill="FFFFFF"/>
        </w:rPr>
        <w:t>The Lancet</w:t>
      </w:r>
      <w:r w:rsidRPr="00E22475">
        <w:rPr>
          <w:rFonts w:cs="Arial"/>
          <w:sz w:val="22"/>
          <w:shd w:val="clear" w:color="auto" w:fill="FFFFFF"/>
        </w:rPr>
        <w:t>, </w:t>
      </w:r>
      <w:r w:rsidRPr="00E22475">
        <w:rPr>
          <w:rFonts w:cs="Arial"/>
          <w:i/>
          <w:iCs/>
          <w:sz w:val="22"/>
          <w:shd w:val="clear" w:color="auto" w:fill="FFFFFF"/>
        </w:rPr>
        <w:t>397</w:t>
      </w:r>
      <w:r w:rsidRPr="00E22475">
        <w:rPr>
          <w:rFonts w:cs="Arial"/>
          <w:sz w:val="22"/>
          <w:shd w:val="clear" w:color="auto" w:fill="FFFFFF"/>
        </w:rPr>
        <w:t>(10268), pp.8-10.</w:t>
      </w:r>
    </w:p>
    <w:p w14:paraId="35616DA5" w14:textId="77777777" w:rsidR="008126D8" w:rsidRPr="00E22475" w:rsidRDefault="008126D8" w:rsidP="00E22475">
      <w:pPr>
        <w:rPr>
          <w:rFonts w:cs="Arial"/>
          <w:sz w:val="22"/>
        </w:rPr>
      </w:pPr>
      <w:r w:rsidRPr="00E22475">
        <w:rPr>
          <w:rFonts w:cs="Arial"/>
          <w:sz w:val="22"/>
          <w:shd w:val="clear" w:color="auto" w:fill="FFFFFF"/>
        </w:rPr>
        <w:t xml:space="preserve">De Weger, E., Van Vooren, N., </w:t>
      </w:r>
      <w:proofErr w:type="spellStart"/>
      <w:r w:rsidRPr="00E22475">
        <w:rPr>
          <w:rFonts w:cs="Arial"/>
          <w:sz w:val="22"/>
          <w:shd w:val="clear" w:color="auto" w:fill="FFFFFF"/>
        </w:rPr>
        <w:t>Luijkx</w:t>
      </w:r>
      <w:proofErr w:type="spellEnd"/>
      <w:r w:rsidRPr="00E22475">
        <w:rPr>
          <w:rFonts w:cs="Arial"/>
          <w:sz w:val="22"/>
          <w:shd w:val="clear" w:color="auto" w:fill="FFFFFF"/>
        </w:rPr>
        <w:t>, K.G., Baan, C.A. and Drewes, H.W., 2018. Achieving successful community engagement: a rapid realist review. </w:t>
      </w:r>
      <w:r w:rsidRPr="00E22475">
        <w:rPr>
          <w:rFonts w:cs="Arial"/>
          <w:i/>
          <w:iCs/>
          <w:sz w:val="22"/>
          <w:shd w:val="clear" w:color="auto" w:fill="FFFFFF"/>
        </w:rPr>
        <w:t>BMC health services research</w:t>
      </w:r>
      <w:r w:rsidRPr="00E22475">
        <w:rPr>
          <w:rFonts w:cs="Arial"/>
          <w:sz w:val="22"/>
          <w:shd w:val="clear" w:color="auto" w:fill="FFFFFF"/>
        </w:rPr>
        <w:t>, </w:t>
      </w:r>
      <w:r w:rsidRPr="00E22475">
        <w:rPr>
          <w:rFonts w:cs="Arial"/>
          <w:i/>
          <w:iCs/>
          <w:sz w:val="22"/>
          <w:shd w:val="clear" w:color="auto" w:fill="FFFFFF"/>
        </w:rPr>
        <w:t>18</w:t>
      </w:r>
      <w:r w:rsidRPr="00E22475">
        <w:rPr>
          <w:rFonts w:cs="Arial"/>
          <w:sz w:val="22"/>
          <w:shd w:val="clear" w:color="auto" w:fill="FFFFFF"/>
        </w:rPr>
        <w:t>(1), pp.1-18.</w:t>
      </w:r>
    </w:p>
    <w:p w14:paraId="75B82D14" w14:textId="2E831C54" w:rsidR="008126D8" w:rsidRPr="00E22475" w:rsidRDefault="008126D8" w:rsidP="00E22475">
      <w:pPr>
        <w:rPr>
          <w:rFonts w:cs="Arial"/>
          <w:sz w:val="22"/>
          <w:shd w:val="clear" w:color="auto" w:fill="FFFFFF"/>
        </w:rPr>
      </w:pPr>
      <w:r w:rsidRPr="00E22475">
        <w:rPr>
          <w:rFonts w:cs="Arial"/>
          <w:sz w:val="22"/>
          <w:shd w:val="clear" w:color="auto" w:fill="FFFFFF"/>
        </w:rPr>
        <w:t xml:space="preserve">Galiatsatos, P., Monson, K., Oluyinka, M., Negro, D., Hughes, N., </w:t>
      </w:r>
      <w:proofErr w:type="spellStart"/>
      <w:r w:rsidRPr="00E22475">
        <w:rPr>
          <w:rFonts w:cs="Arial"/>
          <w:sz w:val="22"/>
          <w:shd w:val="clear" w:color="auto" w:fill="FFFFFF"/>
        </w:rPr>
        <w:t>Maydan</w:t>
      </w:r>
      <w:proofErr w:type="spellEnd"/>
      <w:r w:rsidRPr="00E22475">
        <w:rPr>
          <w:rFonts w:cs="Arial"/>
          <w:sz w:val="22"/>
          <w:shd w:val="clear" w:color="auto" w:fill="FFFFFF"/>
        </w:rPr>
        <w:t>, D., Golden, S.H., Teague, P.</w:t>
      </w:r>
      <w:r w:rsidR="00E95F49" w:rsidRPr="00E22475">
        <w:rPr>
          <w:rFonts w:cs="Arial"/>
          <w:sz w:val="22"/>
          <w:shd w:val="clear" w:color="auto" w:fill="FFFFFF"/>
        </w:rPr>
        <w:t>,</w:t>
      </w:r>
      <w:r w:rsidRPr="00E22475">
        <w:rPr>
          <w:rFonts w:cs="Arial"/>
          <w:sz w:val="22"/>
          <w:shd w:val="clear" w:color="auto" w:fill="FFFFFF"/>
        </w:rPr>
        <w:t xml:space="preserve"> and Hale, W.D., 2020. Community calls: Lessons and insights gained from a medical–religious community engagement during the COVID-19 pandemic. </w:t>
      </w:r>
      <w:r w:rsidRPr="00E22475">
        <w:rPr>
          <w:rFonts w:cs="Arial"/>
          <w:i/>
          <w:iCs/>
          <w:sz w:val="22"/>
          <w:shd w:val="clear" w:color="auto" w:fill="FFFFFF"/>
        </w:rPr>
        <w:t>Journal of Religion and Health</w:t>
      </w:r>
      <w:r w:rsidRPr="00E22475">
        <w:rPr>
          <w:rFonts w:cs="Arial"/>
          <w:sz w:val="22"/>
          <w:shd w:val="clear" w:color="auto" w:fill="FFFFFF"/>
        </w:rPr>
        <w:t>, </w:t>
      </w:r>
      <w:r w:rsidRPr="00E22475">
        <w:rPr>
          <w:rFonts w:cs="Arial"/>
          <w:i/>
          <w:iCs/>
          <w:sz w:val="22"/>
          <w:shd w:val="clear" w:color="auto" w:fill="FFFFFF"/>
        </w:rPr>
        <w:t>59</w:t>
      </w:r>
      <w:r w:rsidRPr="00E22475">
        <w:rPr>
          <w:rFonts w:cs="Arial"/>
          <w:sz w:val="22"/>
          <w:shd w:val="clear" w:color="auto" w:fill="FFFFFF"/>
        </w:rPr>
        <w:t>(5), pp.2256-2262.</w:t>
      </w:r>
    </w:p>
    <w:p w14:paraId="35A645D0" w14:textId="77777777" w:rsidR="008126D8" w:rsidRPr="00E22475" w:rsidRDefault="008126D8" w:rsidP="00E22475">
      <w:pPr>
        <w:rPr>
          <w:rFonts w:cs="Arial"/>
          <w:sz w:val="22"/>
          <w:shd w:val="clear" w:color="auto" w:fill="FFFFFF"/>
        </w:rPr>
      </w:pPr>
      <w:proofErr w:type="spellStart"/>
      <w:r w:rsidRPr="00E22475">
        <w:rPr>
          <w:rFonts w:cs="Arial"/>
          <w:sz w:val="22"/>
          <w:shd w:val="clear" w:color="auto" w:fill="FFFFFF"/>
        </w:rPr>
        <w:t>Hollebeek</w:t>
      </w:r>
      <w:proofErr w:type="spellEnd"/>
      <w:r w:rsidRPr="00E22475">
        <w:rPr>
          <w:rFonts w:cs="Arial"/>
          <w:sz w:val="22"/>
          <w:shd w:val="clear" w:color="auto" w:fill="FFFFFF"/>
        </w:rPr>
        <w:t>, L.D., Juric, B. and Tang, W., 2017. Virtual brand community engagement practices: a refined typology and model. </w:t>
      </w:r>
      <w:r w:rsidRPr="00E22475">
        <w:rPr>
          <w:rFonts w:cs="Arial"/>
          <w:i/>
          <w:iCs/>
          <w:sz w:val="22"/>
          <w:shd w:val="clear" w:color="auto" w:fill="FFFFFF"/>
        </w:rPr>
        <w:t>Journal of Services Marketing</w:t>
      </w:r>
      <w:r w:rsidRPr="00E22475">
        <w:rPr>
          <w:rFonts w:cs="Arial"/>
          <w:sz w:val="22"/>
          <w:shd w:val="clear" w:color="auto" w:fill="FFFFFF"/>
        </w:rPr>
        <w:t>.</w:t>
      </w:r>
    </w:p>
    <w:p w14:paraId="46D1059E" w14:textId="77777777" w:rsidR="008126D8" w:rsidRPr="00E22475" w:rsidRDefault="008126D8" w:rsidP="00E22475">
      <w:pPr>
        <w:rPr>
          <w:rFonts w:cs="Arial"/>
          <w:sz w:val="22"/>
          <w:shd w:val="clear" w:color="auto" w:fill="FFFFFF"/>
        </w:rPr>
      </w:pPr>
      <w:r w:rsidRPr="00E22475">
        <w:rPr>
          <w:rFonts w:cs="Arial"/>
          <w:sz w:val="22"/>
          <w:shd w:val="clear" w:color="auto" w:fill="FFFFFF"/>
        </w:rPr>
        <w:t>Kumar, J. and Kumar, V., 2020. Drivers of brand community engagement. </w:t>
      </w:r>
      <w:r w:rsidRPr="00E22475">
        <w:rPr>
          <w:rFonts w:cs="Arial"/>
          <w:i/>
          <w:iCs/>
          <w:sz w:val="22"/>
          <w:shd w:val="clear" w:color="auto" w:fill="FFFFFF"/>
        </w:rPr>
        <w:t>Journal of Retailing and Consumer Services</w:t>
      </w:r>
      <w:r w:rsidRPr="00E22475">
        <w:rPr>
          <w:rFonts w:cs="Arial"/>
          <w:sz w:val="22"/>
          <w:shd w:val="clear" w:color="auto" w:fill="FFFFFF"/>
        </w:rPr>
        <w:t>, </w:t>
      </w:r>
      <w:r w:rsidRPr="00E22475">
        <w:rPr>
          <w:rFonts w:cs="Arial"/>
          <w:i/>
          <w:iCs/>
          <w:sz w:val="22"/>
          <w:shd w:val="clear" w:color="auto" w:fill="FFFFFF"/>
        </w:rPr>
        <w:t>54</w:t>
      </w:r>
      <w:r w:rsidRPr="00E22475">
        <w:rPr>
          <w:rFonts w:cs="Arial"/>
          <w:sz w:val="22"/>
          <w:shd w:val="clear" w:color="auto" w:fill="FFFFFF"/>
        </w:rPr>
        <w:t>, p.101949.</w:t>
      </w:r>
    </w:p>
    <w:p w14:paraId="5BD15C0F" w14:textId="77777777" w:rsidR="008126D8" w:rsidRPr="00E22475" w:rsidRDefault="008126D8" w:rsidP="00E22475">
      <w:pPr>
        <w:rPr>
          <w:rFonts w:cs="Arial"/>
          <w:sz w:val="22"/>
          <w:shd w:val="clear" w:color="auto" w:fill="FFFFFF"/>
        </w:rPr>
      </w:pPr>
      <w:r w:rsidRPr="00E22475">
        <w:rPr>
          <w:rFonts w:cs="Arial"/>
          <w:sz w:val="22"/>
          <w:shd w:val="clear" w:color="auto" w:fill="FFFFFF"/>
        </w:rPr>
        <w:t xml:space="preserve">Martinez, L.S., Rapkin, B.D., Young, A., </w:t>
      </w:r>
      <w:proofErr w:type="spellStart"/>
      <w:r w:rsidRPr="00E22475">
        <w:rPr>
          <w:rFonts w:cs="Arial"/>
          <w:sz w:val="22"/>
          <w:shd w:val="clear" w:color="auto" w:fill="FFFFFF"/>
        </w:rPr>
        <w:t>Freisthler</w:t>
      </w:r>
      <w:proofErr w:type="spellEnd"/>
      <w:r w:rsidRPr="00E22475">
        <w:rPr>
          <w:rFonts w:cs="Arial"/>
          <w:sz w:val="22"/>
          <w:shd w:val="clear" w:color="auto" w:fill="FFFFFF"/>
        </w:rPr>
        <w:t xml:space="preserve">, B., Glasgow, L., Hunt, T., Salsberry, P.J., Oga, E.A., Bennet-Fallin, A., </w:t>
      </w:r>
      <w:proofErr w:type="spellStart"/>
      <w:r w:rsidRPr="00E22475">
        <w:rPr>
          <w:rFonts w:cs="Arial"/>
          <w:sz w:val="22"/>
          <w:shd w:val="clear" w:color="auto" w:fill="FFFFFF"/>
        </w:rPr>
        <w:t>Plouck</w:t>
      </w:r>
      <w:proofErr w:type="spellEnd"/>
      <w:r w:rsidRPr="00E22475">
        <w:rPr>
          <w:rFonts w:cs="Arial"/>
          <w:sz w:val="22"/>
          <w:shd w:val="clear" w:color="auto" w:fill="FFFFFF"/>
        </w:rPr>
        <w:t xml:space="preserve">, T.J. and </w:t>
      </w:r>
      <w:proofErr w:type="spellStart"/>
      <w:r w:rsidRPr="00E22475">
        <w:rPr>
          <w:rFonts w:cs="Arial"/>
          <w:sz w:val="22"/>
          <w:shd w:val="clear" w:color="auto" w:fill="FFFFFF"/>
        </w:rPr>
        <w:t>Drainoni</w:t>
      </w:r>
      <w:proofErr w:type="spellEnd"/>
      <w:r w:rsidRPr="00E22475">
        <w:rPr>
          <w:rFonts w:cs="Arial"/>
          <w:sz w:val="22"/>
          <w:shd w:val="clear" w:color="auto" w:fill="FFFFFF"/>
        </w:rPr>
        <w:t xml:space="preserve">, M.L., 2020. Community engagement to implement evidence-based practices in the </w:t>
      </w:r>
      <w:proofErr w:type="spellStart"/>
      <w:r w:rsidRPr="00E22475">
        <w:rPr>
          <w:rFonts w:cs="Arial"/>
          <w:sz w:val="22"/>
          <w:shd w:val="clear" w:color="auto" w:fill="FFFFFF"/>
        </w:rPr>
        <w:t>HEALing</w:t>
      </w:r>
      <w:proofErr w:type="spellEnd"/>
      <w:r w:rsidRPr="00E22475">
        <w:rPr>
          <w:rFonts w:cs="Arial"/>
          <w:sz w:val="22"/>
          <w:shd w:val="clear" w:color="auto" w:fill="FFFFFF"/>
        </w:rPr>
        <w:t xml:space="preserve"> Communities Study. </w:t>
      </w:r>
      <w:r w:rsidRPr="00E22475">
        <w:rPr>
          <w:rFonts w:cs="Arial"/>
          <w:i/>
          <w:iCs/>
          <w:sz w:val="22"/>
          <w:shd w:val="clear" w:color="auto" w:fill="FFFFFF"/>
        </w:rPr>
        <w:t>Drug and Alcohol Dependence</w:t>
      </w:r>
      <w:r w:rsidRPr="00E22475">
        <w:rPr>
          <w:rFonts w:cs="Arial"/>
          <w:sz w:val="22"/>
          <w:shd w:val="clear" w:color="auto" w:fill="FFFFFF"/>
        </w:rPr>
        <w:t>, </w:t>
      </w:r>
      <w:r w:rsidRPr="00E22475">
        <w:rPr>
          <w:rFonts w:cs="Arial"/>
          <w:i/>
          <w:iCs/>
          <w:sz w:val="22"/>
          <w:shd w:val="clear" w:color="auto" w:fill="FFFFFF"/>
        </w:rPr>
        <w:t>217</w:t>
      </w:r>
      <w:r w:rsidRPr="00E22475">
        <w:rPr>
          <w:rFonts w:cs="Arial"/>
          <w:sz w:val="22"/>
          <w:shd w:val="clear" w:color="auto" w:fill="FFFFFF"/>
        </w:rPr>
        <w:t>, p.108326.</w:t>
      </w:r>
    </w:p>
    <w:p w14:paraId="09C5873D" w14:textId="77777777" w:rsidR="008126D8" w:rsidRPr="00E22475" w:rsidRDefault="008126D8" w:rsidP="00E22475">
      <w:pPr>
        <w:rPr>
          <w:rFonts w:cs="Arial"/>
          <w:sz w:val="22"/>
          <w:shd w:val="clear" w:color="auto" w:fill="FFFFFF"/>
        </w:rPr>
      </w:pPr>
      <w:r w:rsidRPr="00E22475">
        <w:rPr>
          <w:rFonts w:cs="Arial"/>
          <w:sz w:val="22"/>
          <w:shd w:val="clear" w:color="auto" w:fill="FFFFFF"/>
        </w:rPr>
        <w:t>Pratt, B., Cheah, P.Y. and Marsh, V., 2020. Solidarity and community engagement in global health research. </w:t>
      </w:r>
      <w:r w:rsidRPr="00E22475">
        <w:rPr>
          <w:rFonts w:cs="Arial"/>
          <w:i/>
          <w:iCs/>
          <w:sz w:val="22"/>
          <w:shd w:val="clear" w:color="auto" w:fill="FFFFFF"/>
        </w:rPr>
        <w:t>The American Journal of Bioethics</w:t>
      </w:r>
      <w:r w:rsidRPr="00E22475">
        <w:rPr>
          <w:rFonts w:cs="Arial"/>
          <w:sz w:val="22"/>
          <w:shd w:val="clear" w:color="auto" w:fill="FFFFFF"/>
        </w:rPr>
        <w:t>, </w:t>
      </w:r>
      <w:r w:rsidRPr="00E22475">
        <w:rPr>
          <w:rFonts w:cs="Arial"/>
          <w:i/>
          <w:iCs/>
          <w:sz w:val="22"/>
          <w:shd w:val="clear" w:color="auto" w:fill="FFFFFF"/>
        </w:rPr>
        <w:t>20</w:t>
      </w:r>
      <w:r w:rsidRPr="00E22475">
        <w:rPr>
          <w:rFonts w:cs="Arial"/>
          <w:sz w:val="22"/>
          <w:shd w:val="clear" w:color="auto" w:fill="FFFFFF"/>
        </w:rPr>
        <w:t>(5), pp.43-56.</w:t>
      </w:r>
    </w:p>
    <w:p w14:paraId="79E1F630" w14:textId="77777777" w:rsidR="008126D8" w:rsidRPr="00E22475" w:rsidRDefault="008126D8" w:rsidP="00E22475">
      <w:pPr>
        <w:rPr>
          <w:rFonts w:cs="Arial"/>
          <w:sz w:val="22"/>
          <w:shd w:val="clear" w:color="auto" w:fill="FFFFFF"/>
        </w:rPr>
      </w:pPr>
      <w:r w:rsidRPr="00E22475">
        <w:rPr>
          <w:rFonts w:cs="Arial"/>
          <w:sz w:val="22"/>
          <w:shd w:val="clear" w:color="auto" w:fill="FFFFFF"/>
        </w:rPr>
        <w:lastRenderedPageBreak/>
        <w:t xml:space="preserve">Reynolds, L. and </w:t>
      </w:r>
      <w:proofErr w:type="spellStart"/>
      <w:r w:rsidRPr="00E22475">
        <w:rPr>
          <w:rFonts w:cs="Arial"/>
          <w:sz w:val="22"/>
          <w:shd w:val="clear" w:color="auto" w:fill="FFFFFF"/>
        </w:rPr>
        <w:t>Sariola</w:t>
      </w:r>
      <w:proofErr w:type="spellEnd"/>
      <w:r w:rsidRPr="00E22475">
        <w:rPr>
          <w:rFonts w:cs="Arial"/>
          <w:sz w:val="22"/>
          <w:shd w:val="clear" w:color="auto" w:fill="FFFFFF"/>
        </w:rPr>
        <w:t>, S., 2018. The ethics and politics of community engagement in global health research.</w:t>
      </w:r>
    </w:p>
    <w:p w14:paraId="6CAE9721" w14:textId="76E27F6E" w:rsidR="008126D8" w:rsidRPr="00E22475" w:rsidRDefault="008126D8" w:rsidP="00E22475">
      <w:pPr>
        <w:rPr>
          <w:rFonts w:cs="Arial"/>
          <w:sz w:val="22"/>
          <w:shd w:val="clear" w:color="auto" w:fill="FFFFFF"/>
        </w:rPr>
      </w:pPr>
      <w:r w:rsidRPr="00E22475">
        <w:rPr>
          <w:rFonts w:cs="Arial"/>
          <w:sz w:val="22"/>
          <w:shd w:val="clear" w:color="auto" w:fill="FFFFFF"/>
        </w:rPr>
        <w:t>Ryan, B., Johnston, K.A., Taylor, M.</w:t>
      </w:r>
      <w:r w:rsidR="00E95F49" w:rsidRPr="00E22475">
        <w:rPr>
          <w:rFonts w:cs="Arial"/>
          <w:sz w:val="22"/>
          <w:shd w:val="clear" w:color="auto" w:fill="FFFFFF"/>
        </w:rPr>
        <w:t>,</w:t>
      </w:r>
      <w:r w:rsidRPr="00E22475">
        <w:rPr>
          <w:rFonts w:cs="Arial"/>
          <w:sz w:val="22"/>
          <w:shd w:val="clear" w:color="auto" w:fill="FFFFFF"/>
        </w:rPr>
        <w:t xml:space="preserve"> and McAndrew, R., 2020. Community engagement for disaster preparedness: A systematic literature review. </w:t>
      </w:r>
      <w:r w:rsidRPr="00E22475">
        <w:rPr>
          <w:rFonts w:cs="Arial"/>
          <w:i/>
          <w:iCs/>
          <w:sz w:val="22"/>
          <w:shd w:val="clear" w:color="auto" w:fill="FFFFFF"/>
        </w:rPr>
        <w:t>International journal of disaster risk reduction</w:t>
      </w:r>
      <w:r w:rsidRPr="00E22475">
        <w:rPr>
          <w:rFonts w:cs="Arial"/>
          <w:sz w:val="22"/>
          <w:shd w:val="clear" w:color="auto" w:fill="FFFFFF"/>
        </w:rPr>
        <w:t>, </w:t>
      </w:r>
      <w:r w:rsidRPr="00E22475">
        <w:rPr>
          <w:rFonts w:cs="Arial"/>
          <w:i/>
          <w:iCs/>
          <w:sz w:val="22"/>
          <w:shd w:val="clear" w:color="auto" w:fill="FFFFFF"/>
        </w:rPr>
        <w:t>49</w:t>
      </w:r>
      <w:r w:rsidRPr="00E22475">
        <w:rPr>
          <w:rFonts w:cs="Arial"/>
          <w:sz w:val="22"/>
          <w:shd w:val="clear" w:color="auto" w:fill="FFFFFF"/>
        </w:rPr>
        <w:t>, p.101655.</w:t>
      </w:r>
    </w:p>
    <w:sectPr w:rsidR="008126D8" w:rsidRPr="00E22475">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716D8" w14:textId="77777777" w:rsidR="00617413" w:rsidRDefault="00617413" w:rsidP="008126D8">
      <w:pPr>
        <w:spacing w:after="0" w:line="240" w:lineRule="auto"/>
      </w:pPr>
      <w:r>
        <w:separator/>
      </w:r>
    </w:p>
  </w:endnote>
  <w:endnote w:type="continuationSeparator" w:id="0">
    <w:p w14:paraId="0496FF10" w14:textId="77777777" w:rsidR="00617413" w:rsidRDefault="00617413" w:rsidP="00812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037894"/>
      <w:docPartObj>
        <w:docPartGallery w:val="Page Numbers (Bottom of Page)"/>
        <w:docPartUnique/>
      </w:docPartObj>
    </w:sdtPr>
    <w:sdtEndPr>
      <w:rPr>
        <w:noProof/>
      </w:rPr>
    </w:sdtEndPr>
    <w:sdtContent>
      <w:p w14:paraId="6B0FB592" w14:textId="08BB30D9" w:rsidR="00606197" w:rsidRDefault="00606197">
        <w:pPr>
          <w:pStyle w:val="Footer"/>
          <w:jc w:val="center"/>
        </w:pPr>
        <w:r>
          <w:rPr>
            <w:noProof/>
          </w:rPr>
          <mc:AlternateContent>
            <mc:Choice Requires="wps">
              <w:drawing>
                <wp:inline distT="0" distB="0" distL="0" distR="0" wp14:anchorId="2F1AFD12" wp14:editId="73A6B6C4">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EAE587E"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54B597AD" w14:textId="6C3D5A39" w:rsidR="00606197" w:rsidRDefault="00606197">
        <w:pPr>
          <w:pStyle w:val="Footer"/>
          <w:jc w:val="center"/>
        </w:pPr>
        <w:r>
          <w:fldChar w:fldCharType="begin"/>
        </w:r>
        <w:r>
          <w:instrText xml:space="preserve"> PAGE    \* MERGEFORMAT </w:instrText>
        </w:r>
        <w:r>
          <w:fldChar w:fldCharType="separate"/>
        </w:r>
        <w:r w:rsidR="00667220">
          <w:rPr>
            <w:noProof/>
          </w:rPr>
          <w:t>12</w:t>
        </w:r>
        <w:r>
          <w:rPr>
            <w:noProof/>
          </w:rPr>
          <w:fldChar w:fldCharType="end"/>
        </w:r>
      </w:p>
    </w:sdtContent>
  </w:sdt>
  <w:p w14:paraId="513DBEA0" w14:textId="77777777" w:rsidR="00606197" w:rsidRDefault="00606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04A74" w14:textId="77777777" w:rsidR="00617413" w:rsidRDefault="00617413" w:rsidP="008126D8">
      <w:pPr>
        <w:spacing w:after="0" w:line="240" w:lineRule="auto"/>
      </w:pPr>
      <w:r>
        <w:separator/>
      </w:r>
    </w:p>
  </w:footnote>
  <w:footnote w:type="continuationSeparator" w:id="0">
    <w:p w14:paraId="15F383C2" w14:textId="77777777" w:rsidR="00617413" w:rsidRDefault="00617413" w:rsidP="008126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4AA8"/>
    <w:multiLevelType w:val="hybridMultilevel"/>
    <w:tmpl w:val="CF36DC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E1AF2"/>
    <w:multiLevelType w:val="hybridMultilevel"/>
    <w:tmpl w:val="F2621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176F49"/>
    <w:multiLevelType w:val="hybridMultilevel"/>
    <w:tmpl w:val="3B8612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7AwN7YwMzE1MTE2sTRT0lEKTi0uzszPAykwrAUADkq2WSwAAAA="/>
  </w:docVars>
  <w:rsids>
    <w:rsidRoot w:val="00396D01"/>
    <w:rsid w:val="00035805"/>
    <w:rsid w:val="000A0ED8"/>
    <w:rsid w:val="00123023"/>
    <w:rsid w:val="001C21BC"/>
    <w:rsid w:val="002219E0"/>
    <w:rsid w:val="00345EA3"/>
    <w:rsid w:val="00367B50"/>
    <w:rsid w:val="00396D01"/>
    <w:rsid w:val="00543CDD"/>
    <w:rsid w:val="005C0B84"/>
    <w:rsid w:val="005F6154"/>
    <w:rsid w:val="00606197"/>
    <w:rsid w:val="00610115"/>
    <w:rsid w:val="00617413"/>
    <w:rsid w:val="00667220"/>
    <w:rsid w:val="006878AB"/>
    <w:rsid w:val="007A6977"/>
    <w:rsid w:val="007C67C6"/>
    <w:rsid w:val="007D0150"/>
    <w:rsid w:val="008126D8"/>
    <w:rsid w:val="00816423"/>
    <w:rsid w:val="008E100A"/>
    <w:rsid w:val="00902640"/>
    <w:rsid w:val="00931D1D"/>
    <w:rsid w:val="009E78EF"/>
    <w:rsid w:val="009F7CE7"/>
    <w:rsid w:val="00A54EF9"/>
    <w:rsid w:val="00A71582"/>
    <w:rsid w:val="00AD25C6"/>
    <w:rsid w:val="00B241D1"/>
    <w:rsid w:val="00B337DE"/>
    <w:rsid w:val="00B91EC5"/>
    <w:rsid w:val="00C37FE7"/>
    <w:rsid w:val="00C92ACC"/>
    <w:rsid w:val="00D028F0"/>
    <w:rsid w:val="00D15F3B"/>
    <w:rsid w:val="00D2155E"/>
    <w:rsid w:val="00D32D88"/>
    <w:rsid w:val="00D60ABC"/>
    <w:rsid w:val="00DD07C5"/>
    <w:rsid w:val="00DF5331"/>
    <w:rsid w:val="00E15F0E"/>
    <w:rsid w:val="00E22475"/>
    <w:rsid w:val="00E34B02"/>
    <w:rsid w:val="00E460F5"/>
    <w:rsid w:val="00E53B95"/>
    <w:rsid w:val="00E83A9D"/>
    <w:rsid w:val="00E95F49"/>
    <w:rsid w:val="00EE7F25"/>
    <w:rsid w:val="00F17912"/>
    <w:rsid w:val="00F44447"/>
    <w:rsid w:val="00F5582C"/>
    <w:rsid w:val="00FB7F68"/>
    <w:rsid w:val="00FF6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666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D01"/>
    <w:pPr>
      <w:spacing w:line="360" w:lineRule="auto"/>
      <w:jc w:val="both"/>
    </w:pPr>
    <w:rPr>
      <w:rFonts w:ascii="Arial" w:hAnsi="Arial"/>
      <w:sz w:val="24"/>
    </w:rPr>
  </w:style>
  <w:style w:type="paragraph" w:styleId="Heading1">
    <w:name w:val="heading 1"/>
    <w:basedOn w:val="Normal"/>
    <w:next w:val="Normal"/>
    <w:link w:val="Heading1Char"/>
    <w:uiPriority w:val="9"/>
    <w:qFormat/>
    <w:rsid w:val="00A71582"/>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7B50"/>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F6154"/>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1582"/>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367B50"/>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5F6154"/>
    <w:rPr>
      <w:rFonts w:ascii="Arial" w:eastAsiaTheme="majorEastAsia" w:hAnsi="Arial" w:cstheme="majorBidi"/>
      <w:color w:val="1F3763" w:themeColor="accent1" w:themeShade="7F"/>
      <w:sz w:val="24"/>
      <w:szCs w:val="24"/>
    </w:rPr>
  </w:style>
  <w:style w:type="table" w:styleId="TableGrid">
    <w:name w:val="Table Grid"/>
    <w:basedOn w:val="TableNormal"/>
    <w:uiPriority w:val="39"/>
    <w:rsid w:val="00396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96D01"/>
    <w:pPr>
      <w:spacing w:line="259" w:lineRule="auto"/>
      <w:jc w:val="left"/>
      <w:outlineLvl w:val="9"/>
    </w:pPr>
    <w:rPr>
      <w:rFonts w:asciiTheme="majorHAnsi" w:hAnsiTheme="majorHAnsi"/>
    </w:rPr>
  </w:style>
  <w:style w:type="paragraph" w:styleId="ListParagraph">
    <w:name w:val="List Paragraph"/>
    <w:basedOn w:val="Normal"/>
    <w:uiPriority w:val="34"/>
    <w:qFormat/>
    <w:rsid w:val="009F7CE7"/>
    <w:pPr>
      <w:ind w:left="720"/>
      <w:contextualSpacing/>
    </w:pPr>
  </w:style>
  <w:style w:type="paragraph" w:styleId="Header">
    <w:name w:val="header"/>
    <w:basedOn w:val="Normal"/>
    <w:link w:val="HeaderChar"/>
    <w:uiPriority w:val="99"/>
    <w:unhideWhenUsed/>
    <w:rsid w:val="008126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26D8"/>
    <w:rPr>
      <w:rFonts w:ascii="Arial" w:hAnsi="Arial"/>
      <w:sz w:val="24"/>
    </w:rPr>
  </w:style>
  <w:style w:type="paragraph" w:styleId="Footer">
    <w:name w:val="footer"/>
    <w:basedOn w:val="Normal"/>
    <w:link w:val="FooterChar"/>
    <w:uiPriority w:val="99"/>
    <w:unhideWhenUsed/>
    <w:rsid w:val="008126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26D8"/>
    <w:rPr>
      <w:rFonts w:ascii="Arial" w:hAnsi="Arial"/>
      <w:sz w:val="24"/>
    </w:rPr>
  </w:style>
  <w:style w:type="paragraph" w:styleId="TOC1">
    <w:name w:val="toc 1"/>
    <w:basedOn w:val="Normal"/>
    <w:next w:val="Normal"/>
    <w:autoRedefine/>
    <w:uiPriority w:val="39"/>
    <w:unhideWhenUsed/>
    <w:rsid w:val="008126D8"/>
    <w:pPr>
      <w:spacing w:after="100"/>
    </w:pPr>
  </w:style>
  <w:style w:type="paragraph" w:styleId="TOC2">
    <w:name w:val="toc 2"/>
    <w:basedOn w:val="Normal"/>
    <w:next w:val="Normal"/>
    <w:autoRedefine/>
    <w:uiPriority w:val="39"/>
    <w:unhideWhenUsed/>
    <w:rsid w:val="008126D8"/>
    <w:pPr>
      <w:spacing w:after="100"/>
      <w:ind w:left="240"/>
    </w:pPr>
  </w:style>
  <w:style w:type="character" w:styleId="Hyperlink">
    <w:name w:val="Hyperlink"/>
    <w:basedOn w:val="DefaultParagraphFont"/>
    <w:uiPriority w:val="99"/>
    <w:unhideWhenUsed/>
    <w:rsid w:val="008126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31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gif"/></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34CBA1-4552-4A9B-90F9-C87B782250B6}" type="doc">
      <dgm:prSet loTypeId="urn:microsoft.com/office/officeart/2005/8/layout/radial5" loCatId="cycle" qsTypeId="urn:microsoft.com/office/officeart/2005/8/quickstyle/simple1" qsCatId="simple" csTypeId="urn:microsoft.com/office/officeart/2005/8/colors/colorful4" csCatId="colorful" phldr="1"/>
      <dgm:spPr/>
      <dgm:t>
        <a:bodyPr/>
        <a:lstStyle/>
        <a:p>
          <a:endParaRPr lang="en-US"/>
        </a:p>
      </dgm:t>
    </dgm:pt>
    <dgm:pt modelId="{7BCF1774-1FC1-4691-B348-9DF7EE415FAF}">
      <dgm:prSet phldrT="[Text]"/>
      <dgm:spPr/>
      <dgm:t>
        <a:bodyPr/>
        <a:lstStyle/>
        <a:p>
          <a:pPr algn="ctr"/>
          <a:r>
            <a:rPr lang="en-US" b="1"/>
            <a:t>Importance of Community Engagement</a:t>
          </a:r>
        </a:p>
      </dgm:t>
    </dgm:pt>
    <dgm:pt modelId="{F1891EEF-4F24-404F-BCAC-0C2334D692BF}" type="parTrans" cxnId="{07A33A46-D60F-4F5A-8FE2-093B25FB45D2}">
      <dgm:prSet/>
      <dgm:spPr/>
      <dgm:t>
        <a:bodyPr/>
        <a:lstStyle/>
        <a:p>
          <a:pPr algn="ctr"/>
          <a:endParaRPr lang="en-US"/>
        </a:p>
      </dgm:t>
    </dgm:pt>
    <dgm:pt modelId="{405B7E1A-4013-4BD0-ADBF-201DE8F66635}" type="sibTrans" cxnId="{07A33A46-D60F-4F5A-8FE2-093B25FB45D2}">
      <dgm:prSet/>
      <dgm:spPr/>
      <dgm:t>
        <a:bodyPr/>
        <a:lstStyle/>
        <a:p>
          <a:pPr algn="ctr"/>
          <a:endParaRPr lang="en-US"/>
        </a:p>
      </dgm:t>
    </dgm:pt>
    <dgm:pt modelId="{7A613020-0F27-4A6F-AB22-ABB84B3BFC96}">
      <dgm:prSet phldrT="[Text]"/>
      <dgm:spPr/>
      <dgm:t>
        <a:bodyPr/>
        <a:lstStyle/>
        <a:p>
          <a:pPr algn="ctr"/>
          <a:r>
            <a:rPr lang="en-US" b="1"/>
            <a:t>Develops collaborative relationships</a:t>
          </a:r>
          <a:endParaRPr lang="en-US"/>
        </a:p>
      </dgm:t>
    </dgm:pt>
    <dgm:pt modelId="{C905334E-4B47-4ABA-A0FC-EB6760EF3EF8}" type="parTrans" cxnId="{6D9C87F5-2292-4C23-9D9B-8963D9AFD4CE}">
      <dgm:prSet/>
      <dgm:spPr/>
      <dgm:t>
        <a:bodyPr/>
        <a:lstStyle/>
        <a:p>
          <a:pPr algn="ctr"/>
          <a:endParaRPr lang="en-US"/>
        </a:p>
      </dgm:t>
    </dgm:pt>
    <dgm:pt modelId="{7F560ADB-BBDB-4E71-898C-37101389F0C8}" type="sibTrans" cxnId="{6D9C87F5-2292-4C23-9D9B-8963D9AFD4CE}">
      <dgm:prSet/>
      <dgm:spPr/>
      <dgm:t>
        <a:bodyPr/>
        <a:lstStyle/>
        <a:p>
          <a:pPr algn="ctr"/>
          <a:endParaRPr lang="en-US"/>
        </a:p>
      </dgm:t>
    </dgm:pt>
    <dgm:pt modelId="{D586F144-7220-4828-9DD6-6956EA6221A4}">
      <dgm:prSet/>
      <dgm:spPr/>
      <dgm:t>
        <a:bodyPr/>
        <a:lstStyle/>
        <a:p>
          <a:pPr algn="ctr"/>
          <a:r>
            <a:rPr lang="en-US" b="1"/>
            <a:t>Develops problem-solving skills</a:t>
          </a:r>
          <a:endParaRPr lang="en-US"/>
        </a:p>
      </dgm:t>
    </dgm:pt>
    <dgm:pt modelId="{72EE3D22-0C1C-4220-A7EA-789817710FFC}" type="parTrans" cxnId="{E76527AD-8E43-4208-B042-D54A722A0F1E}">
      <dgm:prSet/>
      <dgm:spPr/>
      <dgm:t>
        <a:bodyPr/>
        <a:lstStyle/>
        <a:p>
          <a:pPr algn="ctr"/>
          <a:endParaRPr lang="en-US"/>
        </a:p>
      </dgm:t>
    </dgm:pt>
    <dgm:pt modelId="{14748B81-E7CA-4386-8462-A48ACF4078E5}" type="sibTrans" cxnId="{E76527AD-8E43-4208-B042-D54A722A0F1E}">
      <dgm:prSet/>
      <dgm:spPr/>
      <dgm:t>
        <a:bodyPr/>
        <a:lstStyle/>
        <a:p>
          <a:pPr algn="ctr"/>
          <a:endParaRPr lang="en-US"/>
        </a:p>
      </dgm:t>
    </dgm:pt>
    <dgm:pt modelId="{C8E9A8ED-D3EE-43E4-87F9-ECE4AEE34178}">
      <dgm:prSet/>
      <dgm:spPr/>
      <dgm:t>
        <a:bodyPr/>
        <a:lstStyle/>
        <a:p>
          <a:pPr algn="ctr"/>
          <a:r>
            <a:rPr lang="en-US" b="1"/>
            <a:t>Assists in reducing conflicts</a:t>
          </a:r>
          <a:endParaRPr lang="en-US"/>
        </a:p>
      </dgm:t>
    </dgm:pt>
    <dgm:pt modelId="{C23DC930-E6F2-4BE3-97E1-6D136FBC6CE1}" type="parTrans" cxnId="{F07E6B9E-B3D4-49AB-97CF-653840C086EE}">
      <dgm:prSet/>
      <dgm:spPr/>
      <dgm:t>
        <a:bodyPr/>
        <a:lstStyle/>
        <a:p>
          <a:pPr algn="ctr"/>
          <a:endParaRPr lang="en-US"/>
        </a:p>
      </dgm:t>
    </dgm:pt>
    <dgm:pt modelId="{4A1BA2DB-A889-4399-A16C-C4707117E71A}" type="sibTrans" cxnId="{F07E6B9E-B3D4-49AB-97CF-653840C086EE}">
      <dgm:prSet/>
      <dgm:spPr/>
      <dgm:t>
        <a:bodyPr/>
        <a:lstStyle/>
        <a:p>
          <a:pPr algn="ctr"/>
          <a:endParaRPr lang="en-US"/>
        </a:p>
      </dgm:t>
    </dgm:pt>
    <dgm:pt modelId="{3E15F2C7-1CD9-4D45-9255-E6684B72CAC7}">
      <dgm:prSet/>
      <dgm:spPr/>
      <dgm:t>
        <a:bodyPr/>
        <a:lstStyle/>
        <a:p>
          <a:pPr algn="ctr"/>
          <a:r>
            <a:rPr lang="en-US" b="1"/>
            <a:t>Develops a positive organizational culture</a:t>
          </a:r>
          <a:endParaRPr lang="en-US"/>
        </a:p>
      </dgm:t>
    </dgm:pt>
    <dgm:pt modelId="{6D660CF1-1677-43E0-B19D-903B4B490920}" type="parTrans" cxnId="{7D325E70-C036-47B6-88FC-3829093DBB8E}">
      <dgm:prSet/>
      <dgm:spPr/>
      <dgm:t>
        <a:bodyPr/>
        <a:lstStyle/>
        <a:p>
          <a:pPr algn="ctr"/>
          <a:endParaRPr lang="en-US"/>
        </a:p>
      </dgm:t>
    </dgm:pt>
    <dgm:pt modelId="{98502151-0C05-442D-80BF-1E10AE9180E6}" type="sibTrans" cxnId="{7D325E70-C036-47B6-88FC-3829093DBB8E}">
      <dgm:prSet/>
      <dgm:spPr/>
      <dgm:t>
        <a:bodyPr/>
        <a:lstStyle/>
        <a:p>
          <a:pPr algn="ctr"/>
          <a:endParaRPr lang="en-US"/>
        </a:p>
      </dgm:t>
    </dgm:pt>
    <dgm:pt modelId="{83D8FC67-13B4-4FD3-A5BD-B65F11DAF61F}" type="pres">
      <dgm:prSet presAssocID="{BE34CBA1-4552-4A9B-90F9-C87B782250B6}" presName="Name0" presStyleCnt="0">
        <dgm:presLayoutVars>
          <dgm:chMax val="1"/>
          <dgm:dir/>
          <dgm:animLvl val="ctr"/>
          <dgm:resizeHandles val="exact"/>
        </dgm:presLayoutVars>
      </dgm:prSet>
      <dgm:spPr/>
    </dgm:pt>
    <dgm:pt modelId="{501CC003-59D1-4FF8-BFEB-180B29B308F3}" type="pres">
      <dgm:prSet presAssocID="{7BCF1774-1FC1-4691-B348-9DF7EE415FAF}" presName="centerShape" presStyleLbl="node0" presStyleIdx="0" presStyleCnt="1" custScaleX="116190" custScaleY="116186"/>
      <dgm:spPr/>
    </dgm:pt>
    <dgm:pt modelId="{485B7E9F-856D-43DE-804F-2582ECDF7BE6}" type="pres">
      <dgm:prSet presAssocID="{72EE3D22-0C1C-4220-A7EA-789817710FFC}" presName="parTrans" presStyleLbl="sibTrans2D1" presStyleIdx="0" presStyleCnt="4"/>
      <dgm:spPr/>
    </dgm:pt>
    <dgm:pt modelId="{8DD1E99B-4A44-42E9-9ABC-1C2423C05BCB}" type="pres">
      <dgm:prSet presAssocID="{72EE3D22-0C1C-4220-A7EA-789817710FFC}" presName="connectorText" presStyleLbl="sibTrans2D1" presStyleIdx="0" presStyleCnt="4"/>
      <dgm:spPr/>
    </dgm:pt>
    <dgm:pt modelId="{1074B8AF-CF22-4140-8730-27A6B1065E23}" type="pres">
      <dgm:prSet presAssocID="{D586F144-7220-4828-9DD6-6956EA6221A4}" presName="node" presStyleLbl="node1" presStyleIdx="0" presStyleCnt="4">
        <dgm:presLayoutVars>
          <dgm:bulletEnabled val="1"/>
        </dgm:presLayoutVars>
      </dgm:prSet>
      <dgm:spPr/>
    </dgm:pt>
    <dgm:pt modelId="{73DEE991-C5F5-4AA3-9C01-866A5DCD11B6}" type="pres">
      <dgm:prSet presAssocID="{C905334E-4B47-4ABA-A0FC-EB6760EF3EF8}" presName="parTrans" presStyleLbl="sibTrans2D1" presStyleIdx="1" presStyleCnt="4"/>
      <dgm:spPr/>
    </dgm:pt>
    <dgm:pt modelId="{19D40912-8880-4C69-841F-9391C314CE65}" type="pres">
      <dgm:prSet presAssocID="{C905334E-4B47-4ABA-A0FC-EB6760EF3EF8}" presName="connectorText" presStyleLbl="sibTrans2D1" presStyleIdx="1" presStyleCnt="4"/>
      <dgm:spPr/>
    </dgm:pt>
    <dgm:pt modelId="{8E4B8517-1BD0-4ABE-A591-1A32242A166E}" type="pres">
      <dgm:prSet presAssocID="{7A613020-0F27-4A6F-AB22-ABB84B3BFC96}" presName="node" presStyleLbl="node1" presStyleIdx="1" presStyleCnt="4">
        <dgm:presLayoutVars>
          <dgm:bulletEnabled val="1"/>
        </dgm:presLayoutVars>
      </dgm:prSet>
      <dgm:spPr/>
    </dgm:pt>
    <dgm:pt modelId="{19CA1BA7-31C5-41F8-8D44-41D4F21FAF84}" type="pres">
      <dgm:prSet presAssocID="{6D660CF1-1677-43E0-B19D-903B4B490920}" presName="parTrans" presStyleLbl="sibTrans2D1" presStyleIdx="2" presStyleCnt="4"/>
      <dgm:spPr/>
    </dgm:pt>
    <dgm:pt modelId="{D8E53759-7F3C-491A-B9C8-5E3B718ED837}" type="pres">
      <dgm:prSet presAssocID="{6D660CF1-1677-43E0-B19D-903B4B490920}" presName="connectorText" presStyleLbl="sibTrans2D1" presStyleIdx="2" presStyleCnt="4"/>
      <dgm:spPr/>
    </dgm:pt>
    <dgm:pt modelId="{8C7041C1-7922-46F4-92B9-68EF9D5C2CAB}" type="pres">
      <dgm:prSet presAssocID="{3E15F2C7-1CD9-4D45-9255-E6684B72CAC7}" presName="node" presStyleLbl="node1" presStyleIdx="2" presStyleCnt="4">
        <dgm:presLayoutVars>
          <dgm:bulletEnabled val="1"/>
        </dgm:presLayoutVars>
      </dgm:prSet>
      <dgm:spPr/>
    </dgm:pt>
    <dgm:pt modelId="{813BC7BC-F47C-4583-9725-52AC6E75BDF8}" type="pres">
      <dgm:prSet presAssocID="{C23DC930-E6F2-4BE3-97E1-6D136FBC6CE1}" presName="parTrans" presStyleLbl="sibTrans2D1" presStyleIdx="3" presStyleCnt="4"/>
      <dgm:spPr/>
    </dgm:pt>
    <dgm:pt modelId="{16E7159D-3F95-45A7-9951-E11AE123EBB5}" type="pres">
      <dgm:prSet presAssocID="{C23DC930-E6F2-4BE3-97E1-6D136FBC6CE1}" presName="connectorText" presStyleLbl="sibTrans2D1" presStyleIdx="3" presStyleCnt="4"/>
      <dgm:spPr/>
    </dgm:pt>
    <dgm:pt modelId="{701080E4-52AD-4872-BF75-FAA3C27D5D3E}" type="pres">
      <dgm:prSet presAssocID="{C8E9A8ED-D3EE-43E4-87F9-ECE4AEE34178}" presName="node" presStyleLbl="node1" presStyleIdx="3" presStyleCnt="4">
        <dgm:presLayoutVars>
          <dgm:bulletEnabled val="1"/>
        </dgm:presLayoutVars>
      </dgm:prSet>
      <dgm:spPr/>
    </dgm:pt>
  </dgm:ptLst>
  <dgm:cxnLst>
    <dgm:cxn modelId="{01D11306-5C8F-4722-97D8-457D4B4269EE}" type="presOf" srcId="{6D660CF1-1677-43E0-B19D-903B4B490920}" destId="{19CA1BA7-31C5-41F8-8D44-41D4F21FAF84}" srcOrd="0" destOrd="0" presId="urn:microsoft.com/office/officeart/2005/8/layout/radial5"/>
    <dgm:cxn modelId="{340DE707-5D81-45D8-A0CD-91FA2D268558}" type="presOf" srcId="{3E15F2C7-1CD9-4D45-9255-E6684B72CAC7}" destId="{8C7041C1-7922-46F4-92B9-68EF9D5C2CAB}" srcOrd="0" destOrd="0" presId="urn:microsoft.com/office/officeart/2005/8/layout/radial5"/>
    <dgm:cxn modelId="{BFCF510F-A1B2-4BD4-97AB-9AA62D4476DD}" type="presOf" srcId="{C23DC930-E6F2-4BE3-97E1-6D136FBC6CE1}" destId="{813BC7BC-F47C-4583-9725-52AC6E75BDF8}" srcOrd="0" destOrd="0" presId="urn:microsoft.com/office/officeart/2005/8/layout/radial5"/>
    <dgm:cxn modelId="{C6019912-0AE3-46C0-9D60-06672F0F8FDA}" type="presOf" srcId="{6D660CF1-1677-43E0-B19D-903B4B490920}" destId="{D8E53759-7F3C-491A-B9C8-5E3B718ED837}" srcOrd="1" destOrd="0" presId="urn:microsoft.com/office/officeart/2005/8/layout/radial5"/>
    <dgm:cxn modelId="{0499301F-578E-443E-ACC0-49018B7A7621}" type="presOf" srcId="{BE34CBA1-4552-4A9B-90F9-C87B782250B6}" destId="{83D8FC67-13B4-4FD3-A5BD-B65F11DAF61F}" srcOrd="0" destOrd="0" presId="urn:microsoft.com/office/officeart/2005/8/layout/radial5"/>
    <dgm:cxn modelId="{2125213F-38E6-4B2A-BD78-F25AB5108293}" type="presOf" srcId="{72EE3D22-0C1C-4220-A7EA-789817710FFC}" destId="{485B7E9F-856D-43DE-804F-2582ECDF7BE6}" srcOrd="0" destOrd="0" presId="urn:microsoft.com/office/officeart/2005/8/layout/radial5"/>
    <dgm:cxn modelId="{07A33A46-D60F-4F5A-8FE2-093B25FB45D2}" srcId="{BE34CBA1-4552-4A9B-90F9-C87B782250B6}" destId="{7BCF1774-1FC1-4691-B348-9DF7EE415FAF}" srcOrd="0" destOrd="0" parTransId="{F1891EEF-4F24-404F-BCAC-0C2334D692BF}" sibTransId="{405B7E1A-4013-4BD0-ADBF-201DE8F66635}"/>
    <dgm:cxn modelId="{7D325E70-C036-47B6-88FC-3829093DBB8E}" srcId="{7BCF1774-1FC1-4691-B348-9DF7EE415FAF}" destId="{3E15F2C7-1CD9-4D45-9255-E6684B72CAC7}" srcOrd="2" destOrd="0" parTransId="{6D660CF1-1677-43E0-B19D-903B4B490920}" sibTransId="{98502151-0C05-442D-80BF-1E10AE9180E6}"/>
    <dgm:cxn modelId="{316C3956-C353-467E-915F-7BAA781FBBF3}" type="presOf" srcId="{C905334E-4B47-4ABA-A0FC-EB6760EF3EF8}" destId="{73DEE991-C5F5-4AA3-9C01-866A5DCD11B6}" srcOrd="0" destOrd="0" presId="urn:microsoft.com/office/officeart/2005/8/layout/radial5"/>
    <dgm:cxn modelId="{48B53E90-192A-4581-9C46-1889BFE834BA}" type="presOf" srcId="{7A613020-0F27-4A6F-AB22-ABB84B3BFC96}" destId="{8E4B8517-1BD0-4ABE-A591-1A32242A166E}" srcOrd="0" destOrd="0" presId="urn:microsoft.com/office/officeart/2005/8/layout/radial5"/>
    <dgm:cxn modelId="{F07E6B9E-B3D4-49AB-97CF-653840C086EE}" srcId="{7BCF1774-1FC1-4691-B348-9DF7EE415FAF}" destId="{C8E9A8ED-D3EE-43E4-87F9-ECE4AEE34178}" srcOrd="3" destOrd="0" parTransId="{C23DC930-E6F2-4BE3-97E1-6D136FBC6CE1}" sibTransId="{4A1BA2DB-A889-4399-A16C-C4707117E71A}"/>
    <dgm:cxn modelId="{F3F85DA8-3ABB-41E3-9D97-04F1D1BA5DB1}" type="presOf" srcId="{72EE3D22-0C1C-4220-A7EA-789817710FFC}" destId="{8DD1E99B-4A44-42E9-9ABC-1C2423C05BCB}" srcOrd="1" destOrd="0" presId="urn:microsoft.com/office/officeart/2005/8/layout/radial5"/>
    <dgm:cxn modelId="{E76527AD-8E43-4208-B042-D54A722A0F1E}" srcId="{7BCF1774-1FC1-4691-B348-9DF7EE415FAF}" destId="{D586F144-7220-4828-9DD6-6956EA6221A4}" srcOrd="0" destOrd="0" parTransId="{72EE3D22-0C1C-4220-A7EA-789817710FFC}" sibTransId="{14748B81-E7CA-4386-8462-A48ACF4078E5}"/>
    <dgm:cxn modelId="{CDB886D7-4AA0-420A-981B-9F8630F07987}" type="presOf" srcId="{D586F144-7220-4828-9DD6-6956EA6221A4}" destId="{1074B8AF-CF22-4140-8730-27A6B1065E23}" srcOrd="0" destOrd="0" presId="urn:microsoft.com/office/officeart/2005/8/layout/radial5"/>
    <dgm:cxn modelId="{49F454DF-411F-4823-AEBB-F4F6ED307970}" type="presOf" srcId="{C8E9A8ED-D3EE-43E4-87F9-ECE4AEE34178}" destId="{701080E4-52AD-4872-BF75-FAA3C27D5D3E}" srcOrd="0" destOrd="0" presId="urn:microsoft.com/office/officeart/2005/8/layout/radial5"/>
    <dgm:cxn modelId="{9665ADE4-A1F0-4CC7-AA71-9250B55A4295}" type="presOf" srcId="{C905334E-4B47-4ABA-A0FC-EB6760EF3EF8}" destId="{19D40912-8880-4C69-841F-9391C314CE65}" srcOrd="1" destOrd="0" presId="urn:microsoft.com/office/officeart/2005/8/layout/radial5"/>
    <dgm:cxn modelId="{2B3307F0-C54A-4993-AC15-5CF0A5A94F86}" type="presOf" srcId="{7BCF1774-1FC1-4691-B348-9DF7EE415FAF}" destId="{501CC003-59D1-4FF8-BFEB-180B29B308F3}" srcOrd="0" destOrd="0" presId="urn:microsoft.com/office/officeart/2005/8/layout/radial5"/>
    <dgm:cxn modelId="{6D9C87F5-2292-4C23-9D9B-8963D9AFD4CE}" srcId="{7BCF1774-1FC1-4691-B348-9DF7EE415FAF}" destId="{7A613020-0F27-4A6F-AB22-ABB84B3BFC96}" srcOrd="1" destOrd="0" parTransId="{C905334E-4B47-4ABA-A0FC-EB6760EF3EF8}" sibTransId="{7F560ADB-BBDB-4E71-898C-37101389F0C8}"/>
    <dgm:cxn modelId="{16D499FB-972D-4832-BF04-B4B369F3AC69}" type="presOf" srcId="{C23DC930-E6F2-4BE3-97E1-6D136FBC6CE1}" destId="{16E7159D-3F95-45A7-9951-E11AE123EBB5}" srcOrd="1" destOrd="0" presId="urn:microsoft.com/office/officeart/2005/8/layout/radial5"/>
    <dgm:cxn modelId="{598B3C82-D5A5-4B77-ACC8-319FC616C68A}" type="presParOf" srcId="{83D8FC67-13B4-4FD3-A5BD-B65F11DAF61F}" destId="{501CC003-59D1-4FF8-BFEB-180B29B308F3}" srcOrd="0" destOrd="0" presId="urn:microsoft.com/office/officeart/2005/8/layout/radial5"/>
    <dgm:cxn modelId="{132D6CF4-B9C7-4D2D-A124-BE6FEEC557B6}" type="presParOf" srcId="{83D8FC67-13B4-4FD3-A5BD-B65F11DAF61F}" destId="{485B7E9F-856D-43DE-804F-2582ECDF7BE6}" srcOrd="1" destOrd="0" presId="urn:microsoft.com/office/officeart/2005/8/layout/radial5"/>
    <dgm:cxn modelId="{FCF922A2-F23D-4B03-BEA5-F84C66A99476}" type="presParOf" srcId="{485B7E9F-856D-43DE-804F-2582ECDF7BE6}" destId="{8DD1E99B-4A44-42E9-9ABC-1C2423C05BCB}" srcOrd="0" destOrd="0" presId="urn:microsoft.com/office/officeart/2005/8/layout/radial5"/>
    <dgm:cxn modelId="{02535F38-1CEC-4C27-B436-0861B15C2746}" type="presParOf" srcId="{83D8FC67-13B4-4FD3-A5BD-B65F11DAF61F}" destId="{1074B8AF-CF22-4140-8730-27A6B1065E23}" srcOrd="2" destOrd="0" presId="urn:microsoft.com/office/officeart/2005/8/layout/radial5"/>
    <dgm:cxn modelId="{15EB4FF7-2B49-4C22-8968-8B737B5F635F}" type="presParOf" srcId="{83D8FC67-13B4-4FD3-A5BD-B65F11DAF61F}" destId="{73DEE991-C5F5-4AA3-9C01-866A5DCD11B6}" srcOrd="3" destOrd="0" presId="urn:microsoft.com/office/officeart/2005/8/layout/radial5"/>
    <dgm:cxn modelId="{AE99E8AE-9DCA-4CDD-82C5-4C464CD397F1}" type="presParOf" srcId="{73DEE991-C5F5-4AA3-9C01-866A5DCD11B6}" destId="{19D40912-8880-4C69-841F-9391C314CE65}" srcOrd="0" destOrd="0" presId="urn:microsoft.com/office/officeart/2005/8/layout/radial5"/>
    <dgm:cxn modelId="{DA357E8C-C2BE-47F9-8F53-21B663289C07}" type="presParOf" srcId="{83D8FC67-13B4-4FD3-A5BD-B65F11DAF61F}" destId="{8E4B8517-1BD0-4ABE-A591-1A32242A166E}" srcOrd="4" destOrd="0" presId="urn:microsoft.com/office/officeart/2005/8/layout/radial5"/>
    <dgm:cxn modelId="{21FA5D21-2807-4EF3-8A46-82559365909E}" type="presParOf" srcId="{83D8FC67-13B4-4FD3-A5BD-B65F11DAF61F}" destId="{19CA1BA7-31C5-41F8-8D44-41D4F21FAF84}" srcOrd="5" destOrd="0" presId="urn:microsoft.com/office/officeart/2005/8/layout/radial5"/>
    <dgm:cxn modelId="{86FC6AE6-46D1-406E-B4FA-0763FCDAF363}" type="presParOf" srcId="{19CA1BA7-31C5-41F8-8D44-41D4F21FAF84}" destId="{D8E53759-7F3C-491A-B9C8-5E3B718ED837}" srcOrd="0" destOrd="0" presId="urn:microsoft.com/office/officeart/2005/8/layout/radial5"/>
    <dgm:cxn modelId="{F8858D36-99C1-4DD7-B02F-8F84D030E34A}" type="presParOf" srcId="{83D8FC67-13B4-4FD3-A5BD-B65F11DAF61F}" destId="{8C7041C1-7922-46F4-92B9-68EF9D5C2CAB}" srcOrd="6" destOrd="0" presId="urn:microsoft.com/office/officeart/2005/8/layout/radial5"/>
    <dgm:cxn modelId="{C31657FB-252A-4890-B2E9-68DFDCEAF86B}" type="presParOf" srcId="{83D8FC67-13B4-4FD3-A5BD-B65F11DAF61F}" destId="{813BC7BC-F47C-4583-9725-52AC6E75BDF8}" srcOrd="7" destOrd="0" presId="urn:microsoft.com/office/officeart/2005/8/layout/radial5"/>
    <dgm:cxn modelId="{A039EAA3-6B2C-41D2-9085-7E6D21BB57F4}" type="presParOf" srcId="{813BC7BC-F47C-4583-9725-52AC6E75BDF8}" destId="{16E7159D-3F95-45A7-9951-E11AE123EBB5}" srcOrd="0" destOrd="0" presId="urn:microsoft.com/office/officeart/2005/8/layout/radial5"/>
    <dgm:cxn modelId="{90E3435D-FA34-4663-A1EB-EF3FB31087D7}" type="presParOf" srcId="{83D8FC67-13B4-4FD3-A5BD-B65F11DAF61F}" destId="{701080E4-52AD-4872-BF75-FAA3C27D5D3E}" srcOrd="8"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1CC003-59D1-4FF8-BFEB-180B29B308F3}">
      <dsp:nvSpPr>
        <dsp:cNvPr id="0" name=""/>
        <dsp:cNvSpPr/>
      </dsp:nvSpPr>
      <dsp:spPr>
        <a:xfrm>
          <a:off x="2254022" y="1424701"/>
          <a:ext cx="1052782" cy="1052745"/>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Importance of Community Engagement</a:t>
          </a:r>
        </a:p>
      </dsp:txBody>
      <dsp:txXfrm>
        <a:off x="2408198" y="1578872"/>
        <a:ext cx="744430" cy="744403"/>
      </dsp:txXfrm>
    </dsp:sp>
    <dsp:sp modelId="{485B7E9F-856D-43DE-804F-2582ECDF7BE6}">
      <dsp:nvSpPr>
        <dsp:cNvPr id="0" name=""/>
        <dsp:cNvSpPr/>
      </dsp:nvSpPr>
      <dsp:spPr>
        <a:xfrm rot="16200000">
          <a:off x="2703664" y="1130201"/>
          <a:ext cx="153498" cy="308069"/>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726689" y="1214840"/>
        <a:ext cx="107449" cy="184841"/>
      </dsp:txXfrm>
    </dsp:sp>
    <dsp:sp modelId="{1074B8AF-CF22-4140-8730-27A6B1065E23}">
      <dsp:nvSpPr>
        <dsp:cNvPr id="0" name=""/>
        <dsp:cNvSpPr/>
      </dsp:nvSpPr>
      <dsp:spPr>
        <a:xfrm>
          <a:off x="2214109" y="2473"/>
          <a:ext cx="1132608" cy="1132608"/>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Develops problem-solving skills</a:t>
          </a:r>
          <a:endParaRPr lang="en-US" sz="900" kern="1200"/>
        </a:p>
      </dsp:txBody>
      <dsp:txXfrm>
        <a:off x="2379976" y="168340"/>
        <a:ext cx="800874" cy="800874"/>
      </dsp:txXfrm>
    </dsp:sp>
    <dsp:sp modelId="{73DEE991-C5F5-4AA3-9C01-866A5DCD11B6}">
      <dsp:nvSpPr>
        <dsp:cNvPr id="0" name=""/>
        <dsp:cNvSpPr/>
      </dsp:nvSpPr>
      <dsp:spPr>
        <a:xfrm>
          <a:off x="3370517" y="1797039"/>
          <a:ext cx="153488" cy="308069"/>
        </a:xfrm>
        <a:prstGeom prst="rightArrow">
          <a:avLst>
            <a:gd name="adj1" fmla="val 60000"/>
            <a:gd name="adj2" fmla="val 50000"/>
          </a:avLst>
        </a:prstGeom>
        <a:solidFill>
          <a:schemeClr val="accent4">
            <a:hueOff val="3266964"/>
            <a:satOff val="-13592"/>
            <a:lumOff val="320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370517" y="1858653"/>
        <a:ext cx="107442" cy="184841"/>
      </dsp:txXfrm>
    </dsp:sp>
    <dsp:sp modelId="{8E4B8517-1BD0-4ABE-A591-1A32242A166E}">
      <dsp:nvSpPr>
        <dsp:cNvPr id="0" name=""/>
        <dsp:cNvSpPr/>
      </dsp:nvSpPr>
      <dsp:spPr>
        <a:xfrm>
          <a:off x="3596406" y="1384770"/>
          <a:ext cx="1132608" cy="1132608"/>
        </a:xfrm>
        <a:prstGeom prst="ellipse">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Develops collaborative relationships</a:t>
          </a:r>
          <a:endParaRPr lang="en-US" sz="900" kern="1200"/>
        </a:p>
      </dsp:txBody>
      <dsp:txXfrm>
        <a:off x="3762273" y="1550637"/>
        <a:ext cx="800874" cy="800874"/>
      </dsp:txXfrm>
    </dsp:sp>
    <dsp:sp modelId="{19CA1BA7-31C5-41F8-8D44-41D4F21FAF84}">
      <dsp:nvSpPr>
        <dsp:cNvPr id="0" name=""/>
        <dsp:cNvSpPr/>
      </dsp:nvSpPr>
      <dsp:spPr>
        <a:xfrm rot="5400000">
          <a:off x="2703664" y="2463878"/>
          <a:ext cx="153498" cy="308069"/>
        </a:xfrm>
        <a:prstGeom prst="rightArrow">
          <a:avLst>
            <a:gd name="adj1" fmla="val 60000"/>
            <a:gd name="adj2" fmla="val 50000"/>
          </a:avLst>
        </a:prstGeom>
        <a:solidFill>
          <a:schemeClr val="accent4">
            <a:hueOff val="6533927"/>
            <a:satOff val="-27185"/>
            <a:lumOff val="640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726689" y="2502468"/>
        <a:ext cx="107449" cy="184841"/>
      </dsp:txXfrm>
    </dsp:sp>
    <dsp:sp modelId="{8C7041C1-7922-46F4-92B9-68EF9D5C2CAB}">
      <dsp:nvSpPr>
        <dsp:cNvPr id="0" name=""/>
        <dsp:cNvSpPr/>
      </dsp:nvSpPr>
      <dsp:spPr>
        <a:xfrm>
          <a:off x="2214109" y="2767067"/>
          <a:ext cx="1132608" cy="1132608"/>
        </a:xfrm>
        <a:prstGeom prst="ellipse">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Develops a positive organizational culture</a:t>
          </a:r>
          <a:endParaRPr lang="en-US" sz="900" kern="1200"/>
        </a:p>
      </dsp:txBody>
      <dsp:txXfrm>
        <a:off x="2379976" y="2932934"/>
        <a:ext cx="800874" cy="800874"/>
      </dsp:txXfrm>
    </dsp:sp>
    <dsp:sp modelId="{813BC7BC-F47C-4583-9725-52AC6E75BDF8}">
      <dsp:nvSpPr>
        <dsp:cNvPr id="0" name=""/>
        <dsp:cNvSpPr/>
      </dsp:nvSpPr>
      <dsp:spPr>
        <a:xfrm rot="10800000">
          <a:off x="2036821" y="1797039"/>
          <a:ext cx="153488" cy="308069"/>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082867" y="1858653"/>
        <a:ext cx="107442" cy="184841"/>
      </dsp:txXfrm>
    </dsp:sp>
    <dsp:sp modelId="{701080E4-52AD-4872-BF75-FAA3C27D5D3E}">
      <dsp:nvSpPr>
        <dsp:cNvPr id="0" name=""/>
        <dsp:cNvSpPr/>
      </dsp:nvSpPr>
      <dsp:spPr>
        <a:xfrm>
          <a:off x="831812" y="1384770"/>
          <a:ext cx="1132608" cy="1132608"/>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Assists in reducing conflicts</a:t>
          </a:r>
          <a:endParaRPr lang="en-US" sz="900" kern="1200"/>
        </a:p>
      </dsp:txBody>
      <dsp:txXfrm>
        <a:off x="997679" y="1550637"/>
        <a:ext cx="800874" cy="80087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D1BE9-F4F3-43B2-9FBB-75670364A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2538</Words>
  <Characters>14472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2021-10-16T16:03:00Z</dcterms:created>
  <dcterms:modified xsi:type="dcterms:W3CDTF">2021-10-18T13:18:00Z</dcterms:modified>
</cp:coreProperties>
</file>