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08FB8F" w14:textId="77777777" w:rsidR="00892B42" w:rsidRPr="004967D0" w:rsidRDefault="00892B42" w:rsidP="00892B42">
      <w:pPr>
        <w:spacing w:after="400" w:line="480" w:lineRule="auto"/>
        <w:jc w:val="center"/>
      </w:pPr>
      <w:r>
        <w:rPr>
          <w:noProof/>
        </w:rPr>
        <w:drawing>
          <wp:inline distT="0" distB="0" distL="0" distR="0" wp14:anchorId="09F9258F" wp14:editId="36228996">
            <wp:extent cx="2857500" cy="13049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
                    <a:srcRect/>
                    <a:stretch>
                      <a:fillRect/>
                    </a:stretch>
                  </pic:blipFill>
                  <pic:spPr bwMode="auto">
                    <a:xfrm>
                      <a:off x="0" y="0"/>
                      <a:ext cx="2857500" cy="1304925"/>
                    </a:xfrm>
                    <a:prstGeom prst="rect">
                      <a:avLst/>
                    </a:prstGeom>
                  </pic:spPr>
                </pic:pic>
              </a:graphicData>
            </a:graphic>
          </wp:inline>
        </w:drawing>
      </w:r>
    </w:p>
    <w:p w14:paraId="7CA76E2B" w14:textId="77777777" w:rsidR="00892B42" w:rsidRPr="004967D0" w:rsidRDefault="00892B42" w:rsidP="00892B42">
      <w:pPr>
        <w:spacing w:after="120" w:line="480" w:lineRule="auto"/>
        <w:jc w:val="center"/>
      </w:pPr>
      <w:r>
        <w:rPr>
          <w:b/>
          <w:bCs/>
          <w:sz w:val="24"/>
          <w:szCs w:val="24"/>
        </w:rPr>
        <w:t xml:space="preserve">Assignment Title: </w:t>
      </w:r>
      <w:r>
        <w:rPr>
          <w:sz w:val="24"/>
          <w:szCs w:val="24"/>
        </w:rPr>
        <w:t>Component 2 – Analytical Report</w:t>
      </w:r>
    </w:p>
    <w:p w14:paraId="3E3A63ED" w14:textId="77777777" w:rsidR="00892B42" w:rsidRPr="004967D0" w:rsidRDefault="00892B42" w:rsidP="00892B42">
      <w:pPr>
        <w:spacing w:after="120" w:line="480" w:lineRule="auto"/>
        <w:jc w:val="center"/>
      </w:pPr>
      <w:r>
        <w:rPr>
          <w:b/>
          <w:bCs/>
          <w:sz w:val="24"/>
          <w:szCs w:val="24"/>
        </w:rPr>
        <w:t xml:space="preserve">Programme: </w:t>
      </w:r>
      <w:r>
        <w:rPr>
          <w:sz w:val="24"/>
          <w:szCs w:val="24"/>
        </w:rPr>
        <w:t>MSc Public Health and Social Care in Practice</w:t>
      </w:r>
    </w:p>
    <w:p w14:paraId="6118621F" w14:textId="77777777" w:rsidR="00892B42" w:rsidRPr="004967D0" w:rsidRDefault="00892B42" w:rsidP="00892B42">
      <w:pPr>
        <w:spacing w:after="120" w:line="480" w:lineRule="auto"/>
        <w:jc w:val="center"/>
      </w:pPr>
      <w:r>
        <w:rPr>
          <w:b/>
          <w:bCs/>
          <w:sz w:val="24"/>
          <w:szCs w:val="24"/>
        </w:rPr>
        <w:t xml:space="preserve">Module: </w:t>
      </w:r>
      <w:r>
        <w:rPr>
          <w:sz w:val="24"/>
          <w:szCs w:val="24"/>
        </w:rPr>
        <w:t>Social Epidemiology and Public Health Development</w:t>
      </w:r>
    </w:p>
    <w:p w14:paraId="7F793618" w14:textId="77777777" w:rsidR="00892B42" w:rsidRPr="004967D0" w:rsidRDefault="00892B42" w:rsidP="00892B42">
      <w:pPr>
        <w:spacing w:after="120" w:line="480" w:lineRule="auto"/>
        <w:jc w:val="center"/>
      </w:pPr>
      <w:r>
        <w:rPr>
          <w:b/>
          <w:bCs/>
          <w:sz w:val="24"/>
          <w:szCs w:val="24"/>
        </w:rPr>
        <w:t xml:space="preserve">Module Code: </w:t>
      </w:r>
      <w:r>
        <w:rPr>
          <w:sz w:val="24"/>
          <w:szCs w:val="24"/>
        </w:rPr>
        <w:t>LCHS7000</w:t>
      </w:r>
    </w:p>
    <w:p w14:paraId="681D3A11" w14:textId="77777777" w:rsidR="00892B42" w:rsidRPr="004967D0" w:rsidRDefault="00892B42" w:rsidP="00892B42">
      <w:pPr>
        <w:spacing w:after="120" w:line="480" w:lineRule="auto"/>
        <w:jc w:val="center"/>
      </w:pPr>
      <w:r>
        <w:rPr>
          <w:b/>
          <w:bCs/>
          <w:sz w:val="24"/>
          <w:szCs w:val="24"/>
        </w:rPr>
        <w:t xml:space="preserve">Student Name: </w:t>
      </w:r>
      <w:r>
        <w:rPr>
          <w:sz w:val="24"/>
          <w:szCs w:val="24"/>
        </w:rPr>
        <w:t>Noaman Abdurrasid Sidat</w:t>
      </w:r>
    </w:p>
    <w:p w14:paraId="4449880D" w14:textId="77777777" w:rsidR="00892B42" w:rsidRPr="004967D0" w:rsidRDefault="00892B42" w:rsidP="00892B42">
      <w:pPr>
        <w:spacing w:after="120" w:line="480" w:lineRule="auto"/>
        <w:jc w:val="center"/>
      </w:pPr>
      <w:r>
        <w:rPr>
          <w:b/>
          <w:bCs/>
          <w:sz w:val="24"/>
          <w:szCs w:val="24"/>
        </w:rPr>
        <w:t xml:space="preserve">Student ID Number: </w:t>
      </w:r>
      <w:r>
        <w:rPr>
          <w:sz w:val="24"/>
          <w:szCs w:val="24"/>
        </w:rPr>
        <w:t>2536192</w:t>
      </w:r>
    </w:p>
    <w:p w14:paraId="53F52773" w14:textId="77777777" w:rsidR="00892B42" w:rsidRPr="004967D0" w:rsidRDefault="00892B42" w:rsidP="00892B42">
      <w:pPr>
        <w:spacing w:after="120" w:line="480" w:lineRule="auto"/>
        <w:jc w:val="center"/>
      </w:pPr>
      <w:r>
        <w:rPr>
          <w:b/>
          <w:bCs/>
          <w:sz w:val="24"/>
          <w:szCs w:val="24"/>
        </w:rPr>
        <w:t xml:space="preserve">Lecturer: </w:t>
      </w:r>
      <w:r>
        <w:rPr>
          <w:sz w:val="24"/>
          <w:szCs w:val="24"/>
        </w:rPr>
        <w:t>Dr Itse Olaoye</w:t>
      </w:r>
    </w:p>
    <w:p w14:paraId="7EF7409D" w14:textId="20E29E1F" w:rsidR="00892B42" w:rsidRPr="004967D0" w:rsidRDefault="00892B42" w:rsidP="00892B42">
      <w:pPr>
        <w:spacing w:before="400" w:line="480" w:lineRule="auto"/>
        <w:jc w:val="center"/>
      </w:pPr>
      <w:r>
        <w:rPr>
          <w:b/>
          <w:bCs/>
          <w:sz w:val="24"/>
          <w:szCs w:val="24"/>
        </w:rPr>
        <w:t>Word count: 25</w:t>
      </w:r>
      <w:r w:rsidR="006A7747">
        <w:rPr>
          <w:b/>
          <w:bCs/>
          <w:sz w:val="24"/>
          <w:szCs w:val="24"/>
        </w:rPr>
        <w:t>00+/-</w:t>
      </w:r>
    </w:p>
    <w:p w14:paraId="5C8CEF14" w14:textId="2E95D21E" w:rsidR="00892B42" w:rsidRPr="004967D0" w:rsidRDefault="00892B42" w:rsidP="00892B42">
      <w:pPr>
        <w:spacing w:line="480" w:lineRule="auto"/>
      </w:pPr>
      <w:r>
        <w:br w:type="page"/>
      </w:r>
    </w:p>
    <w:bookmarkStart w:id="0" w:name="_Toc237363882" w:displacedByCustomXml="next"/>
    <w:sdt>
      <w:sdtPr>
        <w:rPr>
          <w:rFonts w:ascii="Arial" w:eastAsia="Arial" w:hAnsi="Arial" w:cs="Arial"/>
          <w:color w:val="auto"/>
          <w:sz w:val="22"/>
          <w:szCs w:val="22"/>
          <w:lang w:val="en-IN" w:eastAsia="en-IN"/>
        </w:rPr>
        <w:id w:val="-918103582"/>
        <w:docPartObj>
          <w:docPartGallery w:val="Table of Contents"/>
          <w:docPartUnique/>
        </w:docPartObj>
      </w:sdtPr>
      <w:sdtEndPr>
        <w:rPr>
          <w:b/>
          <w:bCs/>
          <w:noProof/>
        </w:rPr>
      </w:sdtEndPr>
      <w:sdtContent>
        <w:p w14:paraId="25BCAE81" w14:textId="77777777" w:rsidR="00892B42" w:rsidRPr="004967D0" w:rsidRDefault="00892B42" w:rsidP="00892B42">
          <w:pPr>
            <w:pStyle w:val="TOCHeading"/>
            <w:spacing w:line="480" w:lineRule="auto"/>
            <w:jc w:val="center"/>
            <w:rPr>
              <w:rFonts w:ascii="Arial" w:hAnsi="Arial" w:cs="Arial"/>
              <w:color w:val="auto"/>
            </w:rPr>
          </w:pPr>
          <w:r>
            <w:rPr>
              <w:rFonts w:ascii="Arial" w:hAnsi="Arial" w:cs="Arial"/>
              <w:color w:val="auto"/>
            </w:rPr>
            <w:t>Table of Contents</w:t>
          </w:r>
        </w:p>
        <w:p w14:paraId="4FC55481" w14:textId="6EDF95BD" w:rsidR="00892B42" w:rsidRDefault="00892B42" w:rsidP="00892B42">
          <w:pPr>
            <w:pStyle w:val="TOC1"/>
            <w:tabs>
              <w:tab w:val="right" w:leader="dot" w:pos="9016"/>
            </w:tabs>
            <w:spacing w:line="276" w:lineRule="auto"/>
            <w:rPr>
              <w:rFonts w:asciiTheme="minorHAnsi" w:eastAsiaTheme="minorEastAsia" w:hAnsiTheme="minorHAnsi" w:cstheme="minorBidi"/>
              <w:noProof/>
            </w:rPr>
          </w:pPr>
          <w:r>
            <w:fldChar w:fldCharType="begin"/>
          </w:r>
          <w:r>
            <w:instrText xml:space="preserve"> TOC \o "1-3" \h \z \u </w:instrText>
          </w:r>
          <w:r>
            <w:fldChar w:fldCharType="separate"/>
          </w:r>
          <w:hyperlink w:anchor="_Toc237367663" w:history="1">
            <w:r>
              <w:rPr>
                <w:rStyle w:val="Hyperlink"/>
                <w:noProof/>
              </w:rPr>
              <w:t>Introduction</w:t>
            </w:r>
            <w:r>
              <w:rPr>
                <w:noProof/>
                <w:webHidden/>
              </w:rPr>
              <w:tab/>
            </w:r>
            <w:r>
              <w:rPr>
                <w:noProof/>
                <w:webHidden/>
              </w:rPr>
              <w:fldChar w:fldCharType="begin"/>
            </w:r>
            <w:r>
              <w:rPr>
                <w:noProof/>
                <w:webHidden/>
              </w:rPr>
              <w:instrText xml:space="preserve"> PAGEREF _Toc237367663 \h </w:instrText>
            </w:r>
            <w:r>
              <w:rPr>
                <w:noProof/>
                <w:webHidden/>
              </w:rPr>
            </w:r>
            <w:r>
              <w:rPr>
                <w:noProof/>
                <w:webHidden/>
              </w:rPr>
              <w:fldChar w:fldCharType="separate"/>
            </w:r>
            <w:r>
              <w:rPr>
                <w:noProof/>
                <w:webHidden/>
              </w:rPr>
              <w:t>3</w:t>
            </w:r>
            <w:r>
              <w:rPr>
                <w:noProof/>
                <w:webHidden/>
              </w:rPr>
              <w:fldChar w:fldCharType="end"/>
            </w:r>
          </w:hyperlink>
        </w:p>
        <w:p w14:paraId="6047ACB5" w14:textId="4B1B741D" w:rsidR="00892B42" w:rsidRDefault="00892B42" w:rsidP="00892B42">
          <w:pPr>
            <w:pStyle w:val="TOC1"/>
            <w:tabs>
              <w:tab w:val="right" w:leader="dot" w:pos="9016"/>
            </w:tabs>
            <w:spacing w:line="276" w:lineRule="auto"/>
            <w:rPr>
              <w:rFonts w:asciiTheme="minorHAnsi" w:eastAsiaTheme="minorEastAsia" w:hAnsiTheme="minorHAnsi" w:cstheme="minorBidi"/>
              <w:noProof/>
            </w:rPr>
          </w:pPr>
          <w:hyperlink w:anchor="_Toc237367664" w:history="1">
            <w:r>
              <w:rPr>
                <w:rStyle w:val="Hyperlink"/>
                <w:noProof/>
              </w:rPr>
              <w:t>Task 1: Social Epidemiological Analysis</w:t>
            </w:r>
            <w:r>
              <w:rPr>
                <w:noProof/>
                <w:webHidden/>
              </w:rPr>
              <w:tab/>
            </w:r>
            <w:r>
              <w:rPr>
                <w:noProof/>
                <w:webHidden/>
              </w:rPr>
              <w:fldChar w:fldCharType="begin"/>
            </w:r>
            <w:r>
              <w:rPr>
                <w:noProof/>
                <w:webHidden/>
              </w:rPr>
              <w:instrText xml:space="preserve"> PAGEREF _Toc237367664 \h </w:instrText>
            </w:r>
            <w:r>
              <w:rPr>
                <w:noProof/>
                <w:webHidden/>
              </w:rPr>
            </w:r>
            <w:r>
              <w:rPr>
                <w:noProof/>
                <w:webHidden/>
              </w:rPr>
              <w:fldChar w:fldCharType="separate"/>
            </w:r>
            <w:r>
              <w:rPr>
                <w:noProof/>
                <w:webHidden/>
              </w:rPr>
              <w:t>3</w:t>
            </w:r>
            <w:r>
              <w:rPr>
                <w:noProof/>
                <w:webHidden/>
              </w:rPr>
              <w:fldChar w:fldCharType="end"/>
            </w:r>
          </w:hyperlink>
        </w:p>
        <w:p w14:paraId="38B97F69" w14:textId="5C6B7F3D" w:rsidR="00892B42" w:rsidRDefault="00892B42" w:rsidP="00892B42">
          <w:pPr>
            <w:pStyle w:val="TOC2"/>
            <w:tabs>
              <w:tab w:val="right" w:leader="dot" w:pos="9016"/>
            </w:tabs>
            <w:spacing w:line="276" w:lineRule="auto"/>
            <w:rPr>
              <w:rFonts w:asciiTheme="minorHAnsi" w:eastAsiaTheme="minorEastAsia" w:hAnsiTheme="minorHAnsi" w:cstheme="minorBidi"/>
              <w:noProof/>
            </w:rPr>
          </w:pPr>
          <w:hyperlink w:anchor="_Toc237367665" w:history="1">
            <w:r>
              <w:rPr>
                <w:rStyle w:val="Hyperlink"/>
                <w:noProof/>
              </w:rPr>
              <w:t>Age and Health Inequalities: The Experience of Older People in the United Kingdom</w:t>
            </w:r>
            <w:r>
              <w:rPr>
                <w:noProof/>
                <w:webHidden/>
              </w:rPr>
              <w:tab/>
            </w:r>
            <w:r>
              <w:rPr>
                <w:noProof/>
                <w:webHidden/>
              </w:rPr>
              <w:fldChar w:fldCharType="begin"/>
            </w:r>
            <w:r>
              <w:rPr>
                <w:noProof/>
                <w:webHidden/>
              </w:rPr>
              <w:instrText xml:space="preserve"> PAGEREF _Toc237367665 \h </w:instrText>
            </w:r>
            <w:r>
              <w:rPr>
                <w:noProof/>
                <w:webHidden/>
              </w:rPr>
            </w:r>
            <w:r>
              <w:rPr>
                <w:noProof/>
                <w:webHidden/>
              </w:rPr>
              <w:fldChar w:fldCharType="separate"/>
            </w:r>
            <w:r>
              <w:rPr>
                <w:noProof/>
                <w:webHidden/>
              </w:rPr>
              <w:t>3</w:t>
            </w:r>
            <w:r>
              <w:rPr>
                <w:noProof/>
                <w:webHidden/>
              </w:rPr>
              <w:fldChar w:fldCharType="end"/>
            </w:r>
          </w:hyperlink>
        </w:p>
        <w:p w14:paraId="3F59A8F3" w14:textId="1374AAA0" w:rsidR="00892B42" w:rsidRDefault="00892B42" w:rsidP="00892B42">
          <w:pPr>
            <w:pStyle w:val="TOC3"/>
            <w:tabs>
              <w:tab w:val="right" w:leader="dot" w:pos="9016"/>
            </w:tabs>
            <w:spacing w:line="276" w:lineRule="auto"/>
            <w:rPr>
              <w:rFonts w:asciiTheme="minorHAnsi" w:eastAsiaTheme="minorEastAsia" w:hAnsiTheme="minorHAnsi" w:cstheme="minorBidi"/>
              <w:noProof/>
            </w:rPr>
          </w:pPr>
          <w:hyperlink w:anchor="_Toc237367666" w:history="1">
            <w:r>
              <w:rPr>
                <w:rStyle w:val="Hyperlink"/>
                <w:noProof/>
              </w:rPr>
              <w:t>Introduction</w:t>
            </w:r>
            <w:r>
              <w:rPr>
                <w:noProof/>
                <w:webHidden/>
              </w:rPr>
              <w:tab/>
            </w:r>
            <w:r>
              <w:rPr>
                <w:noProof/>
                <w:webHidden/>
              </w:rPr>
              <w:fldChar w:fldCharType="begin"/>
            </w:r>
            <w:r>
              <w:rPr>
                <w:noProof/>
                <w:webHidden/>
              </w:rPr>
              <w:instrText xml:space="preserve"> PAGEREF _Toc237367666 \h </w:instrText>
            </w:r>
            <w:r>
              <w:rPr>
                <w:noProof/>
                <w:webHidden/>
              </w:rPr>
            </w:r>
            <w:r>
              <w:rPr>
                <w:noProof/>
                <w:webHidden/>
              </w:rPr>
              <w:fldChar w:fldCharType="separate"/>
            </w:r>
            <w:r>
              <w:rPr>
                <w:noProof/>
                <w:webHidden/>
              </w:rPr>
              <w:t>3</w:t>
            </w:r>
            <w:r>
              <w:rPr>
                <w:noProof/>
                <w:webHidden/>
              </w:rPr>
              <w:fldChar w:fldCharType="end"/>
            </w:r>
          </w:hyperlink>
        </w:p>
        <w:p w14:paraId="6DB348E4" w14:textId="1CE6DBF8" w:rsidR="00892B42" w:rsidRDefault="00892B42" w:rsidP="00892B42">
          <w:pPr>
            <w:pStyle w:val="TOC2"/>
            <w:tabs>
              <w:tab w:val="right" w:leader="dot" w:pos="9016"/>
            </w:tabs>
            <w:spacing w:line="276" w:lineRule="auto"/>
            <w:rPr>
              <w:rFonts w:asciiTheme="minorHAnsi" w:eastAsiaTheme="minorEastAsia" w:hAnsiTheme="minorHAnsi" w:cstheme="minorBidi"/>
              <w:noProof/>
            </w:rPr>
          </w:pPr>
          <w:hyperlink w:anchor="_Toc237367667" w:history="1">
            <w:r>
              <w:rPr>
                <w:rStyle w:val="Hyperlink"/>
                <w:noProof/>
              </w:rPr>
              <w:t>Contextual Background and Underlying Factors</w:t>
            </w:r>
            <w:r>
              <w:rPr>
                <w:noProof/>
                <w:webHidden/>
              </w:rPr>
              <w:tab/>
            </w:r>
            <w:r>
              <w:rPr>
                <w:noProof/>
                <w:webHidden/>
              </w:rPr>
              <w:fldChar w:fldCharType="begin"/>
            </w:r>
            <w:r>
              <w:rPr>
                <w:noProof/>
                <w:webHidden/>
              </w:rPr>
              <w:instrText xml:space="preserve"> PAGEREF _Toc237367667 \h </w:instrText>
            </w:r>
            <w:r>
              <w:rPr>
                <w:noProof/>
                <w:webHidden/>
              </w:rPr>
            </w:r>
            <w:r>
              <w:rPr>
                <w:noProof/>
                <w:webHidden/>
              </w:rPr>
              <w:fldChar w:fldCharType="separate"/>
            </w:r>
            <w:r>
              <w:rPr>
                <w:noProof/>
                <w:webHidden/>
              </w:rPr>
              <w:t>3</w:t>
            </w:r>
            <w:r>
              <w:rPr>
                <w:noProof/>
                <w:webHidden/>
              </w:rPr>
              <w:fldChar w:fldCharType="end"/>
            </w:r>
          </w:hyperlink>
        </w:p>
        <w:p w14:paraId="12005222" w14:textId="01E78FD0" w:rsidR="00892B42" w:rsidRDefault="00892B42" w:rsidP="00892B42">
          <w:pPr>
            <w:pStyle w:val="TOC3"/>
            <w:tabs>
              <w:tab w:val="right" w:leader="dot" w:pos="9016"/>
            </w:tabs>
            <w:spacing w:line="276" w:lineRule="auto"/>
            <w:rPr>
              <w:rFonts w:asciiTheme="minorHAnsi" w:eastAsiaTheme="minorEastAsia" w:hAnsiTheme="minorHAnsi" w:cstheme="minorBidi"/>
              <w:noProof/>
            </w:rPr>
          </w:pPr>
          <w:hyperlink w:anchor="_Toc237367668" w:history="1">
            <w:r>
              <w:rPr>
                <w:rStyle w:val="Hyperlink"/>
                <w:noProof/>
              </w:rPr>
              <w:t>1. Higher Rates of Mental Illness</w:t>
            </w:r>
            <w:r>
              <w:rPr>
                <w:noProof/>
                <w:webHidden/>
              </w:rPr>
              <w:tab/>
            </w:r>
            <w:r>
              <w:rPr>
                <w:noProof/>
                <w:webHidden/>
              </w:rPr>
              <w:fldChar w:fldCharType="begin"/>
            </w:r>
            <w:r>
              <w:rPr>
                <w:noProof/>
                <w:webHidden/>
              </w:rPr>
              <w:instrText xml:space="preserve"> PAGEREF _Toc237367668 \h </w:instrText>
            </w:r>
            <w:r>
              <w:rPr>
                <w:noProof/>
                <w:webHidden/>
              </w:rPr>
            </w:r>
            <w:r>
              <w:rPr>
                <w:noProof/>
                <w:webHidden/>
              </w:rPr>
              <w:fldChar w:fldCharType="separate"/>
            </w:r>
            <w:r>
              <w:rPr>
                <w:noProof/>
                <w:webHidden/>
              </w:rPr>
              <w:t>3</w:t>
            </w:r>
            <w:r>
              <w:rPr>
                <w:noProof/>
                <w:webHidden/>
              </w:rPr>
              <w:fldChar w:fldCharType="end"/>
            </w:r>
          </w:hyperlink>
        </w:p>
        <w:p w14:paraId="315BAD35" w14:textId="489E5D9E" w:rsidR="00892B42" w:rsidRDefault="00892B42" w:rsidP="00892B42">
          <w:pPr>
            <w:pStyle w:val="TOC3"/>
            <w:tabs>
              <w:tab w:val="right" w:leader="dot" w:pos="9016"/>
            </w:tabs>
            <w:spacing w:line="276" w:lineRule="auto"/>
            <w:rPr>
              <w:rFonts w:asciiTheme="minorHAnsi" w:eastAsiaTheme="minorEastAsia" w:hAnsiTheme="minorHAnsi" w:cstheme="minorBidi"/>
              <w:noProof/>
            </w:rPr>
          </w:pPr>
          <w:hyperlink w:anchor="_Toc237367669" w:history="1">
            <w:r>
              <w:rPr>
                <w:rStyle w:val="Hyperlink"/>
                <w:noProof/>
              </w:rPr>
              <w:t>2. Low Rates of Access to Healthcare</w:t>
            </w:r>
            <w:r>
              <w:rPr>
                <w:noProof/>
                <w:webHidden/>
              </w:rPr>
              <w:tab/>
            </w:r>
            <w:r>
              <w:rPr>
                <w:noProof/>
                <w:webHidden/>
              </w:rPr>
              <w:fldChar w:fldCharType="begin"/>
            </w:r>
            <w:r>
              <w:rPr>
                <w:noProof/>
                <w:webHidden/>
              </w:rPr>
              <w:instrText xml:space="preserve"> PAGEREF _Toc237367669 \h </w:instrText>
            </w:r>
            <w:r>
              <w:rPr>
                <w:noProof/>
                <w:webHidden/>
              </w:rPr>
            </w:r>
            <w:r>
              <w:rPr>
                <w:noProof/>
                <w:webHidden/>
              </w:rPr>
              <w:fldChar w:fldCharType="separate"/>
            </w:r>
            <w:r>
              <w:rPr>
                <w:noProof/>
                <w:webHidden/>
              </w:rPr>
              <w:t>4</w:t>
            </w:r>
            <w:r>
              <w:rPr>
                <w:noProof/>
                <w:webHidden/>
              </w:rPr>
              <w:fldChar w:fldCharType="end"/>
            </w:r>
          </w:hyperlink>
        </w:p>
        <w:p w14:paraId="25108F57" w14:textId="4769CD1F" w:rsidR="00892B42" w:rsidRDefault="00892B42" w:rsidP="00892B42">
          <w:pPr>
            <w:pStyle w:val="TOC3"/>
            <w:tabs>
              <w:tab w:val="right" w:leader="dot" w:pos="9016"/>
            </w:tabs>
            <w:spacing w:line="276" w:lineRule="auto"/>
            <w:rPr>
              <w:rFonts w:asciiTheme="minorHAnsi" w:eastAsiaTheme="minorEastAsia" w:hAnsiTheme="minorHAnsi" w:cstheme="minorBidi"/>
              <w:noProof/>
            </w:rPr>
          </w:pPr>
          <w:hyperlink w:anchor="_Toc237367670" w:history="1">
            <w:r>
              <w:rPr>
                <w:rStyle w:val="Hyperlink"/>
                <w:noProof/>
              </w:rPr>
              <w:t>3. Increased Mortality and Reduced Life Expectancy</w:t>
            </w:r>
            <w:r>
              <w:rPr>
                <w:noProof/>
                <w:webHidden/>
              </w:rPr>
              <w:tab/>
            </w:r>
            <w:r>
              <w:rPr>
                <w:noProof/>
                <w:webHidden/>
              </w:rPr>
              <w:fldChar w:fldCharType="begin"/>
            </w:r>
            <w:r>
              <w:rPr>
                <w:noProof/>
                <w:webHidden/>
              </w:rPr>
              <w:instrText xml:space="preserve"> PAGEREF _Toc237367670 \h </w:instrText>
            </w:r>
            <w:r>
              <w:rPr>
                <w:noProof/>
                <w:webHidden/>
              </w:rPr>
            </w:r>
            <w:r>
              <w:rPr>
                <w:noProof/>
                <w:webHidden/>
              </w:rPr>
              <w:fldChar w:fldCharType="separate"/>
            </w:r>
            <w:r>
              <w:rPr>
                <w:noProof/>
                <w:webHidden/>
              </w:rPr>
              <w:t>4</w:t>
            </w:r>
            <w:r>
              <w:rPr>
                <w:noProof/>
                <w:webHidden/>
              </w:rPr>
              <w:fldChar w:fldCharType="end"/>
            </w:r>
          </w:hyperlink>
        </w:p>
        <w:p w14:paraId="0757C238" w14:textId="6A32BB5E" w:rsidR="00892B42" w:rsidRDefault="00892B42" w:rsidP="00892B42">
          <w:pPr>
            <w:pStyle w:val="TOC3"/>
            <w:tabs>
              <w:tab w:val="right" w:leader="dot" w:pos="9016"/>
            </w:tabs>
            <w:spacing w:line="276" w:lineRule="auto"/>
            <w:rPr>
              <w:rFonts w:asciiTheme="minorHAnsi" w:eastAsiaTheme="minorEastAsia" w:hAnsiTheme="minorHAnsi" w:cstheme="minorBidi"/>
              <w:noProof/>
            </w:rPr>
          </w:pPr>
          <w:hyperlink w:anchor="_Toc237367671" w:history="1">
            <w:r>
              <w:rPr>
                <w:rStyle w:val="Hyperlink"/>
                <w:noProof/>
              </w:rPr>
              <w:t>4. Social Isolation and Loneliness</w:t>
            </w:r>
            <w:r>
              <w:rPr>
                <w:noProof/>
                <w:webHidden/>
              </w:rPr>
              <w:tab/>
            </w:r>
            <w:r>
              <w:rPr>
                <w:noProof/>
                <w:webHidden/>
              </w:rPr>
              <w:fldChar w:fldCharType="begin"/>
            </w:r>
            <w:r>
              <w:rPr>
                <w:noProof/>
                <w:webHidden/>
              </w:rPr>
              <w:instrText xml:space="preserve"> PAGEREF _Toc237367671 \h </w:instrText>
            </w:r>
            <w:r>
              <w:rPr>
                <w:noProof/>
                <w:webHidden/>
              </w:rPr>
            </w:r>
            <w:r>
              <w:rPr>
                <w:noProof/>
                <w:webHidden/>
              </w:rPr>
              <w:fldChar w:fldCharType="separate"/>
            </w:r>
            <w:r>
              <w:rPr>
                <w:noProof/>
                <w:webHidden/>
              </w:rPr>
              <w:t>5</w:t>
            </w:r>
            <w:r>
              <w:rPr>
                <w:noProof/>
                <w:webHidden/>
              </w:rPr>
              <w:fldChar w:fldCharType="end"/>
            </w:r>
          </w:hyperlink>
        </w:p>
        <w:p w14:paraId="4CC28801" w14:textId="6039942C" w:rsidR="00892B42" w:rsidRDefault="00892B42" w:rsidP="00892B42">
          <w:pPr>
            <w:pStyle w:val="TOC3"/>
            <w:tabs>
              <w:tab w:val="right" w:leader="dot" w:pos="9016"/>
            </w:tabs>
            <w:spacing w:line="276" w:lineRule="auto"/>
            <w:rPr>
              <w:rFonts w:asciiTheme="minorHAnsi" w:eastAsiaTheme="minorEastAsia" w:hAnsiTheme="minorHAnsi" w:cstheme="minorBidi"/>
              <w:noProof/>
            </w:rPr>
          </w:pPr>
          <w:hyperlink w:anchor="_Toc237367672" w:history="1">
            <w:r>
              <w:rPr>
                <w:rStyle w:val="Hyperlink"/>
                <w:noProof/>
              </w:rPr>
              <w:t>5. Poverty</w:t>
            </w:r>
            <w:r>
              <w:rPr>
                <w:noProof/>
                <w:webHidden/>
              </w:rPr>
              <w:tab/>
            </w:r>
            <w:r>
              <w:rPr>
                <w:noProof/>
                <w:webHidden/>
              </w:rPr>
              <w:fldChar w:fldCharType="begin"/>
            </w:r>
            <w:r>
              <w:rPr>
                <w:noProof/>
                <w:webHidden/>
              </w:rPr>
              <w:instrText xml:space="preserve"> PAGEREF _Toc237367672 \h </w:instrText>
            </w:r>
            <w:r>
              <w:rPr>
                <w:noProof/>
                <w:webHidden/>
              </w:rPr>
            </w:r>
            <w:r>
              <w:rPr>
                <w:noProof/>
                <w:webHidden/>
              </w:rPr>
              <w:fldChar w:fldCharType="separate"/>
            </w:r>
            <w:r>
              <w:rPr>
                <w:noProof/>
                <w:webHidden/>
              </w:rPr>
              <w:t>5</w:t>
            </w:r>
            <w:r>
              <w:rPr>
                <w:noProof/>
                <w:webHidden/>
              </w:rPr>
              <w:fldChar w:fldCharType="end"/>
            </w:r>
          </w:hyperlink>
        </w:p>
        <w:p w14:paraId="5DE867E7" w14:textId="5A0F8FE2" w:rsidR="00892B42" w:rsidRDefault="00892B42" w:rsidP="00892B42">
          <w:pPr>
            <w:pStyle w:val="TOC3"/>
            <w:tabs>
              <w:tab w:val="right" w:leader="dot" w:pos="9016"/>
            </w:tabs>
            <w:spacing w:line="276" w:lineRule="auto"/>
            <w:rPr>
              <w:rFonts w:asciiTheme="minorHAnsi" w:eastAsiaTheme="minorEastAsia" w:hAnsiTheme="minorHAnsi" w:cstheme="minorBidi"/>
              <w:noProof/>
            </w:rPr>
          </w:pPr>
          <w:hyperlink w:anchor="_Toc237367673" w:history="1">
            <w:r>
              <w:rPr>
                <w:rStyle w:val="Hyperlink"/>
                <w:noProof/>
              </w:rPr>
              <w:t>6. Housing and Fuel Poverty</w:t>
            </w:r>
            <w:r>
              <w:rPr>
                <w:noProof/>
                <w:webHidden/>
              </w:rPr>
              <w:tab/>
            </w:r>
            <w:r>
              <w:rPr>
                <w:noProof/>
                <w:webHidden/>
              </w:rPr>
              <w:fldChar w:fldCharType="begin"/>
            </w:r>
            <w:r>
              <w:rPr>
                <w:noProof/>
                <w:webHidden/>
              </w:rPr>
              <w:instrText xml:space="preserve"> PAGEREF _Toc237367673 \h </w:instrText>
            </w:r>
            <w:r>
              <w:rPr>
                <w:noProof/>
                <w:webHidden/>
              </w:rPr>
            </w:r>
            <w:r>
              <w:rPr>
                <w:noProof/>
                <w:webHidden/>
              </w:rPr>
              <w:fldChar w:fldCharType="separate"/>
            </w:r>
            <w:r>
              <w:rPr>
                <w:noProof/>
                <w:webHidden/>
              </w:rPr>
              <w:t>6</w:t>
            </w:r>
            <w:r>
              <w:rPr>
                <w:noProof/>
                <w:webHidden/>
              </w:rPr>
              <w:fldChar w:fldCharType="end"/>
            </w:r>
          </w:hyperlink>
        </w:p>
        <w:p w14:paraId="37E6E515" w14:textId="34A77B36" w:rsidR="00892B42" w:rsidRDefault="00892B42" w:rsidP="00892B42">
          <w:pPr>
            <w:pStyle w:val="TOC2"/>
            <w:tabs>
              <w:tab w:val="right" w:leader="dot" w:pos="9016"/>
            </w:tabs>
            <w:spacing w:line="276" w:lineRule="auto"/>
            <w:rPr>
              <w:rFonts w:asciiTheme="minorHAnsi" w:eastAsiaTheme="minorEastAsia" w:hAnsiTheme="minorHAnsi" w:cstheme="minorBidi"/>
              <w:noProof/>
            </w:rPr>
          </w:pPr>
          <w:hyperlink w:anchor="_Toc237367674" w:history="1">
            <w:r>
              <w:rPr>
                <w:rStyle w:val="Hyperlink"/>
                <w:noProof/>
              </w:rPr>
              <w:t>National Response to Reduce Health Inequalities</w:t>
            </w:r>
            <w:r>
              <w:rPr>
                <w:noProof/>
                <w:webHidden/>
              </w:rPr>
              <w:tab/>
            </w:r>
            <w:r>
              <w:rPr>
                <w:noProof/>
                <w:webHidden/>
              </w:rPr>
              <w:fldChar w:fldCharType="begin"/>
            </w:r>
            <w:r>
              <w:rPr>
                <w:noProof/>
                <w:webHidden/>
              </w:rPr>
              <w:instrText xml:space="preserve"> PAGEREF _Toc237367674 \h </w:instrText>
            </w:r>
            <w:r>
              <w:rPr>
                <w:noProof/>
                <w:webHidden/>
              </w:rPr>
            </w:r>
            <w:r>
              <w:rPr>
                <w:noProof/>
                <w:webHidden/>
              </w:rPr>
              <w:fldChar w:fldCharType="separate"/>
            </w:r>
            <w:r>
              <w:rPr>
                <w:noProof/>
                <w:webHidden/>
              </w:rPr>
              <w:t>6</w:t>
            </w:r>
            <w:r>
              <w:rPr>
                <w:noProof/>
                <w:webHidden/>
              </w:rPr>
              <w:fldChar w:fldCharType="end"/>
            </w:r>
          </w:hyperlink>
        </w:p>
        <w:p w14:paraId="2FEF1A24" w14:textId="7457AEBC" w:rsidR="00892B42" w:rsidRDefault="00892B42" w:rsidP="00892B42">
          <w:pPr>
            <w:pStyle w:val="TOC2"/>
            <w:tabs>
              <w:tab w:val="right" w:leader="dot" w:pos="9016"/>
            </w:tabs>
            <w:spacing w:line="276" w:lineRule="auto"/>
            <w:rPr>
              <w:rFonts w:asciiTheme="minorHAnsi" w:eastAsiaTheme="minorEastAsia" w:hAnsiTheme="minorHAnsi" w:cstheme="minorBidi"/>
              <w:noProof/>
            </w:rPr>
          </w:pPr>
          <w:hyperlink w:anchor="_Toc237367675" w:history="1">
            <w:r>
              <w:rPr>
                <w:rStyle w:val="Hyperlink"/>
                <w:noProof/>
              </w:rPr>
              <w:t>Organisations that Support Older People</w:t>
            </w:r>
            <w:r>
              <w:rPr>
                <w:noProof/>
                <w:webHidden/>
              </w:rPr>
              <w:tab/>
            </w:r>
            <w:r>
              <w:rPr>
                <w:noProof/>
                <w:webHidden/>
              </w:rPr>
              <w:fldChar w:fldCharType="begin"/>
            </w:r>
            <w:r>
              <w:rPr>
                <w:noProof/>
                <w:webHidden/>
              </w:rPr>
              <w:instrText xml:space="preserve"> PAGEREF _Toc237367675 \h </w:instrText>
            </w:r>
            <w:r>
              <w:rPr>
                <w:noProof/>
                <w:webHidden/>
              </w:rPr>
            </w:r>
            <w:r>
              <w:rPr>
                <w:noProof/>
                <w:webHidden/>
              </w:rPr>
              <w:fldChar w:fldCharType="separate"/>
            </w:r>
            <w:r>
              <w:rPr>
                <w:noProof/>
                <w:webHidden/>
              </w:rPr>
              <w:t>6</w:t>
            </w:r>
            <w:r>
              <w:rPr>
                <w:noProof/>
                <w:webHidden/>
              </w:rPr>
              <w:fldChar w:fldCharType="end"/>
            </w:r>
          </w:hyperlink>
        </w:p>
        <w:p w14:paraId="02CAA3CF" w14:textId="268D0ACF" w:rsidR="00892B42" w:rsidRDefault="00892B42" w:rsidP="00892B42">
          <w:pPr>
            <w:pStyle w:val="TOC2"/>
            <w:tabs>
              <w:tab w:val="right" w:leader="dot" w:pos="9016"/>
            </w:tabs>
            <w:spacing w:line="276" w:lineRule="auto"/>
            <w:rPr>
              <w:rFonts w:asciiTheme="minorHAnsi" w:eastAsiaTheme="minorEastAsia" w:hAnsiTheme="minorHAnsi" w:cstheme="minorBidi"/>
              <w:noProof/>
            </w:rPr>
          </w:pPr>
          <w:hyperlink w:anchor="_Toc237367676" w:history="1">
            <w:r>
              <w:rPr>
                <w:rStyle w:val="Hyperlink"/>
                <w:noProof/>
              </w:rPr>
              <w:t>Conclusion</w:t>
            </w:r>
            <w:r>
              <w:rPr>
                <w:noProof/>
                <w:webHidden/>
              </w:rPr>
              <w:tab/>
            </w:r>
            <w:r>
              <w:rPr>
                <w:noProof/>
                <w:webHidden/>
              </w:rPr>
              <w:fldChar w:fldCharType="begin"/>
            </w:r>
            <w:r>
              <w:rPr>
                <w:noProof/>
                <w:webHidden/>
              </w:rPr>
              <w:instrText xml:space="preserve"> PAGEREF _Toc237367676 \h </w:instrText>
            </w:r>
            <w:r>
              <w:rPr>
                <w:noProof/>
                <w:webHidden/>
              </w:rPr>
            </w:r>
            <w:r>
              <w:rPr>
                <w:noProof/>
                <w:webHidden/>
              </w:rPr>
              <w:fldChar w:fldCharType="separate"/>
            </w:r>
            <w:r>
              <w:rPr>
                <w:noProof/>
                <w:webHidden/>
              </w:rPr>
              <w:t>7</w:t>
            </w:r>
            <w:r>
              <w:rPr>
                <w:noProof/>
                <w:webHidden/>
              </w:rPr>
              <w:fldChar w:fldCharType="end"/>
            </w:r>
          </w:hyperlink>
        </w:p>
        <w:p w14:paraId="32FAEFAD" w14:textId="61372E01" w:rsidR="00892B42" w:rsidRDefault="00892B42" w:rsidP="00892B42">
          <w:pPr>
            <w:pStyle w:val="TOC1"/>
            <w:tabs>
              <w:tab w:val="right" w:leader="dot" w:pos="9016"/>
            </w:tabs>
            <w:spacing w:line="276" w:lineRule="auto"/>
            <w:rPr>
              <w:rFonts w:asciiTheme="minorHAnsi" w:eastAsiaTheme="minorEastAsia" w:hAnsiTheme="minorHAnsi" w:cstheme="minorBidi"/>
              <w:noProof/>
            </w:rPr>
          </w:pPr>
          <w:hyperlink w:anchor="_Toc237367677" w:history="1">
            <w:r>
              <w:rPr>
                <w:rStyle w:val="Hyperlink"/>
                <w:noProof/>
              </w:rPr>
              <w:t>Task 2: Epidemiological Analysis – Type 2 Diabetes Mellitus in the London Borough of Newham</w:t>
            </w:r>
            <w:r>
              <w:rPr>
                <w:noProof/>
                <w:webHidden/>
              </w:rPr>
              <w:tab/>
            </w:r>
            <w:r>
              <w:rPr>
                <w:noProof/>
                <w:webHidden/>
              </w:rPr>
              <w:fldChar w:fldCharType="begin"/>
            </w:r>
            <w:r>
              <w:rPr>
                <w:noProof/>
                <w:webHidden/>
              </w:rPr>
              <w:instrText xml:space="preserve"> PAGEREF _Toc237367677 \h </w:instrText>
            </w:r>
            <w:r>
              <w:rPr>
                <w:noProof/>
                <w:webHidden/>
              </w:rPr>
            </w:r>
            <w:r>
              <w:rPr>
                <w:noProof/>
                <w:webHidden/>
              </w:rPr>
              <w:fldChar w:fldCharType="separate"/>
            </w:r>
            <w:r>
              <w:rPr>
                <w:noProof/>
                <w:webHidden/>
              </w:rPr>
              <w:t>7</w:t>
            </w:r>
            <w:r>
              <w:rPr>
                <w:noProof/>
                <w:webHidden/>
              </w:rPr>
              <w:fldChar w:fldCharType="end"/>
            </w:r>
          </w:hyperlink>
        </w:p>
        <w:p w14:paraId="5FC99185" w14:textId="32664969" w:rsidR="00892B42" w:rsidRDefault="00892B42" w:rsidP="00892B42">
          <w:pPr>
            <w:pStyle w:val="TOC2"/>
            <w:tabs>
              <w:tab w:val="right" w:leader="dot" w:pos="9016"/>
            </w:tabs>
            <w:spacing w:line="276" w:lineRule="auto"/>
            <w:rPr>
              <w:rFonts w:asciiTheme="minorHAnsi" w:eastAsiaTheme="minorEastAsia" w:hAnsiTheme="minorHAnsi" w:cstheme="minorBidi"/>
              <w:noProof/>
            </w:rPr>
          </w:pPr>
          <w:hyperlink w:anchor="_Toc237367678" w:history="1">
            <w:r>
              <w:rPr>
                <w:rStyle w:val="Hyperlink"/>
                <w:noProof/>
              </w:rPr>
              <w:t>Introduction</w:t>
            </w:r>
            <w:r>
              <w:rPr>
                <w:noProof/>
                <w:webHidden/>
              </w:rPr>
              <w:tab/>
            </w:r>
            <w:r>
              <w:rPr>
                <w:noProof/>
                <w:webHidden/>
              </w:rPr>
              <w:fldChar w:fldCharType="begin"/>
            </w:r>
            <w:r>
              <w:rPr>
                <w:noProof/>
                <w:webHidden/>
              </w:rPr>
              <w:instrText xml:space="preserve"> PAGEREF _Toc237367678 \h </w:instrText>
            </w:r>
            <w:r>
              <w:rPr>
                <w:noProof/>
                <w:webHidden/>
              </w:rPr>
            </w:r>
            <w:r>
              <w:rPr>
                <w:noProof/>
                <w:webHidden/>
              </w:rPr>
              <w:fldChar w:fldCharType="separate"/>
            </w:r>
            <w:r>
              <w:rPr>
                <w:noProof/>
                <w:webHidden/>
              </w:rPr>
              <w:t>7</w:t>
            </w:r>
            <w:r>
              <w:rPr>
                <w:noProof/>
                <w:webHidden/>
              </w:rPr>
              <w:fldChar w:fldCharType="end"/>
            </w:r>
          </w:hyperlink>
        </w:p>
        <w:p w14:paraId="52E08BB5" w14:textId="171407F4" w:rsidR="00892B42" w:rsidRDefault="00892B42" w:rsidP="00892B42">
          <w:pPr>
            <w:pStyle w:val="TOC2"/>
            <w:tabs>
              <w:tab w:val="right" w:leader="dot" w:pos="9016"/>
            </w:tabs>
            <w:spacing w:line="276" w:lineRule="auto"/>
            <w:rPr>
              <w:rFonts w:asciiTheme="minorHAnsi" w:eastAsiaTheme="minorEastAsia" w:hAnsiTheme="minorHAnsi" w:cstheme="minorBidi"/>
              <w:noProof/>
            </w:rPr>
          </w:pPr>
          <w:hyperlink w:anchor="_Toc237367679" w:history="1">
            <w:r>
              <w:rPr>
                <w:rStyle w:val="Hyperlink"/>
                <w:noProof/>
              </w:rPr>
              <w:t>Incidence and Prevalence</w:t>
            </w:r>
            <w:r>
              <w:rPr>
                <w:noProof/>
                <w:webHidden/>
              </w:rPr>
              <w:tab/>
            </w:r>
            <w:r>
              <w:rPr>
                <w:noProof/>
                <w:webHidden/>
              </w:rPr>
              <w:fldChar w:fldCharType="begin"/>
            </w:r>
            <w:r>
              <w:rPr>
                <w:noProof/>
                <w:webHidden/>
              </w:rPr>
              <w:instrText xml:space="preserve"> PAGEREF _Toc237367679 \h </w:instrText>
            </w:r>
            <w:r>
              <w:rPr>
                <w:noProof/>
                <w:webHidden/>
              </w:rPr>
            </w:r>
            <w:r>
              <w:rPr>
                <w:noProof/>
                <w:webHidden/>
              </w:rPr>
              <w:fldChar w:fldCharType="separate"/>
            </w:r>
            <w:r>
              <w:rPr>
                <w:noProof/>
                <w:webHidden/>
              </w:rPr>
              <w:t>7</w:t>
            </w:r>
            <w:r>
              <w:rPr>
                <w:noProof/>
                <w:webHidden/>
              </w:rPr>
              <w:fldChar w:fldCharType="end"/>
            </w:r>
          </w:hyperlink>
        </w:p>
        <w:p w14:paraId="0B5C8A48" w14:textId="2D2D5185" w:rsidR="00892B42" w:rsidRDefault="00892B42" w:rsidP="00892B42">
          <w:pPr>
            <w:pStyle w:val="TOC2"/>
            <w:tabs>
              <w:tab w:val="right" w:leader="dot" w:pos="9016"/>
            </w:tabs>
            <w:spacing w:line="276" w:lineRule="auto"/>
            <w:rPr>
              <w:rFonts w:asciiTheme="minorHAnsi" w:eastAsiaTheme="minorEastAsia" w:hAnsiTheme="minorHAnsi" w:cstheme="minorBidi"/>
              <w:noProof/>
            </w:rPr>
          </w:pPr>
          <w:hyperlink w:anchor="_Toc237367680" w:history="1">
            <w:r>
              <w:rPr>
                <w:rStyle w:val="Hyperlink"/>
                <w:noProof/>
              </w:rPr>
              <w:t>Determinants and Risk Factors</w:t>
            </w:r>
            <w:r>
              <w:rPr>
                <w:noProof/>
                <w:webHidden/>
              </w:rPr>
              <w:tab/>
            </w:r>
            <w:r>
              <w:rPr>
                <w:noProof/>
                <w:webHidden/>
              </w:rPr>
              <w:fldChar w:fldCharType="begin"/>
            </w:r>
            <w:r>
              <w:rPr>
                <w:noProof/>
                <w:webHidden/>
              </w:rPr>
              <w:instrText xml:space="preserve"> PAGEREF _Toc237367680 \h </w:instrText>
            </w:r>
            <w:r>
              <w:rPr>
                <w:noProof/>
                <w:webHidden/>
              </w:rPr>
            </w:r>
            <w:r>
              <w:rPr>
                <w:noProof/>
                <w:webHidden/>
              </w:rPr>
              <w:fldChar w:fldCharType="separate"/>
            </w:r>
            <w:r>
              <w:rPr>
                <w:noProof/>
                <w:webHidden/>
              </w:rPr>
              <w:t>8</w:t>
            </w:r>
            <w:r>
              <w:rPr>
                <w:noProof/>
                <w:webHidden/>
              </w:rPr>
              <w:fldChar w:fldCharType="end"/>
            </w:r>
          </w:hyperlink>
        </w:p>
        <w:p w14:paraId="7831925E" w14:textId="5AE7AA77" w:rsidR="00892B42" w:rsidRDefault="00892B42" w:rsidP="00892B42">
          <w:pPr>
            <w:pStyle w:val="TOC2"/>
            <w:tabs>
              <w:tab w:val="right" w:leader="dot" w:pos="9016"/>
            </w:tabs>
            <w:spacing w:line="276" w:lineRule="auto"/>
            <w:rPr>
              <w:rFonts w:asciiTheme="minorHAnsi" w:eastAsiaTheme="minorEastAsia" w:hAnsiTheme="minorHAnsi" w:cstheme="minorBidi"/>
              <w:noProof/>
            </w:rPr>
          </w:pPr>
          <w:hyperlink w:anchor="_Toc237367681" w:history="1">
            <w:r>
              <w:rPr>
                <w:rStyle w:val="Hyperlink"/>
                <w:noProof/>
              </w:rPr>
              <w:t>Health Needs Assessment and At-Risk Identification</w:t>
            </w:r>
            <w:r>
              <w:rPr>
                <w:noProof/>
                <w:webHidden/>
              </w:rPr>
              <w:tab/>
            </w:r>
            <w:r>
              <w:rPr>
                <w:noProof/>
                <w:webHidden/>
              </w:rPr>
              <w:fldChar w:fldCharType="begin"/>
            </w:r>
            <w:r>
              <w:rPr>
                <w:noProof/>
                <w:webHidden/>
              </w:rPr>
              <w:instrText xml:space="preserve"> PAGEREF _Toc237367681 \h </w:instrText>
            </w:r>
            <w:r>
              <w:rPr>
                <w:noProof/>
                <w:webHidden/>
              </w:rPr>
            </w:r>
            <w:r>
              <w:rPr>
                <w:noProof/>
                <w:webHidden/>
              </w:rPr>
              <w:fldChar w:fldCharType="separate"/>
            </w:r>
            <w:r>
              <w:rPr>
                <w:noProof/>
                <w:webHidden/>
              </w:rPr>
              <w:t>8</w:t>
            </w:r>
            <w:r>
              <w:rPr>
                <w:noProof/>
                <w:webHidden/>
              </w:rPr>
              <w:fldChar w:fldCharType="end"/>
            </w:r>
          </w:hyperlink>
        </w:p>
        <w:p w14:paraId="20C9126B" w14:textId="58EFE1DD" w:rsidR="00892B42" w:rsidRDefault="00892B42" w:rsidP="00892B42">
          <w:pPr>
            <w:pStyle w:val="TOC2"/>
            <w:tabs>
              <w:tab w:val="right" w:leader="dot" w:pos="9016"/>
            </w:tabs>
            <w:spacing w:line="276" w:lineRule="auto"/>
            <w:rPr>
              <w:rFonts w:asciiTheme="minorHAnsi" w:eastAsiaTheme="minorEastAsia" w:hAnsiTheme="minorHAnsi" w:cstheme="minorBidi"/>
              <w:noProof/>
            </w:rPr>
          </w:pPr>
          <w:hyperlink w:anchor="_Toc237367682" w:history="1">
            <w:r>
              <w:rPr>
                <w:rStyle w:val="Hyperlink"/>
                <w:noProof/>
              </w:rPr>
              <w:t>Surveillance and Monitoring Systems</w:t>
            </w:r>
            <w:r>
              <w:rPr>
                <w:noProof/>
                <w:webHidden/>
              </w:rPr>
              <w:tab/>
            </w:r>
            <w:r>
              <w:rPr>
                <w:noProof/>
                <w:webHidden/>
              </w:rPr>
              <w:fldChar w:fldCharType="begin"/>
            </w:r>
            <w:r>
              <w:rPr>
                <w:noProof/>
                <w:webHidden/>
              </w:rPr>
              <w:instrText xml:space="preserve"> PAGEREF _Toc237367682 \h </w:instrText>
            </w:r>
            <w:r>
              <w:rPr>
                <w:noProof/>
                <w:webHidden/>
              </w:rPr>
            </w:r>
            <w:r>
              <w:rPr>
                <w:noProof/>
                <w:webHidden/>
              </w:rPr>
              <w:fldChar w:fldCharType="separate"/>
            </w:r>
            <w:r>
              <w:rPr>
                <w:noProof/>
                <w:webHidden/>
              </w:rPr>
              <w:t>9</w:t>
            </w:r>
            <w:r>
              <w:rPr>
                <w:noProof/>
                <w:webHidden/>
              </w:rPr>
              <w:fldChar w:fldCharType="end"/>
            </w:r>
          </w:hyperlink>
        </w:p>
        <w:p w14:paraId="5CD4467F" w14:textId="61F0F949" w:rsidR="00892B42" w:rsidRDefault="00892B42" w:rsidP="00892B42">
          <w:pPr>
            <w:pStyle w:val="TOC2"/>
            <w:tabs>
              <w:tab w:val="right" w:leader="dot" w:pos="9016"/>
            </w:tabs>
            <w:spacing w:line="276" w:lineRule="auto"/>
            <w:rPr>
              <w:rFonts w:asciiTheme="minorHAnsi" w:eastAsiaTheme="minorEastAsia" w:hAnsiTheme="minorHAnsi" w:cstheme="minorBidi"/>
              <w:noProof/>
            </w:rPr>
          </w:pPr>
          <w:r>
            <w:rPr>
              <w:rStyle w:val="Hyperlink"/>
              <w:noProof/>
            </w:rPr>
            <w:t>Prevention, Protection and Promotion</w:t>
          </w:r>
        </w:p>
        <w:p w14:paraId="56A155BF" w14:textId="3997A051" w:rsidR="00892B42" w:rsidRDefault="00892B42" w:rsidP="00892B42">
          <w:pPr>
            <w:pStyle w:val="TOC2"/>
            <w:tabs>
              <w:tab w:val="right" w:leader="dot" w:pos="9016"/>
            </w:tabs>
            <w:spacing w:line="276" w:lineRule="auto"/>
            <w:rPr>
              <w:rFonts w:asciiTheme="minorHAnsi" w:eastAsiaTheme="minorEastAsia" w:hAnsiTheme="minorHAnsi" w:cstheme="minorBidi"/>
              <w:noProof/>
            </w:rPr>
          </w:pPr>
          <w:hyperlink w:anchor="_Toc237367684" w:history="1">
            <w:r>
              <w:rPr>
                <w:rStyle w:val="Hyperlink"/>
                <w:noProof/>
              </w:rPr>
              <w:t>Public Health Impact</w:t>
            </w:r>
            <w:r>
              <w:rPr>
                <w:noProof/>
                <w:webHidden/>
              </w:rPr>
              <w:tab/>
            </w:r>
            <w:r>
              <w:rPr>
                <w:noProof/>
                <w:webHidden/>
              </w:rPr>
              <w:fldChar w:fldCharType="begin"/>
            </w:r>
            <w:r>
              <w:rPr>
                <w:noProof/>
                <w:webHidden/>
              </w:rPr>
              <w:instrText xml:space="preserve"> PAGEREF _Toc237367684 \h </w:instrText>
            </w:r>
            <w:r>
              <w:rPr>
                <w:noProof/>
                <w:webHidden/>
              </w:rPr>
            </w:r>
            <w:r>
              <w:rPr>
                <w:noProof/>
                <w:webHidden/>
              </w:rPr>
              <w:fldChar w:fldCharType="separate"/>
            </w:r>
            <w:r>
              <w:rPr>
                <w:noProof/>
                <w:webHidden/>
              </w:rPr>
              <w:t>10</w:t>
            </w:r>
            <w:r>
              <w:rPr>
                <w:noProof/>
                <w:webHidden/>
              </w:rPr>
              <w:fldChar w:fldCharType="end"/>
            </w:r>
          </w:hyperlink>
        </w:p>
        <w:p w14:paraId="0663518A" w14:textId="2F990CDA" w:rsidR="00892B42" w:rsidRDefault="00892B42" w:rsidP="00892B42">
          <w:pPr>
            <w:pStyle w:val="TOC1"/>
            <w:tabs>
              <w:tab w:val="right" w:leader="dot" w:pos="9016"/>
            </w:tabs>
            <w:spacing w:line="276" w:lineRule="auto"/>
            <w:rPr>
              <w:rFonts w:asciiTheme="minorHAnsi" w:eastAsiaTheme="minorEastAsia" w:hAnsiTheme="minorHAnsi" w:cstheme="minorBidi"/>
              <w:noProof/>
            </w:rPr>
          </w:pPr>
          <w:hyperlink w:anchor="_Toc237367685" w:history="1">
            <w:r>
              <w:rPr>
                <w:rStyle w:val="Hyperlink"/>
                <w:noProof/>
              </w:rPr>
              <w:t>Intervention Design and Evaluation</w:t>
            </w:r>
            <w:r>
              <w:rPr>
                <w:noProof/>
                <w:webHidden/>
              </w:rPr>
              <w:tab/>
            </w:r>
            <w:r>
              <w:rPr>
                <w:noProof/>
                <w:webHidden/>
              </w:rPr>
              <w:fldChar w:fldCharType="begin"/>
            </w:r>
            <w:r>
              <w:rPr>
                <w:noProof/>
                <w:webHidden/>
              </w:rPr>
              <w:instrText xml:space="preserve"> PAGEREF _Toc237367685 \h </w:instrText>
            </w:r>
            <w:r>
              <w:rPr>
                <w:noProof/>
                <w:webHidden/>
              </w:rPr>
            </w:r>
            <w:r>
              <w:rPr>
                <w:noProof/>
                <w:webHidden/>
              </w:rPr>
              <w:fldChar w:fldCharType="separate"/>
            </w:r>
            <w:r>
              <w:rPr>
                <w:noProof/>
                <w:webHidden/>
              </w:rPr>
              <w:t>10</w:t>
            </w:r>
            <w:r>
              <w:rPr>
                <w:noProof/>
                <w:webHidden/>
              </w:rPr>
              <w:fldChar w:fldCharType="end"/>
            </w:r>
          </w:hyperlink>
        </w:p>
        <w:p w14:paraId="2B3BC3BF" w14:textId="5CB41A78" w:rsidR="00892B42" w:rsidRDefault="00892B42" w:rsidP="00892B42">
          <w:pPr>
            <w:pStyle w:val="TOC1"/>
            <w:tabs>
              <w:tab w:val="right" w:leader="dot" w:pos="9016"/>
            </w:tabs>
            <w:spacing w:line="276" w:lineRule="auto"/>
            <w:rPr>
              <w:rFonts w:asciiTheme="minorHAnsi" w:eastAsiaTheme="minorEastAsia" w:hAnsiTheme="minorHAnsi" w:cstheme="minorBidi"/>
              <w:noProof/>
            </w:rPr>
          </w:pPr>
          <w:hyperlink w:anchor="_Toc237367686" w:history="1">
            <w:r>
              <w:rPr>
                <w:rStyle w:val="Hyperlink"/>
                <w:noProof/>
              </w:rPr>
              <w:t>Strengths and Limitations of the Epidemiological Approach</w:t>
            </w:r>
            <w:r>
              <w:rPr>
                <w:noProof/>
                <w:webHidden/>
              </w:rPr>
              <w:tab/>
            </w:r>
            <w:r>
              <w:rPr>
                <w:noProof/>
                <w:webHidden/>
              </w:rPr>
              <w:fldChar w:fldCharType="begin"/>
            </w:r>
            <w:r>
              <w:rPr>
                <w:noProof/>
                <w:webHidden/>
              </w:rPr>
              <w:instrText xml:space="preserve"> PAGEREF _Toc237367686 \h </w:instrText>
            </w:r>
            <w:r>
              <w:rPr>
                <w:noProof/>
                <w:webHidden/>
              </w:rPr>
            </w:r>
            <w:r>
              <w:rPr>
                <w:noProof/>
                <w:webHidden/>
              </w:rPr>
              <w:fldChar w:fldCharType="separate"/>
            </w:r>
            <w:r>
              <w:rPr>
                <w:noProof/>
                <w:webHidden/>
              </w:rPr>
              <w:t>11</w:t>
            </w:r>
            <w:r>
              <w:rPr>
                <w:noProof/>
                <w:webHidden/>
              </w:rPr>
              <w:fldChar w:fldCharType="end"/>
            </w:r>
          </w:hyperlink>
        </w:p>
        <w:p w14:paraId="2ED13B19" w14:textId="30D369F9" w:rsidR="00892B42" w:rsidRDefault="00892B42" w:rsidP="00892B42">
          <w:pPr>
            <w:pStyle w:val="TOC3"/>
            <w:tabs>
              <w:tab w:val="right" w:leader="dot" w:pos="9016"/>
            </w:tabs>
            <w:spacing w:line="276" w:lineRule="auto"/>
            <w:rPr>
              <w:rFonts w:asciiTheme="minorHAnsi" w:eastAsiaTheme="minorEastAsia" w:hAnsiTheme="minorHAnsi" w:cstheme="minorBidi"/>
              <w:noProof/>
            </w:rPr>
          </w:pPr>
          <w:hyperlink w:anchor="_Toc237367687" w:history="1">
            <w:r>
              <w:rPr>
                <w:rStyle w:val="Hyperlink"/>
                <w:noProof/>
              </w:rPr>
              <w:t>Strengths</w:t>
            </w:r>
            <w:r>
              <w:rPr>
                <w:noProof/>
                <w:webHidden/>
              </w:rPr>
              <w:tab/>
            </w:r>
            <w:r>
              <w:rPr>
                <w:noProof/>
                <w:webHidden/>
              </w:rPr>
              <w:fldChar w:fldCharType="begin"/>
            </w:r>
            <w:r>
              <w:rPr>
                <w:noProof/>
                <w:webHidden/>
              </w:rPr>
              <w:instrText xml:space="preserve"> PAGEREF _Toc237367687 \h </w:instrText>
            </w:r>
            <w:r>
              <w:rPr>
                <w:noProof/>
                <w:webHidden/>
              </w:rPr>
            </w:r>
            <w:r>
              <w:rPr>
                <w:noProof/>
                <w:webHidden/>
              </w:rPr>
              <w:fldChar w:fldCharType="separate"/>
            </w:r>
            <w:r>
              <w:rPr>
                <w:noProof/>
                <w:webHidden/>
              </w:rPr>
              <w:t>11</w:t>
            </w:r>
            <w:r>
              <w:rPr>
                <w:noProof/>
                <w:webHidden/>
              </w:rPr>
              <w:fldChar w:fldCharType="end"/>
            </w:r>
          </w:hyperlink>
        </w:p>
        <w:p w14:paraId="2BD4F737" w14:textId="4A3CAB77" w:rsidR="00892B42" w:rsidRDefault="00892B42" w:rsidP="00892B42">
          <w:pPr>
            <w:pStyle w:val="TOC1"/>
            <w:tabs>
              <w:tab w:val="right" w:leader="dot" w:pos="9016"/>
            </w:tabs>
            <w:spacing w:line="276" w:lineRule="auto"/>
            <w:rPr>
              <w:rFonts w:asciiTheme="minorHAnsi" w:eastAsiaTheme="minorEastAsia" w:hAnsiTheme="minorHAnsi" w:cstheme="minorBidi"/>
              <w:noProof/>
            </w:rPr>
          </w:pPr>
          <w:hyperlink w:anchor="_Toc237367688" w:history="1">
            <w:r>
              <w:rPr>
                <w:rStyle w:val="Hyperlink"/>
                <w:noProof/>
              </w:rPr>
              <w:t>Conclusion</w:t>
            </w:r>
            <w:r>
              <w:rPr>
                <w:noProof/>
                <w:webHidden/>
              </w:rPr>
              <w:tab/>
            </w:r>
            <w:r>
              <w:rPr>
                <w:noProof/>
                <w:webHidden/>
              </w:rPr>
              <w:fldChar w:fldCharType="begin"/>
            </w:r>
            <w:r>
              <w:rPr>
                <w:noProof/>
                <w:webHidden/>
              </w:rPr>
              <w:instrText xml:space="preserve"> PAGEREF _Toc237367688 \h </w:instrText>
            </w:r>
            <w:r>
              <w:rPr>
                <w:noProof/>
                <w:webHidden/>
              </w:rPr>
            </w:r>
            <w:r>
              <w:rPr>
                <w:noProof/>
                <w:webHidden/>
              </w:rPr>
              <w:fldChar w:fldCharType="separate"/>
            </w:r>
            <w:r>
              <w:rPr>
                <w:noProof/>
                <w:webHidden/>
              </w:rPr>
              <w:t>11</w:t>
            </w:r>
            <w:r>
              <w:rPr>
                <w:noProof/>
                <w:webHidden/>
              </w:rPr>
              <w:fldChar w:fldCharType="end"/>
            </w:r>
          </w:hyperlink>
        </w:p>
        <w:p w14:paraId="241CB73F" w14:textId="77F82B1A" w:rsidR="00892B42" w:rsidRDefault="00892B42" w:rsidP="00892B42">
          <w:pPr>
            <w:pStyle w:val="TOC1"/>
            <w:tabs>
              <w:tab w:val="right" w:leader="dot" w:pos="9016"/>
            </w:tabs>
            <w:spacing w:line="276" w:lineRule="auto"/>
            <w:rPr>
              <w:rFonts w:asciiTheme="minorHAnsi" w:eastAsiaTheme="minorEastAsia" w:hAnsiTheme="minorHAnsi" w:cstheme="minorBidi"/>
              <w:noProof/>
            </w:rPr>
          </w:pPr>
          <w:hyperlink w:anchor="_Toc237367689" w:history="1">
            <w:r>
              <w:rPr>
                <w:rStyle w:val="Hyperlink"/>
                <w:noProof/>
              </w:rPr>
              <w:t>References</w:t>
            </w:r>
            <w:r>
              <w:rPr>
                <w:noProof/>
                <w:webHidden/>
              </w:rPr>
              <w:tab/>
            </w:r>
            <w:r>
              <w:rPr>
                <w:noProof/>
                <w:webHidden/>
              </w:rPr>
              <w:fldChar w:fldCharType="begin"/>
            </w:r>
            <w:r>
              <w:rPr>
                <w:noProof/>
                <w:webHidden/>
              </w:rPr>
              <w:instrText xml:space="preserve"> PAGEREF _Toc237367689 \h </w:instrText>
            </w:r>
            <w:r>
              <w:rPr>
                <w:noProof/>
                <w:webHidden/>
              </w:rPr>
            </w:r>
            <w:r>
              <w:rPr>
                <w:noProof/>
                <w:webHidden/>
              </w:rPr>
              <w:fldChar w:fldCharType="separate"/>
            </w:r>
            <w:r>
              <w:rPr>
                <w:noProof/>
                <w:webHidden/>
              </w:rPr>
              <w:t>13</w:t>
            </w:r>
            <w:r>
              <w:rPr>
                <w:noProof/>
                <w:webHidden/>
              </w:rPr>
              <w:fldChar w:fldCharType="end"/>
            </w:r>
          </w:hyperlink>
        </w:p>
        <w:p w14:paraId="663D39E9" w14:textId="7C7280D5" w:rsidR="00892B42" w:rsidRPr="004967D0" w:rsidRDefault="00892B42" w:rsidP="00892B42">
          <w:pPr>
            <w:spacing w:line="276" w:lineRule="auto"/>
          </w:pPr>
          <w:r>
            <w:rPr>
              <w:b/>
              <w:bCs/>
              <w:noProof/>
            </w:rPr>
            <w:fldChar w:fldCharType="end"/>
          </w:r>
        </w:p>
      </w:sdtContent>
    </w:sdt>
    <w:p w14:paraId="1733481F" w14:textId="257C37CA" w:rsidR="00892B42" w:rsidRPr="00892B42" w:rsidRDefault="00892B42" w:rsidP="00892B42">
      <w:pPr>
        <w:spacing w:line="276" w:lineRule="auto"/>
        <w:rPr>
          <w:b/>
          <w:bCs/>
          <w:color w:val="000000"/>
          <w:sz w:val="30"/>
          <w:szCs w:val="30"/>
        </w:rPr>
      </w:pPr>
      <w:r>
        <w:br w:type="page"/>
      </w:r>
    </w:p>
    <w:p w14:paraId="2562859C" w14:textId="77777777" w:rsidR="00892B42" w:rsidRPr="004967D0" w:rsidRDefault="00892B42" w:rsidP="00892B42">
      <w:pPr>
        <w:pStyle w:val="Heading1"/>
        <w:spacing w:before="280" w:after="180"/>
      </w:pPr>
      <w:bookmarkStart w:id="1" w:name="_Toc237367663"/>
      <w:r>
        <w:rPr>
          <w:sz w:val="30"/>
        </w:rPr>
        <w:lastRenderedPageBreak/>
        <w:t>Introduction</w:t>
      </w:r>
      <w:bookmarkEnd w:id="0"/>
      <w:bookmarkEnd w:id="1"/>
    </w:p>
    <w:p w14:paraId="4FAC7BED" w14:textId="77777777" w:rsidR="00892B42" w:rsidRPr="004967D0" w:rsidRDefault="00892B42" w:rsidP="00892B42">
      <w:pPr>
        <w:spacing w:line="480" w:lineRule="auto"/>
        <w:jc w:val="both"/>
      </w:pPr>
      <w:r>
        <w:t>Social Epidemiology and Epidemiology have been applied to analyze two Public Health issues in this analytical report. The first task explores the health inequities related to age among older individuals in the UK, which will explore disease burden, determinants of health, policies at national level and the voluntary sector. The second task involves type 2 diabetes mellitus in the London Borough of Newham.</w:t>
      </w:r>
    </w:p>
    <w:p w14:paraId="271B0D2A" w14:textId="77777777" w:rsidR="00892B42" w:rsidRPr="004967D0" w:rsidRDefault="00892B42" w:rsidP="00892B42">
      <w:pPr>
        <w:pStyle w:val="Heading1"/>
        <w:spacing w:before="280" w:after="180"/>
      </w:pPr>
      <w:bookmarkStart w:id="2" w:name="_Toc237363883"/>
      <w:bookmarkStart w:id="3" w:name="_Toc237367664"/>
      <w:r>
        <w:rPr>
          <w:sz w:val="30"/>
        </w:rPr>
        <w:t>Task 1: Social Epidemiological Analysis</w:t>
      </w:r>
      <w:bookmarkEnd w:id="2"/>
      <w:bookmarkEnd w:id="3"/>
    </w:p>
    <w:p w14:paraId="53D4C478" w14:textId="77777777" w:rsidR="00892B42" w:rsidRPr="004967D0" w:rsidRDefault="00892B42" w:rsidP="00892B42">
      <w:pPr>
        <w:pStyle w:val="Heading2"/>
        <w:spacing w:before="240" w:after="140" w:line="480" w:lineRule="auto"/>
      </w:pPr>
      <w:bookmarkStart w:id="4" w:name="_Toc237363884"/>
      <w:bookmarkStart w:id="5" w:name="_Toc237367665"/>
      <w:r>
        <w:t>Age and Health Inequalities: The Experience of Older People in the United Kingdom</w:t>
      </w:r>
      <w:bookmarkEnd w:id="4"/>
      <w:bookmarkEnd w:id="5"/>
    </w:p>
    <w:p w14:paraId="248222FC" w14:textId="77777777" w:rsidR="00892B42" w:rsidRPr="004967D0" w:rsidRDefault="00892B42" w:rsidP="00892B42">
      <w:pPr>
        <w:pStyle w:val="Heading3"/>
        <w:spacing w:before="200" w:after="120" w:line="480" w:lineRule="auto"/>
      </w:pPr>
      <w:bookmarkStart w:id="6" w:name="_Toc237363885"/>
      <w:bookmarkStart w:id="7" w:name="_Toc237367666"/>
      <w:r>
        <w:t>Introduction</w:t>
      </w:r>
      <w:bookmarkEnd w:id="6"/>
      <w:bookmarkEnd w:id="7"/>
    </w:p>
    <w:p w14:paraId="2F84ECE6" w14:textId="77777777" w:rsidR="00892B42" w:rsidRPr="004967D0" w:rsidRDefault="00892B42" w:rsidP="00892B42">
      <w:pPr>
        <w:spacing w:after="160" w:line="480" w:lineRule="auto"/>
        <w:jc w:val="both"/>
      </w:pPr>
      <w:r>
        <w:t>In social epidemiology, older people are conventionally defined as those aged 65 and over (Office for National Statistics, 2023), a group projected to grow from 13.2 million in 2023 to 17.4 million by 2043 (Centre for Social Justice, 2023). The World Health Organization (2024) defines health inequities as gaps in health outcomes and in access to services between groups that are preventable and stem from unfairness rather than chance. Older people are disproportionately exposed through physiological decline, multimorbidity, reduced retirement income, contracting social networks and ageism within increasingly digital services (Centre for Ageing Better, 2025). Marmot et al. (2020) show that disadvantage accumulates across the life course, so ageing amplifies inequalities established decades earlier.</w:t>
      </w:r>
    </w:p>
    <w:p w14:paraId="1980F4BF" w14:textId="77777777" w:rsidR="00892B42" w:rsidRPr="004967D0" w:rsidRDefault="00892B42" w:rsidP="00892B42">
      <w:pPr>
        <w:pStyle w:val="Heading2"/>
        <w:spacing w:before="240" w:after="140" w:line="480" w:lineRule="auto"/>
      </w:pPr>
      <w:bookmarkStart w:id="8" w:name="_Toc237363886"/>
      <w:bookmarkStart w:id="9" w:name="_Toc237367667"/>
      <w:r>
        <w:t>Contextual Background and Underlying Factors</w:t>
      </w:r>
      <w:bookmarkEnd w:id="8"/>
      <w:bookmarkEnd w:id="9"/>
    </w:p>
    <w:p w14:paraId="0339F7EA" w14:textId="77777777" w:rsidR="00892B42" w:rsidRPr="004967D0" w:rsidRDefault="00892B42" w:rsidP="00892B42">
      <w:pPr>
        <w:pStyle w:val="Heading3"/>
        <w:spacing w:before="200" w:after="120" w:line="480" w:lineRule="auto"/>
      </w:pPr>
      <w:bookmarkStart w:id="10" w:name="_Toc237363887"/>
      <w:bookmarkStart w:id="11" w:name="_Toc237367668"/>
      <w:r>
        <w:t>1. Higher Rates of Mental Illness</w:t>
      </w:r>
      <w:bookmarkEnd w:id="10"/>
      <w:bookmarkEnd w:id="11"/>
    </w:p>
    <w:p w14:paraId="61E88C25" w14:textId="77777777" w:rsidR="00892B42" w:rsidRPr="004967D0" w:rsidRDefault="00892B42" w:rsidP="00892B42">
      <w:pPr>
        <w:spacing w:after="160" w:line="480" w:lineRule="auto"/>
        <w:jc w:val="both"/>
      </w:pPr>
      <w:r>
        <w:t xml:space="preserve">Age UK (2022) reports that roughly one in two people aged 55 and above will experience some form of common mental health condition during their lifetime, a pattern it terms a hidden </w:t>
      </w:r>
      <w:r>
        <w:lastRenderedPageBreak/>
        <w:t>crisis, and that referrals of over-65s to NHS talking therapies fell faster than for any other age group during the pandemic (Age UK, 2023). Bereavement, chronic pain, sensory loss and isolation generate risk, while ageism that normalises low mood drives under-diagnosis. Solutions include routine depression case-finding at NHS Health Checks, age-equity standards for NHS Talking Therapies under the Advancing Mental Health Equalities Strategy (NHS England, 2020), and expanded social prescribing linking older patients to community assets (Age UK, 2023).</w:t>
      </w:r>
    </w:p>
    <w:p w14:paraId="315553DE" w14:textId="77777777" w:rsidR="00892B42" w:rsidRPr="004967D0" w:rsidRDefault="00892B42" w:rsidP="00892B42">
      <w:pPr>
        <w:pStyle w:val="Heading3"/>
        <w:spacing w:before="200" w:after="120" w:line="480" w:lineRule="auto"/>
      </w:pPr>
      <w:bookmarkStart w:id="12" w:name="_Toc237363888"/>
      <w:bookmarkStart w:id="13" w:name="_Toc237367669"/>
      <w:r>
        <w:t>2. Low Rates of Access to Healthcare</w:t>
      </w:r>
      <w:bookmarkEnd w:id="12"/>
      <w:bookmarkEnd w:id="13"/>
    </w:p>
    <w:p w14:paraId="317F2FC2" w14:textId="77777777" w:rsidR="00892B42" w:rsidRPr="004967D0" w:rsidRDefault="00892B42" w:rsidP="00892B42">
      <w:pPr>
        <w:spacing w:after="160" w:line="480" w:lineRule="auto"/>
        <w:jc w:val="both"/>
      </w:pPr>
      <w:r>
        <w:t>In August 2022, by August 2022, England's social care assessment backlog had reached nearly 246,000 adults, set against a workforce shortfall of around 152,000 unfilled posts on any given day (Nuffield Trust, 2022; Age UK, 2024a). Those with greater means increasingly turn to private care to sidestep NHS waiting lists, whereas many over-65s remain excluded by services that assume internet access (Age UK, 2025b; Centre for Ageing Better, 2025). Addressing this requires both expanding and retaining the workforce, as set out in the NHS Long Term Workforce Plan (NHS England, 2023), and guaranteeing a non-digital route into every care pathway (Centre for Ageing Better, 2025).</w:t>
      </w:r>
    </w:p>
    <w:p w14:paraId="77580395" w14:textId="77777777" w:rsidR="00892B42" w:rsidRPr="004967D0" w:rsidRDefault="00892B42" w:rsidP="00892B42">
      <w:pPr>
        <w:pStyle w:val="Heading3"/>
        <w:spacing w:before="200" w:after="120" w:line="480" w:lineRule="auto"/>
      </w:pPr>
      <w:bookmarkStart w:id="14" w:name="_Toc237363889"/>
      <w:bookmarkStart w:id="15" w:name="_Toc237367670"/>
      <w:r>
        <w:t>3. Increased Mortality and Reduced Life Expectancy</w:t>
      </w:r>
      <w:bookmarkEnd w:id="14"/>
      <w:bookmarkEnd w:id="15"/>
    </w:p>
    <w:p w14:paraId="068E70BB" w14:textId="77777777" w:rsidR="00892B42" w:rsidRPr="004967D0" w:rsidRDefault="00892B42" w:rsidP="00892B42">
      <w:pPr>
        <w:spacing w:after="160" w:line="480" w:lineRule="auto"/>
        <w:jc w:val="both"/>
      </w:pPr>
      <w:r>
        <w:t>Men in England's most deprived areas can expect 73.5 years of life against 83.2 in the least deprived, with healthy life expectancy roughly 19 years shorter (Health Foundation, 2025); age-standardised mortality is consistently higher among the most deprived and long-term unemployed, particularly for respiratory disease and lung cancer (Office for National Statistics, 2023). These gaps are caused by cumulative life-course exposure to occupational hazards, smoking, cold housing, later presentation and lower screening uptake (Marmot et al., 2020; House of Commons Library, 2025). Solutions include proportionate universalism in prevention funding, targeted cardiovascular and smoking-cessation programmes in deprived deciles, and an enforced health-inequalities duty on integrated care boards (King's Fund, 2024).</w:t>
      </w:r>
    </w:p>
    <w:p w14:paraId="21876451" w14:textId="77777777" w:rsidR="00892B42" w:rsidRPr="004967D0" w:rsidRDefault="00892B42" w:rsidP="00892B42">
      <w:pPr>
        <w:pStyle w:val="Heading3"/>
        <w:spacing w:before="200" w:after="120" w:line="480" w:lineRule="auto"/>
      </w:pPr>
      <w:bookmarkStart w:id="16" w:name="_Toc237363890"/>
      <w:bookmarkStart w:id="17" w:name="_Toc237367671"/>
      <w:r>
        <w:lastRenderedPageBreak/>
        <w:t>4. Social Isolation and Loneliness</w:t>
      </w:r>
      <w:bookmarkEnd w:id="16"/>
      <w:bookmarkEnd w:id="17"/>
    </w:p>
    <w:p w14:paraId="62203B9C" w14:textId="77777777" w:rsidR="00892B42" w:rsidRPr="004967D0" w:rsidRDefault="00892B42" w:rsidP="00892B42">
      <w:pPr>
        <w:spacing w:after="160" w:line="480" w:lineRule="auto"/>
        <w:jc w:val="both"/>
      </w:pPr>
      <w:r>
        <w:t>Some 5.8 million people aged 65 and over are sometimes lonely and over one million always or often so (Centre for Social Justice, 2023; Age UK, 2024b), carrying all-cause mortality risk comparable to smoking. Bereavement, reduced mobility, loss of workplace contact and poor rural transport are the principal causes. National programmes, including A Connected Society and the Campaign to End Loneliness, have proved inconsistent and tend to reach better-resourced older people (UK Government, 2018; Centre for Social Justice, 2023); targeted befriending, community transport and locally commissioned digital inclusion are more equitable solutions (Age UK, 2024b).</w:t>
      </w:r>
    </w:p>
    <w:p w14:paraId="099BB4C1" w14:textId="77777777" w:rsidR="00892B42" w:rsidRPr="004967D0" w:rsidRDefault="00892B42" w:rsidP="00892B42">
      <w:pPr>
        <w:pStyle w:val="Heading3"/>
        <w:spacing w:before="200" w:after="120" w:line="480" w:lineRule="auto"/>
      </w:pPr>
      <w:bookmarkStart w:id="18" w:name="_Toc237363891"/>
      <w:bookmarkStart w:id="19" w:name="_Toc237367672"/>
      <w:r>
        <w:t>5. Poverty</w:t>
      </w:r>
      <w:bookmarkEnd w:id="18"/>
      <w:bookmarkEnd w:id="19"/>
    </w:p>
    <w:p w14:paraId="357204DD" w14:textId="77777777" w:rsidR="00892B42" w:rsidRPr="004967D0" w:rsidRDefault="00892B42" w:rsidP="00892B42">
      <w:pPr>
        <w:spacing w:line="480" w:lineRule="auto"/>
        <w:jc w:val="both"/>
      </w:pPr>
      <w:r>
        <w:t>It is estimated that about one-third of pensioners, which amounts to approximately 4.1 million people, report feeling worse off financially than the year before, as their incomes fail to keep pace with inflation (Age UK, 2025a). This financial insecurity limits pensioners' ability to cover essentials — food, fuel, housing and healthcare-related costs. Households in fuel poverty face a particular bind here, since The Conversation (2025) found a fifth of them fall outside means-tested benefit eligibility altogether. This points to a deeper problem with how welfare support for older people is structured and accessed.</w:t>
      </w:r>
    </w:p>
    <w:p w14:paraId="72316753" w14:textId="77777777" w:rsidR="00892B42" w:rsidRPr="004967D0" w:rsidRDefault="00892B42" w:rsidP="00892B42">
      <w:pPr>
        <w:spacing w:line="480" w:lineRule="auto"/>
        <w:jc w:val="both"/>
      </w:pPr>
      <w:r>
        <w:t>There are several factors leading to inequality in terms of welfare provision among older people. These are: low Pension Credit take-up rates; the decreasing value of the state pension; as well as cliff-edge eligibility thresholds. These factors can be the reason why certain individuals are vulnerable financially, despite having support needs. Consequently, the process of accessing welfare assistance should be improved by policy changes as well as the development of locally-based solutions. One of the suggestions is data-matching between HMRC and DWP to find those who might receive benefits. Moreover, tapered eligibility threshold would help to mitigate the negative effects of benefit withdrawal. Lastly, the provision of benefits-maximising advice should be locally commissioned for older people (Age UK, 2025a).</w:t>
      </w:r>
    </w:p>
    <w:p w14:paraId="6C55E192" w14:textId="77777777" w:rsidR="00892B42" w:rsidRPr="004967D0" w:rsidRDefault="00892B42" w:rsidP="00892B42">
      <w:pPr>
        <w:pStyle w:val="Heading3"/>
        <w:spacing w:before="200" w:after="120" w:line="480" w:lineRule="auto"/>
      </w:pPr>
      <w:bookmarkStart w:id="20" w:name="_Toc237363892"/>
      <w:bookmarkStart w:id="21" w:name="_Toc237367673"/>
      <w:r>
        <w:lastRenderedPageBreak/>
        <w:t>6. Housing and Fuel Poverty</w:t>
      </w:r>
      <w:bookmarkEnd w:id="20"/>
      <w:bookmarkEnd w:id="21"/>
    </w:p>
    <w:p w14:paraId="35BB9926" w14:textId="77777777" w:rsidR="00892B42" w:rsidRPr="004967D0" w:rsidRDefault="00892B42" w:rsidP="00892B42">
      <w:pPr>
        <w:spacing w:after="160" w:line="480" w:lineRule="auto"/>
        <w:jc w:val="both"/>
      </w:pPr>
      <w:r>
        <w:t>Approximately 1.9 million older UK households, around 16 per cent, experienced fuel poverty in 2024 (Age UK, 2024a). Over 2,500 excess winter deaths in 2024–25 were attributed to cold, damp homes, volatile energy prices and withdrawal of Winter Fuel Payments (End Fuel Poverty Coalition, 2025). Ageing stock, poor insulation and fixed incomes make retrofit unaffordable. Solutions include expanding the Warm Home Discount, deprivation-targeted retrofit schemes and routine primary-care referral to home improvement agencies (Department for Energy Security and Net Zero, 2025).</w:t>
      </w:r>
    </w:p>
    <w:p w14:paraId="78EF0B10" w14:textId="77777777" w:rsidR="00892B42" w:rsidRPr="004967D0" w:rsidRDefault="00892B42" w:rsidP="00892B42">
      <w:pPr>
        <w:pStyle w:val="Heading2"/>
        <w:spacing w:before="240" w:after="140" w:line="480" w:lineRule="auto"/>
      </w:pPr>
      <w:bookmarkStart w:id="22" w:name="_Toc237363893"/>
      <w:bookmarkStart w:id="23" w:name="_Toc237367674"/>
      <w:r>
        <w:t>National Response to Reduce Health Inequalities</w:t>
      </w:r>
      <w:bookmarkEnd w:id="22"/>
      <w:bookmarkEnd w:id="23"/>
    </w:p>
    <w:p w14:paraId="058850DD" w14:textId="77777777" w:rsidR="00892B42" w:rsidRPr="004967D0" w:rsidRDefault="00892B42" w:rsidP="00892B42">
      <w:pPr>
        <w:spacing w:after="160" w:line="480" w:lineRule="auto"/>
        <w:jc w:val="both"/>
      </w:pPr>
      <w:r>
        <w:t>Two national responses illustrate progress and limitation. Two national policies pledge to widen physical health monitoring for people with severe mental illness and to build up urgent care delivered within communities, though interim targets under both have repeatedly slipped (NHS England, 2020; King's Fund, 2024). On the welfare side, the Winter Fuel Payment, Pension Credit and Warm Home Discount give pensioners meaningful protection, yet the 2024 tightening of Winter Fuel Payment eligibility triggered widespread pushback and was partly reversed the following year (Age UK, 2024a).</w:t>
      </w:r>
    </w:p>
    <w:p w14:paraId="5992DF10" w14:textId="77777777" w:rsidR="00892B42" w:rsidRPr="004967D0" w:rsidRDefault="00892B42" w:rsidP="00892B42">
      <w:pPr>
        <w:pStyle w:val="Heading2"/>
        <w:spacing w:before="240" w:after="140" w:line="480" w:lineRule="auto"/>
      </w:pPr>
      <w:bookmarkStart w:id="24" w:name="_Toc237363894"/>
      <w:bookmarkStart w:id="25" w:name="_Toc237367675"/>
      <w:r>
        <w:t>Organisations that Support Older People</w:t>
      </w:r>
      <w:bookmarkEnd w:id="24"/>
      <w:bookmarkEnd w:id="25"/>
    </w:p>
    <w:p w14:paraId="72844C2A" w14:textId="77777777" w:rsidR="00892B42" w:rsidRPr="004967D0" w:rsidRDefault="00892B42" w:rsidP="00892B42">
      <w:pPr>
        <w:spacing w:after="160" w:line="480" w:lineRule="auto"/>
        <w:jc w:val="both"/>
      </w:pPr>
      <w:r>
        <w:t xml:space="preserve">Age UK stands as the UK's foremost charity dedicated to older people's health and wellbeing. Alongside frontline services, it generates evidence, most notably the annual </w:t>
      </w:r>
      <w:r>
        <w:rPr>
          <w:i/>
          <w:iCs/>
        </w:rPr>
        <w:t>State of Health and Care of Older People</w:t>
      </w:r>
      <w:r>
        <w:t xml:space="preserve"> report, cited by policymakers to document structural inequality (Age UK, 2023; 2024a), and campaigns on fuel poverty, social care funding and pensioner incomes. Locally it delivers advice lines, befriending and day-centre services that reduce isolation and increase benefit take-up, pursuing its goal that everyone should enjoy later life.</w:t>
      </w:r>
    </w:p>
    <w:p w14:paraId="586AE1EA" w14:textId="77777777" w:rsidR="00892B42" w:rsidRPr="004967D0" w:rsidRDefault="00892B42" w:rsidP="00892B42">
      <w:pPr>
        <w:pStyle w:val="Heading2"/>
        <w:spacing w:before="240" w:after="140" w:line="480" w:lineRule="auto"/>
      </w:pPr>
      <w:bookmarkStart w:id="26" w:name="_Toc237363895"/>
      <w:bookmarkStart w:id="27" w:name="_Toc237367676"/>
      <w:r>
        <w:t>Conclusion</w:t>
      </w:r>
      <w:bookmarkEnd w:id="26"/>
      <w:bookmarkEnd w:id="27"/>
    </w:p>
    <w:p w14:paraId="1769B530" w14:textId="77777777" w:rsidR="00892B42" w:rsidRPr="004967D0" w:rsidRDefault="00892B42" w:rsidP="00892B42">
      <w:pPr>
        <w:spacing w:after="160" w:line="480" w:lineRule="auto"/>
        <w:jc w:val="both"/>
      </w:pPr>
      <w:r>
        <w:lastRenderedPageBreak/>
        <w:t>Older people in the UK face compounding inequalities in mental health, healthcare access, mortality, loneliness, poverty and housing. Policy instruments exist, but inconsistent implementation and contested eligibility limit their reach. Sustained investment in health, social care and welfare, supported by organisations such as Age UK, is required to close the gap.</w:t>
      </w:r>
    </w:p>
    <w:p w14:paraId="4D58AA7C" w14:textId="77777777" w:rsidR="00892B42" w:rsidRPr="004967D0" w:rsidRDefault="00892B42" w:rsidP="00892B42">
      <w:pPr>
        <w:pStyle w:val="Heading1"/>
        <w:spacing w:before="280" w:after="180"/>
      </w:pPr>
      <w:bookmarkStart w:id="28" w:name="_Toc237363896"/>
      <w:bookmarkStart w:id="29" w:name="_Toc237367677"/>
      <w:r>
        <w:rPr>
          <w:sz w:val="30"/>
        </w:rPr>
        <w:t>Task 2: Epidemiological Analysis – Type 2 Diabetes Mellitus in the London Borough of Newham</w:t>
      </w:r>
      <w:bookmarkEnd w:id="28"/>
      <w:bookmarkEnd w:id="29"/>
    </w:p>
    <w:p w14:paraId="5D912BCA" w14:textId="77777777" w:rsidR="00892B42" w:rsidRPr="004967D0" w:rsidRDefault="00892B42" w:rsidP="00892B42">
      <w:pPr>
        <w:pStyle w:val="Heading2"/>
        <w:spacing w:before="240" w:after="140" w:line="480" w:lineRule="auto"/>
      </w:pPr>
      <w:bookmarkStart w:id="30" w:name="_Toc237363897"/>
      <w:bookmarkStart w:id="31" w:name="_Toc237367678"/>
      <w:r>
        <w:t>Introduction</w:t>
      </w:r>
      <w:bookmarkEnd w:id="30"/>
      <w:bookmarkEnd w:id="31"/>
    </w:p>
    <w:p w14:paraId="2549CEEF" w14:textId="77777777" w:rsidR="00892B42" w:rsidRPr="004967D0" w:rsidRDefault="00892B42" w:rsidP="00892B42">
      <w:pPr>
        <w:spacing w:line="480" w:lineRule="auto"/>
        <w:jc w:val="both"/>
      </w:pPr>
      <w:r>
        <w:t>The type 2 diabetes mellitus is a long-term condition resulting from insulin resistance and deficiency of insulin that causes persistent hyperglycaemia (Chan et al., 2025). Poorly managed disease leads to retinopathy, nephropathy, neuropathy, cardiovascular diseases, and even amputation of the limbs. The social and cultural impacts include unemployment, stigma on food consumption and obesity, as well as family expenses related to drugs and consultations. In this chapter, T2DM is examined among people in Newham, which is an inner-east London borough that faces problems associated with deprivation, diversity and youthfulness of the population (London Borough of Newham, 2025).</w:t>
      </w:r>
    </w:p>
    <w:p w14:paraId="1B94658B" w14:textId="77777777" w:rsidR="00892B42" w:rsidRPr="004967D0" w:rsidRDefault="00892B42" w:rsidP="00892B42">
      <w:pPr>
        <w:pStyle w:val="Heading2"/>
        <w:spacing w:before="240" w:after="140" w:line="480" w:lineRule="auto"/>
      </w:pPr>
      <w:bookmarkStart w:id="32" w:name="_Toc237363898"/>
      <w:bookmarkStart w:id="33" w:name="_Toc237367679"/>
      <w:r>
        <w:t>Incidence and Prevalence</w:t>
      </w:r>
      <w:bookmarkEnd w:id="32"/>
      <w:bookmarkEnd w:id="33"/>
    </w:p>
    <w:p w14:paraId="27083A3F" w14:textId="77777777" w:rsidR="00892B42" w:rsidRPr="004967D0" w:rsidRDefault="00892B42" w:rsidP="00892B42">
      <w:pPr>
        <w:spacing w:line="480" w:lineRule="auto"/>
        <w:jc w:val="both"/>
      </w:pPr>
      <w:r>
        <w:t>Internationally, IDF (2025) figures put global diabetes cases at 589 million among 20–79-year-olds in 2024 — roughly one in nine adults in that age bracket. Projections put this at 853 million by 2050, with around 3.4 million deaths attributed to the condition annually. Together these figures point to a disease burden that continues to escalate globally, one that demands stronger prevention, earlier detection and better long-term management. The UK mirrors this trajectory: crude diabetes prevalence climbed from 2.95 per cent in 2004 to 5.41 per cent in 2021 (Zghebi et al., 2024). This trend clearly shows that diabetes becomes more relevant as a health disparity issue among populations that suffer economically.</w:t>
      </w:r>
    </w:p>
    <w:p w14:paraId="01AF57EF" w14:textId="77777777" w:rsidR="00892B42" w:rsidRPr="004967D0" w:rsidRDefault="00892B42" w:rsidP="00892B42">
      <w:pPr>
        <w:spacing w:line="480" w:lineRule="auto"/>
        <w:jc w:val="both"/>
      </w:pPr>
      <w:r>
        <w:lastRenderedPageBreak/>
        <w:t>Specifically, there is a lot of concern regarding the state of affairs in the London Borough of Newham where roughly one out of every fourteen people, which makes about 28,000 residents, suffer from the disease (Newham Voices, 2024). This increased number is due to specific demographic and social characteristics of the population that include a large proportion of South Asian people. South Asians suffer from T2DM to a significantly higher extent compared to White British and may develop the disease at lower body mass indices (Diabetes UK, 2025). Thus, standard methods for detecting diabetes that use general population risks may not work with this community of people.</w:t>
      </w:r>
    </w:p>
    <w:p w14:paraId="3ECD2585" w14:textId="77777777" w:rsidR="00892B42" w:rsidRPr="004967D0" w:rsidRDefault="00892B42" w:rsidP="00892B42">
      <w:pPr>
        <w:pStyle w:val="Heading2"/>
        <w:spacing w:before="240" w:after="140" w:line="480" w:lineRule="auto"/>
      </w:pPr>
      <w:bookmarkStart w:id="34" w:name="_Toc237363899"/>
      <w:bookmarkStart w:id="35" w:name="_Toc237367680"/>
      <w:r>
        <w:t>Determinants and Risk Factors</w:t>
      </w:r>
      <w:bookmarkEnd w:id="34"/>
      <w:bookmarkEnd w:id="35"/>
    </w:p>
    <w:p w14:paraId="5F2533E9" w14:textId="43E63D10" w:rsidR="00892B42" w:rsidRDefault="00892B42" w:rsidP="00892B42">
      <w:pPr>
        <w:spacing w:line="480" w:lineRule="auto"/>
        <w:jc w:val="both"/>
      </w:pPr>
      <w:r>
        <w:t>Modifiable determinants consist of central (visceral) obesity, lack of physical activity, energy-dense diet, and deprivation, while non-modifiable determinants consist of advancing age, family history, and ethnicity (NICE, 2017). All these determinants coexist in Newham. South Asians and Black Africans and Caribbean populations are metabolically prone to developing such conditions at an earlier stage than the general population, and in Newham, some of the highest rates of childhood obesity and child poverty in England exist, which creates risk even during early stages of life (Balasanthiran et al., 2012). The joint strategic needs assessment also supports the fact that the prevalence of long-term conditions rises sharply in more deprived neighbourhoods, with diabetes weighing heaviest on the Asian population locally, and to a lesser extent the Black population (London Borough of Newham, 2025).</w:t>
      </w:r>
    </w:p>
    <w:p w14:paraId="72C17144" w14:textId="7C2D32E7" w:rsidR="00FA7380" w:rsidRDefault="00FA7380" w:rsidP="00FA7380">
      <w:pPr>
        <w:pStyle w:val="Heading2"/>
      </w:pPr>
      <w:r>
        <w:t>Prevention, Protection and Promotion</w:t>
      </w:r>
    </w:p>
    <w:p w14:paraId="3331B388" w14:textId="42D466E7" w:rsidR="00FA7380" w:rsidRPr="004967D0" w:rsidRDefault="00FA7380" w:rsidP="00892B42">
      <w:pPr>
        <w:spacing w:line="480" w:lineRule="auto"/>
        <w:jc w:val="both"/>
      </w:pPr>
      <w:r>
        <w:t xml:space="preserve">Prevention, protection, and promotion offer a holistic strategy to tackle T2DM inequality in Newham, mapping respectively onto primary, secondary and tertiary prevention. Prevention is centered on early identification and management of modifiable risk factors such as obesity, physical inactivity, and energy-dense diets, delivered through weight management referral, the Newham Diabetes Support Club and the NHS Diabetes Prevention Programme for adults with non-diabetic hyperglycaemia, while taking into account the effect of factors like age, ethnicity, and deprivation (NICE, 2017; Whelan et al., 2022). Yet, prevention centred on </w:t>
      </w:r>
      <w:r>
        <w:lastRenderedPageBreak/>
        <w:t>changing people’s lifestyles alone may not bring many benefits in cases where social circumstances continue to affect people's health behaviours. Protection will include prompt diagnosis and complications’ screening, such as HbA1c-based diagnostic thresholds, retinal screening, and foot testing, which would help to prevent complications from happening. Still, inequality in accessing these services may weaken the effects of the actions described. Promotion includes nutrition and physical activity programs based on the culture of the communities targeted, including South Asians and African Caribbeans, as illustrated by community projects in Newham, alongside Newham's early shift from hospital-only clinics to integrated primary and community care and structured patient education, later adopted nationally (Newham Voices, 2024).</w:t>
      </w:r>
    </w:p>
    <w:p w14:paraId="31456543" w14:textId="77777777" w:rsidR="00892B42" w:rsidRPr="004967D0" w:rsidRDefault="00892B42" w:rsidP="00892B42">
      <w:pPr>
        <w:pStyle w:val="Heading2"/>
        <w:spacing w:before="240" w:after="140" w:line="480" w:lineRule="auto"/>
      </w:pPr>
      <w:bookmarkStart w:id="36" w:name="_Toc237363900"/>
      <w:bookmarkStart w:id="37" w:name="_Toc237367681"/>
      <w:r>
        <w:t>Health Needs Assessment and At-Risk Identification</w:t>
      </w:r>
      <w:bookmarkEnd w:id="36"/>
      <w:bookmarkEnd w:id="37"/>
    </w:p>
    <w:p w14:paraId="4E4A793B" w14:textId="77777777" w:rsidR="00892B42" w:rsidRPr="004967D0" w:rsidRDefault="00892B42" w:rsidP="00892B42">
      <w:pPr>
        <w:spacing w:after="160" w:line="480" w:lineRule="auto"/>
        <w:jc w:val="both"/>
      </w:pPr>
      <w:r>
        <w:t>Health needs assessment combines epidemiological, comparative and corporate approaches. Cross-sectional QDScore risk stratification of primary care records across Newham, Tower Hamlets and City and Hackney identified an East London 'diabetes belt' concentrated in deprived, ethnically diverse practices, with high-risk prevalence ranging from 4.1 to 16.7 per cent between practices — intra-borough variation invisible in aggregate data. A decade-long East London cohort of paediatric and young-adult T2DM found accelerated progression, obesity at diagnosis and comorbidity including learning disability, indicating an emerging high-risk cohort (Abdelhameed et al., 2024). Combined with JSNA demographic data, these sources enable commissioners to target screening and prevention geographically and demographically.</w:t>
      </w:r>
    </w:p>
    <w:p w14:paraId="1A19A7A0" w14:textId="77777777" w:rsidR="00892B42" w:rsidRPr="004967D0" w:rsidRDefault="00892B42" w:rsidP="00892B42">
      <w:pPr>
        <w:pStyle w:val="Heading2"/>
        <w:spacing w:before="240" w:after="140" w:line="480" w:lineRule="auto"/>
      </w:pPr>
      <w:bookmarkStart w:id="38" w:name="_Toc237363901"/>
      <w:bookmarkStart w:id="39" w:name="_Toc237367682"/>
      <w:r>
        <w:t>Surveillance and Monitoring Systems</w:t>
      </w:r>
      <w:bookmarkEnd w:id="38"/>
      <w:bookmarkEnd w:id="39"/>
    </w:p>
    <w:p w14:paraId="65405AC6" w14:textId="77777777" w:rsidR="00892B42" w:rsidRPr="004967D0" w:rsidRDefault="00892B42" w:rsidP="00892B42">
      <w:pPr>
        <w:spacing w:after="160" w:line="480" w:lineRule="auto"/>
        <w:jc w:val="both"/>
      </w:pPr>
      <w:r>
        <w:t xml:space="preserve">Several complementary systems operate. Routine surveillance comes from primary care disease registers maintained under the Quality and Outcomes Framework, which record diagnoses continuously. The National Diabetes Audit aggregates practice-level data nationally, allowing Newham to be benchmarked against comparator boroughs (Kishore, </w:t>
      </w:r>
      <w:r>
        <w:lastRenderedPageBreak/>
        <w:t>2023). The Office for Health Improvement and Disparities' Fingertips profiles supply ward-level indicators (Office for Health Improvement and Disparities, 2025), while the NHS Health Check programme provides periodic opportunistic screening of adults aged 40–74. Hospital Episode Statistics act as an outcome-based sentinel system tracking complications and admissions. Together these constitute routine, sentinel and periodic surveillance with differing timeliness, coverage and sensitivity.</w:t>
      </w:r>
    </w:p>
    <w:p w14:paraId="343A5CA4" w14:textId="77777777" w:rsidR="00892B42" w:rsidRPr="004967D0" w:rsidRDefault="00892B42" w:rsidP="00892B42">
      <w:pPr>
        <w:pStyle w:val="Heading2"/>
        <w:spacing w:before="240" w:after="140" w:line="480" w:lineRule="auto"/>
      </w:pPr>
      <w:bookmarkStart w:id="40" w:name="_Toc237363903"/>
      <w:bookmarkStart w:id="41" w:name="_Toc237367684"/>
      <w:r>
        <w:t>Public Health Impact</w:t>
      </w:r>
      <w:bookmarkEnd w:id="40"/>
      <w:bookmarkEnd w:id="41"/>
    </w:p>
    <w:p w14:paraId="3E00BFF1" w14:textId="77777777" w:rsidR="00892B42" w:rsidRPr="004967D0" w:rsidRDefault="00892B42" w:rsidP="00892B42">
      <w:pPr>
        <w:spacing w:after="160" w:line="480" w:lineRule="auto"/>
        <w:jc w:val="both"/>
      </w:pPr>
      <w:r>
        <w:t>Short-term impacts include acute hyperglycaemic episodes and reduced quality of life; medium-term impacts comprise microvascular complications following poor glycaemic control; long-term impacts include cardiovascular disease, end-stage renal failure and amputation. Costs are substantial, with worldwide spending on diabetes care passing the US$1 trillion mark in 2024, compounded by lost economic participation and unpaid caregiving that falls hardest on deprived households already least able to bear it (International Diabetes Federation, 2025). Newham's unusually early age of onset means affected residents carry several extra decades of complication risk — this is best understood as a demographic and epidemiological shift, not simply a rise in prevalence (Abdelhameed et al., 2024).</w:t>
      </w:r>
    </w:p>
    <w:p w14:paraId="3DD05B84" w14:textId="77777777" w:rsidR="00892B42" w:rsidRPr="004967D0" w:rsidRDefault="00892B42" w:rsidP="00892B42">
      <w:pPr>
        <w:pStyle w:val="Heading1"/>
      </w:pPr>
      <w:bookmarkStart w:id="42" w:name="_Toc237363904"/>
      <w:bookmarkStart w:id="43" w:name="_Toc237367685"/>
      <w:r>
        <w:t>Intervention Design and Evaluation</w:t>
      </w:r>
      <w:bookmarkEnd w:id="42"/>
      <w:bookmarkEnd w:id="43"/>
    </w:p>
    <w:p w14:paraId="7D539E0F" w14:textId="77777777" w:rsidR="00892B42" w:rsidRPr="004967D0" w:rsidRDefault="00892B42" w:rsidP="00892B42">
      <w:pPr>
        <w:spacing w:after="160" w:line="480" w:lineRule="auto"/>
        <w:jc w:val="both"/>
      </w:pPr>
      <w:r>
        <w:t>A borough-level intervention is proposed with four components: systematic risk stratification of primary care registers using a QDScore-type tool to identify the highest-risk practices within the diabetes belt, proactive referral from those practices into the NHS Diabetes Prevention Programme (NHS-DPP), with culturally adapted content co-designed with South Asian and Black African and Caribbean residents and delivered in community languages; expansion of NHS Health Checks in the most deprived wards to improve case-finding; and a young-onset pathway linking paediatric obesity services to adult diabetes care for the cohort identified by Abdelhameed et al. (2024).</w:t>
      </w:r>
    </w:p>
    <w:p w14:paraId="0BE38DC1" w14:textId="77777777" w:rsidR="00892B42" w:rsidRPr="004967D0" w:rsidRDefault="00892B42" w:rsidP="00892B42">
      <w:pPr>
        <w:spacing w:after="160" w:line="480" w:lineRule="auto"/>
        <w:jc w:val="both"/>
      </w:pPr>
      <w:r>
        <w:lastRenderedPageBreak/>
        <w:t>The underlying logic model assumes that improved identification raises referral, that culturally congruent delivery improves retention, and that sustained weight loss reduces progression to diabetes. Evidence supports scalability: NHS-DPP generated 892,754 referrals and 373,898 attenders by March 2022, with remote delivery matching face-to-face weight reduction (Ravindrarajah et al., 2023). However, DIPLOMA identified marked attrition between referral and attendance and inconsistent implementation fidelity (Bower et al., 2023).</w:t>
      </w:r>
    </w:p>
    <w:p w14:paraId="33C1D299" w14:textId="77777777" w:rsidR="00892B42" w:rsidRPr="004967D0" w:rsidRDefault="00892B42" w:rsidP="00892B42">
      <w:pPr>
        <w:spacing w:after="160" w:line="480" w:lineRule="auto"/>
        <w:jc w:val="both"/>
      </w:pPr>
      <w:r>
        <w:t>Thus, it is necessary that evaluation be conducted for the entirety of the care process and not just referrals. The process evaluation will focus on uptake, retention, and fidelity. Outcome evaluation will track the levels of HbA1c, weight gain, and progression to diabetes at twelve and twenty-four months after implementation. The impact evaluation will be conducted through a difference-in-differences approach using comparator East London boroughs to establish the attributable effect. Stratification will be used to assess ethnicity, deprivation decile, age, and gender, such that any interventions which improve borough averages but increase inequality within the borough are revealed rather than hidden.</w:t>
      </w:r>
    </w:p>
    <w:p w14:paraId="2DB8F4E0" w14:textId="77777777" w:rsidR="00892B42" w:rsidRPr="004967D0" w:rsidRDefault="00892B42" w:rsidP="00892B42">
      <w:pPr>
        <w:pStyle w:val="Heading1"/>
      </w:pPr>
      <w:bookmarkStart w:id="44" w:name="_Toc237363905"/>
      <w:bookmarkStart w:id="45" w:name="_Toc237367686"/>
      <w:r>
        <w:t>Strengths and Limitations of the Epidemiological Approach</w:t>
      </w:r>
      <w:bookmarkEnd w:id="44"/>
      <w:bookmarkEnd w:id="45"/>
    </w:p>
    <w:p w14:paraId="2B96FF2E" w14:textId="77777777" w:rsidR="00892B42" w:rsidRPr="004967D0" w:rsidRDefault="00892B42" w:rsidP="00892B42">
      <w:pPr>
        <w:pStyle w:val="Heading3"/>
        <w:spacing w:before="200" w:after="120" w:line="480" w:lineRule="auto"/>
      </w:pPr>
      <w:bookmarkStart w:id="46" w:name="_Toc237363906"/>
      <w:bookmarkStart w:id="47" w:name="_Toc237367687"/>
      <w:r>
        <w:t>Strengths</w:t>
      </w:r>
      <w:bookmarkEnd w:id="46"/>
      <w:bookmarkEnd w:id="47"/>
    </w:p>
    <w:p w14:paraId="5AC85E54" w14:textId="77777777" w:rsidR="00892B42" w:rsidRPr="004967D0" w:rsidRDefault="00892B42" w:rsidP="00892B42">
      <w:pPr>
        <w:spacing w:line="480" w:lineRule="auto"/>
        <w:jc w:val="both"/>
      </w:pPr>
      <w:r>
        <w:t>National surveillance encompasses most diagnosed cases and provides a cost-effective way to monitor prevalence. Risk instruments like QDScore provide practice-level intelligence for informed intervention, JSNAs triangulate information from various sources, and national program evaluations like DIPLOMA provide information on the effectiveness (Bower et al., 2023; Whelan et al., 2022).</w:t>
      </w:r>
    </w:p>
    <w:p w14:paraId="53D79574" w14:textId="77777777" w:rsidR="00892B42" w:rsidRPr="004967D0" w:rsidRDefault="00892B42" w:rsidP="00892B42">
      <w:pPr>
        <w:spacing w:line="480" w:lineRule="auto"/>
        <w:jc w:val="both"/>
        <w:rPr>
          <w:b/>
          <w:bCs/>
        </w:rPr>
      </w:pPr>
      <w:r>
        <w:rPr>
          <w:b/>
          <w:bCs/>
        </w:rPr>
        <w:t>Limitations</w:t>
      </w:r>
    </w:p>
    <w:p w14:paraId="108D7449" w14:textId="77777777" w:rsidR="00892B42" w:rsidRPr="004967D0" w:rsidRDefault="00892B42" w:rsidP="00892B42">
      <w:pPr>
        <w:spacing w:line="480" w:lineRule="auto"/>
        <w:jc w:val="both"/>
      </w:pPr>
      <w:r>
        <w:t xml:space="preserve">Routine registers include only diagnosed conditions and rely on accurate coding of clinical records, thus, underestimating true prevalence. QDScore analyses are cross-sectional and cannot make causal associations between deprivation, ethnicity, and diabetes risk. JSNAs update slowly and may be behind recent trends, and results of the national program were </w:t>
      </w:r>
      <w:r>
        <w:lastRenderedPageBreak/>
        <w:t>confounded by the effects of the pandemic (Ravindrarajah et al., 2023). Aggregation to the borough level also poses a risk of ecological fallacy due to variations at the ward level.</w:t>
      </w:r>
    </w:p>
    <w:p w14:paraId="1DB2D2A3" w14:textId="77777777" w:rsidR="00892B42" w:rsidRPr="00892B42" w:rsidRDefault="00892B42" w:rsidP="00892B42">
      <w:pPr>
        <w:pStyle w:val="Heading1"/>
      </w:pPr>
      <w:bookmarkStart w:id="48" w:name="_Toc237363908"/>
      <w:bookmarkStart w:id="49" w:name="_Toc237367688"/>
      <w:r>
        <w:t>Conclusion</w:t>
      </w:r>
      <w:bookmarkEnd w:id="48"/>
      <w:bookmarkEnd w:id="49"/>
    </w:p>
    <w:p w14:paraId="704780F1" w14:textId="77777777" w:rsidR="00892B42" w:rsidRPr="004967D0" w:rsidRDefault="00892B42" w:rsidP="00892B42">
      <w:pPr>
        <w:spacing w:after="160" w:line="480" w:lineRule="auto"/>
        <w:jc w:val="both"/>
      </w:pPr>
      <w:r>
        <w:t>Both analyses show that health is shaped jointly by biology, social circumstance, economic position and environment, not by individual behaviour in isolation. Reducing inequalities among older people and controlling type 2 diabetes in Newham both require upstream action on determinants, robust surveillance, culturally appropriate delivery and equity-stratified evaluation.</w:t>
      </w:r>
    </w:p>
    <w:p w14:paraId="022A9391" w14:textId="77777777" w:rsidR="00892B42" w:rsidRPr="004967D0" w:rsidRDefault="00892B42" w:rsidP="00892B42">
      <w:pPr>
        <w:spacing w:line="480" w:lineRule="auto"/>
      </w:pPr>
      <w:r>
        <w:br w:type="page"/>
      </w:r>
    </w:p>
    <w:p w14:paraId="42CE2596" w14:textId="3F529201" w:rsidR="00892B42" w:rsidRPr="00892B42" w:rsidRDefault="00892B42" w:rsidP="00892B42">
      <w:pPr>
        <w:pStyle w:val="Heading1"/>
      </w:pPr>
      <w:bookmarkStart w:id="50" w:name="_Toc237363909"/>
      <w:bookmarkStart w:id="51" w:name="_Toc237367689"/>
      <w:r>
        <w:lastRenderedPageBreak/>
        <w:t>References</w:t>
      </w:r>
      <w:bookmarkEnd w:id="50"/>
      <w:bookmarkEnd w:id="51"/>
    </w:p>
    <w:p w14:paraId="7984C926" w14:textId="1C8EB41A" w:rsidR="00892B42" w:rsidRPr="004967D0" w:rsidRDefault="00892B42" w:rsidP="00892B42">
      <w:pPr>
        <w:spacing w:line="480" w:lineRule="auto"/>
        <w:jc w:val="both"/>
      </w:pPr>
      <w:r>
        <w:t xml:space="preserve">Abdelhameed, F., Giuffrida, A., Thorp, B., Moorthy, M.K. and Gevers, E.F. (2024) 'Exploring the surge in paediatric type 2 diabetes in an inner-city London centre – a decade-long analysis of incidence, outcomes, and transition', Children, 11(2), p.173. Available at: </w:t>
      </w:r>
      <w:hyperlink r:id="rId7" w:history="1">
        <w:r>
          <w:rPr>
            <w:rStyle w:val="Hyperlink"/>
          </w:rPr>
          <w:t>https://doi.org/10.3390/children11020173</w:t>
        </w:r>
      </w:hyperlink>
      <w:r>
        <w:t xml:space="preserve">  (Accessed: 28 July 2026).</w:t>
      </w:r>
    </w:p>
    <w:p w14:paraId="7625B8F4" w14:textId="2B586BB6" w:rsidR="00892B42" w:rsidRPr="004967D0" w:rsidRDefault="00892B42" w:rsidP="00892B42">
      <w:pPr>
        <w:spacing w:line="480" w:lineRule="auto"/>
        <w:jc w:val="both"/>
      </w:pPr>
      <w:r>
        <w:t xml:space="preserve">Age UK (2022) New research shows a 'hidden' mental health crisis is debilitating older people. London: Age UK. Available at: </w:t>
      </w:r>
      <w:hyperlink r:id="rId8" w:history="1">
        <w:r>
          <w:rPr>
            <w:rStyle w:val="Hyperlink"/>
          </w:rPr>
          <w:t>https://www.ageuk.org.uk/latest-press/articles/2022/new-research-shows-a-hidden-mental-health-crisis-is-debilitating-older-people/</w:t>
        </w:r>
      </w:hyperlink>
      <w:r>
        <w:t xml:space="preserve">  (Accessed: 28 July 2026).</w:t>
      </w:r>
    </w:p>
    <w:p w14:paraId="2035561D" w14:textId="61DDE331" w:rsidR="00892B42" w:rsidRPr="004967D0" w:rsidRDefault="00892B42" w:rsidP="00892B42">
      <w:pPr>
        <w:spacing w:line="480" w:lineRule="auto"/>
        <w:jc w:val="both"/>
      </w:pPr>
      <w:r>
        <w:t xml:space="preserve">Age UK (2023) The State of Health and Care of Older People in England 2023. London: Age UK. Available at: </w:t>
      </w:r>
      <w:hyperlink r:id="rId9" w:history="1">
        <w:r>
          <w:rPr>
            <w:rStyle w:val="Hyperlink"/>
          </w:rPr>
          <w:t>https://www.ageuk.org.uk/siteassets/documents/reports-and-publications/reports-and-briefings/health--wellbeing/age_uk_briefing_state_of_health_and_care_of_older_people_july2023.pdf</w:t>
        </w:r>
      </w:hyperlink>
      <w:r>
        <w:t xml:space="preserve">  (Accessed: 28 July 2026).</w:t>
      </w:r>
    </w:p>
    <w:p w14:paraId="3935588C" w14:textId="39986548" w:rsidR="00892B42" w:rsidRPr="004967D0" w:rsidRDefault="00892B42" w:rsidP="00892B42">
      <w:pPr>
        <w:spacing w:line="480" w:lineRule="auto"/>
        <w:jc w:val="both"/>
      </w:pPr>
      <w:r>
        <w:t xml:space="preserve">Age UK (2024a) Energy crisis is still causing misery for the poorest pensioners, says Age UK. London: Age UK. Available at: </w:t>
      </w:r>
      <w:hyperlink r:id="rId10" w:history="1">
        <w:r>
          <w:rPr>
            <w:rStyle w:val="Hyperlink"/>
          </w:rPr>
          <w:t>https://www.ageuk.org.uk/latest-press/articles/2024/energy-crisis-is-still-causing-misery-for-the-poorest-pensioners-says-age-uk/</w:t>
        </w:r>
      </w:hyperlink>
      <w:r>
        <w:t xml:space="preserve">  (Accessed: 28 July 2026).</w:t>
      </w:r>
    </w:p>
    <w:p w14:paraId="4E92CDAC" w14:textId="20B530DF" w:rsidR="00892B42" w:rsidRPr="004967D0" w:rsidRDefault="00892B42" w:rsidP="00892B42">
      <w:pPr>
        <w:spacing w:line="480" w:lineRule="auto"/>
        <w:jc w:val="both"/>
      </w:pPr>
      <w:r>
        <w:t xml:space="preserve">Age UK (2024b) Over 1 million older people in the UK feel lonely. London: Age UK. Available at: </w:t>
      </w:r>
      <w:hyperlink r:id="rId11" w:history="1">
        <w:r>
          <w:rPr>
            <w:rStyle w:val="Hyperlink"/>
          </w:rPr>
          <w:t>https://www.ageuk.org.uk/latest-news/archive/1-million-older-people-feel-lonely/</w:t>
        </w:r>
      </w:hyperlink>
      <w:r>
        <w:t xml:space="preserve">  (Accessed: 28 July 2026).</w:t>
      </w:r>
    </w:p>
    <w:p w14:paraId="70E91F04" w14:textId="1B90F6E7" w:rsidR="00892B42" w:rsidRPr="004967D0" w:rsidRDefault="00892B42" w:rsidP="00892B42">
      <w:pPr>
        <w:spacing w:line="480" w:lineRule="auto"/>
        <w:jc w:val="both"/>
      </w:pPr>
      <w:r>
        <w:t xml:space="preserve">Age UK (2025a) Age UK responds to new DWP annual poverty statistics (April 2023–March 2024) and new DESNZ fuel poverty statistics. London: Age UK. Available at: </w:t>
      </w:r>
      <w:hyperlink r:id="rId12" w:history="1">
        <w:r>
          <w:rPr>
            <w:rStyle w:val="Hyperlink"/>
          </w:rPr>
          <w:t>https://www.ageuk.org.uk/latest-press/articles/age-uk-responds-to-new-dwp-annual-poverty-statistics-april-2023-march-2024-and-new-desnz--fuel-poverty-stats-out-today/</w:t>
        </w:r>
      </w:hyperlink>
      <w:r>
        <w:t xml:space="preserve">  (Accessed: 28 July 2026).</w:t>
      </w:r>
    </w:p>
    <w:p w14:paraId="3A57CCFF" w14:textId="7F30C88F" w:rsidR="00892B42" w:rsidRPr="004967D0" w:rsidRDefault="00892B42" w:rsidP="00892B42">
      <w:pPr>
        <w:spacing w:line="480" w:lineRule="auto"/>
        <w:jc w:val="both"/>
      </w:pPr>
      <w:r>
        <w:lastRenderedPageBreak/>
        <w:t xml:space="preserve">Age UK (2025b) Older people are bearing the brunt of a rundown health and care system. London: Age UK. Available at: </w:t>
      </w:r>
      <w:hyperlink r:id="rId13" w:history="1">
        <w:r>
          <w:rPr>
            <w:rStyle w:val="Hyperlink"/>
          </w:rPr>
          <w:t>https://www.ageuk.org.uk/latest-press/articles/older-people-are-bearing-the-brunt-of-a-rundown-health-and-care-system/</w:t>
        </w:r>
      </w:hyperlink>
      <w:r>
        <w:t xml:space="preserve">  (Accessed: 28 July 2026).</w:t>
      </w:r>
    </w:p>
    <w:p w14:paraId="556025E2" w14:textId="6C6F57C4" w:rsidR="00892B42" w:rsidRPr="004967D0" w:rsidRDefault="00892B42" w:rsidP="00892B42">
      <w:pPr>
        <w:spacing w:line="480" w:lineRule="auto"/>
        <w:jc w:val="both"/>
      </w:pPr>
      <w:r>
        <w:t xml:space="preserve">Balasanthiran, A., O'Shea, T., Moodambail, A., Woodcock, T., Poots, A.J., Stacey, M. and Vijayaraghavan, S. (2012) 'Type 2 diabetes in children and young adults in East London: an alarmingly high prevalence', Practical Diabetes, 29(5), pp.193–198. Available at: </w:t>
      </w:r>
      <w:hyperlink r:id="rId14" w:history="1">
        <w:r>
          <w:rPr>
            <w:rStyle w:val="Hyperlink"/>
          </w:rPr>
          <w:t>https://doi.org/10.1002/pdi.1689</w:t>
        </w:r>
      </w:hyperlink>
      <w:r>
        <w:t xml:space="preserve">  (Accessed: 28 July 2026).</w:t>
      </w:r>
    </w:p>
    <w:p w14:paraId="649A215F" w14:textId="75F1203A" w:rsidR="00892B42" w:rsidRPr="004967D0" w:rsidRDefault="00892B42" w:rsidP="00892B42">
      <w:pPr>
        <w:spacing w:line="480" w:lineRule="auto"/>
        <w:jc w:val="both"/>
      </w:pPr>
      <w:r>
        <w:t xml:space="preserve">Bower, P., French, D.P., Kontopantelis, E., Rutter, M.K., Hawkes, R.E., Rowland, M., Sanders, C., Soiland-Reyes, C., Cotterill, S. and Guthrie, B. (2023) 'Diabetes prevention at scale: narrative review of findings and lessons from the DIPLOMA evaluation of the NHS Diabetes Prevention Programme in England', Diabetic Medicine, 40(11), e15209. Available at: </w:t>
      </w:r>
      <w:hyperlink r:id="rId15" w:history="1">
        <w:r>
          <w:rPr>
            <w:rStyle w:val="Hyperlink"/>
          </w:rPr>
          <w:t>https://doi.org/10.1111/dme.15209</w:t>
        </w:r>
      </w:hyperlink>
      <w:r>
        <w:t xml:space="preserve">  (Accessed: 28 July 2026).</w:t>
      </w:r>
    </w:p>
    <w:p w14:paraId="07FF244A" w14:textId="32017454" w:rsidR="00892B42" w:rsidRPr="004967D0" w:rsidRDefault="00892B42" w:rsidP="00892B42">
      <w:pPr>
        <w:spacing w:line="480" w:lineRule="auto"/>
        <w:jc w:val="both"/>
      </w:pPr>
      <w:r>
        <w:t xml:space="preserve">Centre for Ageing Better (2025) The State of Ageing 2025. London: Centre for Ageing Better. Available at: </w:t>
      </w:r>
      <w:hyperlink r:id="rId16" w:history="1">
        <w:r>
          <w:rPr>
            <w:rStyle w:val="Hyperlink"/>
          </w:rPr>
          <w:t>https://ageing-better.org.uk/society-state-ageing-2025</w:t>
        </w:r>
      </w:hyperlink>
      <w:r>
        <w:t xml:space="preserve">  (Accessed: 28 July 2026).</w:t>
      </w:r>
    </w:p>
    <w:p w14:paraId="621FD823" w14:textId="0112330F" w:rsidR="00892B42" w:rsidRPr="004967D0" w:rsidRDefault="00892B42" w:rsidP="00892B42">
      <w:pPr>
        <w:spacing w:line="480" w:lineRule="auto"/>
        <w:jc w:val="both"/>
      </w:pPr>
      <w:r>
        <w:t xml:space="preserve">Centre for Social Justice (2023) Lonely Nation: Ending Loneliness Among Older People. London: Centre for Social Justice. Available at: </w:t>
      </w:r>
      <w:hyperlink r:id="rId17" w:history="1">
        <w:r>
          <w:rPr>
            <w:rStyle w:val="Hyperlink"/>
          </w:rPr>
          <w:t>https://www.centreforsocialjustice.org.uk/library/lonely-nation-part-2</w:t>
        </w:r>
      </w:hyperlink>
      <w:r>
        <w:t xml:space="preserve">  (Accessed: 28 July 2026).</w:t>
      </w:r>
    </w:p>
    <w:p w14:paraId="7AB3ABD3" w14:textId="33867E92" w:rsidR="00892B42" w:rsidRPr="004967D0" w:rsidRDefault="00892B42" w:rsidP="00892B42">
      <w:pPr>
        <w:spacing w:line="480" w:lineRule="auto"/>
        <w:jc w:val="both"/>
      </w:pPr>
      <w:r>
        <w:t xml:space="preserve">Chan, J.C.N., Lim, L.L., Luk, A.O.Y., Ogurtsova, K., Boyko, E.J. and Magliano, D.J. (2025) '11th edition of the IDF Diabetes Atlas: global, regional, and national diabetes prevalence estimates for 2024 and projections for 2050', The Lancet Diabetes &amp; Endocrinology. Available at: </w:t>
      </w:r>
      <w:hyperlink r:id="rId18" w:history="1">
        <w:r>
          <w:rPr>
            <w:rStyle w:val="Hyperlink"/>
          </w:rPr>
          <w:t>https://www.thelancet.com/journals/landia/article/PIIS2213-8587(25)00299-2/abstract</w:t>
        </w:r>
      </w:hyperlink>
      <w:r>
        <w:t xml:space="preserve">  (Accessed: 28 July 2026).</w:t>
      </w:r>
    </w:p>
    <w:p w14:paraId="59D3BA2F" w14:textId="77777777" w:rsidR="00892B42" w:rsidRPr="004967D0" w:rsidRDefault="00892B42" w:rsidP="00892B42">
      <w:pPr>
        <w:spacing w:line="480" w:lineRule="auto"/>
        <w:jc w:val="both"/>
      </w:pPr>
      <w:r>
        <w:t xml:space="preserve">Department for Energy Security and Net Zero (2025) Fuel poverty statistics. London: DESNZ. Available at: </w:t>
      </w:r>
      <w:hyperlink r:id="rId19" w:history="1">
        <w:r>
          <w:rPr>
            <w:rStyle w:val="Hyperlink"/>
          </w:rPr>
          <w:t>https://www.gov.uk/government/collections/fuel-poverty-statistics</w:t>
        </w:r>
      </w:hyperlink>
      <w:r>
        <w:t xml:space="preserve">  (Accessed: 28 July 2026).</w:t>
      </w:r>
    </w:p>
    <w:p w14:paraId="2A9A72B8" w14:textId="77777777" w:rsidR="00892B42" w:rsidRPr="004967D0" w:rsidRDefault="00892B42" w:rsidP="00892B42">
      <w:pPr>
        <w:spacing w:line="480" w:lineRule="auto"/>
        <w:jc w:val="both"/>
      </w:pPr>
      <w:r>
        <w:lastRenderedPageBreak/>
        <w:t xml:space="preserve">Diabetes UK (2025) Diabetes statistics. London: Diabetes UK. Available at: </w:t>
      </w:r>
      <w:hyperlink r:id="rId20" w:history="1">
        <w:r>
          <w:rPr>
            <w:rStyle w:val="Hyperlink"/>
          </w:rPr>
          <w:t>https://www.diabetes.org.uk/about-us/about-the-charity/our-strategy/statistics</w:t>
        </w:r>
      </w:hyperlink>
      <w:r>
        <w:t xml:space="preserve">  (Accessed: 28 July 2026).</w:t>
      </w:r>
    </w:p>
    <w:p w14:paraId="022FC7ED" w14:textId="77777777" w:rsidR="00892B42" w:rsidRPr="004967D0" w:rsidRDefault="00892B42" w:rsidP="00892B42">
      <w:pPr>
        <w:spacing w:line="480" w:lineRule="auto"/>
        <w:jc w:val="both"/>
      </w:pPr>
      <w:r>
        <w:t xml:space="preserve">End Fuel Poverty Coalition (2025) Excess winter deaths and cold homes. London: End Fuel Poverty Coalition. Available at: </w:t>
      </w:r>
      <w:hyperlink r:id="rId21" w:history="1">
        <w:r>
          <w:rPr>
            <w:rStyle w:val="Hyperlink"/>
          </w:rPr>
          <w:t>https://www.endfuelpoverty.org.uk/</w:t>
        </w:r>
      </w:hyperlink>
      <w:r>
        <w:t xml:space="preserve">  (Accessed: 28 July 2026).</w:t>
      </w:r>
    </w:p>
    <w:p w14:paraId="7E1582B8" w14:textId="08A3BC64" w:rsidR="00892B42" w:rsidRPr="004967D0" w:rsidRDefault="00892B42" w:rsidP="00892B42">
      <w:pPr>
        <w:spacing w:line="480" w:lineRule="auto"/>
        <w:jc w:val="both"/>
      </w:pPr>
      <w:r>
        <w:t xml:space="preserve">Health Foundation (2025) Inequalities in life expectancy and healthy life expectancy. London: The Health Foundation. Available at: </w:t>
      </w:r>
      <w:hyperlink r:id="rId22" w:history="1">
        <w:r>
          <w:rPr>
            <w:rStyle w:val="Hyperlink"/>
          </w:rPr>
          <w:t>https://www.health.org.uk/evidence-hub/health-inequalities/inequalities-in-life-expectancy-and-healthy-life-expectancy</w:t>
        </w:r>
      </w:hyperlink>
      <w:r>
        <w:t xml:space="preserve">  (Accessed: 28 July 2026).</w:t>
      </w:r>
    </w:p>
    <w:p w14:paraId="1A44D2D2" w14:textId="090E8E05" w:rsidR="00892B42" w:rsidRPr="004967D0" w:rsidRDefault="00892B42" w:rsidP="00892B42">
      <w:pPr>
        <w:spacing w:line="480" w:lineRule="auto"/>
        <w:jc w:val="both"/>
      </w:pPr>
      <w:r>
        <w:t xml:space="preserve">House of Commons Library (2025) Inequalities in life expectancy. London: UK Parliament. Available at: </w:t>
      </w:r>
      <w:hyperlink r:id="rId23" w:history="1">
        <w:r>
          <w:rPr>
            <w:rStyle w:val="Hyperlink"/>
          </w:rPr>
          <w:t>https://commonslibrary.parliament.uk/research-briefings/cbp-10324/</w:t>
        </w:r>
      </w:hyperlink>
      <w:r>
        <w:t xml:space="preserve">  (Accessed: 28 July 2026).</w:t>
      </w:r>
    </w:p>
    <w:p w14:paraId="5D588426" w14:textId="00D006E1" w:rsidR="00892B42" w:rsidRPr="004967D0" w:rsidRDefault="00892B42" w:rsidP="00892B42">
      <w:pPr>
        <w:spacing w:line="480" w:lineRule="auto"/>
        <w:jc w:val="both"/>
      </w:pPr>
      <w:r>
        <w:t xml:space="preserve">International Diabetes Federation (2025) IDF Diabetes Atlas. 11th edn. Brussels: International Diabetes Federation. Available at: </w:t>
      </w:r>
      <w:hyperlink r:id="rId24" w:history="1">
        <w:r>
          <w:rPr>
            <w:rStyle w:val="Hyperlink"/>
          </w:rPr>
          <w:t>https://diabetesatlas.org</w:t>
        </w:r>
      </w:hyperlink>
      <w:r>
        <w:t xml:space="preserve">  (Accessed: 28 July 2026).</w:t>
      </w:r>
    </w:p>
    <w:p w14:paraId="27D2990C" w14:textId="25293EBB" w:rsidR="00892B42" w:rsidRPr="004967D0" w:rsidRDefault="00892B42" w:rsidP="00892B42">
      <w:pPr>
        <w:spacing w:line="480" w:lineRule="auto"/>
        <w:jc w:val="both"/>
      </w:pPr>
      <w:r>
        <w:t xml:space="preserve">King's Fund (2024) What is happening to life expectancy in England? London: The King's Fund. Available at: </w:t>
      </w:r>
      <w:hyperlink r:id="rId25" w:history="1">
        <w:r>
          <w:rPr>
            <w:rStyle w:val="Hyperlink"/>
          </w:rPr>
          <w:t>https://www.kingsfund.org.uk/insight-and-analysis/long-reads/whats-happening-life-expectancy-england</w:t>
        </w:r>
      </w:hyperlink>
      <w:r>
        <w:t xml:space="preserve">  (Accessed: 28 July 2026).</w:t>
      </w:r>
    </w:p>
    <w:p w14:paraId="554622C5" w14:textId="6870C778" w:rsidR="00892B42" w:rsidRPr="004967D0" w:rsidRDefault="00892B42" w:rsidP="00892B42">
      <w:pPr>
        <w:spacing w:line="480" w:lineRule="auto"/>
        <w:jc w:val="both"/>
      </w:pPr>
      <w:r>
        <w:t xml:space="preserve">Kishore, S. (2023) 'The National Health Service England Diabetes Prevention Programme: a narrative review', Journal of Diabetology, 14(4), pp.271–280. Available at: </w:t>
      </w:r>
      <w:hyperlink r:id="rId26" w:history="1">
        <w:r>
          <w:rPr>
            <w:rStyle w:val="Hyperlink"/>
          </w:rPr>
          <w:t>https://journals.lww.com/jodb/fulltext/2023/14040/the_national_health_service_england_diabetes.4.aspx</w:t>
        </w:r>
      </w:hyperlink>
      <w:r>
        <w:t xml:space="preserve">  (Accessed: 28 July 2026).</w:t>
      </w:r>
    </w:p>
    <w:p w14:paraId="7EB0CF5B" w14:textId="7F26F43E" w:rsidR="00892B42" w:rsidRPr="004967D0" w:rsidRDefault="00892B42" w:rsidP="00892B42">
      <w:pPr>
        <w:spacing w:line="480" w:lineRule="auto"/>
        <w:jc w:val="both"/>
      </w:pPr>
      <w:r>
        <w:t xml:space="preserve">London Borough of Newham (2025) 50 Steps to a Healthier Newham: Newham Joint Strategic Needs Assessment 2025, Executive Summary. London: London Borough of Newham. Available at: </w:t>
      </w:r>
      <w:hyperlink r:id="rId27" w:history="1">
        <w:r>
          <w:rPr>
            <w:rStyle w:val="Hyperlink"/>
          </w:rPr>
          <w:t>https://www.newham.gov.uk/downloads/file/8521/50-steps-jsna-exec-summary</w:t>
        </w:r>
      </w:hyperlink>
      <w:r>
        <w:t xml:space="preserve">  (Accessed: 28 July 2026).</w:t>
      </w:r>
    </w:p>
    <w:p w14:paraId="600FD68F" w14:textId="77777777" w:rsidR="00892B42" w:rsidRPr="004967D0" w:rsidRDefault="00892B42" w:rsidP="00892B42">
      <w:pPr>
        <w:spacing w:line="480" w:lineRule="auto"/>
        <w:jc w:val="both"/>
      </w:pPr>
      <w:r>
        <w:t xml:space="preserve">Marmot, M., Allen, J., Boyce, T., Goldblatt, P. and Morrison, J. (2020) Health Equity in England: The Marmot Review 10 Years On. London: Institute of Health Equity. Available at: </w:t>
      </w:r>
      <w:hyperlink r:id="rId28" w:history="1">
        <w:r>
          <w:rPr>
            <w:rStyle w:val="Hyperlink"/>
          </w:rPr>
          <w:t>https://www.instituteofhealthequity.org/resources-reports/marmot-review-10-years-on</w:t>
        </w:r>
      </w:hyperlink>
      <w:r>
        <w:t xml:space="preserve">  (Accessed: 28 July 2026).</w:t>
      </w:r>
    </w:p>
    <w:p w14:paraId="5AA71991" w14:textId="6FD87EB7" w:rsidR="00892B42" w:rsidRPr="004967D0" w:rsidRDefault="00892B42" w:rsidP="00892B42">
      <w:pPr>
        <w:spacing w:line="480" w:lineRule="auto"/>
        <w:jc w:val="both"/>
      </w:pPr>
      <w:r>
        <w:t xml:space="preserve">National Institute for Health and Care Excellence (NICE) (2017). </w:t>
      </w:r>
      <w:r>
        <w:rPr>
          <w:i/>
          <w:iCs/>
        </w:rPr>
        <w:t>Type 2 diabetes: Prevention in people at high risk – guidance (PH38) -</w:t>
      </w:r>
      <w:r>
        <w:t xml:space="preserve">. [online] </w:t>
      </w:r>
      <w:r>
        <w:rPr>
          <w:i/>
          <w:iCs/>
        </w:rPr>
        <w:t>www.medicinesresources.nhs.uk</w:t>
      </w:r>
      <w:r>
        <w:t xml:space="preserve">. Available at: </w:t>
      </w:r>
      <w:hyperlink r:id="rId29" w:history="1">
        <w:r>
          <w:rPr>
            <w:rStyle w:val="Hyperlink"/>
          </w:rPr>
          <w:t>https://www.medicinesresources.nhs.uk/en/Medicines-Awareness/Guidance-and-Advice/Guidance/Type-2-diabetes-prevention-in-people-at-high-risk--guidance-PH38/</w:t>
        </w:r>
      </w:hyperlink>
      <w:r>
        <w:t xml:space="preserve">  [Accessed 11 Aug. 2026].</w:t>
      </w:r>
    </w:p>
    <w:p w14:paraId="578CC5E9" w14:textId="284E90D1" w:rsidR="00892B42" w:rsidRPr="004967D0" w:rsidRDefault="00892B42" w:rsidP="00892B42">
      <w:pPr>
        <w:spacing w:line="480" w:lineRule="auto"/>
        <w:jc w:val="both"/>
      </w:pPr>
      <w:r>
        <w:t xml:space="preserve">Newham Voices (2024) 'World Diabetes Day: why it's so important to Newham residents', Newham Voices, 14 November. Available at: </w:t>
      </w:r>
      <w:hyperlink r:id="rId30" w:history="1">
        <w:r>
          <w:rPr>
            <w:rStyle w:val="Hyperlink"/>
          </w:rPr>
          <w:t>https://newhamvoices.co.uk/2024/11/14/world-diabetes-day-why-its-so-important-to-newham-residents/</w:t>
        </w:r>
      </w:hyperlink>
      <w:r>
        <w:t xml:space="preserve">  (Accessed: 28 July 2026).</w:t>
      </w:r>
    </w:p>
    <w:p w14:paraId="4E916D9C" w14:textId="77777777" w:rsidR="00892B42" w:rsidRPr="004967D0" w:rsidRDefault="00892B42" w:rsidP="00892B42">
      <w:pPr>
        <w:spacing w:line="480" w:lineRule="auto"/>
        <w:jc w:val="both"/>
      </w:pPr>
      <w:r>
        <w:t xml:space="preserve">NHS England (2020) Advancing Mental Health Equalities Strategy. London: NHS England. Available at: </w:t>
      </w:r>
      <w:hyperlink r:id="rId31" w:history="1">
        <w:r>
          <w:rPr>
            <w:rStyle w:val="Hyperlink"/>
          </w:rPr>
          <w:t>https://www.england.nhs.uk/publication/advancing-mental-health-equalities-strategy/</w:t>
        </w:r>
      </w:hyperlink>
      <w:r>
        <w:t xml:space="preserve">  (Accessed: 28 July 2026).</w:t>
      </w:r>
    </w:p>
    <w:p w14:paraId="3C26DE14" w14:textId="77777777" w:rsidR="00892B42" w:rsidRPr="004967D0" w:rsidRDefault="00892B42" w:rsidP="00892B42">
      <w:pPr>
        <w:spacing w:line="480" w:lineRule="auto"/>
        <w:jc w:val="both"/>
      </w:pPr>
      <w:r>
        <w:t xml:space="preserve">NHS England (2023) NHS Long Term Workforce Plan. London: NHS England. Available at: </w:t>
      </w:r>
      <w:hyperlink r:id="rId32" w:history="1">
        <w:r>
          <w:rPr>
            <w:rStyle w:val="Hyperlink"/>
          </w:rPr>
          <w:t>https://www.england.nhs.uk/publication/nhs-long-term-workforce-plan/</w:t>
        </w:r>
      </w:hyperlink>
      <w:r>
        <w:t xml:space="preserve">  (Accessed: 28 July 2026).</w:t>
      </w:r>
    </w:p>
    <w:p w14:paraId="3A226807" w14:textId="27784D26" w:rsidR="00892B42" w:rsidRPr="004967D0" w:rsidRDefault="00892B42" w:rsidP="00892B42">
      <w:pPr>
        <w:spacing w:line="480" w:lineRule="auto"/>
        <w:jc w:val="both"/>
      </w:pPr>
      <w:r>
        <w:t xml:space="preserve">Nuffield Trust (2022) The decline of publicly funded social care for older adults. London: Nuffield Trust. Available at: </w:t>
      </w:r>
      <w:hyperlink r:id="rId33" w:history="1">
        <w:r>
          <w:rPr>
            <w:rStyle w:val="Hyperlink"/>
          </w:rPr>
          <w:t>https://www.nuffieldtrust.org.uk/resource/the-decline-of-publicly-funded-social-care-for-older-adults</w:t>
        </w:r>
      </w:hyperlink>
      <w:r>
        <w:t xml:space="preserve">  (Accessed: 28 July 2026).</w:t>
      </w:r>
    </w:p>
    <w:p w14:paraId="54FDA850" w14:textId="77777777" w:rsidR="00892B42" w:rsidRPr="004967D0" w:rsidRDefault="00892B42" w:rsidP="00892B42">
      <w:pPr>
        <w:spacing w:line="480" w:lineRule="auto"/>
        <w:jc w:val="both"/>
      </w:pPr>
      <w:r>
        <w:t xml:space="preserve">Office for Health Improvement and Disparities (2025) Public Health Profiles (Fingertips): diabetes. London: OHID. Available at: </w:t>
      </w:r>
      <w:hyperlink r:id="rId34" w:history="1">
        <w:r>
          <w:rPr>
            <w:rStyle w:val="Hyperlink"/>
          </w:rPr>
          <w:t>https://fingertips.phe.org.uk/</w:t>
        </w:r>
      </w:hyperlink>
      <w:r>
        <w:t xml:space="preserve">  (Accessed: 28 July 2026).</w:t>
      </w:r>
    </w:p>
    <w:p w14:paraId="222EE1C0" w14:textId="49E11261" w:rsidR="00892B42" w:rsidRPr="004967D0" w:rsidRDefault="00892B42" w:rsidP="00892B42">
      <w:pPr>
        <w:spacing w:line="480" w:lineRule="auto"/>
        <w:jc w:val="both"/>
      </w:pPr>
      <w:r>
        <w:t xml:space="preserve">Office for National Statistics (2023) Inequalities in mortality involving common physical health conditions, England: 21 March 2021 to 31 January 2023. Newport: ONS. Available at: </w:t>
      </w:r>
      <w:hyperlink r:id="rId35" w:history="1">
        <w:r>
          <w:rPr>
            <w:rStyle w:val="Hyperlink"/>
          </w:rPr>
          <w:t>https://www.ons.gov.uk/peoplepopulationandcommunity/healthandsocialcare/healthinequalities/bulletins/inequalitiesinmortalityinvolvingcommonphysicalhealthconditionsengland/21march2021to31january2023</w:t>
        </w:r>
      </w:hyperlink>
      <w:r>
        <w:t xml:space="preserve">  (Accessed: 28 July 2026).</w:t>
      </w:r>
    </w:p>
    <w:p w14:paraId="7B9750AC" w14:textId="5D6ABF71" w:rsidR="00892B42" w:rsidRPr="004967D0" w:rsidRDefault="00892B42" w:rsidP="00892B42">
      <w:pPr>
        <w:spacing w:line="480" w:lineRule="auto"/>
        <w:jc w:val="both"/>
      </w:pPr>
      <w:r>
        <w:t xml:space="preserve">Ravindrarajah, R., Sutton, M., Reeves, D., Cotterill, S., Lang, S., Whelan, M., Anderson, S.G., Feltbower, R., Kontopantelis, E. and Doran, T. (2023) 'Effectiveness of digital and remote </w:t>
      </w:r>
      <w:r>
        <w:lastRenderedPageBreak/>
        <w:t xml:space="preserve">provision of the Healthier You: NHS Diabetes Prevention Programme during the COVID-19 pandemic', Diabetic Medicine, 40(4), e15024. Available at: </w:t>
      </w:r>
      <w:hyperlink r:id="rId36" w:history="1">
        <w:r>
          <w:rPr>
            <w:rStyle w:val="Hyperlink"/>
          </w:rPr>
          <w:t>https://doi.org/10.1111/dme.15024</w:t>
        </w:r>
      </w:hyperlink>
      <w:r>
        <w:t xml:space="preserve">  (Accessed: 28 July 2026).</w:t>
      </w:r>
    </w:p>
    <w:p w14:paraId="76FED316" w14:textId="153DA87A" w:rsidR="00892B42" w:rsidRPr="004967D0" w:rsidRDefault="00892B42" w:rsidP="00892B42">
      <w:pPr>
        <w:spacing w:line="480" w:lineRule="auto"/>
        <w:jc w:val="both"/>
      </w:pPr>
      <w:r>
        <w:t xml:space="preserve">The Conversation (2025) 'Who is in fuel poverty? The government has no idea as it moves to cut winter fuel payments', The Conversation, 18 June. Available at: </w:t>
      </w:r>
      <w:hyperlink r:id="rId37" w:history="1">
        <w:r>
          <w:rPr>
            <w:rStyle w:val="Hyperlink"/>
          </w:rPr>
          <w:t>https://theconversation.com/who-is-in-fuel-poverty-the-government-has-no-idea-as-it-moves-to-cut-winter-fuel-payments-238918</w:t>
        </w:r>
      </w:hyperlink>
      <w:r>
        <w:t xml:space="preserve">  (Accessed: 28 July 2026).</w:t>
      </w:r>
    </w:p>
    <w:p w14:paraId="28F4F5E5" w14:textId="77777777" w:rsidR="00892B42" w:rsidRPr="004967D0" w:rsidRDefault="00892B42" w:rsidP="00892B42">
      <w:pPr>
        <w:spacing w:line="480" w:lineRule="auto"/>
        <w:jc w:val="both"/>
      </w:pPr>
      <w:r>
        <w:t xml:space="preserve">UK Government (2018) A Connected Society: A Strategy for Tackling Loneliness. London: HM Government. Available at: </w:t>
      </w:r>
      <w:hyperlink r:id="rId38" w:history="1">
        <w:r>
          <w:rPr>
            <w:rStyle w:val="Hyperlink"/>
          </w:rPr>
          <w:t>https://www.gov.uk/government/publications/a-connected-society-a-strategy-for-tackling-loneliness</w:t>
        </w:r>
      </w:hyperlink>
      <w:r>
        <w:t xml:space="preserve">  (Accessed: 28 July 2026).</w:t>
      </w:r>
    </w:p>
    <w:p w14:paraId="588A1241" w14:textId="1DE9CAAD" w:rsidR="00892B42" w:rsidRPr="004967D0" w:rsidRDefault="00892B42" w:rsidP="00892B42">
      <w:pPr>
        <w:spacing w:line="480" w:lineRule="auto"/>
        <w:jc w:val="both"/>
      </w:pPr>
      <w:r>
        <w:t xml:space="preserve">Whelan, M.E., Denton, F., Bourne, C.L.A., Kingsnorth, A.P., Sherar, L.B., Orme, M.W. and Esliger, D.W. (2022) 'The English National Health Service diabetes prevention programme (NHS DPP): a scoping review of existing evidence', Diabetic Medicine, 39(7), e14855. Available at: </w:t>
      </w:r>
      <w:hyperlink r:id="rId39" w:history="1">
        <w:r>
          <w:rPr>
            <w:rStyle w:val="Hyperlink"/>
          </w:rPr>
          <w:t>https://doi.org/10.1111/dme.14855</w:t>
        </w:r>
      </w:hyperlink>
      <w:r>
        <w:t xml:space="preserve">  (Accessed: 28 July 2026).</w:t>
      </w:r>
    </w:p>
    <w:p w14:paraId="43EB2D11" w14:textId="77777777" w:rsidR="00892B42" w:rsidRPr="004967D0" w:rsidRDefault="00892B42" w:rsidP="00892B42">
      <w:pPr>
        <w:spacing w:line="480" w:lineRule="auto"/>
        <w:jc w:val="both"/>
      </w:pPr>
      <w:r>
        <w:t xml:space="preserve">World Health Organization (2024) Health inequities and their causes. Geneva: World Health Organization. Available at: </w:t>
      </w:r>
      <w:hyperlink r:id="rId40" w:history="1">
        <w:r>
          <w:rPr>
            <w:rStyle w:val="Hyperlink"/>
          </w:rPr>
          <w:t>https://www.who.int/news-room/facts-in-pictures/detail/health-inequities-and-their-causes</w:t>
        </w:r>
      </w:hyperlink>
      <w:r>
        <w:t xml:space="preserve">   (Accessed: 28 July 2026).</w:t>
      </w:r>
    </w:p>
    <w:p w14:paraId="302CBCC5" w14:textId="670E4A61" w:rsidR="00892B42" w:rsidRDefault="00892B42" w:rsidP="00892B42">
      <w:pPr>
        <w:spacing w:line="480" w:lineRule="auto"/>
        <w:jc w:val="both"/>
      </w:pPr>
      <w:r>
        <w:t xml:space="preserve">Zghebi, S.S., Rutter, M.K., Ashcroft, D.M., Mamas, M.A., Reeves, D. and Kontopantelis, E. (2024) 'The descriptive epidemiology of type 2 diabetes in the United Kingdom from 2004 to 2021', medRxiv preprint. Available at: </w:t>
      </w:r>
      <w:hyperlink r:id="rId41" w:history="1">
        <w:r>
          <w:rPr>
            <w:rStyle w:val="Hyperlink"/>
          </w:rPr>
          <w:t>https://www.medrxiv.org/content/10.1101/2024.03.04.24303693</w:t>
        </w:r>
      </w:hyperlink>
      <w:r>
        <w:t xml:space="preserve">  (Accessed: 28 July 2026).</w:t>
      </w:r>
    </w:p>
    <w:p w14:paraId="4AD2F2E2" w14:textId="77777777" w:rsidR="00623034" w:rsidRDefault="00623034"/>
    <w:sectPr w:rsidR="00623034" w:rsidSect="00892B42">
      <w:footerReference w:type="default" r:id="rId4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10254C" w14:textId="77777777" w:rsidR="003846B8" w:rsidRDefault="003846B8" w:rsidP="00892B42">
      <w:r>
        <w:separator/>
      </w:r>
    </w:p>
  </w:endnote>
  <w:endnote w:type="continuationSeparator" w:id="0">
    <w:p w14:paraId="0634753A" w14:textId="77777777" w:rsidR="003846B8" w:rsidRDefault="003846B8" w:rsidP="00892B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5966035"/>
      <w:docPartObj>
        <w:docPartGallery w:val="Page Numbers (Bottom of Page)"/>
        <w:docPartUnique/>
      </w:docPartObj>
    </w:sdtPr>
    <w:sdtEndPr>
      <w:rPr>
        <w:noProof/>
      </w:rPr>
    </w:sdtEndPr>
    <w:sdtContent>
      <w:p w14:paraId="3DCEA2C3" w14:textId="2CD2AB49" w:rsidR="00892B42" w:rsidRDefault="00892B4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6050087" w14:textId="07C8F56E" w:rsidR="00F875A5" w:rsidRDefault="00F875A5">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BAE591" w14:textId="77777777" w:rsidR="003846B8" w:rsidRDefault="003846B8" w:rsidP="00892B42">
      <w:r>
        <w:separator/>
      </w:r>
    </w:p>
  </w:footnote>
  <w:footnote w:type="continuationSeparator" w:id="0">
    <w:p w14:paraId="1AB40A71" w14:textId="77777777" w:rsidR="003846B8" w:rsidRDefault="003846B8" w:rsidP="00892B4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B42"/>
    <w:rsid w:val="00095784"/>
    <w:rsid w:val="00186C96"/>
    <w:rsid w:val="003846B8"/>
    <w:rsid w:val="003A5BA0"/>
    <w:rsid w:val="004E43CF"/>
    <w:rsid w:val="00623034"/>
    <w:rsid w:val="006440FB"/>
    <w:rsid w:val="006A7747"/>
    <w:rsid w:val="00892B42"/>
    <w:rsid w:val="00A66A32"/>
    <w:rsid w:val="00E17020"/>
    <w:rsid w:val="00F875A5"/>
    <w:rsid w:val="00FA7380"/>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43546"/>
  <w15:chartTrackingRefBased/>
  <w15:docId w15:val="{78E283CD-EF15-4B3D-985A-EA4A0693C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2B42"/>
    <w:pPr>
      <w:spacing w:after="0" w:line="240" w:lineRule="auto"/>
    </w:pPr>
    <w:rPr>
      <w:rFonts w:ascii="Arial" w:eastAsia="Arial" w:hAnsi="Arial" w:cs="Arial"/>
      <w:lang w:eastAsia="en-IN"/>
    </w:rPr>
  </w:style>
  <w:style w:type="paragraph" w:styleId="Heading1">
    <w:name w:val="heading 1"/>
    <w:link w:val="Heading1Char"/>
    <w:uiPriority w:val="9"/>
    <w:qFormat/>
    <w:rsid w:val="00892B42"/>
    <w:pPr>
      <w:spacing w:after="0" w:line="480" w:lineRule="auto"/>
      <w:outlineLvl w:val="0"/>
    </w:pPr>
    <w:rPr>
      <w:rFonts w:ascii="Arial" w:eastAsia="Arial" w:hAnsi="Arial" w:cs="Arial"/>
      <w:b/>
      <w:bCs/>
      <w:color w:val="000000"/>
      <w:sz w:val="28"/>
      <w:szCs w:val="30"/>
      <w:lang w:eastAsia="en-IN"/>
    </w:rPr>
  </w:style>
  <w:style w:type="paragraph" w:styleId="Heading2">
    <w:name w:val="heading 2"/>
    <w:link w:val="Heading2Char"/>
    <w:uiPriority w:val="9"/>
    <w:unhideWhenUsed/>
    <w:qFormat/>
    <w:rsid w:val="00892B42"/>
    <w:pPr>
      <w:spacing w:after="0" w:line="240" w:lineRule="auto"/>
      <w:outlineLvl w:val="1"/>
    </w:pPr>
    <w:rPr>
      <w:rFonts w:ascii="Arial" w:eastAsia="Arial" w:hAnsi="Arial" w:cs="Arial"/>
      <w:b/>
      <w:bCs/>
      <w:color w:val="000000"/>
      <w:sz w:val="26"/>
      <w:szCs w:val="26"/>
      <w:lang w:eastAsia="en-IN"/>
    </w:rPr>
  </w:style>
  <w:style w:type="paragraph" w:styleId="Heading3">
    <w:name w:val="heading 3"/>
    <w:link w:val="Heading3Char"/>
    <w:uiPriority w:val="9"/>
    <w:unhideWhenUsed/>
    <w:qFormat/>
    <w:rsid w:val="00892B42"/>
    <w:pPr>
      <w:spacing w:after="0" w:line="240" w:lineRule="auto"/>
      <w:outlineLvl w:val="2"/>
    </w:pPr>
    <w:rPr>
      <w:rFonts w:ascii="Arial" w:eastAsia="Arial" w:hAnsi="Arial" w:cs="Arial"/>
      <w:b/>
      <w:bCs/>
      <w:color w:val="000000"/>
      <w:sz w:val="23"/>
      <w:szCs w:val="23"/>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2B42"/>
    <w:rPr>
      <w:rFonts w:ascii="Arial" w:eastAsia="Arial" w:hAnsi="Arial" w:cs="Arial"/>
      <w:b/>
      <w:bCs/>
      <w:color w:val="000000"/>
      <w:sz w:val="28"/>
      <w:szCs w:val="30"/>
      <w:lang w:eastAsia="en-IN"/>
    </w:rPr>
  </w:style>
  <w:style w:type="character" w:customStyle="1" w:styleId="Heading2Char">
    <w:name w:val="Heading 2 Char"/>
    <w:basedOn w:val="DefaultParagraphFont"/>
    <w:link w:val="Heading2"/>
    <w:uiPriority w:val="9"/>
    <w:rsid w:val="00892B42"/>
    <w:rPr>
      <w:rFonts w:ascii="Arial" w:eastAsia="Arial" w:hAnsi="Arial" w:cs="Arial"/>
      <w:b/>
      <w:bCs/>
      <w:color w:val="000000"/>
      <w:sz w:val="26"/>
      <w:szCs w:val="26"/>
      <w:lang w:eastAsia="en-IN"/>
    </w:rPr>
  </w:style>
  <w:style w:type="character" w:customStyle="1" w:styleId="Heading3Char">
    <w:name w:val="Heading 3 Char"/>
    <w:basedOn w:val="DefaultParagraphFont"/>
    <w:link w:val="Heading3"/>
    <w:uiPriority w:val="9"/>
    <w:rsid w:val="00892B42"/>
    <w:rPr>
      <w:rFonts w:ascii="Arial" w:eastAsia="Arial" w:hAnsi="Arial" w:cs="Arial"/>
      <w:b/>
      <w:bCs/>
      <w:color w:val="000000"/>
      <w:sz w:val="23"/>
      <w:szCs w:val="23"/>
      <w:lang w:eastAsia="en-IN"/>
    </w:rPr>
  </w:style>
  <w:style w:type="character" w:styleId="Hyperlink">
    <w:name w:val="Hyperlink"/>
    <w:uiPriority w:val="99"/>
    <w:unhideWhenUsed/>
    <w:rsid w:val="00892B42"/>
    <w:rPr>
      <w:color w:val="0563C1"/>
      <w:u w:val="single"/>
    </w:rPr>
  </w:style>
  <w:style w:type="paragraph" w:styleId="TOC1">
    <w:name w:val="toc 1"/>
    <w:basedOn w:val="Normal"/>
    <w:next w:val="Normal"/>
    <w:autoRedefine/>
    <w:uiPriority w:val="39"/>
    <w:unhideWhenUsed/>
    <w:rsid w:val="00892B42"/>
    <w:pPr>
      <w:spacing w:after="100"/>
    </w:pPr>
  </w:style>
  <w:style w:type="paragraph" w:styleId="TOC2">
    <w:name w:val="toc 2"/>
    <w:basedOn w:val="Normal"/>
    <w:next w:val="Normal"/>
    <w:autoRedefine/>
    <w:uiPriority w:val="39"/>
    <w:unhideWhenUsed/>
    <w:rsid w:val="00892B42"/>
    <w:pPr>
      <w:spacing w:after="100"/>
      <w:ind w:left="220"/>
    </w:pPr>
  </w:style>
  <w:style w:type="paragraph" w:styleId="TOC3">
    <w:name w:val="toc 3"/>
    <w:basedOn w:val="Normal"/>
    <w:next w:val="Normal"/>
    <w:autoRedefine/>
    <w:uiPriority w:val="39"/>
    <w:unhideWhenUsed/>
    <w:rsid w:val="00892B42"/>
    <w:pPr>
      <w:spacing w:after="100"/>
      <w:ind w:left="440"/>
    </w:pPr>
  </w:style>
  <w:style w:type="paragraph" w:styleId="NormalWeb">
    <w:name w:val="Normal (Web)"/>
    <w:basedOn w:val="Normal"/>
    <w:uiPriority w:val="99"/>
    <w:semiHidden/>
    <w:unhideWhenUsed/>
    <w:rsid w:val="00892B42"/>
    <w:pPr>
      <w:spacing w:before="100" w:beforeAutospacing="1" w:after="100" w:afterAutospacing="1"/>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892B42"/>
    <w:pPr>
      <w:keepNext/>
      <w:keepLines/>
      <w:spacing w:before="240" w:line="259" w:lineRule="auto"/>
      <w:outlineLvl w:val="9"/>
    </w:pPr>
    <w:rPr>
      <w:rFonts w:asciiTheme="majorHAnsi" w:eastAsiaTheme="majorEastAsia" w:hAnsiTheme="majorHAnsi" w:cstheme="majorBidi"/>
      <w:b w:val="0"/>
      <w:bCs w:val="0"/>
      <w:color w:val="2F5496" w:themeColor="accent1" w:themeShade="BF"/>
      <w:sz w:val="32"/>
      <w:szCs w:val="32"/>
      <w:lang w:val="en-US" w:eastAsia="en-US"/>
    </w:rPr>
  </w:style>
  <w:style w:type="character" w:styleId="FollowedHyperlink">
    <w:name w:val="FollowedHyperlink"/>
    <w:basedOn w:val="DefaultParagraphFont"/>
    <w:uiPriority w:val="99"/>
    <w:semiHidden/>
    <w:unhideWhenUsed/>
    <w:rsid w:val="00892B42"/>
    <w:rPr>
      <w:color w:val="954F72" w:themeColor="followedHyperlink"/>
      <w:u w:val="single"/>
    </w:rPr>
  </w:style>
  <w:style w:type="paragraph" w:styleId="Header">
    <w:name w:val="header"/>
    <w:basedOn w:val="Normal"/>
    <w:link w:val="HeaderChar"/>
    <w:uiPriority w:val="99"/>
    <w:unhideWhenUsed/>
    <w:rsid w:val="00892B42"/>
    <w:pPr>
      <w:tabs>
        <w:tab w:val="center" w:pos="4513"/>
        <w:tab w:val="right" w:pos="9026"/>
      </w:tabs>
    </w:pPr>
  </w:style>
  <w:style w:type="character" w:customStyle="1" w:styleId="HeaderChar">
    <w:name w:val="Header Char"/>
    <w:basedOn w:val="DefaultParagraphFont"/>
    <w:link w:val="Header"/>
    <w:uiPriority w:val="99"/>
    <w:rsid w:val="00892B42"/>
    <w:rPr>
      <w:rFonts w:ascii="Arial" w:eastAsia="Arial" w:hAnsi="Arial" w:cs="Arial"/>
      <w:lang w:eastAsia="en-IN"/>
    </w:rPr>
  </w:style>
  <w:style w:type="paragraph" w:styleId="Footer">
    <w:name w:val="footer"/>
    <w:basedOn w:val="Normal"/>
    <w:link w:val="FooterChar"/>
    <w:uiPriority w:val="99"/>
    <w:unhideWhenUsed/>
    <w:rsid w:val="00892B42"/>
    <w:pPr>
      <w:tabs>
        <w:tab w:val="center" w:pos="4513"/>
        <w:tab w:val="right" w:pos="9026"/>
      </w:tabs>
    </w:pPr>
  </w:style>
  <w:style w:type="character" w:customStyle="1" w:styleId="FooterChar">
    <w:name w:val="Footer Char"/>
    <w:basedOn w:val="DefaultParagraphFont"/>
    <w:link w:val="Footer"/>
    <w:uiPriority w:val="99"/>
    <w:rsid w:val="00892B42"/>
    <w:rPr>
      <w:rFonts w:ascii="Arial" w:eastAsia="Arial" w:hAnsi="Arial" w:cs="Arial"/>
      <w:lang w:eastAsia="en-IN"/>
    </w:rPr>
  </w:style>
  <w:style w:type="character" w:styleId="UnresolvedMention">
    <w:name w:val="Unresolved Mention"/>
    <w:basedOn w:val="DefaultParagraphFont"/>
    <w:uiPriority w:val="99"/>
    <w:semiHidden/>
    <w:unhideWhenUsed/>
    <w:rsid w:val="003A5B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geuk.org.uk/latest-press/articles/older-people-are-bearing-the-brunt-of-a-rundown-health-and-care-system/" TargetMode="External"/><Relationship Id="rId18" Type="http://schemas.openxmlformats.org/officeDocument/2006/relationships/hyperlink" Target="https://www.thelancet.com/journals/landia/article/PIIS2213-8587(25)00299-2/abstract" TargetMode="External"/><Relationship Id="rId26" Type="http://schemas.openxmlformats.org/officeDocument/2006/relationships/hyperlink" Target="https://journals.lww.com/jodb/fulltext/2023/14040/the_national_health_service_england_diabetes.4.aspx" TargetMode="External"/><Relationship Id="rId39" Type="http://schemas.openxmlformats.org/officeDocument/2006/relationships/hyperlink" Target="https://doi.org/10.1111/dme.14855" TargetMode="External"/><Relationship Id="rId21" Type="http://schemas.openxmlformats.org/officeDocument/2006/relationships/hyperlink" Target="https://www.endfuelpoverty.org.uk/" TargetMode="External"/><Relationship Id="rId34" Type="http://schemas.openxmlformats.org/officeDocument/2006/relationships/hyperlink" Target="https://fingertips.phe.org.uk/" TargetMode="External"/><Relationship Id="rId42" Type="http://schemas.openxmlformats.org/officeDocument/2006/relationships/footer" Target="footer1.xml"/><Relationship Id="rId7" Type="http://schemas.openxmlformats.org/officeDocument/2006/relationships/hyperlink" Target="https://doi.org/10.3390/children11020173" TargetMode="External"/><Relationship Id="rId2" Type="http://schemas.openxmlformats.org/officeDocument/2006/relationships/settings" Target="settings.xml"/><Relationship Id="rId16" Type="http://schemas.openxmlformats.org/officeDocument/2006/relationships/hyperlink" Target="https://ageing-better.org.uk/society-state-ageing-2025" TargetMode="External"/><Relationship Id="rId20" Type="http://schemas.openxmlformats.org/officeDocument/2006/relationships/hyperlink" Target="https://www.diabetes.org.uk/about-us/about-the-charity/our-strategy/statistics" TargetMode="External"/><Relationship Id="rId29" Type="http://schemas.openxmlformats.org/officeDocument/2006/relationships/hyperlink" Target="https://www.medicinesresources.nhs.uk/en/Medicines-Awareness/Guidance-and-Advice/Guidance/Type-2-diabetes-prevention-in-people-at-high-risk--guidance-PH38/" TargetMode="External"/><Relationship Id="rId41" Type="http://schemas.openxmlformats.org/officeDocument/2006/relationships/hyperlink" Target="https://www.medrxiv.org/content/10.1101/2024.03.04.24303693"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ageuk.org.uk/latest-news/archive/1-million-older-people-feel-lonely/" TargetMode="External"/><Relationship Id="rId24" Type="http://schemas.openxmlformats.org/officeDocument/2006/relationships/hyperlink" Target="https://diabetesatlas.org" TargetMode="External"/><Relationship Id="rId32" Type="http://schemas.openxmlformats.org/officeDocument/2006/relationships/hyperlink" Target="https://www.england.nhs.uk/publication/nhs-long-term-workforce-plan/" TargetMode="External"/><Relationship Id="rId37" Type="http://schemas.openxmlformats.org/officeDocument/2006/relationships/hyperlink" Target="https://theconversation.com/who-is-in-fuel-poverty-the-government-has-no-idea-as-it-moves-to-cut-winter-fuel-payments-238918" TargetMode="External"/><Relationship Id="rId40" Type="http://schemas.openxmlformats.org/officeDocument/2006/relationships/hyperlink" Target="https://www.who.int/news-room/facts-in-pictures/detail/health-inequities-and-their-causes" TargetMode="External"/><Relationship Id="rId5" Type="http://schemas.openxmlformats.org/officeDocument/2006/relationships/endnotes" Target="endnotes.xml"/><Relationship Id="rId15" Type="http://schemas.openxmlformats.org/officeDocument/2006/relationships/hyperlink" Target="https://doi.org/10.1111/dme.15209" TargetMode="External"/><Relationship Id="rId23" Type="http://schemas.openxmlformats.org/officeDocument/2006/relationships/hyperlink" Target="https://commonslibrary.parliament.uk/research-briefings/cbp-10324/" TargetMode="External"/><Relationship Id="rId28" Type="http://schemas.openxmlformats.org/officeDocument/2006/relationships/hyperlink" Target="https://www.instituteofhealthequity.org/resources-reports/marmot-review-10-years-on" TargetMode="External"/><Relationship Id="rId36" Type="http://schemas.openxmlformats.org/officeDocument/2006/relationships/hyperlink" Target="https://doi.org/10.1111/dme.15024" TargetMode="External"/><Relationship Id="rId10" Type="http://schemas.openxmlformats.org/officeDocument/2006/relationships/hyperlink" Target="https://www.ageuk.org.uk/latest-press/articles/2024/energy-crisis-is-still-causing-misery-for-the-poorest-pensioners-says-age-uk/" TargetMode="External"/><Relationship Id="rId19" Type="http://schemas.openxmlformats.org/officeDocument/2006/relationships/hyperlink" Target="https://www.gov.uk/government/collections/fuel-poverty-statistics" TargetMode="External"/><Relationship Id="rId31" Type="http://schemas.openxmlformats.org/officeDocument/2006/relationships/hyperlink" Target="https://www.england.nhs.uk/publication/advancing-mental-health-equalities-strategy/" TargetMode="External"/><Relationship Id="rId44"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ageuk.org.uk/siteassets/documents/reports-and-publications/reports-and-briefings/health--wellbeing/age_uk_briefing_state_of_health_and_care_of_older_people_july2023.pdf" TargetMode="External"/><Relationship Id="rId14" Type="http://schemas.openxmlformats.org/officeDocument/2006/relationships/hyperlink" Target="https://doi.org/10.1002/pdi.1689" TargetMode="External"/><Relationship Id="rId22" Type="http://schemas.openxmlformats.org/officeDocument/2006/relationships/hyperlink" Target="https://www.health.org.uk/evidence-hub/health-inequalities/inequalities-in-life-expectancy-and-healthy-life-expectancy" TargetMode="External"/><Relationship Id="rId27" Type="http://schemas.openxmlformats.org/officeDocument/2006/relationships/hyperlink" Target="https://www.newham.gov.uk/downloads/file/8521/50-steps-jsna-exec-summary" TargetMode="External"/><Relationship Id="rId30" Type="http://schemas.openxmlformats.org/officeDocument/2006/relationships/hyperlink" Target="https://newhamvoices.co.uk/2024/11/14/world-diabetes-day-why-its-so-important-to-newham-residents/" TargetMode="External"/><Relationship Id="rId35" Type="http://schemas.openxmlformats.org/officeDocument/2006/relationships/hyperlink" Target="https://www.ons.gov.uk/peoplepopulationandcommunity/healthandsocialcare/healthinequalities/bulletins/inequalitiesinmortalityinvolvingcommonphysicalhealthconditionsengland/21march2021to31january2023" TargetMode="External"/><Relationship Id="rId43" Type="http://schemas.openxmlformats.org/officeDocument/2006/relationships/fontTable" Target="fontTable.xml"/><Relationship Id="rId8" Type="http://schemas.openxmlformats.org/officeDocument/2006/relationships/hyperlink" Target="https://www.ageuk.org.uk/latest-press/articles/2022/new-research-shows-a-hidden-mental-health-crisis-is-debilitating-older-people/" TargetMode="External"/><Relationship Id="rId3" Type="http://schemas.openxmlformats.org/officeDocument/2006/relationships/webSettings" Target="webSettings.xml"/><Relationship Id="rId12" Type="http://schemas.openxmlformats.org/officeDocument/2006/relationships/hyperlink" Target="https://www.ageuk.org.uk/latest-press/articles/age-uk-responds-to-new-dwp-annual-poverty-statistics-april-2023-march-2024-and-new-desnz--fuel-poverty-stats-out-today/" TargetMode="External"/><Relationship Id="rId17" Type="http://schemas.openxmlformats.org/officeDocument/2006/relationships/hyperlink" Target="https://www.centreforsocialjustice.org.uk/library/lonely-nation-part-2" TargetMode="External"/><Relationship Id="rId25" Type="http://schemas.openxmlformats.org/officeDocument/2006/relationships/hyperlink" Target="https://www.kingsfund.org.uk/insight-and-analysis/long-reads/whats-happening-life-expectancy-england" TargetMode="External"/><Relationship Id="rId33" Type="http://schemas.openxmlformats.org/officeDocument/2006/relationships/hyperlink" Target="https://www.nuffieldtrust.org.uk/resource/the-decline-of-publicly-funded-social-care-for-older-adults" TargetMode="External"/><Relationship Id="rId38" Type="http://schemas.openxmlformats.org/officeDocument/2006/relationships/hyperlink" Target="https://www.gov.uk/government/publications/a-connected-society-a-strategy-for-tackling-loneli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17</Pages>
  <Words>5193</Words>
  <Characters>29601</Characters>
  <Application>Microsoft Office Word</Application>
  <DocSecurity>0</DocSecurity>
  <Lines>246</Lines>
  <Paragraphs>69</Paragraphs>
  <ScaleCrop>false</ScaleCrop>
  <Company/>
  <LinksUpToDate>false</LinksUpToDate>
  <CharactersWithSpaces>34725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Noaman Abdurrasid Sidat (2536192)</cp:lastModifiedBy>
  <cp:revision>2</cp:revision>
  <dcterms:created xsi:type="dcterms:W3CDTF">2026-08-13T14:27:00Z</dcterms:created>
  <dcterms:modified xsi:type="dcterms:W3CDTF">2026-08-16T11:43:00Z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4d59f676-8b1b-411a-81ed-52a76f30459f</vt:lpwstr>
  </property>
</Properties>
</file>