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BB7D8C">
      <w:pPr>
        <w:jc w:val="center"/>
        <w:rPr>
          <w:sz w:val="52"/>
          <w:szCs w:val="52"/>
        </w:rPr>
      </w:pPr>
      <w:r>
        <w:rPr>
          <w:noProof/>
          <w:sz w:val="52"/>
          <w:szCs w:val="52"/>
        </w:rPr>
        <w:drawing>
          <wp:inline distT="0" distB="0" distL="0" distR="0" wp14:anchorId="2B0F38CE" wp14:editId="29CE6523">
            <wp:extent cx="3231572" cy="912532"/>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alphaModFix amt="85000"/>
                      <a:extLst>
                        <a:ext uri="{28A0092B-C50C-407E-A947-70E740481C1C}">
                          <a14:useLocalDpi xmlns:a14="http://schemas.microsoft.com/office/drawing/2010/main" val="0"/>
                        </a:ext>
                      </a:extLst>
                    </a:blip>
                    <a:stretch>
                      <a:fillRect/>
                    </a:stretch>
                  </pic:blipFill>
                  <pic:spPr>
                    <a:xfrm>
                      <a:off x="0" y="0"/>
                      <a:ext cx="3381875" cy="954975"/>
                    </a:xfrm>
                    <a:prstGeom prst="rect">
                      <a:avLst/>
                    </a:prstGeom>
                  </pic:spPr>
                </pic:pic>
              </a:graphicData>
            </a:graphic>
          </wp:inline>
        </w:drawing>
      </w:r>
    </w:p>
    <w:p w14:paraId="754B8A2F" w14:textId="77777777" w:rsidR="002A6197" w:rsidRDefault="002A6197" w:rsidP="00BB7D8C">
      <w:pPr>
        <w:rPr>
          <w:sz w:val="52"/>
          <w:szCs w:val="52"/>
        </w:rPr>
      </w:pPr>
    </w:p>
    <w:p w14:paraId="284921B0" w14:textId="77777777" w:rsidR="00E64A2F" w:rsidRDefault="00E64A2F" w:rsidP="00BB7D8C">
      <w:pPr>
        <w:jc w:val="center"/>
        <w:rPr>
          <w:rFonts w:ascii="Avenir Next LT Pro Demi" w:hAnsi="Avenir Next LT Pro Demi"/>
          <w:sz w:val="44"/>
          <w:szCs w:val="44"/>
        </w:rPr>
      </w:pPr>
    </w:p>
    <w:p w14:paraId="07B3F876" w14:textId="77777777" w:rsidR="00E64A2F" w:rsidRDefault="00E64A2F" w:rsidP="00BB7D8C">
      <w:pPr>
        <w:jc w:val="center"/>
        <w:rPr>
          <w:rFonts w:ascii="Avenir Next LT Pro Demi" w:hAnsi="Avenir Next LT Pro Demi"/>
          <w:sz w:val="44"/>
          <w:szCs w:val="44"/>
        </w:rPr>
      </w:pPr>
    </w:p>
    <w:p w14:paraId="6CF6A277" w14:textId="77777777" w:rsidR="00E64A2F" w:rsidRPr="00E64A2F" w:rsidRDefault="00E64A2F" w:rsidP="00BB7D8C">
      <w:pPr>
        <w:jc w:val="center"/>
        <w:rPr>
          <w:rFonts w:ascii="Avenir Next LT Pro Demi" w:hAnsi="Avenir Next LT Pro Demi"/>
          <w:color w:val="000000" w:themeColor="text1"/>
          <w:sz w:val="44"/>
          <w:szCs w:val="44"/>
        </w:rPr>
      </w:pPr>
    </w:p>
    <w:p w14:paraId="68EAF1F3" w14:textId="77777777" w:rsidR="00F93DDE" w:rsidRDefault="00F93DDE" w:rsidP="00BB7D8C">
      <w:pPr>
        <w:jc w:val="center"/>
        <w:rPr>
          <w:rFonts w:ascii="Avenir Next LT Pro Demi" w:hAnsi="Avenir Next LT Pro Demi"/>
          <w:color w:val="000000" w:themeColor="text1"/>
          <w:sz w:val="40"/>
          <w:szCs w:val="40"/>
        </w:rPr>
      </w:pPr>
    </w:p>
    <w:p w14:paraId="6D5CA604" w14:textId="2105A5EE" w:rsidR="00A07084" w:rsidRPr="00D04DD2" w:rsidRDefault="00D04DD2" w:rsidP="00BB7D8C">
      <w:pPr>
        <w:jc w:val="center"/>
        <w:rPr>
          <w:color w:val="2F5496" w:themeColor="accent1" w:themeShade="BF"/>
          <w:sz w:val="60"/>
          <w:szCs w:val="60"/>
        </w:rPr>
      </w:pPr>
      <w:r w:rsidRPr="00D04DD2">
        <w:rPr>
          <w:rFonts w:ascii="Avenir Next LT Pro Demi" w:hAnsi="Avenir Next LT Pro Demi"/>
          <w:color w:val="000000" w:themeColor="text1"/>
          <w:sz w:val="40"/>
          <w:szCs w:val="40"/>
        </w:rPr>
        <w:t>STRATEGIC GROWTH VODAFONE UK</w:t>
      </w:r>
    </w:p>
    <w:p w14:paraId="4D1F996E" w14:textId="614C5F12" w:rsidR="00A9697D" w:rsidRPr="00D04DD2" w:rsidRDefault="00D04DD2" w:rsidP="00BB7D8C">
      <w:pPr>
        <w:jc w:val="center"/>
        <w:rPr>
          <w:bCs/>
          <w:sz w:val="26"/>
          <w:szCs w:val="26"/>
        </w:rPr>
      </w:pPr>
      <w:r w:rsidRPr="00D04DD2">
        <w:rPr>
          <w:bCs/>
          <w:sz w:val="26"/>
          <w:szCs w:val="26"/>
        </w:rPr>
        <w:t xml:space="preserve">Advising The Board </w:t>
      </w:r>
      <w:r>
        <w:rPr>
          <w:bCs/>
          <w:sz w:val="26"/>
          <w:szCs w:val="26"/>
        </w:rPr>
        <w:t>o</w:t>
      </w:r>
      <w:r w:rsidRPr="00D04DD2">
        <w:rPr>
          <w:bCs/>
          <w:sz w:val="26"/>
          <w:szCs w:val="26"/>
        </w:rPr>
        <w:t xml:space="preserve">n Growth Strategy </w:t>
      </w:r>
      <w:r>
        <w:rPr>
          <w:bCs/>
          <w:sz w:val="26"/>
          <w:szCs w:val="26"/>
        </w:rPr>
        <w:t>i</w:t>
      </w:r>
      <w:r w:rsidRPr="00D04DD2">
        <w:rPr>
          <w:bCs/>
          <w:sz w:val="26"/>
          <w:szCs w:val="26"/>
        </w:rPr>
        <w:t xml:space="preserve">n </w:t>
      </w:r>
      <w:r>
        <w:rPr>
          <w:bCs/>
          <w:sz w:val="26"/>
          <w:szCs w:val="26"/>
        </w:rPr>
        <w:t>a</w:t>
      </w:r>
      <w:r w:rsidRPr="00D04DD2">
        <w:rPr>
          <w:bCs/>
          <w:sz w:val="26"/>
          <w:szCs w:val="26"/>
        </w:rPr>
        <w:t xml:space="preserve"> Period </w:t>
      </w:r>
      <w:r>
        <w:rPr>
          <w:bCs/>
          <w:sz w:val="26"/>
          <w:szCs w:val="26"/>
        </w:rPr>
        <w:t>o</w:t>
      </w:r>
      <w:r w:rsidRPr="00D04DD2">
        <w:rPr>
          <w:bCs/>
          <w:sz w:val="26"/>
          <w:szCs w:val="26"/>
        </w:rPr>
        <w:t>f Strategic Transformation</w:t>
      </w:r>
    </w:p>
    <w:p w14:paraId="655CE865" w14:textId="77777777" w:rsidR="00A07084" w:rsidRPr="00D04DD2" w:rsidRDefault="00A07084" w:rsidP="00BB7D8C">
      <w:pPr>
        <w:jc w:val="center"/>
        <w:rPr>
          <w:color w:val="2F5496" w:themeColor="accent1" w:themeShade="BF"/>
          <w:sz w:val="72"/>
          <w:szCs w:val="72"/>
        </w:rPr>
      </w:pPr>
    </w:p>
    <w:p w14:paraId="33A1FE41" w14:textId="77777777" w:rsidR="00C00860" w:rsidRPr="00D04DD2" w:rsidRDefault="00C00860" w:rsidP="00BB7D8C">
      <w:pPr>
        <w:rPr>
          <w:sz w:val="52"/>
          <w:szCs w:val="52"/>
        </w:rPr>
      </w:pPr>
    </w:p>
    <w:p w14:paraId="78D69508" w14:textId="77777777" w:rsidR="00F93DDE" w:rsidRPr="00D04DD2" w:rsidRDefault="00F93DDE" w:rsidP="00BB7D8C">
      <w:pPr>
        <w:rPr>
          <w:sz w:val="52"/>
          <w:szCs w:val="52"/>
        </w:rPr>
      </w:pPr>
    </w:p>
    <w:p w14:paraId="7FF0FD61" w14:textId="77777777" w:rsidR="00255882" w:rsidRPr="00D04DD2" w:rsidRDefault="00255882" w:rsidP="00BB7D8C"/>
    <w:p w14:paraId="0E3E4B5E" w14:textId="0BA53598" w:rsidR="009114C5" w:rsidRPr="00D7576D" w:rsidRDefault="009114C5" w:rsidP="00BB7D8C">
      <w:pPr>
        <w:spacing w:line="360" w:lineRule="auto"/>
        <w:jc w:val="center"/>
        <w:rPr>
          <w:rFonts w:ascii="Arial" w:hAnsi="Arial" w:cs="Arial"/>
          <w:color w:val="262626" w:themeColor="text1" w:themeTint="D9"/>
        </w:rPr>
      </w:pPr>
      <w:r w:rsidRPr="00D7576D">
        <w:rPr>
          <w:rFonts w:ascii="Arial" w:hAnsi="Arial" w:cs="Arial"/>
          <w:b/>
          <w:bCs/>
          <w:color w:val="262626" w:themeColor="text1" w:themeTint="D9"/>
        </w:rPr>
        <w:t>Student Name:</w:t>
      </w:r>
      <w:r w:rsidRPr="00D7576D">
        <w:rPr>
          <w:rFonts w:ascii="Arial" w:hAnsi="Arial" w:cs="Arial"/>
          <w:color w:val="262626" w:themeColor="text1" w:themeTint="D9"/>
        </w:rPr>
        <w:t xml:space="preserve"> Katiuscia Rodrigues Casagrande</w:t>
      </w:r>
    </w:p>
    <w:p w14:paraId="06DE0735" w14:textId="00E6619F" w:rsidR="009114C5" w:rsidRPr="00C00860" w:rsidRDefault="009114C5" w:rsidP="00BB7D8C">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Student ID:</w:t>
      </w:r>
      <w:r w:rsidRPr="00C00860">
        <w:rPr>
          <w:rFonts w:ascii="Arial" w:hAnsi="Arial" w:cs="Arial"/>
          <w:color w:val="262626" w:themeColor="text1" w:themeTint="D9"/>
        </w:rPr>
        <w:t xml:space="preserve"> 2331413</w:t>
      </w:r>
    </w:p>
    <w:p w14:paraId="0EC72D43" w14:textId="5F0C388A" w:rsidR="009114C5" w:rsidRPr="00C00860" w:rsidRDefault="009114C5" w:rsidP="00BB7D8C">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Code:</w:t>
      </w:r>
      <w:r w:rsidRPr="00C00860">
        <w:rPr>
          <w:rFonts w:ascii="Arial" w:hAnsi="Arial" w:cs="Arial"/>
          <w:color w:val="262626" w:themeColor="text1" w:themeTint="D9"/>
        </w:rPr>
        <w:t xml:space="preserve"> LCLM</w:t>
      </w:r>
      <w:r w:rsidR="00D04DD2">
        <w:rPr>
          <w:rFonts w:ascii="Arial" w:hAnsi="Arial" w:cs="Arial"/>
          <w:color w:val="262626" w:themeColor="text1" w:themeTint="D9"/>
        </w:rPr>
        <w:t>6001</w:t>
      </w:r>
    </w:p>
    <w:p w14:paraId="0A200EE0" w14:textId="0E3691A9" w:rsidR="009114C5" w:rsidRPr="00C00860" w:rsidRDefault="009114C5" w:rsidP="00BB7D8C">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Name:</w:t>
      </w:r>
      <w:r w:rsidRPr="00C00860">
        <w:rPr>
          <w:rFonts w:ascii="Arial" w:hAnsi="Arial" w:cs="Arial"/>
          <w:color w:val="262626" w:themeColor="text1" w:themeTint="D9"/>
        </w:rPr>
        <w:t xml:space="preserve"> </w:t>
      </w:r>
      <w:r w:rsidR="00D04DD2">
        <w:rPr>
          <w:rFonts w:ascii="Arial" w:hAnsi="Arial" w:cs="Arial"/>
          <w:color w:val="262626" w:themeColor="text1" w:themeTint="D9"/>
        </w:rPr>
        <w:t>Strategic Management for Business</w:t>
      </w:r>
    </w:p>
    <w:p w14:paraId="55702840" w14:textId="430BE1D8" w:rsidR="00E4306E" w:rsidRPr="00FB7382" w:rsidRDefault="009114C5" w:rsidP="00BB7D8C">
      <w:pPr>
        <w:spacing w:line="360" w:lineRule="auto"/>
        <w:jc w:val="center"/>
        <w:rPr>
          <w:rFonts w:ascii="Arial" w:hAnsi="Arial" w:cs="Arial"/>
          <w:color w:val="262626" w:themeColor="text1" w:themeTint="D9"/>
          <w:lang w:val="pt-BR"/>
        </w:rPr>
      </w:pPr>
      <w:proofErr w:type="spellStart"/>
      <w:r w:rsidRPr="00FB7382">
        <w:rPr>
          <w:rFonts w:ascii="Arial" w:hAnsi="Arial" w:cs="Arial"/>
          <w:b/>
          <w:bCs/>
          <w:color w:val="262626" w:themeColor="text1" w:themeTint="D9"/>
          <w:lang w:val="pt-BR"/>
        </w:rPr>
        <w:t>Lecturer</w:t>
      </w:r>
      <w:proofErr w:type="spellEnd"/>
      <w:r w:rsidRPr="00FB7382">
        <w:rPr>
          <w:rFonts w:ascii="Arial" w:hAnsi="Arial" w:cs="Arial"/>
          <w:b/>
          <w:bCs/>
          <w:color w:val="262626" w:themeColor="text1" w:themeTint="D9"/>
          <w:lang w:val="pt-BR"/>
        </w:rPr>
        <w:t>:</w:t>
      </w:r>
      <w:r w:rsidRPr="00FB7382">
        <w:rPr>
          <w:rFonts w:ascii="Arial" w:hAnsi="Arial" w:cs="Arial"/>
          <w:color w:val="262626" w:themeColor="text1" w:themeTint="D9"/>
          <w:lang w:val="pt-BR"/>
        </w:rPr>
        <w:t xml:space="preserve"> </w:t>
      </w:r>
      <w:proofErr w:type="spellStart"/>
      <w:r w:rsidR="00D04DD2" w:rsidRPr="00FB7382">
        <w:rPr>
          <w:rFonts w:ascii="Arial" w:hAnsi="Arial" w:cs="Arial"/>
          <w:color w:val="262626" w:themeColor="text1" w:themeTint="D9"/>
          <w:lang w:val="pt-BR"/>
        </w:rPr>
        <w:t>Dr</w:t>
      </w:r>
      <w:proofErr w:type="spellEnd"/>
      <w:r w:rsidR="00D04DD2" w:rsidRPr="00FB7382">
        <w:rPr>
          <w:rFonts w:ascii="Arial" w:hAnsi="Arial" w:cs="Arial"/>
          <w:color w:val="262626" w:themeColor="text1" w:themeTint="D9"/>
          <w:lang w:val="pt-BR"/>
        </w:rPr>
        <w:t xml:space="preserve"> </w:t>
      </w:r>
      <w:proofErr w:type="spellStart"/>
      <w:r w:rsidR="00D04DD2" w:rsidRPr="00FB7382">
        <w:rPr>
          <w:rFonts w:ascii="Arial" w:hAnsi="Arial" w:cs="Arial"/>
          <w:color w:val="262626" w:themeColor="text1" w:themeTint="D9"/>
          <w:lang w:val="pt-BR"/>
        </w:rPr>
        <w:t>Faizu</w:t>
      </w:r>
      <w:proofErr w:type="spellEnd"/>
      <w:r w:rsidR="00D04DD2" w:rsidRPr="00FB7382">
        <w:rPr>
          <w:rFonts w:ascii="Arial" w:hAnsi="Arial" w:cs="Arial"/>
          <w:color w:val="262626" w:themeColor="text1" w:themeTint="D9"/>
          <w:lang w:val="pt-BR"/>
        </w:rPr>
        <w:t xml:space="preserve"> Edu</w:t>
      </w:r>
    </w:p>
    <w:p w14:paraId="01A03884" w14:textId="77777777" w:rsidR="00E4306E" w:rsidRPr="00FB7382" w:rsidRDefault="00E4306E" w:rsidP="00BB7D8C">
      <w:pPr>
        <w:rPr>
          <w:lang w:val="pt-BR"/>
        </w:rPr>
      </w:pPr>
    </w:p>
    <w:p w14:paraId="1DC651DD" w14:textId="77777777" w:rsidR="00E4306E" w:rsidRPr="00FB7382" w:rsidRDefault="00E4306E" w:rsidP="00BB7D8C">
      <w:pPr>
        <w:rPr>
          <w:lang w:val="pt-BR"/>
        </w:rPr>
      </w:pPr>
    </w:p>
    <w:p w14:paraId="04992B03" w14:textId="77777777" w:rsidR="00E4306E" w:rsidRPr="00FB7382" w:rsidRDefault="00E4306E" w:rsidP="00BB7D8C">
      <w:pPr>
        <w:rPr>
          <w:lang w:val="pt-BR"/>
        </w:rPr>
      </w:pPr>
    </w:p>
    <w:p w14:paraId="470CAD6C" w14:textId="77777777" w:rsidR="00C00860" w:rsidRPr="00FB7382" w:rsidRDefault="00C00860" w:rsidP="00BB7D8C">
      <w:pPr>
        <w:rPr>
          <w:lang w:val="pt-BR"/>
        </w:rPr>
      </w:pPr>
    </w:p>
    <w:p w14:paraId="7E05E8E5" w14:textId="77777777" w:rsidR="00C00860" w:rsidRPr="00FB7382" w:rsidRDefault="00C00860" w:rsidP="00BB7D8C">
      <w:pPr>
        <w:rPr>
          <w:lang w:val="pt-BR"/>
        </w:rPr>
      </w:pPr>
    </w:p>
    <w:p w14:paraId="683D8970" w14:textId="77777777" w:rsidR="00C00860" w:rsidRPr="00FB7382" w:rsidRDefault="00C00860" w:rsidP="00BB7D8C">
      <w:pPr>
        <w:rPr>
          <w:lang w:val="pt-BR"/>
        </w:rPr>
      </w:pPr>
    </w:p>
    <w:p w14:paraId="67F97D5B" w14:textId="77777777" w:rsidR="00C00860" w:rsidRPr="00FB7382" w:rsidRDefault="00C00860" w:rsidP="00BB7D8C">
      <w:pPr>
        <w:rPr>
          <w:lang w:val="pt-BR"/>
        </w:rPr>
      </w:pPr>
    </w:p>
    <w:p w14:paraId="7C875603" w14:textId="77777777" w:rsidR="00C00860" w:rsidRPr="00FB7382" w:rsidRDefault="00C00860" w:rsidP="00BB7D8C">
      <w:pPr>
        <w:rPr>
          <w:lang w:val="pt-BR"/>
        </w:rPr>
      </w:pPr>
    </w:p>
    <w:p w14:paraId="484921F1" w14:textId="77777777" w:rsidR="00C00860" w:rsidRPr="00FB7382" w:rsidRDefault="00C00860" w:rsidP="00BB7D8C">
      <w:pPr>
        <w:rPr>
          <w:lang w:val="pt-BR"/>
        </w:rPr>
      </w:pPr>
    </w:p>
    <w:p w14:paraId="1EFE2A80" w14:textId="77777777" w:rsidR="00C00860" w:rsidRPr="00FB7382" w:rsidRDefault="00C00860" w:rsidP="00BB7D8C">
      <w:pPr>
        <w:rPr>
          <w:lang w:val="pt-BR"/>
        </w:rPr>
      </w:pPr>
    </w:p>
    <w:p w14:paraId="06194D51" w14:textId="77777777" w:rsidR="00C00860" w:rsidRPr="00FB7382" w:rsidRDefault="00C00860" w:rsidP="00BB7D8C">
      <w:pPr>
        <w:rPr>
          <w:lang w:val="pt-BR"/>
        </w:rPr>
      </w:pPr>
    </w:p>
    <w:p w14:paraId="2DCA3B7C" w14:textId="5C3F547D" w:rsidR="00255882" w:rsidRPr="00FB7382" w:rsidRDefault="00B5375D" w:rsidP="00BB7D8C">
      <w:pPr>
        <w:rPr>
          <w:color w:val="2F5496" w:themeColor="accent1" w:themeShade="BF"/>
          <w:lang w:val="pt-BR"/>
        </w:rPr>
      </w:pPr>
      <w:r w:rsidRPr="00FB7382">
        <w:rPr>
          <w:lang w:val="pt-BR"/>
        </w:rPr>
        <w:t xml:space="preserve"> </w:t>
      </w:r>
    </w:p>
    <w:p w14:paraId="534D33DC" w14:textId="4C2F0670" w:rsidR="00B5375D" w:rsidRPr="00FB7382" w:rsidRDefault="0073484C" w:rsidP="00BB7D8C">
      <w:pPr>
        <w:jc w:val="center"/>
        <w:rPr>
          <w:color w:val="2F5496" w:themeColor="accent1" w:themeShade="BF"/>
          <w:lang w:val="pt-BR"/>
        </w:rPr>
      </w:pPr>
      <w:r w:rsidRPr="00FB7382">
        <w:rPr>
          <w:color w:val="2F5496" w:themeColor="accent1" w:themeShade="BF"/>
          <w:lang w:val="pt-BR"/>
        </w:rPr>
        <w:t>25</w:t>
      </w:r>
      <w:r w:rsidR="00E64A2F" w:rsidRPr="00FB7382">
        <w:rPr>
          <w:color w:val="2F5496" w:themeColor="accent1" w:themeShade="BF"/>
          <w:lang w:val="pt-BR"/>
        </w:rPr>
        <w:t xml:space="preserve"> </w:t>
      </w:r>
      <w:proofErr w:type="gramStart"/>
      <w:r w:rsidR="00D04DD2" w:rsidRPr="00FB7382">
        <w:rPr>
          <w:color w:val="2F5496" w:themeColor="accent1" w:themeShade="BF"/>
          <w:lang w:val="pt-BR"/>
        </w:rPr>
        <w:t>Julho</w:t>
      </w:r>
      <w:proofErr w:type="gramEnd"/>
      <w:r w:rsidR="00D04DD2" w:rsidRPr="00FB7382">
        <w:rPr>
          <w:color w:val="2F5496" w:themeColor="accent1" w:themeShade="BF"/>
          <w:lang w:val="pt-BR"/>
        </w:rPr>
        <w:t xml:space="preserve"> </w:t>
      </w:r>
      <w:r w:rsidR="00E64A2F" w:rsidRPr="00FB7382">
        <w:rPr>
          <w:color w:val="2F5496" w:themeColor="accent1" w:themeShade="BF"/>
          <w:lang w:val="pt-BR"/>
        </w:rPr>
        <w:t>202</w:t>
      </w:r>
      <w:r w:rsidR="00A07084" w:rsidRPr="00FB7382">
        <w:rPr>
          <w:color w:val="2F5496" w:themeColor="accent1" w:themeShade="BF"/>
          <w:lang w:val="pt-BR"/>
        </w:rPr>
        <w:t>6</w:t>
      </w:r>
    </w:p>
    <w:p w14:paraId="0F80C9A6" w14:textId="77777777" w:rsidR="00F8154D" w:rsidRPr="00FB7382" w:rsidRDefault="00F8154D" w:rsidP="00BB7D8C">
      <w:pPr>
        <w:rPr>
          <w:color w:val="2F5496" w:themeColor="accent1" w:themeShade="BF"/>
          <w:lang w:val="pt-BR"/>
        </w:rPr>
      </w:pPr>
    </w:p>
    <w:p w14:paraId="0594DB2A" w14:textId="77777777" w:rsidR="00736CEA" w:rsidRPr="00FB7382" w:rsidRDefault="00736CEA" w:rsidP="00BB7D8C">
      <w:pPr>
        <w:rPr>
          <w:color w:val="2F5496" w:themeColor="accent1" w:themeShade="BF"/>
          <w:lang w:val="pt-BR"/>
        </w:rPr>
      </w:pPr>
    </w:p>
    <w:sdt>
      <w:sdtPr>
        <w:rPr>
          <w:rFonts w:eastAsiaTheme="minorEastAsia" w:cstheme="minorBidi"/>
          <w:b w:val="0"/>
          <w:color w:val="auto"/>
          <w:sz w:val="22"/>
          <w:szCs w:val="22"/>
          <w:lang w:val="en-GB" w:eastAsia="zh-CN"/>
        </w:rPr>
        <w:id w:val="716858446"/>
        <w:docPartObj>
          <w:docPartGallery w:val="Table of Contents"/>
          <w:docPartUnique/>
        </w:docPartObj>
      </w:sdtPr>
      <w:sdtEndPr>
        <w:rPr>
          <w:rFonts w:eastAsia="Times New Roman" w:cs="Times New Roman"/>
          <w:bCs/>
          <w:noProof/>
          <w:sz w:val="24"/>
          <w:szCs w:val="24"/>
          <w:lang w:eastAsia="en-GB"/>
        </w:rPr>
      </w:sdtEndPr>
      <w:sdtContent>
        <w:p w14:paraId="4315353B" w14:textId="3F46ACBA" w:rsidR="00E4306E" w:rsidRDefault="00E4306E" w:rsidP="00BB7D8C">
          <w:pPr>
            <w:pStyle w:val="CabealhodoSumrio"/>
          </w:pPr>
          <w:r>
            <w:t>Table of Contents</w:t>
          </w:r>
        </w:p>
        <w:p w14:paraId="410E8E4E" w14:textId="098926E1" w:rsidR="000257FF" w:rsidRDefault="00E4306E">
          <w:pPr>
            <w:pStyle w:val="Sumrio1"/>
            <w:tabs>
              <w:tab w:val="right" w:leader="dot" w:pos="9016"/>
            </w:tabs>
            <w:rPr>
              <w:rFonts w:eastAsiaTheme="minorEastAsia" w:cstheme="minorBidi"/>
              <w:b w:val="0"/>
              <w:bCs w:val="0"/>
              <w:i w:val="0"/>
              <w:iCs w:val="0"/>
              <w:noProof/>
              <w:kern w:val="2"/>
              <w:lang w:val="pt-GB" w:eastAsia="pt-BR"/>
              <w14:ligatures w14:val="standardContextual"/>
            </w:rPr>
          </w:pPr>
          <w:r>
            <w:rPr>
              <w:b w:val="0"/>
              <w:bCs w:val="0"/>
            </w:rPr>
            <w:fldChar w:fldCharType="begin"/>
          </w:r>
          <w:r>
            <w:instrText xml:space="preserve"> TOC \o "1-3" \h \z \u </w:instrText>
          </w:r>
          <w:r>
            <w:rPr>
              <w:b w:val="0"/>
              <w:bCs w:val="0"/>
            </w:rPr>
            <w:fldChar w:fldCharType="separate"/>
          </w:r>
          <w:hyperlink w:anchor="_Toc237342825" w:history="1">
            <w:r w:rsidR="000257FF" w:rsidRPr="00580075">
              <w:rPr>
                <w:rStyle w:val="Hyperlink"/>
                <w:rFonts w:ascii="Arial" w:hAnsi="Arial" w:cs="Arial"/>
                <w:noProof/>
              </w:rPr>
              <w:t>1. EXECUTIVE SUMMARY</w:t>
            </w:r>
            <w:r w:rsidR="000257FF">
              <w:rPr>
                <w:noProof/>
                <w:webHidden/>
              </w:rPr>
              <w:tab/>
            </w:r>
            <w:r w:rsidR="000257FF">
              <w:rPr>
                <w:noProof/>
                <w:webHidden/>
              </w:rPr>
              <w:fldChar w:fldCharType="begin"/>
            </w:r>
            <w:r w:rsidR="000257FF">
              <w:rPr>
                <w:noProof/>
                <w:webHidden/>
              </w:rPr>
              <w:instrText xml:space="preserve"> PAGEREF _Toc237342825 \h </w:instrText>
            </w:r>
            <w:r w:rsidR="000257FF">
              <w:rPr>
                <w:noProof/>
                <w:webHidden/>
              </w:rPr>
            </w:r>
            <w:r w:rsidR="000257FF">
              <w:rPr>
                <w:noProof/>
                <w:webHidden/>
              </w:rPr>
              <w:fldChar w:fldCharType="separate"/>
            </w:r>
            <w:r w:rsidR="000257FF">
              <w:rPr>
                <w:noProof/>
                <w:webHidden/>
              </w:rPr>
              <w:t>3</w:t>
            </w:r>
            <w:r w:rsidR="000257FF">
              <w:rPr>
                <w:noProof/>
                <w:webHidden/>
              </w:rPr>
              <w:fldChar w:fldCharType="end"/>
            </w:r>
          </w:hyperlink>
        </w:p>
        <w:p w14:paraId="667611A3" w14:textId="1347B4A7"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26" w:history="1">
            <w:r w:rsidRPr="00580075">
              <w:rPr>
                <w:rStyle w:val="Hyperlink"/>
                <w:rFonts w:ascii="Arial" w:hAnsi="Arial" w:cs="Arial"/>
                <w:noProof/>
              </w:rPr>
              <w:t>2. INTRODUCTION TO VODAFONE</w:t>
            </w:r>
            <w:r>
              <w:rPr>
                <w:noProof/>
                <w:webHidden/>
              </w:rPr>
              <w:tab/>
            </w:r>
            <w:r>
              <w:rPr>
                <w:noProof/>
                <w:webHidden/>
              </w:rPr>
              <w:fldChar w:fldCharType="begin"/>
            </w:r>
            <w:r>
              <w:rPr>
                <w:noProof/>
                <w:webHidden/>
              </w:rPr>
              <w:instrText xml:space="preserve"> PAGEREF _Toc237342826 \h </w:instrText>
            </w:r>
            <w:r>
              <w:rPr>
                <w:noProof/>
                <w:webHidden/>
              </w:rPr>
            </w:r>
            <w:r>
              <w:rPr>
                <w:noProof/>
                <w:webHidden/>
              </w:rPr>
              <w:fldChar w:fldCharType="separate"/>
            </w:r>
            <w:r>
              <w:rPr>
                <w:noProof/>
                <w:webHidden/>
              </w:rPr>
              <w:t>4</w:t>
            </w:r>
            <w:r>
              <w:rPr>
                <w:noProof/>
                <w:webHidden/>
              </w:rPr>
              <w:fldChar w:fldCharType="end"/>
            </w:r>
          </w:hyperlink>
        </w:p>
        <w:p w14:paraId="5A8F891B" w14:textId="1D37C0BF"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27" w:history="1">
            <w:r w:rsidRPr="00580075">
              <w:rPr>
                <w:rStyle w:val="Hyperlink"/>
                <w:rFonts w:ascii="Arial" w:hAnsi="Arial" w:cs="Arial"/>
                <w:noProof/>
              </w:rPr>
              <w:t>3. EVALUATION OF CURRENT MARKET SITUATION</w:t>
            </w:r>
            <w:r>
              <w:rPr>
                <w:noProof/>
                <w:webHidden/>
              </w:rPr>
              <w:tab/>
            </w:r>
            <w:r>
              <w:rPr>
                <w:noProof/>
                <w:webHidden/>
              </w:rPr>
              <w:fldChar w:fldCharType="begin"/>
            </w:r>
            <w:r>
              <w:rPr>
                <w:noProof/>
                <w:webHidden/>
              </w:rPr>
              <w:instrText xml:space="preserve"> PAGEREF _Toc237342827 \h </w:instrText>
            </w:r>
            <w:r>
              <w:rPr>
                <w:noProof/>
                <w:webHidden/>
              </w:rPr>
            </w:r>
            <w:r>
              <w:rPr>
                <w:noProof/>
                <w:webHidden/>
              </w:rPr>
              <w:fldChar w:fldCharType="separate"/>
            </w:r>
            <w:r>
              <w:rPr>
                <w:noProof/>
                <w:webHidden/>
              </w:rPr>
              <w:t>5</w:t>
            </w:r>
            <w:r>
              <w:rPr>
                <w:noProof/>
                <w:webHidden/>
              </w:rPr>
              <w:fldChar w:fldCharType="end"/>
            </w:r>
          </w:hyperlink>
        </w:p>
        <w:p w14:paraId="4F8BCA6B" w14:textId="0FC8214E" w:rsidR="000257FF" w:rsidRDefault="000257FF">
          <w:pPr>
            <w:pStyle w:val="Sumrio2"/>
            <w:tabs>
              <w:tab w:val="right" w:leader="dot" w:pos="9016"/>
            </w:tabs>
            <w:rPr>
              <w:rFonts w:eastAsiaTheme="minorEastAsia" w:cstheme="minorBidi"/>
              <w:b w:val="0"/>
              <w:bCs w:val="0"/>
              <w:noProof/>
              <w:kern w:val="2"/>
              <w:lang w:val="pt-GB" w:eastAsia="pt-BR"/>
              <w14:ligatures w14:val="standardContextual"/>
            </w:rPr>
          </w:pPr>
          <w:hyperlink w:anchor="_Toc237342828" w:history="1">
            <w:r w:rsidRPr="00580075">
              <w:rPr>
                <w:rStyle w:val="Hyperlink"/>
                <w:noProof/>
              </w:rPr>
              <w:t>3.1 SWOT Analysis</w:t>
            </w:r>
            <w:r>
              <w:rPr>
                <w:noProof/>
                <w:webHidden/>
              </w:rPr>
              <w:tab/>
            </w:r>
            <w:r>
              <w:rPr>
                <w:noProof/>
                <w:webHidden/>
              </w:rPr>
              <w:fldChar w:fldCharType="begin"/>
            </w:r>
            <w:r>
              <w:rPr>
                <w:noProof/>
                <w:webHidden/>
              </w:rPr>
              <w:instrText xml:space="preserve"> PAGEREF _Toc237342828 \h </w:instrText>
            </w:r>
            <w:r>
              <w:rPr>
                <w:noProof/>
                <w:webHidden/>
              </w:rPr>
            </w:r>
            <w:r>
              <w:rPr>
                <w:noProof/>
                <w:webHidden/>
              </w:rPr>
              <w:fldChar w:fldCharType="separate"/>
            </w:r>
            <w:r>
              <w:rPr>
                <w:noProof/>
                <w:webHidden/>
              </w:rPr>
              <w:t>5</w:t>
            </w:r>
            <w:r>
              <w:rPr>
                <w:noProof/>
                <w:webHidden/>
              </w:rPr>
              <w:fldChar w:fldCharType="end"/>
            </w:r>
          </w:hyperlink>
        </w:p>
        <w:p w14:paraId="40E13D25" w14:textId="0CF57893" w:rsidR="000257FF" w:rsidRDefault="000257FF">
          <w:pPr>
            <w:pStyle w:val="Sumrio2"/>
            <w:tabs>
              <w:tab w:val="right" w:leader="dot" w:pos="9016"/>
            </w:tabs>
            <w:rPr>
              <w:rFonts w:eastAsiaTheme="minorEastAsia" w:cstheme="minorBidi"/>
              <w:b w:val="0"/>
              <w:bCs w:val="0"/>
              <w:noProof/>
              <w:kern w:val="2"/>
              <w:lang w:val="pt-GB" w:eastAsia="pt-BR"/>
              <w14:ligatures w14:val="standardContextual"/>
            </w:rPr>
          </w:pPr>
          <w:hyperlink w:anchor="_Toc237342829" w:history="1">
            <w:r w:rsidRPr="00580075">
              <w:rPr>
                <w:rStyle w:val="Hyperlink"/>
                <w:noProof/>
              </w:rPr>
              <w:t>3.2 Pestel Analysis</w:t>
            </w:r>
            <w:r>
              <w:rPr>
                <w:noProof/>
                <w:webHidden/>
              </w:rPr>
              <w:tab/>
            </w:r>
            <w:r>
              <w:rPr>
                <w:noProof/>
                <w:webHidden/>
              </w:rPr>
              <w:fldChar w:fldCharType="begin"/>
            </w:r>
            <w:r>
              <w:rPr>
                <w:noProof/>
                <w:webHidden/>
              </w:rPr>
              <w:instrText xml:space="preserve"> PAGEREF _Toc237342829 \h </w:instrText>
            </w:r>
            <w:r>
              <w:rPr>
                <w:noProof/>
                <w:webHidden/>
              </w:rPr>
            </w:r>
            <w:r>
              <w:rPr>
                <w:noProof/>
                <w:webHidden/>
              </w:rPr>
              <w:fldChar w:fldCharType="separate"/>
            </w:r>
            <w:r>
              <w:rPr>
                <w:noProof/>
                <w:webHidden/>
              </w:rPr>
              <w:t>6</w:t>
            </w:r>
            <w:r>
              <w:rPr>
                <w:noProof/>
                <w:webHidden/>
              </w:rPr>
              <w:fldChar w:fldCharType="end"/>
            </w:r>
          </w:hyperlink>
        </w:p>
        <w:p w14:paraId="1BF378DA" w14:textId="6440C95B" w:rsidR="000257FF" w:rsidRDefault="000257FF">
          <w:pPr>
            <w:pStyle w:val="Sumrio2"/>
            <w:tabs>
              <w:tab w:val="right" w:leader="dot" w:pos="9016"/>
            </w:tabs>
            <w:rPr>
              <w:rFonts w:eastAsiaTheme="minorEastAsia" w:cstheme="minorBidi"/>
              <w:b w:val="0"/>
              <w:bCs w:val="0"/>
              <w:noProof/>
              <w:kern w:val="2"/>
              <w:lang w:val="pt-GB" w:eastAsia="pt-BR"/>
              <w14:ligatures w14:val="standardContextual"/>
            </w:rPr>
          </w:pPr>
          <w:hyperlink w:anchor="_Toc237342830" w:history="1">
            <w:r w:rsidRPr="00580075">
              <w:rPr>
                <w:rStyle w:val="Hyperlink"/>
                <w:noProof/>
              </w:rPr>
              <w:t>3.3 Porter’s Five Forces</w:t>
            </w:r>
            <w:r>
              <w:rPr>
                <w:noProof/>
                <w:webHidden/>
              </w:rPr>
              <w:tab/>
            </w:r>
            <w:r>
              <w:rPr>
                <w:noProof/>
                <w:webHidden/>
              </w:rPr>
              <w:fldChar w:fldCharType="begin"/>
            </w:r>
            <w:r>
              <w:rPr>
                <w:noProof/>
                <w:webHidden/>
              </w:rPr>
              <w:instrText xml:space="preserve"> PAGEREF _Toc237342830 \h </w:instrText>
            </w:r>
            <w:r>
              <w:rPr>
                <w:noProof/>
                <w:webHidden/>
              </w:rPr>
            </w:r>
            <w:r>
              <w:rPr>
                <w:noProof/>
                <w:webHidden/>
              </w:rPr>
              <w:fldChar w:fldCharType="separate"/>
            </w:r>
            <w:r>
              <w:rPr>
                <w:noProof/>
                <w:webHidden/>
              </w:rPr>
              <w:t>7</w:t>
            </w:r>
            <w:r>
              <w:rPr>
                <w:noProof/>
                <w:webHidden/>
              </w:rPr>
              <w:fldChar w:fldCharType="end"/>
            </w:r>
          </w:hyperlink>
        </w:p>
        <w:p w14:paraId="667016D0" w14:textId="319B0B92" w:rsidR="000257FF" w:rsidRDefault="000257FF">
          <w:pPr>
            <w:pStyle w:val="Sumrio2"/>
            <w:tabs>
              <w:tab w:val="right" w:leader="dot" w:pos="9016"/>
            </w:tabs>
            <w:rPr>
              <w:rFonts w:eastAsiaTheme="minorEastAsia" w:cstheme="minorBidi"/>
              <w:b w:val="0"/>
              <w:bCs w:val="0"/>
              <w:noProof/>
              <w:kern w:val="2"/>
              <w:lang w:val="pt-GB" w:eastAsia="pt-BR"/>
              <w14:ligatures w14:val="standardContextual"/>
            </w:rPr>
          </w:pPr>
          <w:hyperlink w:anchor="_Toc237342831" w:history="1">
            <w:r w:rsidRPr="00580075">
              <w:rPr>
                <w:rStyle w:val="Hyperlink"/>
                <w:noProof/>
              </w:rPr>
              <w:t>3.4 Synthesis</w:t>
            </w:r>
            <w:r>
              <w:rPr>
                <w:noProof/>
                <w:webHidden/>
              </w:rPr>
              <w:tab/>
            </w:r>
            <w:r>
              <w:rPr>
                <w:noProof/>
                <w:webHidden/>
              </w:rPr>
              <w:fldChar w:fldCharType="begin"/>
            </w:r>
            <w:r>
              <w:rPr>
                <w:noProof/>
                <w:webHidden/>
              </w:rPr>
              <w:instrText xml:space="preserve"> PAGEREF _Toc237342831 \h </w:instrText>
            </w:r>
            <w:r>
              <w:rPr>
                <w:noProof/>
                <w:webHidden/>
              </w:rPr>
            </w:r>
            <w:r>
              <w:rPr>
                <w:noProof/>
                <w:webHidden/>
              </w:rPr>
              <w:fldChar w:fldCharType="separate"/>
            </w:r>
            <w:r>
              <w:rPr>
                <w:noProof/>
                <w:webHidden/>
              </w:rPr>
              <w:t>8</w:t>
            </w:r>
            <w:r>
              <w:rPr>
                <w:noProof/>
                <w:webHidden/>
              </w:rPr>
              <w:fldChar w:fldCharType="end"/>
            </w:r>
          </w:hyperlink>
        </w:p>
        <w:p w14:paraId="75281EAC" w14:textId="52F7DDF1"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32" w:history="1">
            <w:r w:rsidRPr="00580075">
              <w:rPr>
                <w:rStyle w:val="Hyperlink"/>
                <w:rFonts w:ascii="Arial" w:hAnsi="Arial" w:cs="Arial"/>
                <w:noProof/>
              </w:rPr>
              <w:t>4. STRATEGIC GROWTH OPTIONS AND PROPOSED STRATEGY</w:t>
            </w:r>
            <w:r>
              <w:rPr>
                <w:noProof/>
                <w:webHidden/>
              </w:rPr>
              <w:tab/>
            </w:r>
            <w:r>
              <w:rPr>
                <w:noProof/>
                <w:webHidden/>
              </w:rPr>
              <w:fldChar w:fldCharType="begin"/>
            </w:r>
            <w:r>
              <w:rPr>
                <w:noProof/>
                <w:webHidden/>
              </w:rPr>
              <w:instrText xml:space="preserve"> PAGEREF _Toc237342832 \h </w:instrText>
            </w:r>
            <w:r>
              <w:rPr>
                <w:noProof/>
                <w:webHidden/>
              </w:rPr>
            </w:r>
            <w:r>
              <w:rPr>
                <w:noProof/>
                <w:webHidden/>
              </w:rPr>
              <w:fldChar w:fldCharType="separate"/>
            </w:r>
            <w:r>
              <w:rPr>
                <w:noProof/>
                <w:webHidden/>
              </w:rPr>
              <w:t>8</w:t>
            </w:r>
            <w:r>
              <w:rPr>
                <w:noProof/>
                <w:webHidden/>
              </w:rPr>
              <w:fldChar w:fldCharType="end"/>
            </w:r>
          </w:hyperlink>
        </w:p>
        <w:p w14:paraId="1F2DA904" w14:textId="7EBD3E75" w:rsidR="000257FF" w:rsidRDefault="000257FF">
          <w:pPr>
            <w:pStyle w:val="Sumrio2"/>
            <w:tabs>
              <w:tab w:val="right" w:leader="dot" w:pos="9016"/>
            </w:tabs>
            <w:rPr>
              <w:rFonts w:eastAsiaTheme="minorEastAsia" w:cstheme="minorBidi"/>
              <w:b w:val="0"/>
              <w:bCs w:val="0"/>
              <w:noProof/>
              <w:kern w:val="2"/>
              <w:lang w:val="pt-GB" w:eastAsia="pt-BR"/>
              <w14:ligatures w14:val="standardContextual"/>
            </w:rPr>
          </w:pPr>
          <w:hyperlink w:anchor="_Toc237342833" w:history="1">
            <w:r w:rsidRPr="00580075">
              <w:rPr>
                <w:rStyle w:val="Hyperlink"/>
                <w:noProof/>
              </w:rPr>
              <w:t>4.1 Growth Options: Ansoff Matrix</w:t>
            </w:r>
            <w:r>
              <w:rPr>
                <w:noProof/>
                <w:webHidden/>
              </w:rPr>
              <w:tab/>
            </w:r>
            <w:r>
              <w:rPr>
                <w:noProof/>
                <w:webHidden/>
              </w:rPr>
              <w:fldChar w:fldCharType="begin"/>
            </w:r>
            <w:r>
              <w:rPr>
                <w:noProof/>
                <w:webHidden/>
              </w:rPr>
              <w:instrText xml:space="preserve"> PAGEREF _Toc237342833 \h </w:instrText>
            </w:r>
            <w:r>
              <w:rPr>
                <w:noProof/>
                <w:webHidden/>
              </w:rPr>
            </w:r>
            <w:r>
              <w:rPr>
                <w:noProof/>
                <w:webHidden/>
              </w:rPr>
              <w:fldChar w:fldCharType="separate"/>
            </w:r>
            <w:r>
              <w:rPr>
                <w:noProof/>
                <w:webHidden/>
              </w:rPr>
              <w:t>8</w:t>
            </w:r>
            <w:r>
              <w:rPr>
                <w:noProof/>
                <w:webHidden/>
              </w:rPr>
              <w:fldChar w:fldCharType="end"/>
            </w:r>
          </w:hyperlink>
        </w:p>
        <w:p w14:paraId="35B9D3F2" w14:textId="532E9840" w:rsidR="000257FF" w:rsidRDefault="000257FF">
          <w:pPr>
            <w:pStyle w:val="Sumrio2"/>
            <w:tabs>
              <w:tab w:val="right" w:leader="dot" w:pos="9016"/>
            </w:tabs>
            <w:rPr>
              <w:rFonts w:eastAsiaTheme="minorEastAsia" w:cstheme="minorBidi"/>
              <w:b w:val="0"/>
              <w:bCs w:val="0"/>
              <w:noProof/>
              <w:kern w:val="2"/>
              <w:lang w:val="pt-GB" w:eastAsia="pt-BR"/>
              <w14:ligatures w14:val="standardContextual"/>
            </w:rPr>
          </w:pPr>
          <w:hyperlink w:anchor="_Toc237342834" w:history="1">
            <w:r w:rsidRPr="00580075">
              <w:rPr>
                <w:rStyle w:val="Hyperlink"/>
                <w:noProof/>
              </w:rPr>
              <w:t>4.2 Recommended strategy</w:t>
            </w:r>
            <w:r>
              <w:rPr>
                <w:noProof/>
                <w:webHidden/>
              </w:rPr>
              <w:tab/>
            </w:r>
            <w:r>
              <w:rPr>
                <w:noProof/>
                <w:webHidden/>
              </w:rPr>
              <w:fldChar w:fldCharType="begin"/>
            </w:r>
            <w:r>
              <w:rPr>
                <w:noProof/>
                <w:webHidden/>
              </w:rPr>
              <w:instrText xml:space="preserve"> PAGEREF _Toc237342834 \h </w:instrText>
            </w:r>
            <w:r>
              <w:rPr>
                <w:noProof/>
                <w:webHidden/>
              </w:rPr>
            </w:r>
            <w:r>
              <w:rPr>
                <w:noProof/>
                <w:webHidden/>
              </w:rPr>
              <w:fldChar w:fldCharType="separate"/>
            </w:r>
            <w:r>
              <w:rPr>
                <w:noProof/>
                <w:webHidden/>
              </w:rPr>
              <w:t>9</w:t>
            </w:r>
            <w:r>
              <w:rPr>
                <w:noProof/>
                <w:webHidden/>
              </w:rPr>
              <w:fldChar w:fldCharType="end"/>
            </w:r>
          </w:hyperlink>
        </w:p>
        <w:p w14:paraId="3504CE6B" w14:textId="16524D39"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35" w:history="1">
            <w:r w:rsidRPr="00580075">
              <w:rPr>
                <w:rStyle w:val="Hyperlink"/>
                <w:rFonts w:ascii="Arial" w:hAnsi="Arial" w:cs="Arial"/>
                <w:noProof/>
              </w:rPr>
              <w:t>5. STRATEGY EVALUATION</w:t>
            </w:r>
            <w:r>
              <w:rPr>
                <w:noProof/>
                <w:webHidden/>
              </w:rPr>
              <w:tab/>
            </w:r>
            <w:r>
              <w:rPr>
                <w:noProof/>
                <w:webHidden/>
              </w:rPr>
              <w:fldChar w:fldCharType="begin"/>
            </w:r>
            <w:r>
              <w:rPr>
                <w:noProof/>
                <w:webHidden/>
              </w:rPr>
              <w:instrText xml:space="preserve"> PAGEREF _Toc237342835 \h </w:instrText>
            </w:r>
            <w:r>
              <w:rPr>
                <w:noProof/>
                <w:webHidden/>
              </w:rPr>
            </w:r>
            <w:r>
              <w:rPr>
                <w:noProof/>
                <w:webHidden/>
              </w:rPr>
              <w:fldChar w:fldCharType="separate"/>
            </w:r>
            <w:r>
              <w:rPr>
                <w:noProof/>
                <w:webHidden/>
              </w:rPr>
              <w:t>10</w:t>
            </w:r>
            <w:r>
              <w:rPr>
                <w:noProof/>
                <w:webHidden/>
              </w:rPr>
              <w:fldChar w:fldCharType="end"/>
            </w:r>
          </w:hyperlink>
        </w:p>
        <w:p w14:paraId="146FC11B" w14:textId="6494BA37"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36" w:history="1">
            <w:r w:rsidRPr="00580075">
              <w:rPr>
                <w:rStyle w:val="Hyperlink"/>
                <w:rFonts w:ascii="Arial" w:hAnsi="Arial" w:cs="Arial"/>
                <w:noProof/>
              </w:rPr>
              <w:t>6. STAKEHOLDER ANALYSIS</w:t>
            </w:r>
            <w:r>
              <w:rPr>
                <w:noProof/>
                <w:webHidden/>
              </w:rPr>
              <w:tab/>
            </w:r>
            <w:r>
              <w:rPr>
                <w:noProof/>
                <w:webHidden/>
              </w:rPr>
              <w:fldChar w:fldCharType="begin"/>
            </w:r>
            <w:r>
              <w:rPr>
                <w:noProof/>
                <w:webHidden/>
              </w:rPr>
              <w:instrText xml:space="preserve"> PAGEREF _Toc237342836 \h </w:instrText>
            </w:r>
            <w:r>
              <w:rPr>
                <w:noProof/>
                <w:webHidden/>
              </w:rPr>
            </w:r>
            <w:r>
              <w:rPr>
                <w:noProof/>
                <w:webHidden/>
              </w:rPr>
              <w:fldChar w:fldCharType="separate"/>
            </w:r>
            <w:r>
              <w:rPr>
                <w:noProof/>
                <w:webHidden/>
              </w:rPr>
              <w:t>12</w:t>
            </w:r>
            <w:r>
              <w:rPr>
                <w:noProof/>
                <w:webHidden/>
              </w:rPr>
              <w:fldChar w:fldCharType="end"/>
            </w:r>
          </w:hyperlink>
        </w:p>
        <w:p w14:paraId="1E4FE14F" w14:textId="3EA83F57"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37" w:history="1">
            <w:r w:rsidRPr="00580075">
              <w:rPr>
                <w:rStyle w:val="Hyperlink"/>
                <w:rFonts w:ascii="Arial" w:hAnsi="Arial" w:cs="Arial"/>
                <w:noProof/>
              </w:rPr>
              <w:t>7. IMPLEMENTATION AND MONITORING</w:t>
            </w:r>
            <w:r>
              <w:rPr>
                <w:noProof/>
                <w:webHidden/>
              </w:rPr>
              <w:tab/>
            </w:r>
            <w:r>
              <w:rPr>
                <w:noProof/>
                <w:webHidden/>
              </w:rPr>
              <w:fldChar w:fldCharType="begin"/>
            </w:r>
            <w:r>
              <w:rPr>
                <w:noProof/>
                <w:webHidden/>
              </w:rPr>
              <w:instrText xml:space="preserve"> PAGEREF _Toc237342837 \h </w:instrText>
            </w:r>
            <w:r>
              <w:rPr>
                <w:noProof/>
                <w:webHidden/>
              </w:rPr>
            </w:r>
            <w:r>
              <w:rPr>
                <w:noProof/>
                <w:webHidden/>
              </w:rPr>
              <w:fldChar w:fldCharType="separate"/>
            </w:r>
            <w:r>
              <w:rPr>
                <w:noProof/>
                <w:webHidden/>
              </w:rPr>
              <w:t>13</w:t>
            </w:r>
            <w:r>
              <w:rPr>
                <w:noProof/>
                <w:webHidden/>
              </w:rPr>
              <w:fldChar w:fldCharType="end"/>
            </w:r>
          </w:hyperlink>
        </w:p>
        <w:p w14:paraId="79834586" w14:textId="1C163E3B"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38" w:history="1">
            <w:r w:rsidRPr="00580075">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_Toc237342838 \h </w:instrText>
            </w:r>
            <w:r>
              <w:rPr>
                <w:noProof/>
                <w:webHidden/>
              </w:rPr>
            </w:r>
            <w:r>
              <w:rPr>
                <w:noProof/>
                <w:webHidden/>
              </w:rPr>
              <w:fldChar w:fldCharType="separate"/>
            </w:r>
            <w:r>
              <w:rPr>
                <w:noProof/>
                <w:webHidden/>
              </w:rPr>
              <w:t>14</w:t>
            </w:r>
            <w:r>
              <w:rPr>
                <w:noProof/>
                <w:webHidden/>
              </w:rPr>
              <w:fldChar w:fldCharType="end"/>
            </w:r>
          </w:hyperlink>
        </w:p>
        <w:p w14:paraId="3C0F1DDD" w14:textId="4CA352FD" w:rsidR="000257FF" w:rsidRDefault="000257FF">
          <w:pPr>
            <w:pStyle w:val="Sumrio1"/>
            <w:tabs>
              <w:tab w:val="right" w:leader="dot" w:pos="9016"/>
            </w:tabs>
            <w:rPr>
              <w:rFonts w:eastAsiaTheme="minorEastAsia" w:cstheme="minorBidi"/>
              <w:b w:val="0"/>
              <w:bCs w:val="0"/>
              <w:i w:val="0"/>
              <w:iCs w:val="0"/>
              <w:noProof/>
              <w:kern w:val="2"/>
              <w:lang w:val="pt-GB" w:eastAsia="pt-BR"/>
              <w14:ligatures w14:val="standardContextual"/>
            </w:rPr>
          </w:pPr>
          <w:hyperlink w:anchor="_Toc237342839" w:history="1">
            <w:r w:rsidRPr="00580075">
              <w:rPr>
                <w:rStyle w:val="Hyperlink"/>
                <w:rFonts w:ascii="Arial" w:hAnsi="Arial" w:cs="Arial"/>
                <w:noProof/>
              </w:rPr>
              <w:t>9. REFERENCES</w:t>
            </w:r>
            <w:r>
              <w:rPr>
                <w:noProof/>
                <w:webHidden/>
              </w:rPr>
              <w:tab/>
            </w:r>
            <w:r>
              <w:rPr>
                <w:noProof/>
                <w:webHidden/>
              </w:rPr>
              <w:fldChar w:fldCharType="begin"/>
            </w:r>
            <w:r>
              <w:rPr>
                <w:noProof/>
                <w:webHidden/>
              </w:rPr>
              <w:instrText xml:space="preserve"> PAGEREF _Toc237342839 \h </w:instrText>
            </w:r>
            <w:r>
              <w:rPr>
                <w:noProof/>
                <w:webHidden/>
              </w:rPr>
            </w:r>
            <w:r>
              <w:rPr>
                <w:noProof/>
                <w:webHidden/>
              </w:rPr>
              <w:fldChar w:fldCharType="separate"/>
            </w:r>
            <w:r>
              <w:rPr>
                <w:noProof/>
                <w:webHidden/>
              </w:rPr>
              <w:t>14</w:t>
            </w:r>
            <w:r>
              <w:rPr>
                <w:noProof/>
                <w:webHidden/>
              </w:rPr>
              <w:fldChar w:fldCharType="end"/>
            </w:r>
          </w:hyperlink>
        </w:p>
        <w:p w14:paraId="1FA7F4E6" w14:textId="2AF98E9D" w:rsidR="00E4306E" w:rsidRDefault="00E4306E" w:rsidP="00BB7D8C">
          <w:r>
            <w:rPr>
              <w:b/>
              <w:bCs/>
              <w:noProof/>
            </w:rPr>
            <w:fldChar w:fldCharType="end"/>
          </w:r>
        </w:p>
      </w:sdtContent>
    </w:sdt>
    <w:p w14:paraId="4C100071" w14:textId="77777777" w:rsidR="00B5375D" w:rsidRDefault="00B5375D" w:rsidP="00BB7D8C"/>
    <w:p w14:paraId="78E69AAA" w14:textId="77777777" w:rsidR="00E4306E" w:rsidRDefault="00E4306E" w:rsidP="00BB7D8C"/>
    <w:p w14:paraId="3F2DA1C6" w14:textId="77777777" w:rsidR="00E4306E" w:rsidRDefault="00E4306E" w:rsidP="00BB7D8C"/>
    <w:p w14:paraId="3028527A" w14:textId="77777777" w:rsidR="00E4306E" w:rsidRDefault="00E4306E" w:rsidP="00BB7D8C"/>
    <w:p w14:paraId="544DAD56" w14:textId="77777777" w:rsidR="00E4306E" w:rsidRDefault="00E4306E" w:rsidP="00BB7D8C"/>
    <w:p w14:paraId="6378066D" w14:textId="77777777" w:rsidR="00E4306E" w:rsidRDefault="00E4306E" w:rsidP="00BB7D8C"/>
    <w:p w14:paraId="6F9B1FBA" w14:textId="77777777" w:rsidR="00264473" w:rsidRDefault="00264473" w:rsidP="00BB7D8C"/>
    <w:p w14:paraId="506D2774" w14:textId="77777777" w:rsidR="00264473" w:rsidRDefault="00264473" w:rsidP="00BB7D8C"/>
    <w:p w14:paraId="4803CA9F" w14:textId="77777777" w:rsidR="00264473" w:rsidRDefault="00264473" w:rsidP="00BB7D8C"/>
    <w:p w14:paraId="75578317" w14:textId="77777777" w:rsidR="00264473" w:rsidRDefault="00264473" w:rsidP="00BB7D8C"/>
    <w:p w14:paraId="4B100D7E" w14:textId="77777777" w:rsidR="008E105D" w:rsidRDefault="008E105D" w:rsidP="00BB7D8C"/>
    <w:p w14:paraId="2A60BD06" w14:textId="77777777" w:rsidR="008E105D" w:rsidRDefault="008E105D" w:rsidP="00BB7D8C"/>
    <w:p w14:paraId="2C23EC59" w14:textId="77777777" w:rsidR="008E105D" w:rsidRDefault="008E105D" w:rsidP="00BB7D8C"/>
    <w:p w14:paraId="7D029953" w14:textId="77777777" w:rsidR="00E4306E" w:rsidRDefault="00E4306E" w:rsidP="00BB7D8C"/>
    <w:p w14:paraId="736760AF" w14:textId="77777777" w:rsidR="00E4306E" w:rsidRDefault="00E4306E" w:rsidP="00BB7D8C"/>
    <w:p w14:paraId="7CE3FD84" w14:textId="77777777" w:rsidR="00CB5D9E" w:rsidRDefault="00CB5D9E" w:rsidP="00BB7D8C"/>
    <w:p w14:paraId="76148D1B" w14:textId="77777777" w:rsidR="00CB5D9E" w:rsidRDefault="00CB5D9E" w:rsidP="00BB7D8C"/>
    <w:p w14:paraId="0E6A6872" w14:textId="77777777" w:rsidR="00CB5D9E" w:rsidRDefault="00CB5D9E" w:rsidP="00BB7D8C"/>
    <w:p w14:paraId="57EE8A1D" w14:textId="77777777" w:rsidR="00A2495C" w:rsidRDefault="00A2495C" w:rsidP="00BB7D8C"/>
    <w:p w14:paraId="22B65A84" w14:textId="77777777" w:rsidR="00A2495C" w:rsidRDefault="00A2495C" w:rsidP="00BB7D8C"/>
    <w:p w14:paraId="529F060B" w14:textId="77777777" w:rsidR="00A2495C" w:rsidRDefault="00A2495C" w:rsidP="00BB7D8C"/>
    <w:p w14:paraId="561C01D8" w14:textId="77777777" w:rsidR="00A2495C" w:rsidRDefault="00A2495C" w:rsidP="00BB7D8C"/>
    <w:p w14:paraId="3B6FA844" w14:textId="77777777" w:rsidR="00A2495C" w:rsidRDefault="00A2495C" w:rsidP="00BB7D8C"/>
    <w:p w14:paraId="4CBE120D" w14:textId="77777777" w:rsidR="00A2495C" w:rsidRDefault="00A2495C" w:rsidP="00BB7D8C"/>
    <w:p w14:paraId="14302D05" w14:textId="45FF4656" w:rsidR="00552DFA" w:rsidRDefault="00A9697D" w:rsidP="00BB7D8C">
      <w:pPr>
        <w:pStyle w:val="Ttulo1"/>
        <w:rPr>
          <w:rFonts w:ascii="Arial" w:hAnsi="Arial" w:cs="Arial"/>
          <w:sz w:val="36"/>
          <w:szCs w:val="36"/>
        </w:rPr>
      </w:pPr>
      <w:bookmarkStart w:id="0" w:name="_Toc194157720"/>
      <w:bookmarkStart w:id="1" w:name="_Toc194660792"/>
      <w:bookmarkStart w:id="2" w:name="_Toc237342825"/>
      <w:r>
        <w:rPr>
          <w:rFonts w:ascii="Arial" w:hAnsi="Arial" w:cs="Arial"/>
          <w:sz w:val="36"/>
          <w:szCs w:val="36"/>
        </w:rPr>
        <w:lastRenderedPageBreak/>
        <w:t xml:space="preserve">1. </w:t>
      </w:r>
      <w:bookmarkEnd w:id="0"/>
      <w:bookmarkEnd w:id="1"/>
      <w:r w:rsidR="00D04DD2">
        <w:rPr>
          <w:rFonts w:ascii="Arial" w:hAnsi="Arial" w:cs="Arial"/>
          <w:sz w:val="36"/>
          <w:szCs w:val="36"/>
        </w:rPr>
        <w:t>EXECUTIVE SUMMARY</w:t>
      </w:r>
      <w:bookmarkEnd w:id="2"/>
      <w:r w:rsidR="00D04DD2" w:rsidRPr="008E105D">
        <w:rPr>
          <w:rFonts w:ascii="Arial" w:hAnsi="Arial" w:cs="Arial"/>
          <w:sz w:val="36"/>
          <w:szCs w:val="36"/>
        </w:rPr>
        <w:t xml:space="preserve"> </w:t>
      </w:r>
    </w:p>
    <w:p w14:paraId="27D6A276" w14:textId="77777777" w:rsidR="00300575" w:rsidRDefault="00300575" w:rsidP="002B0E9E">
      <w:pPr>
        <w:autoSpaceDE w:val="0"/>
        <w:autoSpaceDN w:val="0"/>
        <w:adjustRightInd w:val="0"/>
        <w:spacing w:line="360" w:lineRule="auto"/>
        <w:jc w:val="both"/>
        <w:rPr>
          <w:rFonts w:ascii="Arial" w:hAnsi="Arial" w:cs="Arial"/>
        </w:rPr>
      </w:pPr>
    </w:p>
    <w:p w14:paraId="1AB5803A" w14:textId="77777777" w:rsidR="000257FF" w:rsidRDefault="000257FF" w:rsidP="00FB7382">
      <w:pPr>
        <w:spacing w:line="360" w:lineRule="auto"/>
        <w:jc w:val="both"/>
        <w:rPr>
          <w:rFonts w:ascii="Arial" w:hAnsi="Arial" w:cs="Arial"/>
        </w:rPr>
      </w:pPr>
    </w:p>
    <w:p w14:paraId="038D326C" w14:textId="025F3D0B" w:rsidR="000257FF" w:rsidRPr="000257FF" w:rsidRDefault="002B0E9E" w:rsidP="00FB7382">
      <w:pPr>
        <w:spacing w:line="360" w:lineRule="auto"/>
        <w:jc w:val="both"/>
        <w:rPr>
          <w:rFonts w:ascii="Arial" w:hAnsi="Arial" w:cs="Arial"/>
        </w:rPr>
      </w:pPr>
      <w:r w:rsidRPr="000257FF">
        <w:rPr>
          <w:rFonts w:ascii="Arial" w:hAnsi="Arial" w:cs="Arial"/>
        </w:rPr>
        <w:t xml:space="preserve">Vodafone UK is at a pivotal moment. </w:t>
      </w:r>
      <w:r w:rsidR="00FB7382" w:rsidRPr="000257FF">
        <w:rPr>
          <w:rFonts w:ascii="Arial" w:hAnsi="Arial" w:cs="Arial"/>
        </w:rPr>
        <w:t xml:space="preserve">The £16.5 billion merger with Three UK was completed on 31 May 2025 (Vodafone Group Plc, 2025a), creating </w:t>
      </w:r>
      <w:proofErr w:type="spellStart"/>
      <w:r w:rsidR="00FB7382" w:rsidRPr="000257FF">
        <w:rPr>
          <w:rFonts w:ascii="Arial" w:hAnsi="Arial" w:cs="Arial"/>
        </w:rPr>
        <w:t>VodafoneThree</w:t>
      </w:r>
      <w:proofErr w:type="spellEnd"/>
      <w:r w:rsidR="00FB7382" w:rsidRPr="000257FF">
        <w:rPr>
          <w:rFonts w:ascii="Arial" w:hAnsi="Arial" w:cs="Arial"/>
        </w:rPr>
        <w:t xml:space="preserve">. On 30 July 2026, Vodafone moved to full ownership of the combined business following the £4.3 billion buyout of CK Hutchison's 49% stake (Vodafone Group Plc, 2026a). </w:t>
      </w:r>
    </w:p>
    <w:p w14:paraId="1440508F" w14:textId="77777777" w:rsidR="000257FF" w:rsidRPr="000257FF" w:rsidRDefault="000257FF" w:rsidP="00FB7382">
      <w:pPr>
        <w:spacing w:line="360" w:lineRule="auto"/>
        <w:jc w:val="both"/>
        <w:rPr>
          <w:rFonts w:ascii="Arial" w:hAnsi="Arial" w:cs="Arial"/>
        </w:rPr>
      </w:pPr>
    </w:p>
    <w:p w14:paraId="55C54999" w14:textId="5AD40E95" w:rsidR="00FB7382" w:rsidRPr="000257FF" w:rsidRDefault="00FB7382" w:rsidP="00FB7382">
      <w:pPr>
        <w:spacing w:line="360" w:lineRule="auto"/>
        <w:jc w:val="both"/>
        <w:rPr>
          <w:rFonts w:ascii="Arial" w:hAnsi="Arial" w:cs="Arial"/>
        </w:rPr>
      </w:pPr>
      <w:r w:rsidRPr="000257FF">
        <w:rPr>
          <w:rFonts w:ascii="Arial" w:hAnsi="Arial" w:cs="Arial"/>
        </w:rPr>
        <w:t xml:space="preserve">These developments have transformed Vodafone from a challenger to the UK's largest mobile operator, serving approximately 27-29 million customers (IG International, 2025; </w:t>
      </w:r>
      <w:proofErr w:type="spellStart"/>
      <w:r w:rsidRPr="000257FF">
        <w:rPr>
          <w:rFonts w:ascii="Arial" w:hAnsi="Arial" w:cs="Arial"/>
        </w:rPr>
        <w:t>VodafoneThree</w:t>
      </w:r>
      <w:proofErr w:type="spellEnd"/>
      <w:r w:rsidRPr="000257FF">
        <w:rPr>
          <w:rFonts w:ascii="Arial" w:hAnsi="Arial" w:cs="Arial"/>
        </w:rPr>
        <w:t>, 2026). This report evaluates Vodafone's current market position and recommends a growth strategy that builds on this newly created scale.</w:t>
      </w:r>
    </w:p>
    <w:p w14:paraId="0CA55A83" w14:textId="77777777" w:rsidR="00FB7382" w:rsidRPr="000257FF" w:rsidRDefault="00FB7382" w:rsidP="00FB7382">
      <w:pPr>
        <w:autoSpaceDE w:val="0"/>
        <w:autoSpaceDN w:val="0"/>
        <w:adjustRightInd w:val="0"/>
        <w:spacing w:line="360" w:lineRule="auto"/>
        <w:jc w:val="both"/>
        <w:rPr>
          <w:rFonts w:ascii="Arial" w:hAnsi="Arial" w:cs="Arial"/>
        </w:rPr>
      </w:pPr>
    </w:p>
    <w:p w14:paraId="18B2012A" w14:textId="77777777" w:rsidR="000257FF"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 xml:space="preserve">The market evaluation applies SWOT, PESTEL and Porter's Five Forces frameworks to evaluate Vodafone’s current market position. It finds that Vodafone's principal strengths are its enlarged spectrum and network footprint, its £11 billion decade-long infrastructure commitment, and it’s growing digital and financial services business (Vodafone Group Plc, 2025b). </w:t>
      </w:r>
    </w:p>
    <w:p w14:paraId="513A41D9" w14:textId="77777777" w:rsidR="000257FF" w:rsidRPr="000257FF" w:rsidRDefault="000257FF" w:rsidP="00FB7382">
      <w:pPr>
        <w:autoSpaceDE w:val="0"/>
        <w:autoSpaceDN w:val="0"/>
        <w:adjustRightInd w:val="0"/>
        <w:spacing w:line="360" w:lineRule="auto"/>
        <w:jc w:val="both"/>
        <w:rPr>
          <w:rFonts w:ascii="Arial" w:hAnsi="Arial" w:cs="Arial"/>
        </w:rPr>
      </w:pPr>
    </w:p>
    <w:p w14:paraId="3E8E0498" w14:textId="6BFA409A" w:rsidR="00FB7382"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 xml:space="preserve">However, it’s principal weaknesses are </w:t>
      </w:r>
      <w:r w:rsidR="00CD24BB" w:rsidRPr="000257FF">
        <w:rPr>
          <w:rFonts w:ascii="Arial" w:hAnsi="Arial" w:cs="Arial"/>
        </w:rPr>
        <w:t>persistent</w:t>
      </w:r>
      <w:r w:rsidRPr="000257FF">
        <w:rPr>
          <w:rFonts w:ascii="Arial" w:hAnsi="Arial" w:cs="Arial"/>
        </w:rPr>
        <w:t xml:space="preserve"> brand perception issues, integration risk from the merger and historically weaker 5G migration among its customer base, relative to rivals (</w:t>
      </w:r>
      <w:proofErr w:type="spellStart"/>
      <w:r w:rsidRPr="000257FF">
        <w:rPr>
          <w:rFonts w:ascii="Arial" w:hAnsi="Arial" w:cs="Arial"/>
        </w:rPr>
        <w:t>MyAmplifiers</w:t>
      </w:r>
      <w:proofErr w:type="spellEnd"/>
      <w:r w:rsidRPr="000257FF">
        <w:rPr>
          <w:rFonts w:ascii="Arial" w:hAnsi="Arial" w:cs="Arial"/>
        </w:rPr>
        <w:t>, 2026). The external environment is shaped by intense three-way infrastructure competition (</w:t>
      </w:r>
      <w:proofErr w:type="spellStart"/>
      <w:r w:rsidRPr="000257FF">
        <w:rPr>
          <w:rFonts w:ascii="Arial" w:hAnsi="Arial" w:cs="Arial"/>
        </w:rPr>
        <w:t>VodafoneThree</w:t>
      </w:r>
      <w:proofErr w:type="spellEnd"/>
      <w:r w:rsidRPr="000257FF">
        <w:rPr>
          <w:rFonts w:ascii="Arial" w:hAnsi="Arial" w:cs="Arial"/>
        </w:rPr>
        <w:t>, EE/BT, Virgin Media O2), tightening Ofcom regulation, and rising customer expectations around digital and sustainable services (Mordor Intelligence, 2026).</w:t>
      </w:r>
    </w:p>
    <w:p w14:paraId="69530D1D" w14:textId="77777777" w:rsidR="00FB7382" w:rsidRPr="000257FF" w:rsidRDefault="00FB7382" w:rsidP="00FB7382">
      <w:pPr>
        <w:autoSpaceDE w:val="0"/>
        <w:autoSpaceDN w:val="0"/>
        <w:adjustRightInd w:val="0"/>
        <w:spacing w:line="360" w:lineRule="auto"/>
        <w:jc w:val="both"/>
        <w:rPr>
          <w:rFonts w:ascii="Arial" w:hAnsi="Arial" w:cs="Arial"/>
        </w:rPr>
      </w:pPr>
    </w:p>
    <w:p w14:paraId="322AFFD5" w14:textId="28DBB3EE" w:rsidR="00FB7382"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 xml:space="preserve">This report recommends a market penetration and product/market development strategy, underpinned by differentiation generic strategy. This involves using the enlarged </w:t>
      </w:r>
      <w:proofErr w:type="spellStart"/>
      <w:r w:rsidRPr="000257FF">
        <w:rPr>
          <w:rFonts w:ascii="Arial" w:hAnsi="Arial" w:cs="Arial"/>
        </w:rPr>
        <w:t>VodafoneThree</w:t>
      </w:r>
      <w:proofErr w:type="spellEnd"/>
      <w:r w:rsidRPr="000257FF">
        <w:rPr>
          <w:rFonts w:ascii="Arial" w:hAnsi="Arial" w:cs="Arial"/>
        </w:rPr>
        <w:t xml:space="preserve"> network to deepen consumer and business market share in core UK connectivity, while accelerating growth in adjacent digital services (IoT</w:t>
      </w:r>
      <w:r w:rsidR="00DC71AC">
        <w:rPr>
          <w:rFonts w:ascii="Arial" w:hAnsi="Arial" w:cs="Arial"/>
        </w:rPr>
        <w:t xml:space="preserve"> - Internet of Things</w:t>
      </w:r>
      <w:r w:rsidRPr="000257FF">
        <w:rPr>
          <w:rFonts w:ascii="Arial" w:hAnsi="Arial" w:cs="Arial"/>
        </w:rPr>
        <w:t>, fixed-mobile convergence, cyber security and financial services) where Vodafone already has proven, above-market growth (Vodafone Group Plc, 2025b).</w:t>
      </w:r>
    </w:p>
    <w:p w14:paraId="36A5503E" w14:textId="77777777" w:rsidR="00FB7382" w:rsidRPr="000257FF" w:rsidRDefault="00FB7382" w:rsidP="00FB7382">
      <w:pPr>
        <w:autoSpaceDE w:val="0"/>
        <w:autoSpaceDN w:val="0"/>
        <w:adjustRightInd w:val="0"/>
        <w:spacing w:line="360" w:lineRule="auto"/>
        <w:jc w:val="both"/>
        <w:rPr>
          <w:rFonts w:ascii="Arial" w:hAnsi="Arial" w:cs="Arial"/>
        </w:rPr>
      </w:pPr>
    </w:p>
    <w:p w14:paraId="7F042765" w14:textId="5A63F897" w:rsidR="00FB7382"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Strategic evaluation using the suitability, feasibility and acceptability (SFA) framework confirms the strategy is well aligned to Vodafone's resources following full ownership consolidation. It is also financially feasible, given committed capex</w:t>
      </w:r>
      <w:r w:rsidR="00DC71AC">
        <w:rPr>
          <w:rFonts w:ascii="Arial" w:hAnsi="Arial" w:cs="Arial"/>
        </w:rPr>
        <w:t xml:space="preserve"> (capital expenditure)</w:t>
      </w:r>
      <w:r w:rsidRPr="000257FF">
        <w:rPr>
          <w:rFonts w:ascii="Arial" w:hAnsi="Arial" w:cs="Arial"/>
        </w:rPr>
        <w:t xml:space="preserve"> and free cash flow generation (Vodafone Group Plc, 2026b), and acceptable to shareholders and regulators, subject to careful management of integration and pricing risk.</w:t>
      </w:r>
    </w:p>
    <w:p w14:paraId="5D685BD4" w14:textId="77777777" w:rsidR="00FB7382" w:rsidRPr="000257FF" w:rsidRDefault="00FB7382" w:rsidP="00FB7382">
      <w:pPr>
        <w:autoSpaceDE w:val="0"/>
        <w:autoSpaceDN w:val="0"/>
        <w:adjustRightInd w:val="0"/>
        <w:spacing w:line="360" w:lineRule="auto"/>
        <w:jc w:val="both"/>
        <w:rPr>
          <w:rFonts w:ascii="Arial" w:hAnsi="Arial" w:cs="Arial"/>
        </w:rPr>
      </w:pPr>
    </w:p>
    <w:p w14:paraId="0797C3E3" w14:textId="62D1BE64" w:rsidR="00FB7382"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 xml:space="preserve">This report also assesses stakeholder impact using Mendelow's Power/Interest Matrix, drawing on Freeman's stakeholder theory to identify regulators, employees, and enterprise customers as priority groups requiring active engagement during integration. Therefore, this analysis sets out a phased implementation plan with clear KPIs across network, commercial and financial dimensions. The report concludes that full ownership of </w:t>
      </w:r>
      <w:proofErr w:type="spellStart"/>
      <w:r w:rsidRPr="000257FF">
        <w:rPr>
          <w:rFonts w:ascii="Arial" w:hAnsi="Arial" w:cs="Arial"/>
        </w:rPr>
        <w:t>VodafoneThree</w:t>
      </w:r>
      <w:proofErr w:type="spellEnd"/>
      <w:r w:rsidRPr="000257FF">
        <w:rPr>
          <w:rFonts w:ascii="Arial" w:hAnsi="Arial" w:cs="Arial"/>
        </w:rPr>
        <w:t>, combined with disciplined execution of the recommended strategy, positions Vodafone to convert its newly acquired scale into sustainable, profitable growth over the next three to five years.</w:t>
      </w:r>
    </w:p>
    <w:p w14:paraId="64429635" w14:textId="77777777" w:rsidR="00FB7382" w:rsidRDefault="00FB7382" w:rsidP="00FB7382">
      <w:pPr>
        <w:spacing w:line="360" w:lineRule="auto"/>
        <w:jc w:val="both"/>
        <w:rPr>
          <w:rFonts w:ascii="Arial" w:hAnsi="Arial" w:cs="Arial"/>
        </w:rPr>
      </w:pPr>
    </w:p>
    <w:p w14:paraId="698958AD" w14:textId="77777777" w:rsidR="00FB7382" w:rsidRPr="00A9697D" w:rsidRDefault="00FB7382" w:rsidP="00FB7382">
      <w:pPr>
        <w:pStyle w:val="Ttulo1"/>
        <w:jc w:val="both"/>
        <w:rPr>
          <w:rFonts w:ascii="Arial" w:hAnsi="Arial" w:cs="Arial"/>
          <w:sz w:val="36"/>
          <w:szCs w:val="36"/>
        </w:rPr>
      </w:pPr>
      <w:bookmarkStart w:id="3" w:name="_Toc237342826"/>
      <w:r w:rsidRPr="00A9697D">
        <w:rPr>
          <w:rFonts w:ascii="Arial" w:hAnsi="Arial" w:cs="Arial"/>
          <w:sz w:val="36"/>
          <w:szCs w:val="36"/>
        </w:rPr>
        <w:t xml:space="preserve">2. </w:t>
      </w:r>
      <w:r>
        <w:rPr>
          <w:rFonts w:ascii="Arial" w:hAnsi="Arial" w:cs="Arial"/>
          <w:sz w:val="36"/>
          <w:szCs w:val="36"/>
        </w:rPr>
        <w:t>INTRODUCTION TO VODAFONE</w:t>
      </w:r>
      <w:bookmarkEnd w:id="3"/>
    </w:p>
    <w:p w14:paraId="551BD47D" w14:textId="77777777" w:rsidR="00FB7382" w:rsidRDefault="00FB7382" w:rsidP="00FB7382">
      <w:pPr>
        <w:rPr>
          <w:rFonts w:ascii="Arial" w:hAnsi="Arial" w:cs="Arial"/>
        </w:rPr>
      </w:pPr>
    </w:p>
    <w:p w14:paraId="27B3B1FA" w14:textId="77777777" w:rsidR="00FB7382" w:rsidRDefault="00FB7382" w:rsidP="00FB7382">
      <w:pPr>
        <w:autoSpaceDE w:val="0"/>
        <w:autoSpaceDN w:val="0"/>
        <w:adjustRightInd w:val="0"/>
        <w:spacing w:line="360" w:lineRule="auto"/>
        <w:jc w:val="both"/>
        <w:rPr>
          <w:rFonts w:ascii="Arial" w:hAnsi="Arial" w:cs="Arial"/>
        </w:rPr>
      </w:pPr>
      <w:bookmarkStart w:id="4" w:name="_Toc194157741"/>
      <w:bookmarkStart w:id="5" w:name="_Toc194660811"/>
    </w:p>
    <w:p w14:paraId="33BF933F" w14:textId="77777777" w:rsidR="00FB7382"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Vodafone Group Plc is a British multinational telecommunications company headquartered in Newbury, England, and listed on the London Stock Exchange and Nasdaq. Founded in 1984 as a subsidiary of Racal Electronics, Vodafone grew through decades of international expansion into one of the world's largest telecommunications groups. Today, its operations are concentrated across Europe and Africa following a strategic simplification of its global portfolio, which includes the divestment of its Spanish and Italian operations in FY25 (Investing.com, 2025).</w:t>
      </w:r>
    </w:p>
    <w:p w14:paraId="5780A00B" w14:textId="77777777" w:rsidR="00FB7382" w:rsidRPr="000257FF" w:rsidRDefault="00FB7382" w:rsidP="00FB7382">
      <w:pPr>
        <w:autoSpaceDE w:val="0"/>
        <w:autoSpaceDN w:val="0"/>
        <w:adjustRightInd w:val="0"/>
        <w:spacing w:line="360" w:lineRule="auto"/>
        <w:jc w:val="both"/>
        <w:rPr>
          <w:rFonts w:ascii="Arial" w:hAnsi="Arial" w:cs="Arial"/>
        </w:rPr>
      </w:pPr>
    </w:p>
    <w:p w14:paraId="7C889CC2" w14:textId="01B11686" w:rsidR="00FB7382" w:rsidRPr="000257FF" w:rsidRDefault="00FB7382" w:rsidP="00FB7382">
      <w:pPr>
        <w:autoSpaceDE w:val="0"/>
        <w:autoSpaceDN w:val="0"/>
        <w:adjustRightInd w:val="0"/>
        <w:spacing w:line="360" w:lineRule="auto"/>
        <w:jc w:val="both"/>
        <w:rPr>
          <w:rFonts w:ascii="Arial" w:hAnsi="Arial" w:cs="Arial"/>
        </w:rPr>
      </w:pPr>
      <w:r w:rsidRPr="000257FF">
        <w:rPr>
          <w:rFonts w:ascii="Arial" w:hAnsi="Arial" w:cs="Arial"/>
        </w:rPr>
        <w:t>Vodafone's stated corporate purpose is "we connect for a better future", supported by its vision of becoming a leading technology communications company across Europe and Africa, enabling inclusive connectivity and a sustainable digital society (</w:t>
      </w:r>
      <w:proofErr w:type="spellStart"/>
      <w:r w:rsidRPr="000257FF">
        <w:rPr>
          <w:rFonts w:ascii="Arial" w:hAnsi="Arial" w:cs="Arial"/>
        </w:rPr>
        <w:t>MatrixBCG</w:t>
      </w:r>
      <w:proofErr w:type="spellEnd"/>
      <w:r w:rsidRPr="000257FF">
        <w:rPr>
          <w:rFonts w:ascii="Arial" w:hAnsi="Arial" w:cs="Arial"/>
        </w:rPr>
        <w:t xml:space="preserve">, 2026). Under the leadership of Group Chief Executive Margherita Della Valle, the company has pursued a transformation programme built on three pillars: </w:t>
      </w:r>
      <w:r w:rsidRPr="000257FF">
        <w:rPr>
          <w:rFonts w:ascii="Arial" w:hAnsi="Arial" w:cs="Arial"/>
        </w:rPr>
        <w:lastRenderedPageBreak/>
        <w:t>Customers, Simplicity and Growth. This has involved reshaping the European portfolio, resetting the capital structure, and expanding beyond core connectivity into digital services, IoT (</w:t>
      </w:r>
      <w:r w:rsidR="00B85A0D">
        <w:rPr>
          <w:rFonts w:ascii="Arial" w:hAnsi="Arial" w:cs="Arial"/>
        </w:rPr>
        <w:t>which means connected devices that exchange data through a network</w:t>
      </w:r>
      <w:r w:rsidRPr="000257FF">
        <w:rPr>
          <w:rFonts w:ascii="Arial" w:hAnsi="Arial" w:cs="Arial"/>
        </w:rPr>
        <w:t>) and financial services such as M-Pesa in Africa (Vodafone Group Plc, 2025b).</w:t>
      </w:r>
    </w:p>
    <w:p w14:paraId="1FF2CBB8" w14:textId="77777777" w:rsidR="00FB7382" w:rsidRPr="000257FF" w:rsidRDefault="00FB7382" w:rsidP="00FB7382">
      <w:pPr>
        <w:autoSpaceDE w:val="0"/>
        <w:autoSpaceDN w:val="0"/>
        <w:adjustRightInd w:val="0"/>
        <w:spacing w:line="360" w:lineRule="auto"/>
        <w:jc w:val="both"/>
        <w:rPr>
          <w:rFonts w:ascii="Arial" w:hAnsi="Arial" w:cs="Arial"/>
        </w:rPr>
      </w:pPr>
    </w:p>
    <w:p w14:paraId="407E1475" w14:textId="77777777" w:rsidR="00FB7382" w:rsidRDefault="00FB7382" w:rsidP="00FB7382">
      <w:pPr>
        <w:spacing w:line="360" w:lineRule="auto"/>
        <w:jc w:val="both"/>
        <w:rPr>
          <w:rFonts w:ascii="Arial" w:hAnsi="Arial" w:cs="Arial"/>
        </w:rPr>
      </w:pPr>
      <w:r w:rsidRPr="000257FF">
        <w:rPr>
          <w:rFonts w:ascii="Arial" w:hAnsi="Arial" w:cs="Arial"/>
        </w:rPr>
        <w:t>Vodafone's core values are captured in what it calls the "spirit of Vodafone", emphasising trust, inclusion, innovation and customer obsession (</w:t>
      </w:r>
      <w:proofErr w:type="spellStart"/>
      <w:r w:rsidRPr="000257FF">
        <w:rPr>
          <w:rFonts w:ascii="Arial" w:hAnsi="Arial" w:cs="Arial"/>
        </w:rPr>
        <w:t>MatrixBCG</w:t>
      </w:r>
      <w:proofErr w:type="spellEnd"/>
      <w:r w:rsidRPr="000257FF">
        <w:rPr>
          <w:rFonts w:ascii="Arial" w:hAnsi="Arial" w:cs="Arial"/>
        </w:rPr>
        <w:t xml:space="preserve">, 2026). In the UK specifically, Vodafone has historically operated as one of four mobile network operators, but its identity has been redefined by the 2025 merger with Three UK to form </w:t>
      </w:r>
      <w:proofErr w:type="spellStart"/>
      <w:r w:rsidRPr="000257FF">
        <w:rPr>
          <w:rFonts w:ascii="Arial" w:hAnsi="Arial" w:cs="Arial"/>
        </w:rPr>
        <w:t>VodafoneThree</w:t>
      </w:r>
      <w:proofErr w:type="spellEnd"/>
      <w:r w:rsidRPr="000257FF">
        <w:rPr>
          <w:rFonts w:ascii="Arial" w:hAnsi="Arial" w:cs="Arial"/>
        </w:rPr>
        <w:t>, and by Vodafone's subsequent move in July 2026 to full ownership of that combined business (Vodafone Group Plc, 2026a). This has repositioned Vodafone UK from a mid-scale competitor into the country's largest mobile operator and one of its fastest-growing full-fibre broadband providers, with an explicit long-term ambition to build "the UK's best network" (</w:t>
      </w:r>
      <w:proofErr w:type="spellStart"/>
      <w:r w:rsidRPr="000257FF">
        <w:rPr>
          <w:rFonts w:ascii="Arial" w:hAnsi="Arial" w:cs="Arial"/>
        </w:rPr>
        <w:t>VodafoneThree</w:t>
      </w:r>
      <w:proofErr w:type="spellEnd"/>
      <w:r w:rsidRPr="000257FF">
        <w:rPr>
          <w:rFonts w:ascii="Arial" w:hAnsi="Arial" w:cs="Arial"/>
        </w:rPr>
        <w:t>, 2026).</w:t>
      </w:r>
    </w:p>
    <w:p w14:paraId="3FE39256" w14:textId="77777777" w:rsidR="00FB7382" w:rsidRPr="002B0E9E" w:rsidRDefault="00FB7382" w:rsidP="00FB7382">
      <w:pPr>
        <w:spacing w:line="360" w:lineRule="auto"/>
        <w:jc w:val="both"/>
        <w:rPr>
          <w:rFonts w:ascii="Arial" w:hAnsi="Arial" w:cs="Arial"/>
        </w:rPr>
      </w:pPr>
    </w:p>
    <w:p w14:paraId="1871D22C" w14:textId="77777777" w:rsidR="00FB7382" w:rsidRPr="00A9697D" w:rsidRDefault="00FB7382" w:rsidP="00FB7382">
      <w:pPr>
        <w:pStyle w:val="Ttulo1"/>
        <w:rPr>
          <w:rFonts w:ascii="Arial" w:hAnsi="Arial" w:cs="Arial"/>
          <w:sz w:val="36"/>
          <w:szCs w:val="36"/>
        </w:rPr>
      </w:pPr>
      <w:bookmarkStart w:id="6" w:name="_Toc237342827"/>
      <w:r>
        <w:rPr>
          <w:rFonts w:ascii="Arial" w:hAnsi="Arial" w:cs="Arial"/>
          <w:sz w:val="36"/>
          <w:szCs w:val="36"/>
        </w:rPr>
        <w:t>3.</w:t>
      </w:r>
      <w:r w:rsidRPr="00A9697D">
        <w:rPr>
          <w:rFonts w:ascii="Arial" w:hAnsi="Arial" w:cs="Arial"/>
          <w:sz w:val="36"/>
          <w:szCs w:val="36"/>
        </w:rPr>
        <w:t xml:space="preserve"> </w:t>
      </w:r>
      <w:r>
        <w:rPr>
          <w:rFonts w:ascii="Arial" w:hAnsi="Arial" w:cs="Arial"/>
          <w:sz w:val="36"/>
          <w:szCs w:val="36"/>
        </w:rPr>
        <w:t>EVALUATION OF CURRENT MARKET SITUATION</w:t>
      </w:r>
      <w:bookmarkEnd w:id="6"/>
      <w:r>
        <w:rPr>
          <w:rFonts w:ascii="Arial" w:hAnsi="Arial" w:cs="Arial"/>
          <w:sz w:val="36"/>
          <w:szCs w:val="36"/>
        </w:rPr>
        <w:t xml:space="preserve"> </w:t>
      </w:r>
    </w:p>
    <w:p w14:paraId="6198AF29" w14:textId="77777777" w:rsidR="00FB7382" w:rsidRDefault="00FB7382" w:rsidP="00FB7382">
      <w:pPr>
        <w:pStyle w:val="Ttulo1"/>
        <w:spacing w:line="276" w:lineRule="auto"/>
        <w:rPr>
          <w:rFonts w:eastAsia="Times New Roman" w:cs="Times New Roman"/>
          <w:b w:val="0"/>
          <w:color w:val="auto"/>
          <w:sz w:val="24"/>
          <w:szCs w:val="24"/>
        </w:rPr>
      </w:pPr>
    </w:p>
    <w:p w14:paraId="3984952E" w14:textId="77777777" w:rsidR="00FB7382" w:rsidRPr="002B0E9E" w:rsidRDefault="00FB7382" w:rsidP="00FB7382">
      <w:pPr>
        <w:spacing w:line="360" w:lineRule="auto"/>
        <w:jc w:val="both"/>
        <w:rPr>
          <w:rFonts w:ascii="Arial" w:hAnsi="Arial" w:cs="Arial"/>
        </w:rPr>
      </w:pPr>
      <w:r w:rsidRPr="000257FF">
        <w:rPr>
          <w:rFonts w:ascii="Arial" w:hAnsi="Arial" w:cs="Arial"/>
        </w:rPr>
        <w:t xml:space="preserve">Vodafone UK's market situation has been reshaped fundamentally by consolidation. Following the completion of the Vodafone-Three merger in May 2025 (Vodafone Group Plc, 2025a), and Vodafone's move to full ownership of </w:t>
      </w:r>
      <w:proofErr w:type="spellStart"/>
      <w:r w:rsidRPr="000257FF">
        <w:rPr>
          <w:rFonts w:ascii="Arial" w:hAnsi="Arial" w:cs="Arial"/>
        </w:rPr>
        <w:t>VodafoneThree</w:t>
      </w:r>
      <w:proofErr w:type="spellEnd"/>
      <w:r w:rsidRPr="000257FF">
        <w:rPr>
          <w:rFonts w:ascii="Arial" w:hAnsi="Arial" w:cs="Arial"/>
        </w:rPr>
        <w:t xml:space="preserve"> in July 2026 (Vodafone Group Plc, 2026a), the UK mobile market has settled into three infrastructure-owning operators, </w:t>
      </w:r>
      <w:proofErr w:type="spellStart"/>
      <w:r w:rsidRPr="000257FF">
        <w:rPr>
          <w:rFonts w:ascii="Arial" w:hAnsi="Arial" w:cs="Arial"/>
        </w:rPr>
        <w:t>VodafoneThree</w:t>
      </w:r>
      <w:proofErr w:type="spellEnd"/>
      <w:r w:rsidRPr="000257FF">
        <w:rPr>
          <w:rFonts w:ascii="Arial" w:hAnsi="Arial" w:cs="Arial"/>
        </w:rPr>
        <w:t>, EE (BT Group) and Virgin Media O2, each pursuing scale, network quality and converged fixed-mobile propositions as the basis of competition (Mordor Intelligence, 2026). This section evaluates that environment using SWOT analysis, PESTEL analysis and Porter's Five Forces.</w:t>
      </w:r>
    </w:p>
    <w:p w14:paraId="2E5BE505" w14:textId="77777777" w:rsidR="00FB7382" w:rsidRDefault="00FB7382" w:rsidP="00FB7382">
      <w:pPr>
        <w:spacing w:line="360" w:lineRule="auto"/>
        <w:jc w:val="both"/>
        <w:rPr>
          <w:rFonts w:ascii="Arial" w:hAnsi="Arial" w:cs="Arial"/>
          <w:color w:val="000000"/>
        </w:rPr>
      </w:pPr>
    </w:p>
    <w:p w14:paraId="166DCC75" w14:textId="77777777" w:rsidR="00FB7382" w:rsidRDefault="00FB7382" w:rsidP="00FB7382">
      <w:pPr>
        <w:pStyle w:val="Ttulo2"/>
      </w:pPr>
      <w:bookmarkStart w:id="7" w:name="_Toc237342828"/>
      <w:r w:rsidRPr="00796ED3">
        <w:t xml:space="preserve">3.1 </w:t>
      </w:r>
      <w:r>
        <w:t>SWOT Analysis</w:t>
      </w:r>
      <w:bookmarkEnd w:id="7"/>
      <w:r>
        <w:t xml:space="preserve"> </w:t>
      </w:r>
    </w:p>
    <w:p w14:paraId="0D495D9A" w14:textId="77777777" w:rsidR="00FB7382" w:rsidRDefault="00FB7382" w:rsidP="00FB7382">
      <w:pPr>
        <w:spacing w:line="360" w:lineRule="auto"/>
        <w:jc w:val="both"/>
        <w:rPr>
          <w:rFonts w:ascii="Arial" w:hAnsi="Arial" w:cs="Arial"/>
          <w:color w:val="000000"/>
        </w:rPr>
      </w:pPr>
    </w:p>
    <w:p w14:paraId="5298A028" w14:textId="77777777" w:rsidR="00FB7382" w:rsidRDefault="00FB7382" w:rsidP="00FB7382">
      <w:pPr>
        <w:spacing w:line="360" w:lineRule="auto"/>
        <w:jc w:val="both"/>
        <w:rPr>
          <w:rFonts w:ascii="Arial" w:hAnsi="Arial" w:cs="Arial"/>
        </w:rPr>
      </w:pPr>
      <w:r w:rsidRPr="001C269C">
        <w:rPr>
          <w:rFonts w:ascii="Arial" w:hAnsi="Arial" w:cs="Arial"/>
        </w:rPr>
        <w:t>The SWOT framework, widely used to structure an organisation's internal capabilities against its external environment</w:t>
      </w:r>
      <w:r>
        <w:rPr>
          <w:rFonts w:ascii="Arial" w:hAnsi="Arial" w:cs="Arial"/>
        </w:rPr>
        <w:t xml:space="preserve"> </w:t>
      </w:r>
      <w:r w:rsidRPr="00022E3E">
        <w:rPr>
          <w:rFonts w:ascii="Arial" w:hAnsi="Arial" w:cs="Arial"/>
        </w:rPr>
        <w:t>(</w:t>
      </w:r>
      <w:proofErr w:type="spellStart"/>
      <w:r w:rsidRPr="00022E3E">
        <w:rPr>
          <w:rFonts w:ascii="Arial" w:hAnsi="Arial" w:cs="Arial"/>
        </w:rPr>
        <w:t>Benzaghta</w:t>
      </w:r>
      <w:proofErr w:type="spellEnd"/>
      <w:r w:rsidRPr="00022E3E">
        <w:rPr>
          <w:rFonts w:ascii="Arial" w:hAnsi="Arial" w:cs="Arial"/>
        </w:rPr>
        <w:t xml:space="preserve"> et al., 2021)</w:t>
      </w:r>
      <w:r w:rsidRPr="001C269C">
        <w:rPr>
          <w:rFonts w:ascii="Arial" w:hAnsi="Arial" w:cs="Arial"/>
        </w:rPr>
        <w:t xml:space="preserve"> is applied below to reflect Vodafone UK's position immediately following full consolidation of </w:t>
      </w:r>
      <w:proofErr w:type="spellStart"/>
      <w:r w:rsidRPr="001C269C">
        <w:rPr>
          <w:rFonts w:ascii="Arial" w:hAnsi="Arial" w:cs="Arial"/>
        </w:rPr>
        <w:t>VodafoneThree</w:t>
      </w:r>
      <w:proofErr w:type="spellEnd"/>
      <w:r w:rsidRPr="001C269C">
        <w:rPr>
          <w:rFonts w:ascii="Arial" w:hAnsi="Arial" w:cs="Arial"/>
        </w:rPr>
        <w:t>.</w:t>
      </w:r>
    </w:p>
    <w:p w14:paraId="4444F5BF" w14:textId="77777777" w:rsidR="00FB7382" w:rsidRPr="00B45937" w:rsidRDefault="00FB7382" w:rsidP="00FB7382">
      <w:pPr>
        <w:spacing w:line="360" w:lineRule="auto"/>
        <w:jc w:val="both"/>
        <w:rPr>
          <w:rFonts w:ascii="Arial" w:hAnsi="Arial" w:cs="Arial"/>
        </w:rPr>
      </w:pPr>
    </w:p>
    <w:tbl>
      <w:tblPr>
        <w:tblW w:w="8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26"/>
        <w:gridCol w:w="4226"/>
      </w:tblGrid>
      <w:tr w:rsidR="00FB7382" w:rsidRPr="00300575" w14:paraId="446E565C" w14:textId="77777777" w:rsidTr="00D1554C">
        <w:trPr>
          <w:trHeight w:val="419"/>
          <w:tblHeader/>
          <w:jc w:val="center"/>
        </w:trPr>
        <w:tc>
          <w:tcPr>
            <w:tcW w:w="4226" w:type="dxa"/>
            <w:shd w:val="clear" w:color="auto" w:fill="1B0459"/>
            <w:tcMar>
              <w:top w:w="80" w:type="dxa"/>
              <w:left w:w="100" w:type="dxa"/>
              <w:bottom w:w="80" w:type="dxa"/>
              <w:right w:w="100" w:type="dxa"/>
            </w:tcMar>
            <w:vAlign w:val="center"/>
          </w:tcPr>
          <w:p w14:paraId="24948AB6" w14:textId="77777777" w:rsidR="00FB7382" w:rsidRPr="00300575" w:rsidRDefault="00FB7382" w:rsidP="00D1554C">
            <w:pPr>
              <w:rPr>
                <w:rFonts w:ascii="Arial" w:hAnsi="Arial" w:cs="Arial"/>
                <w:sz w:val="20"/>
                <w:szCs w:val="20"/>
              </w:rPr>
            </w:pPr>
            <w:r w:rsidRPr="00300575">
              <w:rPr>
                <w:rFonts w:ascii="Arial" w:hAnsi="Arial" w:cs="Arial"/>
                <w:b/>
                <w:bCs/>
                <w:color w:val="FFFFFF"/>
                <w:sz w:val="20"/>
                <w:szCs w:val="20"/>
              </w:rPr>
              <w:lastRenderedPageBreak/>
              <w:t>Strengths</w:t>
            </w:r>
          </w:p>
        </w:tc>
        <w:tc>
          <w:tcPr>
            <w:tcW w:w="4226" w:type="dxa"/>
            <w:shd w:val="clear" w:color="auto" w:fill="1B0459"/>
            <w:tcMar>
              <w:top w:w="80" w:type="dxa"/>
              <w:left w:w="100" w:type="dxa"/>
              <w:bottom w:w="80" w:type="dxa"/>
              <w:right w:w="100" w:type="dxa"/>
            </w:tcMar>
            <w:vAlign w:val="center"/>
          </w:tcPr>
          <w:p w14:paraId="719A384A" w14:textId="77777777" w:rsidR="00FB7382" w:rsidRPr="00300575" w:rsidRDefault="00FB7382" w:rsidP="00D1554C">
            <w:pPr>
              <w:rPr>
                <w:rFonts w:ascii="Arial" w:hAnsi="Arial" w:cs="Arial"/>
                <w:sz w:val="20"/>
                <w:szCs w:val="20"/>
              </w:rPr>
            </w:pPr>
            <w:r w:rsidRPr="00300575">
              <w:rPr>
                <w:rFonts w:ascii="Arial" w:hAnsi="Arial" w:cs="Arial"/>
                <w:b/>
                <w:bCs/>
                <w:color w:val="FFFFFF"/>
                <w:sz w:val="20"/>
                <w:szCs w:val="20"/>
              </w:rPr>
              <w:t>Weaknesses</w:t>
            </w:r>
          </w:p>
        </w:tc>
      </w:tr>
      <w:tr w:rsidR="00FB7382" w:rsidRPr="00300575" w14:paraId="38279E02" w14:textId="77777777" w:rsidTr="00D1554C">
        <w:trPr>
          <w:trHeight w:val="1206"/>
          <w:jc w:val="center"/>
        </w:trPr>
        <w:tc>
          <w:tcPr>
            <w:tcW w:w="4226" w:type="dxa"/>
            <w:tcMar>
              <w:top w:w="80" w:type="dxa"/>
              <w:left w:w="100" w:type="dxa"/>
              <w:bottom w:w="80" w:type="dxa"/>
              <w:right w:w="100" w:type="dxa"/>
            </w:tcMar>
            <w:vAlign w:val="center"/>
          </w:tcPr>
          <w:p w14:paraId="57F3DB6A"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 xml:space="preserve">Largest UK mobile operator (~27-29m customers) following the Three merger and full </w:t>
            </w:r>
            <w:proofErr w:type="spellStart"/>
            <w:r w:rsidRPr="00300575">
              <w:rPr>
                <w:rFonts w:ascii="Arial" w:hAnsi="Arial" w:cs="Arial"/>
                <w:color w:val="000000"/>
                <w:sz w:val="20"/>
                <w:szCs w:val="20"/>
              </w:rPr>
              <w:t>VodafoneThree</w:t>
            </w:r>
            <w:proofErr w:type="spellEnd"/>
            <w:r w:rsidRPr="00300575">
              <w:rPr>
                <w:rFonts w:ascii="Arial" w:hAnsi="Arial" w:cs="Arial"/>
                <w:color w:val="000000"/>
                <w:sz w:val="20"/>
                <w:szCs w:val="20"/>
              </w:rPr>
              <w:t xml:space="preserve"> ownership (RCR Wireless News, 2025; Vodafone Group Plc, 2026a)</w:t>
            </w:r>
          </w:p>
        </w:tc>
        <w:tc>
          <w:tcPr>
            <w:tcW w:w="4226" w:type="dxa"/>
            <w:tcMar>
              <w:top w:w="80" w:type="dxa"/>
              <w:left w:w="100" w:type="dxa"/>
              <w:bottom w:w="80" w:type="dxa"/>
              <w:right w:w="100" w:type="dxa"/>
            </w:tcMar>
            <w:vAlign w:val="center"/>
          </w:tcPr>
          <w:p w14:paraId="41356319"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Integration risk: merging two networks, IT systems and cultures carries execution and cost risk (Verdict, 2026)</w:t>
            </w:r>
          </w:p>
        </w:tc>
      </w:tr>
      <w:tr w:rsidR="00FB7382" w:rsidRPr="00300575" w14:paraId="72F25154" w14:textId="77777777" w:rsidTr="00D1554C">
        <w:trPr>
          <w:trHeight w:val="951"/>
          <w:jc w:val="center"/>
        </w:trPr>
        <w:tc>
          <w:tcPr>
            <w:tcW w:w="4226" w:type="dxa"/>
            <w:tcMar>
              <w:top w:w="80" w:type="dxa"/>
              <w:left w:w="100" w:type="dxa"/>
              <w:bottom w:w="80" w:type="dxa"/>
              <w:right w:w="100" w:type="dxa"/>
            </w:tcMar>
            <w:vAlign w:val="center"/>
          </w:tcPr>
          <w:p w14:paraId="62E58A17"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£11bn committed decade-long network investment; UK's largest gigabit and mobile footprint (Vodafone Group Plc, 2025a)</w:t>
            </w:r>
          </w:p>
        </w:tc>
        <w:tc>
          <w:tcPr>
            <w:tcW w:w="4226" w:type="dxa"/>
            <w:tcMar>
              <w:top w:w="80" w:type="dxa"/>
              <w:left w:w="100" w:type="dxa"/>
              <w:bottom w:w="80" w:type="dxa"/>
              <w:right w:w="100" w:type="dxa"/>
            </w:tcMar>
            <w:vAlign w:val="center"/>
          </w:tcPr>
          <w:p w14:paraId="1AEF8C9E"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Historically low proportion of Vodafone's UK base migrated to 5G, c.24% (</w:t>
            </w:r>
            <w:proofErr w:type="spellStart"/>
            <w:r w:rsidRPr="00300575">
              <w:rPr>
                <w:rFonts w:ascii="Arial" w:hAnsi="Arial" w:cs="Arial"/>
                <w:color w:val="000000"/>
                <w:sz w:val="20"/>
                <w:szCs w:val="20"/>
              </w:rPr>
              <w:t>MyAmplifiers</w:t>
            </w:r>
            <w:proofErr w:type="spellEnd"/>
            <w:r w:rsidRPr="00300575">
              <w:rPr>
                <w:rFonts w:ascii="Arial" w:hAnsi="Arial" w:cs="Arial"/>
                <w:color w:val="000000"/>
                <w:sz w:val="20"/>
                <w:szCs w:val="20"/>
              </w:rPr>
              <w:t>, 2026)</w:t>
            </w:r>
          </w:p>
        </w:tc>
      </w:tr>
      <w:tr w:rsidR="00FB7382" w:rsidRPr="00300575" w14:paraId="057BD334" w14:textId="77777777" w:rsidTr="00D1554C">
        <w:trPr>
          <w:trHeight w:val="951"/>
          <w:jc w:val="center"/>
        </w:trPr>
        <w:tc>
          <w:tcPr>
            <w:tcW w:w="4226" w:type="dxa"/>
            <w:tcMar>
              <w:top w:w="80" w:type="dxa"/>
              <w:left w:w="100" w:type="dxa"/>
              <w:bottom w:w="80" w:type="dxa"/>
              <w:right w:w="100" w:type="dxa"/>
            </w:tcMar>
            <w:vAlign w:val="center"/>
          </w:tcPr>
          <w:p w14:paraId="5526EBBD"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Diversified, fast-growing digital and financial services arm; B2B digital services +26.1% over two years (Vodafone Group Plc, 2025b)</w:t>
            </w:r>
          </w:p>
        </w:tc>
        <w:tc>
          <w:tcPr>
            <w:tcW w:w="4226" w:type="dxa"/>
            <w:tcMar>
              <w:top w:w="80" w:type="dxa"/>
              <w:left w:w="100" w:type="dxa"/>
              <w:bottom w:w="80" w:type="dxa"/>
              <w:right w:w="100" w:type="dxa"/>
            </w:tcMar>
            <w:vAlign w:val="center"/>
          </w:tcPr>
          <w:p w14:paraId="512EA4F9"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Brand perception legacy of past customer-service criticism in the UK consumer market (Comms Business, 2025)</w:t>
            </w:r>
          </w:p>
        </w:tc>
      </w:tr>
      <w:tr w:rsidR="00FB7382" w:rsidRPr="00300575" w14:paraId="1F12BBA9" w14:textId="77777777" w:rsidTr="00D1554C">
        <w:trPr>
          <w:trHeight w:val="951"/>
          <w:jc w:val="center"/>
        </w:trPr>
        <w:tc>
          <w:tcPr>
            <w:tcW w:w="4226" w:type="dxa"/>
            <w:tcMar>
              <w:top w:w="80" w:type="dxa"/>
              <w:left w:w="100" w:type="dxa"/>
              <w:bottom w:w="80" w:type="dxa"/>
              <w:right w:w="100" w:type="dxa"/>
            </w:tcMar>
            <w:vAlign w:val="center"/>
          </w:tcPr>
          <w:p w14:paraId="7A623732"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Strong Vodafone Business momentum, +4.0% organic service revenue in FY25 (Vodafone Group Plc, 2025b)</w:t>
            </w:r>
          </w:p>
        </w:tc>
        <w:tc>
          <w:tcPr>
            <w:tcW w:w="4226" w:type="dxa"/>
            <w:tcMar>
              <w:top w:w="80" w:type="dxa"/>
              <w:left w:w="100" w:type="dxa"/>
              <w:bottom w:w="80" w:type="dxa"/>
              <w:right w:w="100" w:type="dxa"/>
            </w:tcMar>
            <w:vAlign w:val="center"/>
          </w:tcPr>
          <w:p w14:paraId="24EC7A0B" w14:textId="77777777" w:rsidR="00FB7382" w:rsidRPr="00300575" w:rsidRDefault="00FB7382" w:rsidP="00D1554C">
            <w:pPr>
              <w:rPr>
                <w:rFonts w:ascii="Arial" w:hAnsi="Arial" w:cs="Arial"/>
                <w:sz w:val="20"/>
                <w:szCs w:val="20"/>
              </w:rPr>
            </w:pPr>
            <w:r w:rsidRPr="00300575">
              <w:rPr>
                <w:rFonts w:ascii="Arial" w:hAnsi="Arial" w:cs="Arial"/>
                <w:color w:val="000000"/>
                <w:sz w:val="20"/>
                <w:szCs w:val="20"/>
              </w:rPr>
              <w:t>Higher net debt following the £4.3bn CKHGT buyout, increasing Group leverage (</w:t>
            </w:r>
            <w:proofErr w:type="spellStart"/>
            <w:r w:rsidRPr="00300575">
              <w:rPr>
                <w:rFonts w:ascii="Arial" w:hAnsi="Arial" w:cs="Arial"/>
                <w:color w:val="000000"/>
                <w:sz w:val="20"/>
                <w:szCs w:val="20"/>
              </w:rPr>
              <w:t>TelecomTV</w:t>
            </w:r>
            <w:proofErr w:type="spellEnd"/>
            <w:r w:rsidRPr="00300575">
              <w:rPr>
                <w:rFonts w:ascii="Arial" w:hAnsi="Arial" w:cs="Arial"/>
                <w:color w:val="000000"/>
                <w:sz w:val="20"/>
                <w:szCs w:val="20"/>
              </w:rPr>
              <w:t>, 2026)</w:t>
            </w:r>
          </w:p>
        </w:tc>
      </w:tr>
      <w:tr w:rsidR="00FB7382" w:rsidRPr="00300575" w14:paraId="509FC8C3" w14:textId="77777777" w:rsidTr="00D1554C">
        <w:trPr>
          <w:trHeight w:val="419"/>
          <w:jc w:val="center"/>
        </w:trPr>
        <w:tc>
          <w:tcPr>
            <w:tcW w:w="4226" w:type="dxa"/>
            <w:tcBorders>
              <w:top w:val="single" w:sz="4" w:space="0" w:color="auto"/>
              <w:left w:val="single" w:sz="4" w:space="0" w:color="auto"/>
              <w:bottom w:val="single" w:sz="4" w:space="0" w:color="auto"/>
              <w:right w:val="single" w:sz="4" w:space="0" w:color="auto"/>
            </w:tcBorders>
            <w:shd w:val="clear" w:color="auto" w:fill="002060"/>
            <w:tcMar>
              <w:top w:w="80" w:type="dxa"/>
              <w:left w:w="100" w:type="dxa"/>
              <w:bottom w:w="80" w:type="dxa"/>
              <w:right w:w="100" w:type="dxa"/>
            </w:tcMar>
            <w:vAlign w:val="center"/>
          </w:tcPr>
          <w:p w14:paraId="2CB5F6B2" w14:textId="77777777" w:rsidR="00FB7382" w:rsidRPr="00300575" w:rsidRDefault="00FB7382" w:rsidP="00D1554C">
            <w:pPr>
              <w:rPr>
                <w:rFonts w:ascii="Arial" w:hAnsi="Arial" w:cs="Arial"/>
                <w:b/>
                <w:bCs/>
                <w:color w:val="FFFFFF"/>
                <w:sz w:val="20"/>
                <w:szCs w:val="20"/>
              </w:rPr>
            </w:pPr>
            <w:r w:rsidRPr="00300575">
              <w:rPr>
                <w:rFonts w:ascii="Arial" w:hAnsi="Arial" w:cs="Arial"/>
                <w:b/>
                <w:bCs/>
                <w:color w:val="FFFFFF"/>
                <w:sz w:val="20"/>
                <w:szCs w:val="20"/>
              </w:rPr>
              <w:t>Opportunities</w:t>
            </w:r>
          </w:p>
        </w:tc>
        <w:tc>
          <w:tcPr>
            <w:tcW w:w="4226" w:type="dxa"/>
            <w:tcBorders>
              <w:top w:val="single" w:sz="4" w:space="0" w:color="auto"/>
              <w:left w:val="single" w:sz="4" w:space="0" w:color="auto"/>
              <w:bottom w:val="single" w:sz="4" w:space="0" w:color="auto"/>
              <w:right w:val="single" w:sz="4" w:space="0" w:color="auto"/>
            </w:tcBorders>
            <w:shd w:val="clear" w:color="auto" w:fill="002060"/>
            <w:tcMar>
              <w:top w:w="80" w:type="dxa"/>
              <w:left w:w="100" w:type="dxa"/>
              <w:bottom w:w="80" w:type="dxa"/>
              <w:right w:w="100" w:type="dxa"/>
            </w:tcMar>
            <w:vAlign w:val="center"/>
          </w:tcPr>
          <w:p w14:paraId="5BC5DC42" w14:textId="77777777" w:rsidR="00FB7382" w:rsidRPr="00300575" w:rsidRDefault="00FB7382" w:rsidP="00D1554C">
            <w:pPr>
              <w:rPr>
                <w:rFonts w:ascii="Arial" w:hAnsi="Arial" w:cs="Arial"/>
                <w:b/>
                <w:bCs/>
                <w:color w:val="FFFFFF"/>
                <w:sz w:val="20"/>
                <w:szCs w:val="20"/>
              </w:rPr>
            </w:pPr>
            <w:r w:rsidRPr="00300575">
              <w:rPr>
                <w:rFonts w:ascii="Arial" w:hAnsi="Arial" w:cs="Arial"/>
                <w:b/>
                <w:bCs/>
                <w:color w:val="FFFFFF"/>
                <w:sz w:val="20"/>
                <w:szCs w:val="20"/>
              </w:rPr>
              <w:t>Threats</w:t>
            </w:r>
          </w:p>
        </w:tc>
      </w:tr>
      <w:tr w:rsidR="00FB7382" w:rsidRPr="00300575" w14:paraId="3B57386D" w14:textId="77777777" w:rsidTr="00D1554C">
        <w:trPr>
          <w:trHeight w:val="951"/>
          <w:jc w:val="center"/>
        </w:trPr>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1CE5B330"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 xml:space="preserve">Full ownership of </w:t>
            </w:r>
            <w:proofErr w:type="spellStart"/>
            <w:r w:rsidRPr="00300575">
              <w:rPr>
                <w:rFonts w:ascii="Arial" w:hAnsi="Arial" w:cs="Arial"/>
                <w:color w:val="000000"/>
                <w:sz w:val="20"/>
                <w:szCs w:val="20"/>
              </w:rPr>
              <w:t>VodafoneThree</w:t>
            </w:r>
            <w:proofErr w:type="spellEnd"/>
            <w:r w:rsidRPr="00300575">
              <w:rPr>
                <w:rFonts w:ascii="Arial" w:hAnsi="Arial" w:cs="Arial"/>
                <w:color w:val="000000"/>
                <w:sz w:val="20"/>
                <w:szCs w:val="20"/>
              </w:rPr>
              <w:t xml:space="preserve"> enables faster decision-making and capture of £700m annual synergies by FY30 (Vodafone Group Plc, 2026a)</w:t>
            </w:r>
          </w:p>
        </w:tc>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331803D1"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Intense three-way infrastructure competition from BT/EE and Virgin Media O2 (Mordor Intelligence, 2026)</w:t>
            </w:r>
          </w:p>
        </w:tc>
      </w:tr>
      <w:tr w:rsidR="00FB7382" w:rsidRPr="00300575" w14:paraId="1B736D73" w14:textId="77777777" w:rsidTr="00D1554C">
        <w:trPr>
          <w:trHeight w:val="951"/>
          <w:jc w:val="center"/>
        </w:trPr>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1C1C7CB9"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 xml:space="preserve">5G Standalone roll-out and satellite mobile trials open new enterprise and IoT revenue streams (Sphere </w:t>
            </w:r>
            <w:proofErr w:type="spellStart"/>
            <w:r w:rsidRPr="00300575">
              <w:rPr>
                <w:rFonts w:ascii="Arial" w:hAnsi="Arial" w:cs="Arial"/>
                <w:color w:val="000000"/>
                <w:sz w:val="20"/>
                <w:szCs w:val="20"/>
              </w:rPr>
              <w:t>eMagazine</w:t>
            </w:r>
            <w:proofErr w:type="spellEnd"/>
            <w:r w:rsidRPr="00300575">
              <w:rPr>
                <w:rFonts w:ascii="Arial" w:hAnsi="Arial" w:cs="Arial"/>
                <w:color w:val="000000"/>
                <w:sz w:val="20"/>
                <w:szCs w:val="20"/>
              </w:rPr>
              <w:t>, 2025)</w:t>
            </w:r>
          </w:p>
        </w:tc>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BE997DB"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Continued Ofcom regulatory scrutiny, including the National Security and Investment Act review of the CKHGT buyout (</w:t>
            </w:r>
            <w:proofErr w:type="spellStart"/>
            <w:r w:rsidRPr="00300575">
              <w:rPr>
                <w:rFonts w:ascii="Arial" w:hAnsi="Arial" w:cs="Arial"/>
                <w:color w:val="000000"/>
                <w:sz w:val="20"/>
                <w:szCs w:val="20"/>
              </w:rPr>
              <w:t>VodafoneThree</w:t>
            </w:r>
            <w:proofErr w:type="spellEnd"/>
            <w:r w:rsidRPr="00300575">
              <w:rPr>
                <w:rFonts w:ascii="Arial" w:hAnsi="Arial" w:cs="Arial"/>
                <w:color w:val="000000"/>
                <w:sz w:val="20"/>
                <w:szCs w:val="20"/>
              </w:rPr>
              <w:t>, 2026)</w:t>
            </w:r>
          </w:p>
        </w:tc>
      </w:tr>
      <w:tr w:rsidR="00FB7382" w:rsidRPr="00300575" w14:paraId="643C3812" w14:textId="77777777" w:rsidTr="00D1554C">
        <w:trPr>
          <w:trHeight w:val="932"/>
          <w:jc w:val="center"/>
        </w:trPr>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363A93CB"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Fixed-mobile convergence and full-fibre broadband growth, 227,000 net adds in FY25 (Comms Business, 2025)</w:t>
            </w:r>
          </w:p>
        </w:tc>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044A360"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Price-sensitive UK consumer market and MVNO competition compressing ARPU (Mordor Intelligence, 2026)</w:t>
            </w:r>
          </w:p>
        </w:tc>
      </w:tr>
      <w:tr w:rsidR="00FB7382" w:rsidRPr="00300575" w14:paraId="3A75FC04" w14:textId="77777777" w:rsidTr="00D1554C">
        <w:trPr>
          <w:trHeight w:val="951"/>
          <w:jc w:val="center"/>
        </w:trPr>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753FEC18"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Cross-sell of financial services, cyber security and AI-enabled digital products to the enlarged customer base (Vodafone Group Plc, 2025b)</w:t>
            </w:r>
          </w:p>
        </w:tc>
        <w:tc>
          <w:tcPr>
            <w:tcW w:w="4226"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30514FFA" w14:textId="77777777" w:rsidR="00FB7382" w:rsidRPr="00300575" w:rsidRDefault="00FB7382" w:rsidP="00D1554C">
            <w:pPr>
              <w:rPr>
                <w:rFonts w:ascii="Arial" w:hAnsi="Arial" w:cs="Arial"/>
                <w:color w:val="000000"/>
                <w:sz w:val="20"/>
                <w:szCs w:val="20"/>
              </w:rPr>
            </w:pPr>
            <w:r w:rsidRPr="00300575">
              <w:rPr>
                <w:rFonts w:ascii="Arial" w:hAnsi="Arial" w:cs="Arial"/>
                <w:color w:val="000000"/>
                <w:sz w:val="20"/>
                <w:szCs w:val="20"/>
              </w:rPr>
              <w:t>Macroeconomic pressure on consumer spending and inflation-linked cost increases affecting affordability</w:t>
            </w:r>
          </w:p>
        </w:tc>
      </w:tr>
    </w:tbl>
    <w:p w14:paraId="5B520942" w14:textId="77777777" w:rsidR="00FB7382" w:rsidRPr="00300575" w:rsidRDefault="00FB7382" w:rsidP="00FB7382">
      <w:pPr>
        <w:spacing w:before="60" w:after="220"/>
        <w:rPr>
          <w:rFonts w:ascii="Arial" w:hAnsi="Arial" w:cs="Arial"/>
          <w:sz w:val="20"/>
          <w:szCs w:val="20"/>
        </w:rPr>
      </w:pPr>
      <w:r>
        <w:rPr>
          <w:rFonts w:ascii="Arial" w:hAnsi="Arial" w:cs="Arial"/>
          <w:i/>
          <w:iCs/>
          <w:color w:val="595959"/>
          <w:sz w:val="20"/>
          <w:szCs w:val="20"/>
        </w:rPr>
        <w:t xml:space="preserve">    </w:t>
      </w:r>
      <w:r w:rsidRPr="00300575">
        <w:rPr>
          <w:rFonts w:ascii="Arial" w:hAnsi="Arial" w:cs="Arial"/>
          <w:i/>
          <w:iCs/>
          <w:color w:val="595959"/>
          <w:sz w:val="20"/>
          <w:szCs w:val="20"/>
        </w:rPr>
        <w:t xml:space="preserve">Table 1: SWOT analysis of Vodafone UK / </w:t>
      </w:r>
      <w:proofErr w:type="spellStart"/>
      <w:r w:rsidRPr="00300575">
        <w:rPr>
          <w:rFonts w:ascii="Arial" w:hAnsi="Arial" w:cs="Arial"/>
          <w:i/>
          <w:iCs/>
          <w:color w:val="595959"/>
          <w:sz w:val="20"/>
          <w:szCs w:val="20"/>
        </w:rPr>
        <w:t>VodafoneThree</w:t>
      </w:r>
      <w:proofErr w:type="spellEnd"/>
      <w:r w:rsidRPr="00300575">
        <w:rPr>
          <w:rFonts w:ascii="Arial" w:hAnsi="Arial" w:cs="Arial"/>
          <w:i/>
          <w:iCs/>
          <w:color w:val="595959"/>
          <w:sz w:val="20"/>
          <w:szCs w:val="20"/>
        </w:rPr>
        <w:t>, July 2026.</w:t>
      </w:r>
    </w:p>
    <w:p w14:paraId="753A00B7" w14:textId="77777777" w:rsidR="00FB7382" w:rsidRDefault="00FB7382" w:rsidP="00FB7382">
      <w:pPr>
        <w:spacing w:line="360" w:lineRule="auto"/>
        <w:jc w:val="both"/>
        <w:rPr>
          <w:rFonts w:ascii="Arial" w:hAnsi="Arial" w:cs="Arial"/>
          <w:color w:val="000000"/>
        </w:rPr>
      </w:pPr>
    </w:p>
    <w:p w14:paraId="4D3A6138" w14:textId="77777777" w:rsidR="00FB7382" w:rsidRDefault="00FB7382" w:rsidP="00FB7382">
      <w:pPr>
        <w:pStyle w:val="Ttulo2"/>
      </w:pPr>
      <w:bookmarkStart w:id="8" w:name="_Toc237342829"/>
      <w:r w:rsidRPr="00A2495C">
        <w:t>3.</w:t>
      </w:r>
      <w:r>
        <w:t>2</w:t>
      </w:r>
      <w:r w:rsidRPr="00A2495C">
        <w:t xml:space="preserve"> </w:t>
      </w:r>
      <w:r>
        <w:t>Pestel Analysis</w:t>
      </w:r>
      <w:bookmarkEnd w:id="8"/>
    </w:p>
    <w:p w14:paraId="53B07B08" w14:textId="77777777" w:rsidR="00FB7382" w:rsidRPr="001C269C" w:rsidRDefault="00FB7382" w:rsidP="00FB7382">
      <w:pPr>
        <w:spacing w:line="360" w:lineRule="auto"/>
        <w:jc w:val="both"/>
        <w:rPr>
          <w:rFonts w:ascii="Arial" w:hAnsi="Arial" w:cs="Arial"/>
        </w:rPr>
      </w:pPr>
    </w:p>
    <w:p w14:paraId="346CCC01" w14:textId="77777777" w:rsidR="00FB7382" w:rsidRDefault="00FB7382" w:rsidP="00FB7382">
      <w:pPr>
        <w:spacing w:line="360" w:lineRule="auto"/>
        <w:jc w:val="both"/>
        <w:rPr>
          <w:rFonts w:ascii="Arial" w:hAnsi="Arial" w:cs="Arial"/>
        </w:rPr>
      </w:pPr>
      <w:r w:rsidRPr="001C269C">
        <w:rPr>
          <w:rFonts w:ascii="Arial" w:hAnsi="Arial" w:cs="Arial"/>
        </w:rPr>
        <w:t>A PESTEL analysis, an extension of environmental scanning approaches</w:t>
      </w:r>
      <w:r>
        <w:rPr>
          <w:rFonts w:ascii="Arial" w:hAnsi="Arial" w:cs="Arial"/>
        </w:rPr>
        <w:t xml:space="preserve">, </w:t>
      </w:r>
      <w:r w:rsidRPr="001C269C">
        <w:rPr>
          <w:rFonts w:ascii="Arial" w:hAnsi="Arial" w:cs="Arial"/>
        </w:rPr>
        <w:t>originally developed to help managers systematically assess macro-environmental forces (Johnson et al., 2020), identifies the political, economic, social, technological, environmental and legal forces shaping Vodafone's UK strategy.</w:t>
      </w:r>
    </w:p>
    <w:p w14:paraId="4CDB23FF" w14:textId="77777777" w:rsidR="00FB7382" w:rsidRPr="00300575" w:rsidRDefault="00FB7382" w:rsidP="00FB7382">
      <w:pPr>
        <w:spacing w:line="360" w:lineRule="auto"/>
        <w:jc w:val="both"/>
        <w:rPr>
          <w:rFonts w:ascii="Arial" w:hAnsi="Arial" w:cs="Arial"/>
        </w:rPr>
      </w:pP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6400"/>
      </w:tblGrid>
      <w:tr w:rsidR="00FB7382" w:rsidRPr="0036728D" w14:paraId="0A59FDB5" w14:textId="77777777" w:rsidTr="00D1554C">
        <w:trPr>
          <w:tblHeader/>
          <w:jc w:val="center"/>
        </w:trPr>
        <w:tc>
          <w:tcPr>
            <w:tcW w:w="2000" w:type="dxa"/>
            <w:shd w:val="clear" w:color="auto" w:fill="1B0459"/>
            <w:tcMar>
              <w:top w:w="80" w:type="dxa"/>
              <w:left w:w="100" w:type="dxa"/>
              <w:bottom w:w="80" w:type="dxa"/>
              <w:right w:w="100" w:type="dxa"/>
            </w:tcMar>
            <w:vAlign w:val="center"/>
          </w:tcPr>
          <w:p w14:paraId="0E00BB1E"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Factor</w:t>
            </w:r>
          </w:p>
        </w:tc>
        <w:tc>
          <w:tcPr>
            <w:tcW w:w="6400" w:type="dxa"/>
            <w:shd w:val="clear" w:color="auto" w:fill="1B0459"/>
            <w:tcMar>
              <w:top w:w="80" w:type="dxa"/>
              <w:left w:w="100" w:type="dxa"/>
              <w:bottom w:w="80" w:type="dxa"/>
              <w:right w:w="100" w:type="dxa"/>
            </w:tcMar>
            <w:vAlign w:val="center"/>
          </w:tcPr>
          <w:p w14:paraId="4D171A55"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Implication for Vodafone UK</w:t>
            </w:r>
          </w:p>
        </w:tc>
      </w:tr>
      <w:tr w:rsidR="00FB7382" w:rsidRPr="0036728D" w14:paraId="4B951963" w14:textId="77777777" w:rsidTr="00D1554C">
        <w:trPr>
          <w:jc w:val="center"/>
        </w:trPr>
        <w:tc>
          <w:tcPr>
            <w:tcW w:w="2000" w:type="dxa"/>
            <w:tcMar>
              <w:top w:w="80" w:type="dxa"/>
              <w:left w:w="100" w:type="dxa"/>
              <w:bottom w:w="80" w:type="dxa"/>
              <w:right w:w="100" w:type="dxa"/>
            </w:tcMar>
            <w:vAlign w:val="center"/>
          </w:tcPr>
          <w:p w14:paraId="3966BF8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Political</w:t>
            </w:r>
          </w:p>
        </w:tc>
        <w:tc>
          <w:tcPr>
            <w:tcW w:w="6400" w:type="dxa"/>
            <w:tcMar>
              <w:top w:w="80" w:type="dxa"/>
              <w:left w:w="100" w:type="dxa"/>
              <w:bottom w:w="80" w:type="dxa"/>
              <w:right w:w="100" w:type="dxa"/>
            </w:tcMar>
            <w:vAlign w:val="center"/>
          </w:tcPr>
          <w:p w14:paraId="35CE6F6B"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UK Government support for digital infrastructure and 5G rollout; CMA approval (2025) and National Security and Investment Act review (2026) of telecoms consolidation directly shape Vodafone's ability to integrate and expand (Vodafone Group Plc, 2026a).</w:t>
            </w:r>
          </w:p>
        </w:tc>
      </w:tr>
      <w:tr w:rsidR="00FB7382" w:rsidRPr="0036728D" w14:paraId="50610B82" w14:textId="77777777" w:rsidTr="00D1554C">
        <w:trPr>
          <w:jc w:val="center"/>
        </w:trPr>
        <w:tc>
          <w:tcPr>
            <w:tcW w:w="2000" w:type="dxa"/>
            <w:tcMar>
              <w:top w:w="80" w:type="dxa"/>
              <w:left w:w="100" w:type="dxa"/>
              <w:bottom w:w="80" w:type="dxa"/>
              <w:right w:w="100" w:type="dxa"/>
            </w:tcMar>
            <w:vAlign w:val="center"/>
          </w:tcPr>
          <w:p w14:paraId="31FBC9AD"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Economic</w:t>
            </w:r>
          </w:p>
        </w:tc>
        <w:tc>
          <w:tcPr>
            <w:tcW w:w="6400" w:type="dxa"/>
            <w:tcMar>
              <w:top w:w="80" w:type="dxa"/>
              <w:left w:w="100" w:type="dxa"/>
              <w:bottom w:w="80" w:type="dxa"/>
              <w:right w:w="100" w:type="dxa"/>
            </w:tcMar>
            <w:vAlign w:val="center"/>
          </w:tcPr>
          <w:p w14:paraId="2374BC1B"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UK inflation and cost-of-living pressure affect consumer spend on mobile/broadband contracts; sterling movements affect Group reporting given Vodafone's euro-denominated accounts (Investing.com, 2025).</w:t>
            </w:r>
          </w:p>
        </w:tc>
      </w:tr>
      <w:tr w:rsidR="00FB7382" w:rsidRPr="0036728D" w14:paraId="7BF36CA2" w14:textId="77777777" w:rsidTr="00D1554C">
        <w:trPr>
          <w:jc w:val="center"/>
        </w:trPr>
        <w:tc>
          <w:tcPr>
            <w:tcW w:w="2000" w:type="dxa"/>
            <w:tcMar>
              <w:top w:w="80" w:type="dxa"/>
              <w:left w:w="100" w:type="dxa"/>
              <w:bottom w:w="80" w:type="dxa"/>
              <w:right w:w="100" w:type="dxa"/>
            </w:tcMar>
            <w:vAlign w:val="center"/>
          </w:tcPr>
          <w:p w14:paraId="360360C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Social</w:t>
            </w:r>
          </w:p>
        </w:tc>
        <w:tc>
          <w:tcPr>
            <w:tcW w:w="6400" w:type="dxa"/>
            <w:tcMar>
              <w:top w:w="80" w:type="dxa"/>
              <w:left w:w="100" w:type="dxa"/>
              <w:bottom w:w="80" w:type="dxa"/>
              <w:right w:w="100" w:type="dxa"/>
            </w:tcMar>
            <w:vAlign w:val="center"/>
          </w:tcPr>
          <w:p w14:paraId="3AA58BDD"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Rising expectations for seamless connectivity, digital inclusion and sustainability; growing demand for convergent home-and-mobile bundles and remote/flexible working driving data consumption (</w:t>
            </w:r>
            <w:proofErr w:type="spellStart"/>
            <w:r w:rsidRPr="0036728D">
              <w:rPr>
                <w:rFonts w:ascii="Arial" w:hAnsi="Arial" w:cs="Arial"/>
                <w:color w:val="000000"/>
                <w:sz w:val="20"/>
                <w:szCs w:val="20"/>
              </w:rPr>
              <w:t>MatrixBCG</w:t>
            </w:r>
            <w:proofErr w:type="spellEnd"/>
            <w:r w:rsidRPr="0036728D">
              <w:rPr>
                <w:rFonts w:ascii="Arial" w:hAnsi="Arial" w:cs="Arial"/>
                <w:color w:val="000000"/>
                <w:sz w:val="20"/>
                <w:szCs w:val="20"/>
              </w:rPr>
              <w:t>, 2026).</w:t>
            </w:r>
          </w:p>
        </w:tc>
      </w:tr>
      <w:tr w:rsidR="00FB7382" w:rsidRPr="0036728D" w14:paraId="58A3B2D6" w14:textId="77777777" w:rsidTr="00D1554C">
        <w:trPr>
          <w:jc w:val="center"/>
        </w:trPr>
        <w:tc>
          <w:tcPr>
            <w:tcW w:w="2000" w:type="dxa"/>
            <w:tcMar>
              <w:top w:w="80" w:type="dxa"/>
              <w:left w:w="100" w:type="dxa"/>
              <w:bottom w:w="80" w:type="dxa"/>
              <w:right w:w="100" w:type="dxa"/>
            </w:tcMar>
            <w:vAlign w:val="center"/>
          </w:tcPr>
          <w:p w14:paraId="449B6A6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Technological</w:t>
            </w:r>
          </w:p>
        </w:tc>
        <w:tc>
          <w:tcPr>
            <w:tcW w:w="6400" w:type="dxa"/>
            <w:tcMar>
              <w:top w:w="80" w:type="dxa"/>
              <w:left w:w="100" w:type="dxa"/>
              <w:bottom w:w="80" w:type="dxa"/>
              <w:right w:w="100" w:type="dxa"/>
            </w:tcMar>
            <w:vAlign w:val="center"/>
          </w:tcPr>
          <w:p w14:paraId="194DCC4F"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Rapid transition to 5G Standalone, Open RAN, AI-enabled network management, IoT and early-stage satellite-to-mobile connectivity are reshaping competitive differentiation (</w:t>
            </w:r>
            <w:proofErr w:type="spellStart"/>
            <w:r w:rsidRPr="0036728D">
              <w:rPr>
                <w:rFonts w:ascii="Arial" w:hAnsi="Arial" w:cs="Arial"/>
                <w:color w:val="000000"/>
                <w:sz w:val="20"/>
                <w:szCs w:val="20"/>
              </w:rPr>
              <w:t>Opensignal</w:t>
            </w:r>
            <w:proofErr w:type="spellEnd"/>
            <w:r w:rsidRPr="0036728D">
              <w:rPr>
                <w:rFonts w:ascii="Arial" w:hAnsi="Arial" w:cs="Arial"/>
                <w:color w:val="000000"/>
                <w:sz w:val="20"/>
                <w:szCs w:val="20"/>
              </w:rPr>
              <w:t>, 2026).</w:t>
            </w:r>
          </w:p>
        </w:tc>
      </w:tr>
      <w:tr w:rsidR="00FB7382" w:rsidRPr="0036728D" w14:paraId="2BAA94C0" w14:textId="77777777" w:rsidTr="00D1554C">
        <w:trPr>
          <w:jc w:val="center"/>
        </w:trPr>
        <w:tc>
          <w:tcPr>
            <w:tcW w:w="2000" w:type="dxa"/>
            <w:tcMar>
              <w:top w:w="80" w:type="dxa"/>
              <w:left w:w="100" w:type="dxa"/>
              <w:bottom w:w="80" w:type="dxa"/>
              <w:right w:w="100" w:type="dxa"/>
            </w:tcMar>
            <w:vAlign w:val="center"/>
          </w:tcPr>
          <w:p w14:paraId="1B10A82A"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Environmental</w:t>
            </w:r>
          </w:p>
        </w:tc>
        <w:tc>
          <w:tcPr>
            <w:tcW w:w="6400" w:type="dxa"/>
            <w:tcMar>
              <w:top w:w="80" w:type="dxa"/>
              <w:left w:w="100" w:type="dxa"/>
              <w:bottom w:w="80" w:type="dxa"/>
              <w:right w:w="100" w:type="dxa"/>
            </w:tcMar>
            <w:vAlign w:val="center"/>
          </w:tcPr>
          <w:p w14:paraId="691026BA"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ESG expectations from investors and regulators around energy-efficient networks, net-zero commitments and responsible handset lifecycle management (Mordor Intelligence, 2026).</w:t>
            </w:r>
          </w:p>
        </w:tc>
      </w:tr>
      <w:tr w:rsidR="00FB7382" w:rsidRPr="0036728D" w14:paraId="3CE6ACBE" w14:textId="77777777" w:rsidTr="00D1554C">
        <w:trPr>
          <w:jc w:val="center"/>
        </w:trPr>
        <w:tc>
          <w:tcPr>
            <w:tcW w:w="2000" w:type="dxa"/>
            <w:tcMar>
              <w:top w:w="80" w:type="dxa"/>
              <w:left w:w="100" w:type="dxa"/>
              <w:bottom w:w="80" w:type="dxa"/>
              <w:right w:w="100" w:type="dxa"/>
            </w:tcMar>
            <w:vAlign w:val="center"/>
          </w:tcPr>
          <w:p w14:paraId="4A1941CC"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Legal</w:t>
            </w:r>
          </w:p>
        </w:tc>
        <w:tc>
          <w:tcPr>
            <w:tcW w:w="6400" w:type="dxa"/>
            <w:tcMar>
              <w:top w:w="80" w:type="dxa"/>
              <w:left w:w="100" w:type="dxa"/>
              <w:bottom w:w="80" w:type="dxa"/>
              <w:right w:w="100" w:type="dxa"/>
            </w:tcMar>
            <w:vAlign w:val="center"/>
          </w:tcPr>
          <w:p w14:paraId="45FE03DA"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Ofcom regulation of spectrum, pricing and net neutrality; data protection (UK GDPR); merger and competition law, including remedies attached to the Three UK merger and the CKHGT ownership transaction (Vodafone Group Plc, 2025a; 2026a).</w:t>
            </w:r>
          </w:p>
        </w:tc>
      </w:tr>
    </w:tbl>
    <w:p w14:paraId="787DDA19" w14:textId="77777777" w:rsidR="00FB7382" w:rsidRPr="0036728D" w:rsidRDefault="00FB7382" w:rsidP="00FB7382">
      <w:pPr>
        <w:spacing w:before="60" w:after="220"/>
        <w:rPr>
          <w:rFonts w:ascii="Arial" w:hAnsi="Arial" w:cs="Arial"/>
          <w:sz w:val="20"/>
          <w:szCs w:val="20"/>
        </w:rPr>
      </w:pPr>
      <w:r>
        <w:rPr>
          <w:rFonts w:ascii="Arial" w:hAnsi="Arial" w:cs="Arial"/>
          <w:i/>
          <w:iCs/>
          <w:color w:val="595959"/>
          <w:sz w:val="20"/>
          <w:szCs w:val="20"/>
        </w:rPr>
        <w:t xml:space="preserve">     </w:t>
      </w:r>
      <w:r w:rsidRPr="0036728D">
        <w:rPr>
          <w:rFonts w:ascii="Arial" w:hAnsi="Arial" w:cs="Arial"/>
          <w:i/>
          <w:iCs/>
          <w:color w:val="595959"/>
          <w:sz w:val="20"/>
          <w:szCs w:val="20"/>
        </w:rPr>
        <w:t>Table 2: PESTEL analysis of the UK telecommunications environment.</w:t>
      </w:r>
    </w:p>
    <w:p w14:paraId="0F24F290" w14:textId="77777777" w:rsidR="00FB7382" w:rsidRDefault="00FB7382" w:rsidP="00FB7382">
      <w:pPr>
        <w:pStyle w:val="Ttulo2"/>
      </w:pPr>
    </w:p>
    <w:p w14:paraId="177A2CFF" w14:textId="77777777" w:rsidR="00FB7382" w:rsidRDefault="00FB7382" w:rsidP="00FB7382">
      <w:pPr>
        <w:pStyle w:val="Ttulo2"/>
      </w:pPr>
      <w:bookmarkStart w:id="9" w:name="_Toc237342830"/>
      <w:r w:rsidRPr="00A2495C">
        <w:t>3.</w:t>
      </w:r>
      <w:r>
        <w:t>3 Porter’s Five Forces</w:t>
      </w:r>
      <w:bookmarkEnd w:id="9"/>
    </w:p>
    <w:p w14:paraId="451CEC55" w14:textId="77777777" w:rsidR="00FB7382" w:rsidRDefault="00FB7382" w:rsidP="00FB7382">
      <w:pPr>
        <w:spacing w:line="360" w:lineRule="auto"/>
        <w:jc w:val="both"/>
        <w:rPr>
          <w:rFonts w:ascii="Arial" w:hAnsi="Arial" w:cs="Arial"/>
          <w:color w:val="000000"/>
        </w:rPr>
      </w:pPr>
    </w:p>
    <w:p w14:paraId="01A34D7A" w14:textId="77777777" w:rsidR="00FB7382" w:rsidRPr="00300575" w:rsidRDefault="00FB7382" w:rsidP="00FB7382">
      <w:pPr>
        <w:spacing w:line="360" w:lineRule="auto"/>
        <w:jc w:val="both"/>
        <w:rPr>
          <w:rFonts w:ascii="Arial" w:hAnsi="Arial" w:cs="Arial"/>
        </w:rPr>
      </w:pPr>
      <w:r w:rsidRPr="001C269C">
        <w:rPr>
          <w:rFonts w:ascii="Arial" w:hAnsi="Arial" w:cs="Arial"/>
        </w:rPr>
        <w:t>Porter's Five Forces framework is applied to assess the intensity of competition in the UK mobile and converged-communications industry post-consolidation.</w:t>
      </w: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1400"/>
        <w:gridCol w:w="5000"/>
      </w:tblGrid>
      <w:tr w:rsidR="00FB7382" w:rsidRPr="0036728D" w14:paraId="51AFC74D" w14:textId="77777777" w:rsidTr="00D1554C">
        <w:trPr>
          <w:tblHeader/>
          <w:jc w:val="center"/>
        </w:trPr>
        <w:tc>
          <w:tcPr>
            <w:tcW w:w="2000" w:type="dxa"/>
            <w:shd w:val="clear" w:color="auto" w:fill="1B0459"/>
            <w:tcMar>
              <w:top w:w="80" w:type="dxa"/>
              <w:left w:w="100" w:type="dxa"/>
              <w:bottom w:w="80" w:type="dxa"/>
              <w:right w:w="100" w:type="dxa"/>
            </w:tcMar>
            <w:vAlign w:val="center"/>
          </w:tcPr>
          <w:p w14:paraId="70DFF791"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Force</w:t>
            </w:r>
          </w:p>
        </w:tc>
        <w:tc>
          <w:tcPr>
            <w:tcW w:w="1400" w:type="dxa"/>
            <w:shd w:val="clear" w:color="auto" w:fill="1B0459"/>
            <w:tcMar>
              <w:top w:w="80" w:type="dxa"/>
              <w:left w:w="100" w:type="dxa"/>
              <w:bottom w:w="80" w:type="dxa"/>
              <w:right w:w="100" w:type="dxa"/>
            </w:tcMar>
            <w:vAlign w:val="center"/>
          </w:tcPr>
          <w:p w14:paraId="5B2962FF"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Intensity</w:t>
            </w:r>
          </w:p>
        </w:tc>
        <w:tc>
          <w:tcPr>
            <w:tcW w:w="5000" w:type="dxa"/>
            <w:shd w:val="clear" w:color="auto" w:fill="1B0459"/>
            <w:tcMar>
              <w:top w:w="80" w:type="dxa"/>
              <w:left w:w="100" w:type="dxa"/>
              <w:bottom w:w="80" w:type="dxa"/>
              <w:right w:w="100" w:type="dxa"/>
            </w:tcMar>
            <w:vAlign w:val="center"/>
          </w:tcPr>
          <w:p w14:paraId="5DC7B676"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Analysis</w:t>
            </w:r>
          </w:p>
        </w:tc>
      </w:tr>
      <w:tr w:rsidR="00FB7382" w:rsidRPr="0036728D" w14:paraId="693C310E" w14:textId="77777777" w:rsidTr="00D1554C">
        <w:trPr>
          <w:jc w:val="center"/>
        </w:trPr>
        <w:tc>
          <w:tcPr>
            <w:tcW w:w="2000" w:type="dxa"/>
            <w:tcMar>
              <w:top w:w="80" w:type="dxa"/>
              <w:left w:w="100" w:type="dxa"/>
              <w:bottom w:w="80" w:type="dxa"/>
              <w:right w:w="100" w:type="dxa"/>
            </w:tcMar>
            <w:vAlign w:val="center"/>
          </w:tcPr>
          <w:p w14:paraId="5F7DA72B"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Threat of new entrants</w:t>
            </w:r>
          </w:p>
        </w:tc>
        <w:tc>
          <w:tcPr>
            <w:tcW w:w="1400" w:type="dxa"/>
            <w:tcMar>
              <w:top w:w="80" w:type="dxa"/>
              <w:left w:w="100" w:type="dxa"/>
              <w:bottom w:w="80" w:type="dxa"/>
              <w:right w:w="100" w:type="dxa"/>
            </w:tcMar>
            <w:vAlign w:val="center"/>
          </w:tcPr>
          <w:p w14:paraId="7283006C"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Low</w:t>
            </w:r>
          </w:p>
        </w:tc>
        <w:tc>
          <w:tcPr>
            <w:tcW w:w="5000" w:type="dxa"/>
            <w:tcMar>
              <w:top w:w="80" w:type="dxa"/>
              <w:left w:w="100" w:type="dxa"/>
              <w:bottom w:w="80" w:type="dxa"/>
              <w:right w:w="100" w:type="dxa"/>
            </w:tcMar>
            <w:vAlign w:val="center"/>
          </w:tcPr>
          <w:p w14:paraId="26B42D5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Extremely high capital requirements for network infrastructure and scarce spectrum limit new physical entrants; MVNOs can enter more easily but do not threaten the infrastructure layer (Mordor Intelligence, 2026).</w:t>
            </w:r>
          </w:p>
        </w:tc>
      </w:tr>
      <w:tr w:rsidR="00FB7382" w:rsidRPr="0036728D" w14:paraId="4E93A5AE" w14:textId="77777777" w:rsidTr="00D1554C">
        <w:trPr>
          <w:jc w:val="center"/>
        </w:trPr>
        <w:tc>
          <w:tcPr>
            <w:tcW w:w="2000" w:type="dxa"/>
            <w:tcMar>
              <w:top w:w="80" w:type="dxa"/>
              <w:left w:w="100" w:type="dxa"/>
              <w:bottom w:w="80" w:type="dxa"/>
              <w:right w:w="100" w:type="dxa"/>
            </w:tcMar>
            <w:vAlign w:val="center"/>
          </w:tcPr>
          <w:p w14:paraId="4532C6B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Bargaining power of buyers</w:t>
            </w:r>
          </w:p>
        </w:tc>
        <w:tc>
          <w:tcPr>
            <w:tcW w:w="1400" w:type="dxa"/>
            <w:tcMar>
              <w:top w:w="80" w:type="dxa"/>
              <w:left w:w="100" w:type="dxa"/>
              <w:bottom w:w="80" w:type="dxa"/>
              <w:right w:w="100" w:type="dxa"/>
            </w:tcMar>
            <w:vAlign w:val="center"/>
          </w:tcPr>
          <w:p w14:paraId="47FF4D00"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Medium-High</w:t>
            </w:r>
          </w:p>
        </w:tc>
        <w:tc>
          <w:tcPr>
            <w:tcW w:w="5000" w:type="dxa"/>
            <w:tcMar>
              <w:top w:w="80" w:type="dxa"/>
              <w:left w:w="100" w:type="dxa"/>
              <w:bottom w:w="80" w:type="dxa"/>
              <w:right w:w="100" w:type="dxa"/>
            </w:tcMar>
            <w:vAlign w:val="center"/>
          </w:tcPr>
          <w:p w14:paraId="2839DB02"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UK consumers can switch relatively easily under Ofcom-mandated switching rules and are price-sensitive; large enterprise/public-sector customers can negotiate on scale (Rothaermel, 2021).</w:t>
            </w:r>
          </w:p>
        </w:tc>
      </w:tr>
      <w:tr w:rsidR="00FB7382" w:rsidRPr="0036728D" w14:paraId="4A6686D9" w14:textId="77777777" w:rsidTr="00D1554C">
        <w:trPr>
          <w:jc w:val="center"/>
        </w:trPr>
        <w:tc>
          <w:tcPr>
            <w:tcW w:w="2000" w:type="dxa"/>
            <w:tcMar>
              <w:top w:w="80" w:type="dxa"/>
              <w:left w:w="100" w:type="dxa"/>
              <w:bottom w:w="80" w:type="dxa"/>
              <w:right w:w="100" w:type="dxa"/>
            </w:tcMar>
            <w:vAlign w:val="center"/>
          </w:tcPr>
          <w:p w14:paraId="1147E8C5"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Bargaining power of suppliers</w:t>
            </w:r>
          </w:p>
        </w:tc>
        <w:tc>
          <w:tcPr>
            <w:tcW w:w="1400" w:type="dxa"/>
            <w:tcMar>
              <w:top w:w="80" w:type="dxa"/>
              <w:left w:w="100" w:type="dxa"/>
              <w:bottom w:w="80" w:type="dxa"/>
              <w:right w:w="100" w:type="dxa"/>
            </w:tcMar>
            <w:vAlign w:val="center"/>
          </w:tcPr>
          <w:p w14:paraId="0EB977E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Medium</w:t>
            </w:r>
          </w:p>
        </w:tc>
        <w:tc>
          <w:tcPr>
            <w:tcW w:w="5000" w:type="dxa"/>
            <w:tcMar>
              <w:top w:w="80" w:type="dxa"/>
              <w:left w:w="100" w:type="dxa"/>
              <w:bottom w:w="80" w:type="dxa"/>
              <w:right w:w="100" w:type="dxa"/>
            </w:tcMar>
            <w:vAlign w:val="center"/>
          </w:tcPr>
          <w:p w14:paraId="7C39A471"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A concentrated group of network equipment vendors and handset manufacturers hold some pricing power, partly offset by Vodafone's growing scale post-merger.</w:t>
            </w:r>
          </w:p>
        </w:tc>
      </w:tr>
      <w:tr w:rsidR="00FB7382" w:rsidRPr="0036728D" w14:paraId="7EE94FAD" w14:textId="77777777" w:rsidTr="00D1554C">
        <w:trPr>
          <w:jc w:val="center"/>
        </w:trPr>
        <w:tc>
          <w:tcPr>
            <w:tcW w:w="2000" w:type="dxa"/>
            <w:tcMar>
              <w:top w:w="80" w:type="dxa"/>
              <w:left w:w="100" w:type="dxa"/>
              <w:bottom w:w="80" w:type="dxa"/>
              <w:right w:w="100" w:type="dxa"/>
            </w:tcMar>
            <w:vAlign w:val="center"/>
          </w:tcPr>
          <w:p w14:paraId="5A50202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Threat of substitutes</w:t>
            </w:r>
          </w:p>
        </w:tc>
        <w:tc>
          <w:tcPr>
            <w:tcW w:w="1400" w:type="dxa"/>
            <w:tcMar>
              <w:top w:w="80" w:type="dxa"/>
              <w:left w:w="100" w:type="dxa"/>
              <w:bottom w:w="80" w:type="dxa"/>
              <w:right w:w="100" w:type="dxa"/>
            </w:tcMar>
            <w:vAlign w:val="center"/>
          </w:tcPr>
          <w:p w14:paraId="4EEE5288"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Medium</w:t>
            </w:r>
          </w:p>
        </w:tc>
        <w:tc>
          <w:tcPr>
            <w:tcW w:w="5000" w:type="dxa"/>
            <w:tcMar>
              <w:top w:w="80" w:type="dxa"/>
              <w:left w:w="100" w:type="dxa"/>
              <w:bottom w:w="80" w:type="dxa"/>
              <w:right w:w="100" w:type="dxa"/>
            </w:tcMar>
            <w:vAlign w:val="center"/>
          </w:tcPr>
          <w:p w14:paraId="27E1077F"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 xml:space="preserve">Wi-Fi calling, OTT messaging/VoIP and </w:t>
            </w:r>
            <w:proofErr w:type="gramStart"/>
            <w:r w:rsidRPr="0036728D">
              <w:rPr>
                <w:rFonts w:ascii="Arial" w:hAnsi="Arial" w:cs="Arial"/>
                <w:color w:val="000000"/>
                <w:sz w:val="20"/>
                <w:szCs w:val="20"/>
              </w:rPr>
              <w:t>fixed-line</w:t>
            </w:r>
            <w:proofErr w:type="gramEnd"/>
            <w:r w:rsidRPr="0036728D">
              <w:rPr>
                <w:rFonts w:ascii="Arial" w:hAnsi="Arial" w:cs="Arial"/>
                <w:color w:val="000000"/>
                <w:sz w:val="20"/>
                <w:szCs w:val="20"/>
              </w:rPr>
              <w:t xml:space="preserve">/satellite alternatives substitute for traditional voice </w:t>
            </w:r>
            <w:r w:rsidRPr="0036728D">
              <w:rPr>
                <w:rFonts w:ascii="Arial" w:hAnsi="Arial" w:cs="Arial"/>
                <w:color w:val="000000"/>
                <w:sz w:val="20"/>
                <w:szCs w:val="20"/>
              </w:rPr>
              <w:lastRenderedPageBreak/>
              <w:t>and data revenue, though data demand growth partly offsets this (Rothaermel, 2021).</w:t>
            </w:r>
          </w:p>
        </w:tc>
      </w:tr>
      <w:tr w:rsidR="00FB7382" w:rsidRPr="0036728D" w14:paraId="029C556B" w14:textId="77777777" w:rsidTr="00D1554C">
        <w:trPr>
          <w:jc w:val="center"/>
        </w:trPr>
        <w:tc>
          <w:tcPr>
            <w:tcW w:w="2000" w:type="dxa"/>
            <w:tcMar>
              <w:top w:w="80" w:type="dxa"/>
              <w:left w:w="100" w:type="dxa"/>
              <w:bottom w:w="80" w:type="dxa"/>
              <w:right w:w="100" w:type="dxa"/>
            </w:tcMar>
            <w:vAlign w:val="center"/>
          </w:tcPr>
          <w:p w14:paraId="57A2970F"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lastRenderedPageBreak/>
              <w:t>Competitive rivalry</w:t>
            </w:r>
          </w:p>
        </w:tc>
        <w:tc>
          <w:tcPr>
            <w:tcW w:w="1400" w:type="dxa"/>
            <w:tcMar>
              <w:top w:w="80" w:type="dxa"/>
              <w:left w:w="100" w:type="dxa"/>
              <w:bottom w:w="80" w:type="dxa"/>
              <w:right w:w="100" w:type="dxa"/>
            </w:tcMar>
            <w:vAlign w:val="center"/>
          </w:tcPr>
          <w:p w14:paraId="1389F3F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High</w:t>
            </w:r>
          </w:p>
        </w:tc>
        <w:tc>
          <w:tcPr>
            <w:tcW w:w="5000" w:type="dxa"/>
            <w:tcMar>
              <w:top w:w="80" w:type="dxa"/>
              <w:left w:w="100" w:type="dxa"/>
              <w:bottom w:w="80" w:type="dxa"/>
              <w:right w:w="100" w:type="dxa"/>
            </w:tcMar>
            <w:vAlign w:val="center"/>
          </w:tcPr>
          <w:p w14:paraId="2E620D13"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Only three infrastructure-owning rivals now compete head-to-head, each investing heavily in 5G SA, convergence and pricing, sustaining intense rivalry despite market consolidation (</w:t>
            </w:r>
            <w:proofErr w:type="spellStart"/>
            <w:r w:rsidRPr="0036728D">
              <w:rPr>
                <w:rFonts w:ascii="Arial" w:hAnsi="Arial" w:cs="Arial"/>
                <w:color w:val="000000"/>
                <w:sz w:val="20"/>
                <w:szCs w:val="20"/>
              </w:rPr>
              <w:t>Opensignal</w:t>
            </w:r>
            <w:proofErr w:type="spellEnd"/>
            <w:r w:rsidRPr="0036728D">
              <w:rPr>
                <w:rFonts w:ascii="Arial" w:hAnsi="Arial" w:cs="Arial"/>
                <w:color w:val="000000"/>
                <w:sz w:val="20"/>
                <w:szCs w:val="20"/>
              </w:rPr>
              <w:t>, 2026).</w:t>
            </w:r>
          </w:p>
        </w:tc>
      </w:tr>
    </w:tbl>
    <w:p w14:paraId="4285903C" w14:textId="77777777" w:rsidR="00FB7382" w:rsidRPr="0073484C" w:rsidRDefault="00FB7382" w:rsidP="00FB7382">
      <w:pPr>
        <w:spacing w:before="60" w:after="220"/>
        <w:rPr>
          <w:rFonts w:ascii="Arial" w:hAnsi="Arial" w:cs="Arial"/>
          <w:sz w:val="20"/>
          <w:szCs w:val="20"/>
        </w:rPr>
      </w:pPr>
      <w:r>
        <w:rPr>
          <w:rFonts w:ascii="Arial" w:hAnsi="Arial" w:cs="Arial"/>
          <w:i/>
          <w:iCs/>
          <w:color w:val="595959"/>
          <w:sz w:val="20"/>
          <w:szCs w:val="20"/>
        </w:rPr>
        <w:t xml:space="preserve">     </w:t>
      </w:r>
      <w:r w:rsidRPr="0036728D">
        <w:rPr>
          <w:rFonts w:ascii="Arial" w:hAnsi="Arial" w:cs="Arial"/>
          <w:i/>
          <w:iCs/>
          <w:color w:val="595959"/>
          <w:sz w:val="20"/>
          <w:szCs w:val="20"/>
        </w:rPr>
        <w:t>Table 3: Porter's Five Forces analysis of the UK mobile/converged telecoms industry.</w:t>
      </w:r>
    </w:p>
    <w:p w14:paraId="542D5444" w14:textId="77777777" w:rsidR="000257FF" w:rsidRDefault="000257FF" w:rsidP="00FB7382">
      <w:pPr>
        <w:pStyle w:val="Ttulo2"/>
      </w:pPr>
    </w:p>
    <w:p w14:paraId="18FB27A4" w14:textId="0CCDF499" w:rsidR="00FB7382" w:rsidRDefault="00FB7382" w:rsidP="00FB7382">
      <w:pPr>
        <w:pStyle w:val="Ttulo2"/>
      </w:pPr>
      <w:bookmarkStart w:id="10" w:name="_Toc237342831"/>
      <w:r w:rsidRPr="00A2495C">
        <w:t>3.</w:t>
      </w:r>
      <w:r>
        <w:t>4 Synthesis</w:t>
      </w:r>
      <w:bookmarkEnd w:id="10"/>
    </w:p>
    <w:p w14:paraId="762C80E3" w14:textId="77777777" w:rsidR="00FB7382" w:rsidRDefault="00FB7382" w:rsidP="00FB7382"/>
    <w:p w14:paraId="24597B27" w14:textId="77777777" w:rsidR="00FB7382" w:rsidRDefault="00FB7382" w:rsidP="00FB7382"/>
    <w:p w14:paraId="17D65638" w14:textId="77777777" w:rsidR="00FB7382" w:rsidRPr="001C269C" w:rsidRDefault="00FB7382" w:rsidP="00FB7382">
      <w:pPr>
        <w:spacing w:line="360" w:lineRule="auto"/>
        <w:jc w:val="both"/>
        <w:rPr>
          <w:rFonts w:ascii="Arial" w:hAnsi="Arial" w:cs="Arial"/>
        </w:rPr>
      </w:pPr>
      <w:r w:rsidRPr="000257FF">
        <w:rPr>
          <w:rFonts w:ascii="Arial" w:hAnsi="Arial" w:cs="Arial"/>
        </w:rPr>
        <w:t>Taken together, these frameworks indicate that Vodafone UK has substantially strengthened its structural position through consolidation. It now benefits from reduced direct rivalry, significantly greater scale, and a long-dated, well-funded infrastructure investment programme (Vodafone Group Plc, 2025a; 2026a). However, this scale has not removed competitive intensity as EE continues to lead on network-quality perception and Virgin Media O2 has secured additional spectrum from Vodafone UK itself, thus strengthening its own position and illustrating that consolidation benefits are not exclusive to Vodafone (</w:t>
      </w:r>
      <w:proofErr w:type="spellStart"/>
      <w:r w:rsidRPr="000257FF">
        <w:rPr>
          <w:rFonts w:ascii="Arial" w:hAnsi="Arial" w:cs="Arial"/>
        </w:rPr>
        <w:t>Opensignal</w:t>
      </w:r>
      <w:proofErr w:type="spellEnd"/>
      <w:r w:rsidRPr="000257FF">
        <w:rPr>
          <w:rFonts w:ascii="Arial" w:hAnsi="Arial" w:cs="Arial"/>
        </w:rPr>
        <w:t>, 2026). The company's central strategic task, consistent with Porter's view that sustainable advantage requires a clear competitive position (Jia and Ai, 2021), is therefore to convert its newly acquired scale into demonstrably superior customer experience, network performance and digital-service growth before rivals close the gap.</w:t>
      </w:r>
    </w:p>
    <w:p w14:paraId="14B66E06" w14:textId="77777777" w:rsidR="00FB7382" w:rsidRPr="001C269C" w:rsidRDefault="00FB7382" w:rsidP="00FB7382">
      <w:pPr>
        <w:spacing w:line="360" w:lineRule="auto"/>
        <w:jc w:val="both"/>
        <w:rPr>
          <w:rFonts w:ascii="Arial" w:hAnsi="Arial" w:cs="Arial"/>
        </w:rPr>
      </w:pPr>
    </w:p>
    <w:p w14:paraId="35A7A131" w14:textId="77777777" w:rsidR="00FB7382" w:rsidRDefault="00FB7382" w:rsidP="00FB7382">
      <w:pPr>
        <w:pStyle w:val="Ttulo1"/>
        <w:rPr>
          <w:rFonts w:ascii="Arial" w:hAnsi="Arial" w:cs="Arial"/>
          <w:sz w:val="36"/>
          <w:szCs w:val="36"/>
        </w:rPr>
      </w:pPr>
      <w:bookmarkStart w:id="11" w:name="_Toc237342832"/>
      <w:r>
        <w:rPr>
          <w:rFonts w:ascii="Arial" w:hAnsi="Arial" w:cs="Arial"/>
          <w:sz w:val="36"/>
          <w:szCs w:val="36"/>
        </w:rPr>
        <w:t>4</w:t>
      </w:r>
      <w:r w:rsidRPr="00796ED3">
        <w:rPr>
          <w:rFonts w:ascii="Arial" w:hAnsi="Arial" w:cs="Arial"/>
          <w:sz w:val="36"/>
          <w:szCs w:val="36"/>
        </w:rPr>
        <w:t xml:space="preserve">. </w:t>
      </w:r>
      <w:r>
        <w:rPr>
          <w:rFonts w:ascii="Arial" w:hAnsi="Arial" w:cs="Arial"/>
          <w:sz w:val="36"/>
          <w:szCs w:val="36"/>
        </w:rPr>
        <w:t>STRATEGIC GROWTH OPTIONS AND PROPOSED STRATEGY</w:t>
      </w:r>
      <w:bookmarkEnd w:id="11"/>
      <w:r>
        <w:rPr>
          <w:rFonts w:ascii="Arial" w:hAnsi="Arial" w:cs="Arial"/>
          <w:sz w:val="36"/>
          <w:szCs w:val="36"/>
        </w:rPr>
        <w:t xml:space="preserve">  </w:t>
      </w:r>
      <w:r>
        <w:rPr>
          <w:rFonts w:ascii="Arial" w:hAnsi="Arial" w:cs="Arial"/>
          <w:sz w:val="36"/>
          <w:szCs w:val="36"/>
        </w:rPr>
        <w:tab/>
      </w:r>
    </w:p>
    <w:p w14:paraId="7ADF9370" w14:textId="77777777" w:rsidR="00FB7382" w:rsidRDefault="00FB7382" w:rsidP="00FB7382">
      <w:pPr>
        <w:spacing w:line="360" w:lineRule="auto"/>
        <w:jc w:val="both"/>
        <w:rPr>
          <w:rFonts w:ascii="-webkit-standard" w:hAnsi="-webkit-standard"/>
          <w:color w:val="000000"/>
          <w:sz w:val="27"/>
          <w:szCs w:val="27"/>
        </w:rPr>
      </w:pPr>
    </w:p>
    <w:p w14:paraId="6E282A31" w14:textId="77777777" w:rsidR="00FB7382" w:rsidRDefault="00FB7382" w:rsidP="00FB7382">
      <w:pPr>
        <w:pStyle w:val="Ttulo2"/>
      </w:pPr>
      <w:bookmarkStart w:id="12" w:name="_Toc237342833"/>
      <w:r>
        <w:t>4</w:t>
      </w:r>
      <w:r w:rsidRPr="00A2495C">
        <w:t>.</w:t>
      </w:r>
      <w:r>
        <w:t>1 Growth Options: Ansoff Matrix</w:t>
      </w:r>
      <w:bookmarkEnd w:id="12"/>
    </w:p>
    <w:p w14:paraId="15E79968" w14:textId="77777777" w:rsidR="00FB7382" w:rsidRDefault="00FB7382" w:rsidP="00FB7382">
      <w:pPr>
        <w:spacing w:line="360" w:lineRule="auto"/>
        <w:jc w:val="both"/>
        <w:rPr>
          <w:rFonts w:ascii="Arial" w:hAnsi="Arial" w:cs="Arial"/>
          <w:color w:val="000000"/>
        </w:rPr>
      </w:pPr>
    </w:p>
    <w:p w14:paraId="70F4EB24" w14:textId="77777777" w:rsidR="00FB7382" w:rsidRPr="001C269C" w:rsidRDefault="00FB7382" w:rsidP="00FB7382">
      <w:pPr>
        <w:spacing w:line="360" w:lineRule="auto"/>
        <w:jc w:val="both"/>
        <w:rPr>
          <w:rFonts w:ascii="Arial" w:hAnsi="Arial" w:cs="Arial"/>
          <w:color w:val="000000"/>
        </w:rPr>
      </w:pPr>
      <w:r w:rsidRPr="00022E3E">
        <w:rPr>
          <w:rFonts w:ascii="Arial" w:hAnsi="Arial" w:cs="Arial"/>
          <w:color w:val="000000"/>
        </w:rPr>
        <w:t>The Ansoff Matrix, whose continued relevance for service and information-intensive markets has recently been re-examined (Ferreira Oliveira and Marques, 2024), is used to structure Vodafone's available growth paths across existing and new products and markets.</w:t>
      </w:r>
    </w:p>
    <w:p w14:paraId="7EEDC567" w14:textId="77777777" w:rsidR="00FB7382" w:rsidRDefault="00FB7382" w:rsidP="00FB7382"/>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4000"/>
        <w:gridCol w:w="2600"/>
      </w:tblGrid>
      <w:tr w:rsidR="00FB7382" w:rsidRPr="0036728D" w14:paraId="291DA4E9" w14:textId="77777777" w:rsidTr="00D1554C">
        <w:trPr>
          <w:tblHeader/>
          <w:jc w:val="center"/>
        </w:trPr>
        <w:tc>
          <w:tcPr>
            <w:tcW w:w="1800" w:type="dxa"/>
            <w:shd w:val="clear" w:color="auto" w:fill="1B0459"/>
            <w:tcMar>
              <w:top w:w="80" w:type="dxa"/>
              <w:left w:w="100" w:type="dxa"/>
              <w:bottom w:w="80" w:type="dxa"/>
              <w:right w:w="100" w:type="dxa"/>
            </w:tcMar>
            <w:vAlign w:val="center"/>
          </w:tcPr>
          <w:p w14:paraId="02BAEDE4"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lastRenderedPageBreak/>
              <w:t>Ansoff Option</w:t>
            </w:r>
          </w:p>
        </w:tc>
        <w:tc>
          <w:tcPr>
            <w:tcW w:w="4000" w:type="dxa"/>
            <w:shd w:val="clear" w:color="auto" w:fill="1B0459"/>
            <w:tcMar>
              <w:top w:w="80" w:type="dxa"/>
              <w:left w:w="100" w:type="dxa"/>
              <w:bottom w:w="80" w:type="dxa"/>
              <w:right w:w="100" w:type="dxa"/>
            </w:tcMar>
            <w:vAlign w:val="center"/>
          </w:tcPr>
          <w:p w14:paraId="584505D7"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Description</w:t>
            </w:r>
          </w:p>
        </w:tc>
        <w:tc>
          <w:tcPr>
            <w:tcW w:w="2600" w:type="dxa"/>
            <w:shd w:val="clear" w:color="auto" w:fill="1B0459"/>
            <w:tcMar>
              <w:top w:w="80" w:type="dxa"/>
              <w:left w:w="100" w:type="dxa"/>
              <w:bottom w:w="80" w:type="dxa"/>
              <w:right w:w="100" w:type="dxa"/>
            </w:tcMar>
            <w:vAlign w:val="center"/>
          </w:tcPr>
          <w:p w14:paraId="6AFDE3EB"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Fit for Vodafone UK</w:t>
            </w:r>
          </w:p>
        </w:tc>
      </w:tr>
      <w:tr w:rsidR="00FB7382" w:rsidRPr="0036728D" w14:paraId="2FA0731C" w14:textId="77777777" w:rsidTr="00D1554C">
        <w:trPr>
          <w:jc w:val="center"/>
        </w:trPr>
        <w:tc>
          <w:tcPr>
            <w:tcW w:w="1800" w:type="dxa"/>
            <w:tcMar>
              <w:top w:w="80" w:type="dxa"/>
              <w:left w:w="100" w:type="dxa"/>
              <w:bottom w:w="80" w:type="dxa"/>
              <w:right w:w="100" w:type="dxa"/>
            </w:tcMar>
            <w:vAlign w:val="center"/>
          </w:tcPr>
          <w:p w14:paraId="714C3FC1"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Market Penetration</w:t>
            </w:r>
          </w:p>
        </w:tc>
        <w:tc>
          <w:tcPr>
            <w:tcW w:w="4000" w:type="dxa"/>
            <w:tcMar>
              <w:top w:w="80" w:type="dxa"/>
              <w:left w:w="100" w:type="dxa"/>
              <w:bottom w:w="80" w:type="dxa"/>
              <w:right w:w="100" w:type="dxa"/>
            </w:tcMar>
            <w:vAlign w:val="center"/>
          </w:tcPr>
          <w:p w14:paraId="1536C966"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 xml:space="preserve">Grow share of existing UK mobile, broadband and enterprise customers using the enlarged </w:t>
            </w:r>
            <w:proofErr w:type="spellStart"/>
            <w:r w:rsidRPr="0036728D">
              <w:rPr>
                <w:rFonts w:ascii="Arial" w:hAnsi="Arial" w:cs="Arial"/>
                <w:color w:val="000000"/>
                <w:sz w:val="20"/>
                <w:szCs w:val="20"/>
              </w:rPr>
              <w:t>VodafoneThree</w:t>
            </w:r>
            <w:proofErr w:type="spellEnd"/>
            <w:r w:rsidRPr="0036728D">
              <w:rPr>
                <w:rFonts w:ascii="Arial" w:hAnsi="Arial" w:cs="Arial"/>
                <w:color w:val="000000"/>
                <w:sz w:val="20"/>
                <w:szCs w:val="20"/>
              </w:rPr>
              <w:t xml:space="preserve"> network and converged bundles.</w:t>
            </w:r>
          </w:p>
        </w:tc>
        <w:tc>
          <w:tcPr>
            <w:tcW w:w="2600" w:type="dxa"/>
            <w:tcMar>
              <w:top w:w="80" w:type="dxa"/>
              <w:left w:w="100" w:type="dxa"/>
              <w:bottom w:w="80" w:type="dxa"/>
              <w:right w:w="100" w:type="dxa"/>
            </w:tcMar>
            <w:vAlign w:val="center"/>
          </w:tcPr>
          <w:p w14:paraId="71D91250"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High - directly leverages merger synergies and existing brand/network assets; lowest execution risk.</w:t>
            </w:r>
          </w:p>
        </w:tc>
      </w:tr>
      <w:tr w:rsidR="00FB7382" w:rsidRPr="0036728D" w14:paraId="0C4CCAF5" w14:textId="77777777" w:rsidTr="00D1554C">
        <w:trPr>
          <w:jc w:val="center"/>
        </w:trPr>
        <w:tc>
          <w:tcPr>
            <w:tcW w:w="1800" w:type="dxa"/>
            <w:tcMar>
              <w:top w:w="80" w:type="dxa"/>
              <w:left w:w="100" w:type="dxa"/>
              <w:bottom w:w="80" w:type="dxa"/>
              <w:right w:w="100" w:type="dxa"/>
            </w:tcMar>
            <w:vAlign w:val="center"/>
          </w:tcPr>
          <w:p w14:paraId="396CD02A"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Market Development</w:t>
            </w:r>
          </w:p>
        </w:tc>
        <w:tc>
          <w:tcPr>
            <w:tcW w:w="4000" w:type="dxa"/>
            <w:tcMar>
              <w:top w:w="80" w:type="dxa"/>
              <w:left w:w="100" w:type="dxa"/>
              <w:bottom w:w="80" w:type="dxa"/>
              <w:right w:w="100" w:type="dxa"/>
            </w:tcMar>
            <w:vAlign w:val="center"/>
          </w:tcPr>
          <w:p w14:paraId="1E7AB0A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Expand Vodafone Business and IoT propositions into new customer segments not yet using Vodafone.</w:t>
            </w:r>
          </w:p>
        </w:tc>
        <w:tc>
          <w:tcPr>
            <w:tcW w:w="2600" w:type="dxa"/>
            <w:tcMar>
              <w:top w:w="80" w:type="dxa"/>
              <w:left w:w="100" w:type="dxa"/>
              <w:bottom w:w="80" w:type="dxa"/>
              <w:right w:w="100" w:type="dxa"/>
            </w:tcMar>
            <w:vAlign w:val="center"/>
          </w:tcPr>
          <w:p w14:paraId="63D8B962"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Medium - requires new sales channels but builds on existing digital-services capability.</w:t>
            </w:r>
          </w:p>
        </w:tc>
      </w:tr>
      <w:tr w:rsidR="00FB7382" w:rsidRPr="0036728D" w14:paraId="7D27BE92" w14:textId="77777777" w:rsidTr="00D1554C">
        <w:trPr>
          <w:jc w:val="center"/>
        </w:trPr>
        <w:tc>
          <w:tcPr>
            <w:tcW w:w="1800" w:type="dxa"/>
            <w:tcMar>
              <w:top w:w="80" w:type="dxa"/>
              <w:left w:w="100" w:type="dxa"/>
              <w:bottom w:w="80" w:type="dxa"/>
              <w:right w:w="100" w:type="dxa"/>
            </w:tcMar>
            <w:vAlign w:val="center"/>
          </w:tcPr>
          <w:p w14:paraId="7912D11F"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Product Development</w:t>
            </w:r>
          </w:p>
        </w:tc>
        <w:tc>
          <w:tcPr>
            <w:tcW w:w="4000" w:type="dxa"/>
            <w:tcMar>
              <w:top w:w="80" w:type="dxa"/>
              <w:left w:w="100" w:type="dxa"/>
              <w:bottom w:w="80" w:type="dxa"/>
              <w:right w:w="100" w:type="dxa"/>
            </w:tcMar>
            <w:vAlign w:val="center"/>
          </w:tcPr>
          <w:p w14:paraId="61ED9456"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Launch new digital, AI-enabled and satellite-connectivity services to existing customers.</w:t>
            </w:r>
          </w:p>
        </w:tc>
        <w:tc>
          <w:tcPr>
            <w:tcW w:w="2600" w:type="dxa"/>
            <w:tcMar>
              <w:top w:w="80" w:type="dxa"/>
              <w:left w:w="100" w:type="dxa"/>
              <w:bottom w:w="80" w:type="dxa"/>
              <w:right w:w="100" w:type="dxa"/>
            </w:tcMar>
            <w:vAlign w:val="center"/>
          </w:tcPr>
          <w:p w14:paraId="72608DAB"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High - aligns with Vodafone's proven Business and digital-services growth and £11bn network investment.</w:t>
            </w:r>
          </w:p>
        </w:tc>
      </w:tr>
      <w:tr w:rsidR="00FB7382" w:rsidRPr="0036728D" w14:paraId="222A137E" w14:textId="77777777" w:rsidTr="00D1554C">
        <w:trPr>
          <w:jc w:val="center"/>
        </w:trPr>
        <w:tc>
          <w:tcPr>
            <w:tcW w:w="1800" w:type="dxa"/>
            <w:tcMar>
              <w:top w:w="80" w:type="dxa"/>
              <w:left w:w="100" w:type="dxa"/>
              <w:bottom w:w="80" w:type="dxa"/>
              <w:right w:w="100" w:type="dxa"/>
            </w:tcMar>
            <w:vAlign w:val="center"/>
          </w:tcPr>
          <w:p w14:paraId="78C6E4F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Diversification</w:t>
            </w:r>
          </w:p>
        </w:tc>
        <w:tc>
          <w:tcPr>
            <w:tcW w:w="4000" w:type="dxa"/>
            <w:tcMar>
              <w:top w:w="80" w:type="dxa"/>
              <w:left w:w="100" w:type="dxa"/>
              <w:bottom w:w="80" w:type="dxa"/>
              <w:right w:w="100" w:type="dxa"/>
            </w:tcMar>
            <w:vAlign w:val="center"/>
          </w:tcPr>
          <w:p w14:paraId="014BCB2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Enter unrelated markets outside connectivity/digital services.</w:t>
            </w:r>
          </w:p>
        </w:tc>
        <w:tc>
          <w:tcPr>
            <w:tcW w:w="2600" w:type="dxa"/>
            <w:tcMar>
              <w:top w:w="80" w:type="dxa"/>
              <w:left w:w="100" w:type="dxa"/>
              <w:bottom w:w="80" w:type="dxa"/>
              <w:right w:w="100" w:type="dxa"/>
            </w:tcMar>
            <w:vAlign w:val="center"/>
          </w:tcPr>
          <w:p w14:paraId="53BD59C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Low - high risk, limited synergy with core capabilities, not recommended as a near-term priority.</w:t>
            </w:r>
          </w:p>
        </w:tc>
      </w:tr>
    </w:tbl>
    <w:p w14:paraId="433A92CD" w14:textId="77777777" w:rsidR="00FB7382" w:rsidRPr="0036728D" w:rsidRDefault="00FB7382" w:rsidP="00FB7382">
      <w:pPr>
        <w:spacing w:before="60" w:after="220"/>
        <w:rPr>
          <w:rFonts w:ascii="Arial" w:hAnsi="Arial" w:cs="Arial"/>
          <w:sz w:val="20"/>
          <w:szCs w:val="20"/>
        </w:rPr>
      </w:pPr>
      <w:r>
        <w:rPr>
          <w:rFonts w:ascii="Arial" w:hAnsi="Arial" w:cs="Arial"/>
          <w:i/>
          <w:iCs/>
          <w:color w:val="595959"/>
          <w:sz w:val="20"/>
          <w:szCs w:val="20"/>
        </w:rPr>
        <w:t xml:space="preserve">     </w:t>
      </w:r>
      <w:r w:rsidRPr="0036728D">
        <w:rPr>
          <w:rFonts w:ascii="Arial" w:hAnsi="Arial" w:cs="Arial"/>
          <w:i/>
          <w:iCs/>
          <w:color w:val="595959"/>
          <w:sz w:val="20"/>
          <w:szCs w:val="20"/>
        </w:rPr>
        <w:t>Table 4: Ansoff Matrix applied to Vodafone UK growth options.</w:t>
      </w:r>
    </w:p>
    <w:p w14:paraId="391EADFF" w14:textId="77777777" w:rsidR="00FB7382" w:rsidRDefault="00FB7382" w:rsidP="00FB7382"/>
    <w:p w14:paraId="6905DC36" w14:textId="77777777" w:rsidR="00FB7382" w:rsidRDefault="00FB7382" w:rsidP="00FB7382">
      <w:pPr>
        <w:pStyle w:val="Ttulo2"/>
      </w:pPr>
      <w:bookmarkStart w:id="13" w:name="_Toc237342834"/>
      <w:r>
        <w:t>4</w:t>
      </w:r>
      <w:r w:rsidRPr="00A2495C">
        <w:t>.</w:t>
      </w:r>
      <w:r>
        <w:t>2 Recommended strategy</w:t>
      </w:r>
      <w:bookmarkEnd w:id="13"/>
      <w:r>
        <w:t xml:space="preserve"> </w:t>
      </w:r>
    </w:p>
    <w:p w14:paraId="20DDF5E3" w14:textId="77777777" w:rsidR="00FB7382" w:rsidRPr="005C58E0" w:rsidRDefault="00FB7382" w:rsidP="00FB7382"/>
    <w:p w14:paraId="7E2EB903" w14:textId="77777777" w:rsidR="00FB7382" w:rsidRPr="00FF4EA9" w:rsidRDefault="00FB7382" w:rsidP="00FB7382">
      <w:pPr>
        <w:autoSpaceDE w:val="0"/>
        <w:autoSpaceDN w:val="0"/>
        <w:adjustRightInd w:val="0"/>
        <w:spacing w:line="360" w:lineRule="auto"/>
        <w:jc w:val="both"/>
        <w:rPr>
          <w:rFonts w:ascii="Arial" w:hAnsi="Arial" w:cs="Arial"/>
        </w:rPr>
      </w:pPr>
      <w:r w:rsidRPr="00FF4EA9">
        <w:rPr>
          <w:rFonts w:ascii="Arial" w:hAnsi="Arial" w:cs="Arial"/>
        </w:rPr>
        <w:t>A combined market penetration and product/market development strategy is proposed (Ferreira Oliveira and Marques, 2024), delivered through a differentiation strategy (Ali and Anwar, 2021) and built on three pillars.</w:t>
      </w:r>
    </w:p>
    <w:p w14:paraId="617CA717" w14:textId="77777777" w:rsidR="00FB7382" w:rsidRPr="001C269C" w:rsidRDefault="00FB7382" w:rsidP="00FB7382">
      <w:pPr>
        <w:autoSpaceDE w:val="0"/>
        <w:autoSpaceDN w:val="0"/>
        <w:adjustRightInd w:val="0"/>
        <w:spacing w:line="360" w:lineRule="auto"/>
        <w:jc w:val="both"/>
        <w:rPr>
          <w:rFonts w:ascii="Arial" w:hAnsi="Arial" w:cs="Arial"/>
          <w:color w:val="000000"/>
        </w:rPr>
      </w:pPr>
    </w:p>
    <w:p w14:paraId="06231911" w14:textId="77777777" w:rsidR="00FB7382" w:rsidRPr="001C269C" w:rsidRDefault="00FB7382" w:rsidP="00FB7382">
      <w:pPr>
        <w:pStyle w:val="PargrafodaLista"/>
        <w:numPr>
          <w:ilvl w:val="0"/>
          <w:numId w:val="3"/>
        </w:numPr>
        <w:autoSpaceDE w:val="0"/>
        <w:autoSpaceDN w:val="0"/>
        <w:adjustRightInd w:val="0"/>
        <w:spacing w:line="360" w:lineRule="auto"/>
        <w:jc w:val="both"/>
        <w:rPr>
          <w:rFonts w:ascii="Arial" w:hAnsi="Arial" w:cs="Arial"/>
          <w:color w:val="000000"/>
        </w:rPr>
      </w:pPr>
      <w:r w:rsidRPr="001C269C">
        <w:rPr>
          <w:rFonts w:ascii="Arial" w:hAnsi="Arial" w:cs="Arial"/>
          <w:color w:val="000000"/>
        </w:rPr>
        <w:t xml:space="preserve">Consolidate and monetise network leadership: use full ownership of </w:t>
      </w:r>
      <w:proofErr w:type="spellStart"/>
      <w:r w:rsidRPr="001C269C">
        <w:rPr>
          <w:rFonts w:ascii="Arial" w:hAnsi="Arial" w:cs="Arial"/>
          <w:color w:val="000000"/>
        </w:rPr>
        <w:t>VodafoneThree</w:t>
      </w:r>
      <w:proofErr w:type="spellEnd"/>
      <w:r w:rsidRPr="001C269C">
        <w:rPr>
          <w:rFonts w:ascii="Arial" w:hAnsi="Arial" w:cs="Arial"/>
          <w:color w:val="000000"/>
        </w:rPr>
        <w:t>, and the associated £11 billion investment plan and £700 million annual synergy target by FY30, to deliver measurably superior 5G Standalone coverage and speed, converting network quality into customer acquisition and retention in the core UK consumer and business mobile market (Vodafone Group Plc, 2026a) (Market Penetration).</w:t>
      </w:r>
    </w:p>
    <w:p w14:paraId="0B855062" w14:textId="77777777" w:rsidR="00FB7382" w:rsidRPr="001C269C" w:rsidRDefault="00FB7382" w:rsidP="00FB7382">
      <w:pPr>
        <w:pStyle w:val="PargrafodaLista"/>
        <w:numPr>
          <w:ilvl w:val="0"/>
          <w:numId w:val="3"/>
        </w:numPr>
        <w:autoSpaceDE w:val="0"/>
        <w:autoSpaceDN w:val="0"/>
        <w:adjustRightInd w:val="0"/>
        <w:spacing w:line="360" w:lineRule="auto"/>
        <w:jc w:val="both"/>
        <w:rPr>
          <w:rFonts w:ascii="Arial" w:hAnsi="Arial" w:cs="Arial"/>
          <w:color w:val="000000"/>
        </w:rPr>
      </w:pPr>
      <w:r w:rsidRPr="001C269C">
        <w:rPr>
          <w:rFonts w:ascii="Arial" w:hAnsi="Arial" w:cs="Arial"/>
          <w:color w:val="000000"/>
        </w:rPr>
        <w:t>Accelerate convergence: grow the fixed-broadband and bundled fixed-mobile customer base, building on FY25/FY26 momentum in gigabit broadband net additions (Comms Business, 2025), to increase customer lifetime value and reduce churn (Market Penetration/Development).</w:t>
      </w:r>
    </w:p>
    <w:p w14:paraId="146983B7" w14:textId="77777777" w:rsidR="00FB7382" w:rsidRDefault="00FB7382" w:rsidP="00FB7382">
      <w:pPr>
        <w:pStyle w:val="PargrafodaLista"/>
        <w:numPr>
          <w:ilvl w:val="0"/>
          <w:numId w:val="3"/>
        </w:numPr>
        <w:autoSpaceDE w:val="0"/>
        <w:autoSpaceDN w:val="0"/>
        <w:adjustRightInd w:val="0"/>
        <w:spacing w:line="360" w:lineRule="auto"/>
        <w:jc w:val="both"/>
        <w:rPr>
          <w:rFonts w:ascii="Arial" w:hAnsi="Arial" w:cs="Arial"/>
          <w:color w:val="000000"/>
        </w:rPr>
      </w:pPr>
      <w:r w:rsidRPr="001C269C">
        <w:rPr>
          <w:rFonts w:ascii="Arial" w:hAnsi="Arial" w:cs="Arial"/>
          <w:color w:val="000000"/>
        </w:rPr>
        <w:t>Scale digital, IoT and financial services: extend Vodafone Business's double-digit digital-services growth and IoT capability into new enterprise and public-</w:t>
      </w:r>
      <w:r w:rsidRPr="001C269C">
        <w:rPr>
          <w:rFonts w:ascii="Arial" w:hAnsi="Arial" w:cs="Arial"/>
          <w:color w:val="000000"/>
        </w:rPr>
        <w:lastRenderedPageBreak/>
        <w:t xml:space="preserve">sector </w:t>
      </w:r>
      <w:proofErr w:type="gramStart"/>
      <w:r w:rsidRPr="001C269C">
        <w:rPr>
          <w:rFonts w:ascii="Arial" w:hAnsi="Arial" w:cs="Arial"/>
          <w:color w:val="000000"/>
        </w:rPr>
        <w:t>segments, and</w:t>
      </w:r>
      <w:proofErr w:type="gramEnd"/>
      <w:r w:rsidRPr="001C269C">
        <w:rPr>
          <w:rFonts w:ascii="Arial" w:hAnsi="Arial" w:cs="Arial"/>
          <w:color w:val="000000"/>
        </w:rPr>
        <w:t xml:space="preserve"> expand consumer-facing financial and security services (Vodafone Group Plc, 2025b) (Product/Market Development).</w:t>
      </w:r>
    </w:p>
    <w:p w14:paraId="2EEEBB3A" w14:textId="77777777" w:rsidR="00FB7382" w:rsidRPr="0036728D" w:rsidRDefault="00FB7382" w:rsidP="00FB7382">
      <w:pPr>
        <w:pStyle w:val="PargrafodaLista"/>
        <w:autoSpaceDE w:val="0"/>
        <w:autoSpaceDN w:val="0"/>
        <w:adjustRightInd w:val="0"/>
        <w:spacing w:line="360" w:lineRule="auto"/>
        <w:jc w:val="both"/>
        <w:rPr>
          <w:rFonts w:ascii="Arial" w:hAnsi="Arial" w:cs="Arial"/>
          <w:color w:val="000000"/>
        </w:rPr>
      </w:pPr>
    </w:p>
    <w:p w14:paraId="17917F4F" w14:textId="27E7242E" w:rsidR="00FB7382" w:rsidRDefault="00FB7382" w:rsidP="00FB7382">
      <w:pPr>
        <w:autoSpaceDE w:val="0"/>
        <w:autoSpaceDN w:val="0"/>
        <w:adjustRightInd w:val="0"/>
        <w:spacing w:line="360" w:lineRule="auto"/>
        <w:jc w:val="both"/>
        <w:rPr>
          <w:rFonts w:ascii="Arial" w:hAnsi="Arial" w:cs="Arial"/>
          <w:color w:val="000000"/>
        </w:rPr>
      </w:pPr>
      <w:r w:rsidRPr="001C269C">
        <w:rPr>
          <w:rFonts w:ascii="Arial" w:hAnsi="Arial" w:cs="Arial"/>
          <w:color w:val="000000"/>
        </w:rPr>
        <w:t>This strategy is preferred over broad diversification because it exploits capabilities and assets Vodafone already possesses in greater strength than at any point in its UK history</w:t>
      </w:r>
      <w:r w:rsidR="00A165A2">
        <w:rPr>
          <w:rFonts w:ascii="Arial" w:hAnsi="Arial" w:cs="Arial"/>
          <w:color w:val="000000"/>
        </w:rPr>
        <w:t>,</w:t>
      </w:r>
      <w:r>
        <w:rPr>
          <w:rFonts w:ascii="Arial" w:hAnsi="Arial" w:cs="Arial"/>
          <w:color w:val="000000"/>
        </w:rPr>
        <w:t xml:space="preserve"> </w:t>
      </w:r>
      <w:r w:rsidRPr="001C269C">
        <w:rPr>
          <w:rFonts w:ascii="Arial" w:hAnsi="Arial" w:cs="Arial"/>
          <w:color w:val="000000"/>
        </w:rPr>
        <w:t>network scale, spectrum, an integrated brand, and a demonstrated track record of digital-services growth</w:t>
      </w:r>
      <w:r w:rsidR="00A165A2">
        <w:rPr>
          <w:rFonts w:ascii="Arial" w:hAnsi="Arial" w:cs="Arial"/>
          <w:color w:val="000000"/>
        </w:rPr>
        <w:t xml:space="preserve">, </w:t>
      </w:r>
      <w:r w:rsidRPr="001C269C">
        <w:rPr>
          <w:rFonts w:ascii="Arial" w:hAnsi="Arial" w:cs="Arial"/>
          <w:color w:val="000000"/>
        </w:rPr>
        <w:t xml:space="preserve">rather </w:t>
      </w:r>
      <w:r w:rsidRPr="00D7576D">
        <w:rPr>
          <w:rFonts w:ascii="Arial" w:hAnsi="Arial" w:cs="Arial"/>
          <w:color w:val="000000"/>
        </w:rPr>
        <w:t>than requiring the company to build unrelated capabilities from scratch, consistent with Ansoff's</w:t>
      </w:r>
      <w:r>
        <w:rPr>
          <w:rFonts w:ascii="Arial" w:hAnsi="Arial" w:cs="Arial"/>
          <w:color w:val="000000"/>
        </w:rPr>
        <w:t xml:space="preserve"> </w:t>
      </w:r>
      <w:r w:rsidRPr="001C269C">
        <w:rPr>
          <w:rFonts w:ascii="Arial" w:hAnsi="Arial" w:cs="Arial"/>
          <w:color w:val="000000"/>
        </w:rPr>
        <w:t>observation that related growth paths carry materially lower risk than unrelated diversification</w:t>
      </w:r>
      <w:r>
        <w:rPr>
          <w:rFonts w:ascii="Arial" w:hAnsi="Arial" w:cs="Arial"/>
          <w:color w:val="000000"/>
        </w:rPr>
        <w:t xml:space="preserve"> (Ferreira Oliveira and Marques, 2024)</w:t>
      </w:r>
      <w:r w:rsidRPr="001C269C">
        <w:rPr>
          <w:rFonts w:ascii="Arial" w:hAnsi="Arial" w:cs="Arial"/>
          <w:color w:val="000000"/>
        </w:rPr>
        <w:t xml:space="preserve">. It is also consistent with Group strategic priorities of </w:t>
      </w:r>
      <w:r w:rsidR="00A165A2">
        <w:rPr>
          <w:rFonts w:ascii="Arial" w:hAnsi="Arial" w:cs="Arial"/>
          <w:color w:val="000000"/>
        </w:rPr>
        <w:t>c</w:t>
      </w:r>
      <w:r w:rsidRPr="001C269C">
        <w:rPr>
          <w:rFonts w:ascii="Arial" w:hAnsi="Arial" w:cs="Arial"/>
          <w:color w:val="000000"/>
        </w:rPr>
        <w:t xml:space="preserve">ustomers, </w:t>
      </w:r>
      <w:r w:rsidR="00A165A2">
        <w:rPr>
          <w:rFonts w:ascii="Arial" w:hAnsi="Arial" w:cs="Arial"/>
          <w:color w:val="000000"/>
        </w:rPr>
        <w:t>s</w:t>
      </w:r>
      <w:r w:rsidRPr="001C269C">
        <w:rPr>
          <w:rFonts w:ascii="Arial" w:hAnsi="Arial" w:cs="Arial"/>
          <w:color w:val="000000"/>
        </w:rPr>
        <w:t xml:space="preserve">implicity and </w:t>
      </w:r>
      <w:r w:rsidR="00A165A2">
        <w:rPr>
          <w:rFonts w:ascii="Arial" w:hAnsi="Arial" w:cs="Arial"/>
          <w:color w:val="000000"/>
        </w:rPr>
        <w:t>g</w:t>
      </w:r>
      <w:r w:rsidRPr="001C269C">
        <w:rPr>
          <w:rFonts w:ascii="Arial" w:hAnsi="Arial" w:cs="Arial"/>
          <w:color w:val="000000"/>
        </w:rPr>
        <w:t>rowth (Vodafone Group Plc, 2025b), and with the stated purpose of connecting people and businesses for a better future (</w:t>
      </w:r>
      <w:proofErr w:type="spellStart"/>
      <w:r w:rsidRPr="001C269C">
        <w:rPr>
          <w:rFonts w:ascii="Arial" w:hAnsi="Arial" w:cs="Arial"/>
          <w:color w:val="000000"/>
        </w:rPr>
        <w:t>MatrixBCG</w:t>
      </w:r>
      <w:proofErr w:type="spellEnd"/>
      <w:r w:rsidRPr="001C269C">
        <w:rPr>
          <w:rFonts w:ascii="Arial" w:hAnsi="Arial" w:cs="Arial"/>
          <w:color w:val="000000"/>
        </w:rPr>
        <w:t>, 2026).</w:t>
      </w:r>
    </w:p>
    <w:p w14:paraId="43CDA801" w14:textId="77777777" w:rsidR="00FB7382" w:rsidRPr="001C269C" w:rsidRDefault="00FB7382" w:rsidP="00FB7382">
      <w:pPr>
        <w:autoSpaceDE w:val="0"/>
        <w:autoSpaceDN w:val="0"/>
        <w:adjustRightInd w:val="0"/>
        <w:spacing w:line="360" w:lineRule="auto"/>
        <w:jc w:val="both"/>
        <w:rPr>
          <w:rFonts w:ascii="Arial" w:hAnsi="Arial" w:cs="Arial"/>
          <w:color w:val="000000"/>
        </w:rPr>
      </w:pPr>
    </w:p>
    <w:p w14:paraId="43B311F1" w14:textId="77777777" w:rsidR="00FB7382" w:rsidRPr="001C269C" w:rsidRDefault="00FB7382" w:rsidP="00FB7382">
      <w:pPr>
        <w:spacing w:line="360" w:lineRule="auto"/>
        <w:jc w:val="both"/>
        <w:rPr>
          <w:rFonts w:ascii="Arial" w:hAnsi="Arial" w:cs="Arial"/>
          <w:color w:val="000000"/>
        </w:rPr>
      </w:pPr>
      <w:r w:rsidRPr="001C269C">
        <w:rPr>
          <w:rFonts w:ascii="Arial" w:hAnsi="Arial" w:cs="Arial"/>
          <w:color w:val="000000"/>
        </w:rPr>
        <w:t>Using Porter's Generic Strategies framework</w:t>
      </w:r>
      <w:r>
        <w:rPr>
          <w:rFonts w:ascii="Arial" w:hAnsi="Arial" w:cs="Arial"/>
          <w:color w:val="000000"/>
        </w:rPr>
        <w:t xml:space="preserve">, </w:t>
      </w:r>
      <w:r w:rsidRPr="001C269C">
        <w:rPr>
          <w:rFonts w:ascii="Arial" w:hAnsi="Arial" w:cs="Arial"/>
          <w:color w:val="000000"/>
        </w:rPr>
        <w:t>a differentiation approach is proposed rather than a cost-leadership approach</w:t>
      </w:r>
      <w:r>
        <w:rPr>
          <w:rFonts w:ascii="Arial" w:hAnsi="Arial" w:cs="Arial"/>
          <w:color w:val="000000"/>
        </w:rPr>
        <w:t xml:space="preserve"> (</w:t>
      </w:r>
      <w:r w:rsidRPr="008F365B">
        <w:rPr>
          <w:rFonts w:ascii="Arial" w:hAnsi="Arial" w:cs="Arial"/>
          <w:color w:val="000000"/>
        </w:rPr>
        <w:t>Ali and Anwar, 2021</w:t>
      </w:r>
      <w:r>
        <w:rPr>
          <w:rFonts w:ascii="Arial" w:hAnsi="Arial" w:cs="Arial"/>
          <w:color w:val="000000"/>
        </w:rPr>
        <w:t>)</w:t>
      </w:r>
      <w:r w:rsidRPr="001C269C">
        <w:rPr>
          <w:rFonts w:ascii="Arial" w:hAnsi="Arial" w:cs="Arial"/>
          <w:color w:val="000000"/>
        </w:rPr>
        <w:t xml:space="preserve">: Vodafone competes on superior network quality, converged service breadth and digital innovation rather than on being the lowest-cost operator, reflecting the reality that UK budget segments are already well served by MVNOs such as giffgaff, VOXI and ID Mobile, including Vodafone's own SMARTY brand, which can continue to serve price-sensitive segments without diluting the core </w:t>
      </w:r>
      <w:proofErr w:type="spellStart"/>
      <w:r w:rsidRPr="001C269C">
        <w:rPr>
          <w:rFonts w:ascii="Arial" w:hAnsi="Arial" w:cs="Arial"/>
          <w:color w:val="000000"/>
        </w:rPr>
        <w:t>VodafoneThree</w:t>
      </w:r>
      <w:proofErr w:type="spellEnd"/>
      <w:r w:rsidRPr="001C269C">
        <w:rPr>
          <w:rFonts w:ascii="Arial" w:hAnsi="Arial" w:cs="Arial"/>
          <w:color w:val="000000"/>
        </w:rPr>
        <w:t xml:space="preserve"> brand positioning (</w:t>
      </w:r>
      <w:proofErr w:type="spellStart"/>
      <w:r w:rsidRPr="001C269C">
        <w:rPr>
          <w:rFonts w:ascii="Arial" w:hAnsi="Arial" w:cs="Arial"/>
          <w:color w:val="000000"/>
        </w:rPr>
        <w:t>MyAmplifiers</w:t>
      </w:r>
      <w:proofErr w:type="spellEnd"/>
      <w:r w:rsidRPr="001C269C">
        <w:rPr>
          <w:rFonts w:ascii="Arial" w:hAnsi="Arial" w:cs="Arial"/>
          <w:color w:val="000000"/>
        </w:rPr>
        <w:t>, 2026).</w:t>
      </w:r>
    </w:p>
    <w:p w14:paraId="47C433C0" w14:textId="77777777" w:rsidR="00FB7382" w:rsidRDefault="00FB7382" w:rsidP="00FB7382"/>
    <w:p w14:paraId="4D02277D" w14:textId="77777777" w:rsidR="00FB7382" w:rsidRDefault="00FB7382" w:rsidP="00FB7382">
      <w:pPr>
        <w:pStyle w:val="Ttulo1"/>
        <w:rPr>
          <w:rFonts w:ascii="Arial" w:hAnsi="Arial" w:cs="Arial"/>
          <w:sz w:val="36"/>
          <w:szCs w:val="36"/>
        </w:rPr>
      </w:pPr>
      <w:bookmarkStart w:id="14" w:name="_Toc237342835"/>
      <w:r>
        <w:rPr>
          <w:rFonts w:ascii="Arial" w:hAnsi="Arial" w:cs="Arial"/>
          <w:sz w:val="36"/>
          <w:szCs w:val="36"/>
        </w:rPr>
        <w:t>5</w:t>
      </w:r>
      <w:r w:rsidRPr="00796ED3">
        <w:rPr>
          <w:rFonts w:ascii="Arial" w:hAnsi="Arial" w:cs="Arial"/>
          <w:sz w:val="36"/>
          <w:szCs w:val="36"/>
        </w:rPr>
        <w:t xml:space="preserve">. </w:t>
      </w:r>
      <w:r>
        <w:rPr>
          <w:rFonts w:ascii="Arial" w:hAnsi="Arial" w:cs="Arial"/>
          <w:sz w:val="36"/>
          <w:szCs w:val="36"/>
        </w:rPr>
        <w:t>STRATEGY EVALUATION</w:t>
      </w:r>
      <w:bookmarkEnd w:id="14"/>
    </w:p>
    <w:p w14:paraId="66B1BEF9" w14:textId="77777777" w:rsidR="00FB7382" w:rsidRPr="001C269C" w:rsidRDefault="00FB7382" w:rsidP="00FB7382">
      <w:pPr>
        <w:pStyle w:val="Ttulo1"/>
        <w:spacing w:line="360" w:lineRule="auto"/>
        <w:jc w:val="both"/>
        <w:rPr>
          <w:rFonts w:ascii="Arial" w:eastAsia="Times New Roman" w:hAnsi="Arial" w:cs="Arial"/>
          <w:b w:val="0"/>
          <w:color w:val="000000"/>
          <w:sz w:val="24"/>
          <w:szCs w:val="24"/>
        </w:rPr>
      </w:pPr>
    </w:p>
    <w:p w14:paraId="4BF84B1F" w14:textId="68F33CAB" w:rsidR="00FB7382" w:rsidRPr="001C269C" w:rsidRDefault="00FB7382" w:rsidP="00FB7382">
      <w:pPr>
        <w:autoSpaceDE w:val="0"/>
        <w:autoSpaceDN w:val="0"/>
        <w:adjustRightInd w:val="0"/>
        <w:spacing w:line="360" w:lineRule="auto"/>
        <w:jc w:val="both"/>
        <w:rPr>
          <w:rFonts w:ascii="Arial" w:hAnsi="Arial" w:cs="Arial"/>
          <w:color w:val="000000"/>
        </w:rPr>
      </w:pPr>
      <w:r w:rsidRPr="001C269C">
        <w:rPr>
          <w:rFonts w:ascii="Arial" w:hAnsi="Arial" w:cs="Arial"/>
          <w:color w:val="000000"/>
        </w:rPr>
        <w:t xml:space="preserve">The proposed strategy is evaluated using the </w:t>
      </w:r>
      <w:r w:rsidR="00F007A6">
        <w:rPr>
          <w:rFonts w:ascii="Arial" w:hAnsi="Arial" w:cs="Arial"/>
          <w:color w:val="000000"/>
        </w:rPr>
        <w:t>s</w:t>
      </w:r>
      <w:r w:rsidRPr="001C269C">
        <w:rPr>
          <w:rFonts w:ascii="Arial" w:hAnsi="Arial" w:cs="Arial"/>
          <w:color w:val="000000"/>
        </w:rPr>
        <w:t xml:space="preserve">uitability, </w:t>
      </w:r>
      <w:r w:rsidR="00F007A6">
        <w:rPr>
          <w:rFonts w:ascii="Arial" w:hAnsi="Arial" w:cs="Arial"/>
          <w:color w:val="000000"/>
        </w:rPr>
        <w:t>f</w:t>
      </w:r>
      <w:r w:rsidRPr="001C269C">
        <w:rPr>
          <w:rFonts w:ascii="Arial" w:hAnsi="Arial" w:cs="Arial"/>
          <w:color w:val="000000"/>
        </w:rPr>
        <w:t xml:space="preserve">easibility and </w:t>
      </w:r>
      <w:r w:rsidR="00F007A6">
        <w:rPr>
          <w:rFonts w:ascii="Arial" w:hAnsi="Arial" w:cs="Arial"/>
          <w:color w:val="000000"/>
        </w:rPr>
        <w:t>a</w:t>
      </w:r>
      <w:r w:rsidRPr="001C269C">
        <w:rPr>
          <w:rFonts w:ascii="Arial" w:hAnsi="Arial" w:cs="Arial"/>
          <w:color w:val="000000"/>
        </w:rPr>
        <w:t xml:space="preserve">cceptability (SFA) framework (Johnson et al., 2020), a standard tool for testing whether a recommended strategy is fit for adoption by the </w:t>
      </w:r>
      <w:r w:rsidR="00F007A6">
        <w:rPr>
          <w:rFonts w:ascii="Arial" w:hAnsi="Arial" w:cs="Arial"/>
          <w:color w:val="000000"/>
        </w:rPr>
        <w:t>b</w:t>
      </w:r>
      <w:r w:rsidRPr="001C269C">
        <w:rPr>
          <w:rFonts w:ascii="Arial" w:hAnsi="Arial" w:cs="Arial"/>
          <w:color w:val="000000"/>
        </w:rPr>
        <w:t>oard.</w:t>
      </w:r>
    </w:p>
    <w:p w14:paraId="0F66B6FC" w14:textId="77777777" w:rsidR="00FB7382" w:rsidRDefault="00FB7382" w:rsidP="00FB7382">
      <w:pPr>
        <w:spacing w:after="160" w:line="276" w:lineRule="auto"/>
        <w:jc w:val="both"/>
      </w:pP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300"/>
        <w:gridCol w:w="5500"/>
      </w:tblGrid>
      <w:tr w:rsidR="00FB7382" w:rsidRPr="0036728D" w14:paraId="54420BDE" w14:textId="77777777" w:rsidTr="00D1554C">
        <w:trPr>
          <w:tblHeader/>
          <w:jc w:val="center"/>
        </w:trPr>
        <w:tc>
          <w:tcPr>
            <w:tcW w:w="1600" w:type="dxa"/>
            <w:shd w:val="clear" w:color="auto" w:fill="1B0459"/>
            <w:tcMar>
              <w:top w:w="80" w:type="dxa"/>
              <w:left w:w="100" w:type="dxa"/>
              <w:bottom w:w="80" w:type="dxa"/>
              <w:right w:w="100" w:type="dxa"/>
            </w:tcMar>
            <w:vAlign w:val="center"/>
          </w:tcPr>
          <w:p w14:paraId="7286A966"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Criterion</w:t>
            </w:r>
          </w:p>
        </w:tc>
        <w:tc>
          <w:tcPr>
            <w:tcW w:w="1300" w:type="dxa"/>
            <w:shd w:val="clear" w:color="auto" w:fill="1B0459"/>
            <w:tcMar>
              <w:top w:w="80" w:type="dxa"/>
              <w:left w:w="100" w:type="dxa"/>
              <w:bottom w:w="80" w:type="dxa"/>
              <w:right w:w="100" w:type="dxa"/>
            </w:tcMar>
            <w:vAlign w:val="center"/>
          </w:tcPr>
          <w:p w14:paraId="331DB5AD"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Rating</w:t>
            </w:r>
          </w:p>
        </w:tc>
        <w:tc>
          <w:tcPr>
            <w:tcW w:w="5500" w:type="dxa"/>
            <w:shd w:val="clear" w:color="auto" w:fill="1B0459"/>
            <w:tcMar>
              <w:top w:w="80" w:type="dxa"/>
              <w:left w:w="100" w:type="dxa"/>
              <w:bottom w:w="80" w:type="dxa"/>
              <w:right w:w="100" w:type="dxa"/>
            </w:tcMar>
            <w:vAlign w:val="center"/>
          </w:tcPr>
          <w:p w14:paraId="15CF7ED9"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Justification</w:t>
            </w:r>
          </w:p>
        </w:tc>
      </w:tr>
      <w:tr w:rsidR="00FB7382" w:rsidRPr="0036728D" w14:paraId="009EFC10" w14:textId="77777777" w:rsidTr="00D1554C">
        <w:trPr>
          <w:jc w:val="center"/>
        </w:trPr>
        <w:tc>
          <w:tcPr>
            <w:tcW w:w="1600" w:type="dxa"/>
            <w:shd w:val="clear" w:color="auto" w:fill="FFFFFF"/>
            <w:tcMar>
              <w:top w:w="80" w:type="dxa"/>
              <w:left w:w="100" w:type="dxa"/>
              <w:bottom w:w="80" w:type="dxa"/>
              <w:right w:w="100" w:type="dxa"/>
            </w:tcMar>
            <w:vAlign w:val="center"/>
          </w:tcPr>
          <w:p w14:paraId="04CE36F8"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Suitability</w:t>
            </w:r>
          </w:p>
        </w:tc>
        <w:tc>
          <w:tcPr>
            <w:tcW w:w="1300" w:type="dxa"/>
            <w:shd w:val="clear" w:color="auto" w:fill="FFFFFF"/>
            <w:tcMar>
              <w:top w:w="80" w:type="dxa"/>
              <w:left w:w="100" w:type="dxa"/>
              <w:bottom w:w="80" w:type="dxa"/>
              <w:right w:w="100" w:type="dxa"/>
            </w:tcMar>
            <w:vAlign w:val="center"/>
          </w:tcPr>
          <w:p w14:paraId="761F6A1C"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High</w:t>
            </w:r>
          </w:p>
        </w:tc>
        <w:tc>
          <w:tcPr>
            <w:tcW w:w="5500" w:type="dxa"/>
            <w:shd w:val="clear" w:color="auto" w:fill="FFFFFF"/>
            <w:tcMar>
              <w:top w:w="80" w:type="dxa"/>
              <w:left w:w="100" w:type="dxa"/>
              <w:bottom w:w="80" w:type="dxa"/>
              <w:right w:w="100" w:type="dxa"/>
            </w:tcMar>
            <w:vAlign w:val="center"/>
          </w:tcPr>
          <w:p w14:paraId="2E369FD8"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 xml:space="preserve">The strategy directly addresses the SWOT/PESTEL findings: it exploits Vodafone's enlarged network and digital-services strengths, addresses the weakness of incomplete 5G migration by driving network-led penetration, and responds to the threat of intense three-way rivalry by </w:t>
            </w:r>
            <w:r w:rsidRPr="0036728D">
              <w:rPr>
                <w:rFonts w:ascii="Arial" w:hAnsi="Arial" w:cs="Arial"/>
                <w:color w:val="000000"/>
                <w:sz w:val="20"/>
                <w:szCs w:val="20"/>
              </w:rPr>
              <w:lastRenderedPageBreak/>
              <w:t>differentiating on quality and convergence rather than price (Johnson et al., 2020).</w:t>
            </w:r>
          </w:p>
        </w:tc>
      </w:tr>
      <w:tr w:rsidR="00FB7382" w:rsidRPr="0036728D" w14:paraId="569C7919" w14:textId="77777777" w:rsidTr="00D1554C">
        <w:trPr>
          <w:jc w:val="center"/>
        </w:trPr>
        <w:tc>
          <w:tcPr>
            <w:tcW w:w="1600" w:type="dxa"/>
            <w:tcMar>
              <w:top w:w="80" w:type="dxa"/>
              <w:left w:w="100" w:type="dxa"/>
              <w:bottom w:w="80" w:type="dxa"/>
              <w:right w:w="100" w:type="dxa"/>
            </w:tcMar>
            <w:vAlign w:val="center"/>
          </w:tcPr>
          <w:p w14:paraId="6E389613"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lastRenderedPageBreak/>
              <w:t>Feasibility</w:t>
            </w:r>
          </w:p>
        </w:tc>
        <w:tc>
          <w:tcPr>
            <w:tcW w:w="1300" w:type="dxa"/>
            <w:tcMar>
              <w:top w:w="80" w:type="dxa"/>
              <w:left w:w="100" w:type="dxa"/>
              <w:bottom w:w="80" w:type="dxa"/>
              <w:right w:w="100" w:type="dxa"/>
            </w:tcMar>
            <w:vAlign w:val="center"/>
          </w:tcPr>
          <w:p w14:paraId="0BE253D0"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Medium-High</w:t>
            </w:r>
          </w:p>
        </w:tc>
        <w:tc>
          <w:tcPr>
            <w:tcW w:w="5500" w:type="dxa"/>
            <w:tcMar>
              <w:top w:w="80" w:type="dxa"/>
              <w:left w:w="100" w:type="dxa"/>
              <w:bottom w:w="80" w:type="dxa"/>
              <w:right w:w="100" w:type="dxa"/>
            </w:tcMar>
            <w:vAlign w:val="center"/>
          </w:tcPr>
          <w:p w14:paraId="04B609A4"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Vodafone has committed capital (£11bn over ten years, £1.3bn in year one), demonstrated free cash flow generation (Vodafone Group Plc, 2026b) and full operational control following the July 2026 buyout, removing prior joint-venture decision-making friction. Execution risk remains around network integration timelines and realising the targeted £700m annual synergies by FY30 (Vodafone Group Plc, 2026a).</w:t>
            </w:r>
          </w:p>
        </w:tc>
      </w:tr>
      <w:tr w:rsidR="00FB7382" w:rsidRPr="0036728D" w14:paraId="1E476FC6" w14:textId="77777777" w:rsidTr="00D1554C">
        <w:trPr>
          <w:jc w:val="center"/>
        </w:trPr>
        <w:tc>
          <w:tcPr>
            <w:tcW w:w="1600" w:type="dxa"/>
            <w:shd w:val="clear" w:color="auto" w:fill="FFFFFF"/>
            <w:tcMar>
              <w:top w:w="80" w:type="dxa"/>
              <w:left w:w="100" w:type="dxa"/>
              <w:bottom w:w="80" w:type="dxa"/>
              <w:right w:w="100" w:type="dxa"/>
            </w:tcMar>
            <w:vAlign w:val="center"/>
          </w:tcPr>
          <w:p w14:paraId="4BDE877A"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Acceptability</w:t>
            </w:r>
          </w:p>
        </w:tc>
        <w:tc>
          <w:tcPr>
            <w:tcW w:w="1300" w:type="dxa"/>
            <w:shd w:val="clear" w:color="auto" w:fill="FFFFFF"/>
            <w:tcMar>
              <w:top w:w="80" w:type="dxa"/>
              <w:left w:w="100" w:type="dxa"/>
              <w:bottom w:w="80" w:type="dxa"/>
              <w:right w:w="100" w:type="dxa"/>
            </w:tcMar>
            <w:vAlign w:val="center"/>
          </w:tcPr>
          <w:p w14:paraId="33003388"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Medium-High</w:t>
            </w:r>
          </w:p>
        </w:tc>
        <w:tc>
          <w:tcPr>
            <w:tcW w:w="5500" w:type="dxa"/>
            <w:shd w:val="clear" w:color="auto" w:fill="FFFFFF"/>
            <w:tcMar>
              <w:top w:w="80" w:type="dxa"/>
              <w:left w:w="100" w:type="dxa"/>
              <w:bottom w:w="80" w:type="dxa"/>
              <w:right w:w="100" w:type="dxa"/>
            </w:tcMar>
            <w:vAlign w:val="center"/>
          </w:tcPr>
          <w:p w14:paraId="29C5A493"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Shareholders should welcome a strategy that leverages an asset they have already funded rather than requiring new unrelated investment; returns are expected to be free-cash-flow accretive from FY29 onward (Vodafone Group Plc, 2025a). Acceptability to regulators and the public depends on Vodafone visibly delivering the coverage, pricing and investment commitments made during merger approval, and on managing headcount and integration impacts responsibly.</w:t>
            </w:r>
          </w:p>
        </w:tc>
      </w:tr>
    </w:tbl>
    <w:p w14:paraId="3597C6A3" w14:textId="77777777" w:rsidR="00FB7382" w:rsidRPr="0036728D" w:rsidRDefault="00FB7382" w:rsidP="00FB7382">
      <w:pPr>
        <w:spacing w:before="60" w:after="220"/>
        <w:rPr>
          <w:rFonts w:ascii="Arial" w:hAnsi="Arial" w:cs="Arial"/>
          <w:sz w:val="20"/>
          <w:szCs w:val="20"/>
        </w:rPr>
      </w:pPr>
      <w:r>
        <w:rPr>
          <w:rFonts w:ascii="Arial" w:hAnsi="Arial" w:cs="Arial"/>
          <w:i/>
          <w:iCs/>
          <w:color w:val="595959"/>
          <w:sz w:val="20"/>
          <w:szCs w:val="20"/>
        </w:rPr>
        <w:t xml:space="preserve">     </w:t>
      </w:r>
      <w:r w:rsidRPr="0036728D">
        <w:rPr>
          <w:rFonts w:ascii="Arial" w:hAnsi="Arial" w:cs="Arial"/>
          <w:i/>
          <w:iCs/>
          <w:color w:val="595959"/>
          <w:sz w:val="20"/>
          <w:szCs w:val="20"/>
        </w:rPr>
        <w:t>Table 5: SFA evaluation of the recommended strategy.</w:t>
      </w:r>
    </w:p>
    <w:p w14:paraId="1AAC2E8A" w14:textId="77777777" w:rsidR="00FB7382" w:rsidRDefault="00FB7382" w:rsidP="00FB7382"/>
    <w:p w14:paraId="5A821702" w14:textId="77777777" w:rsidR="00FB7382" w:rsidRPr="00552F80" w:rsidRDefault="00FB7382" w:rsidP="00FB7382">
      <w:pPr>
        <w:autoSpaceDE w:val="0"/>
        <w:autoSpaceDN w:val="0"/>
        <w:adjustRightInd w:val="0"/>
        <w:jc w:val="both"/>
        <w:rPr>
          <w:rFonts w:ascii="Arial" w:hAnsi="Arial" w:cs="Arial"/>
          <w:color w:val="000000"/>
        </w:rPr>
      </w:pPr>
    </w:p>
    <w:p w14:paraId="4BB98E61" w14:textId="746BA746" w:rsidR="00FB7382" w:rsidRDefault="00FB7382" w:rsidP="00FB7382">
      <w:pPr>
        <w:autoSpaceDE w:val="0"/>
        <w:autoSpaceDN w:val="0"/>
        <w:adjustRightInd w:val="0"/>
        <w:spacing w:line="360" w:lineRule="auto"/>
        <w:jc w:val="both"/>
        <w:rPr>
          <w:rFonts w:ascii="Arial" w:hAnsi="Arial" w:cs="Arial"/>
          <w:color w:val="000000"/>
        </w:rPr>
      </w:pPr>
      <w:r w:rsidRPr="00552F80">
        <w:rPr>
          <w:rFonts w:ascii="Arial" w:hAnsi="Arial" w:cs="Arial"/>
          <w:color w:val="000000"/>
        </w:rPr>
        <w:t>Overall, the SFA analysis supports adoption of the recommended strategy. The clearest risk lies in feasibility: successful network integration and the realisation of £700 million in annual synergies by FY30 depend on operational execution that is still in progress, and full ownership</w:t>
      </w:r>
      <w:r w:rsidR="000257FF">
        <w:rPr>
          <w:rFonts w:ascii="Arial" w:hAnsi="Arial" w:cs="Arial"/>
          <w:color w:val="000000"/>
        </w:rPr>
        <w:t xml:space="preserve">, </w:t>
      </w:r>
      <w:r w:rsidRPr="00552F80">
        <w:rPr>
          <w:rFonts w:ascii="Arial" w:hAnsi="Arial" w:cs="Arial"/>
          <w:color w:val="000000"/>
        </w:rPr>
        <w:t>while removing joint-venture friction</w:t>
      </w:r>
      <w:r w:rsidR="000257FF">
        <w:rPr>
          <w:rFonts w:ascii="Arial" w:hAnsi="Arial" w:cs="Arial"/>
          <w:color w:val="000000"/>
        </w:rPr>
        <w:t xml:space="preserve">, </w:t>
      </w:r>
      <w:r w:rsidRPr="00552F80">
        <w:rPr>
          <w:rFonts w:ascii="Arial" w:hAnsi="Arial" w:cs="Arial"/>
          <w:color w:val="000000"/>
        </w:rPr>
        <w:t>also concentrates integration risk and increased net debt entirely on Vodafone's balance sheet (</w:t>
      </w:r>
      <w:proofErr w:type="spellStart"/>
      <w:r w:rsidRPr="00552F80">
        <w:rPr>
          <w:rFonts w:ascii="Arial" w:hAnsi="Arial" w:cs="Arial"/>
          <w:color w:val="000000"/>
        </w:rPr>
        <w:t>TelecomTV</w:t>
      </w:r>
      <w:proofErr w:type="spellEnd"/>
      <w:r w:rsidRPr="00552F80">
        <w:rPr>
          <w:rFonts w:ascii="Arial" w:hAnsi="Arial" w:cs="Arial"/>
          <w:color w:val="000000"/>
        </w:rPr>
        <w:t xml:space="preserve">, 2026). It is assumed for this report, in the absence of more </w:t>
      </w:r>
      <w:r w:rsidR="00E72F6E">
        <w:rPr>
          <w:rFonts w:ascii="Arial" w:hAnsi="Arial" w:cs="Arial"/>
          <w:color w:val="000000"/>
        </w:rPr>
        <w:t>detailed information</w:t>
      </w:r>
      <w:r w:rsidRPr="00552F80">
        <w:rPr>
          <w:rFonts w:ascii="Arial" w:hAnsi="Arial" w:cs="Arial"/>
          <w:color w:val="000000"/>
        </w:rPr>
        <w:t>, that Vodafone can fund the ongoing £11 billion network investment from existing free cash flow generation and disciplined capital allocation, consistent with statements accompanying the FY26 results and the CKHGT buyout, both of which were funded from existing cash resources rather than new debt issuance (Vodafone Group Plc, 2026a; 2026b).</w:t>
      </w:r>
    </w:p>
    <w:p w14:paraId="2897F33C" w14:textId="77777777" w:rsidR="00FB7382" w:rsidRPr="00552F80" w:rsidRDefault="00FB7382" w:rsidP="00FB7382">
      <w:pPr>
        <w:autoSpaceDE w:val="0"/>
        <w:autoSpaceDN w:val="0"/>
        <w:adjustRightInd w:val="0"/>
        <w:spacing w:line="360" w:lineRule="auto"/>
        <w:jc w:val="both"/>
        <w:rPr>
          <w:rFonts w:ascii="Arial" w:hAnsi="Arial" w:cs="Arial"/>
          <w:color w:val="000000"/>
        </w:rPr>
      </w:pPr>
    </w:p>
    <w:p w14:paraId="685B1006" w14:textId="77777777" w:rsidR="00FB7382" w:rsidRPr="00552F80" w:rsidRDefault="00FB7382" w:rsidP="00FB7382">
      <w:pPr>
        <w:autoSpaceDE w:val="0"/>
        <w:autoSpaceDN w:val="0"/>
        <w:adjustRightInd w:val="0"/>
        <w:spacing w:line="360" w:lineRule="auto"/>
        <w:jc w:val="both"/>
        <w:rPr>
          <w:rFonts w:ascii="Arial" w:hAnsi="Arial" w:cs="Arial"/>
          <w:color w:val="000000"/>
        </w:rPr>
      </w:pPr>
      <w:r w:rsidRPr="00552F80">
        <w:rPr>
          <w:rFonts w:ascii="Arial" w:hAnsi="Arial" w:cs="Arial"/>
          <w:color w:val="000000"/>
        </w:rPr>
        <w:t>A further assumption made is that Ofcom and the UK Government continue to support consolidation-driven investment, as evidenced by CMA approval of the original merger and the National Security and Investment Act review process for the buyout, rather than imposing material new structural remedies, since a materially different regulatory outcome would alter the feasibility and acceptability ratings above (Verdict, 2026).</w:t>
      </w:r>
    </w:p>
    <w:p w14:paraId="08829E1C" w14:textId="77777777" w:rsidR="00FB7382" w:rsidRPr="00D1671E" w:rsidRDefault="00FB7382" w:rsidP="00FB7382"/>
    <w:p w14:paraId="15F8492E" w14:textId="77777777" w:rsidR="00FB7382" w:rsidRDefault="00FB7382" w:rsidP="00FB7382">
      <w:pPr>
        <w:pStyle w:val="Ttulo1"/>
        <w:rPr>
          <w:rFonts w:ascii="Arial" w:hAnsi="Arial" w:cs="Arial"/>
          <w:sz w:val="36"/>
          <w:szCs w:val="36"/>
        </w:rPr>
      </w:pPr>
      <w:bookmarkStart w:id="15" w:name="_Toc237342836"/>
      <w:r>
        <w:rPr>
          <w:rFonts w:ascii="Arial" w:hAnsi="Arial" w:cs="Arial"/>
          <w:sz w:val="36"/>
          <w:szCs w:val="36"/>
        </w:rPr>
        <w:lastRenderedPageBreak/>
        <w:t>6</w:t>
      </w:r>
      <w:r w:rsidRPr="00796ED3">
        <w:rPr>
          <w:rFonts w:ascii="Arial" w:hAnsi="Arial" w:cs="Arial"/>
          <w:sz w:val="36"/>
          <w:szCs w:val="36"/>
        </w:rPr>
        <w:t xml:space="preserve">. </w:t>
      </w:r>
      <w:r>
        <w:rPr>
          <w:rFonts w:ascii="Arial" w:hAnsi="Arial" w:cs="Arial"/>
          <w:sz w:val="36"/>
          <w:szCs w:val="36"/>
        </w:rPr>
        <w:t>STAKEHOLDER ANALYSIS</w:t>
      </w:r>
      <w:bookmarkEnd w:id="15"/>
      <w:r>
        <w:rPr>
          <w:rFonts w:ascii="Arial" w:hAnsi="Arial" w:cs="Arial"/>
          <w:sz w:val="36"/>
          <w:szCs w:val="36"/>
        </w:rPr>
        <w:t xml:space="preserve"> </w:t>
      </w:r>
    </w:p>
    <w:p w14:paraId="711C153E" w14:textId="77777777" w:rsidR="00FB7382" w:rsidRDefault="00FB7382" w:rsidP="00FB7382">
      <w:pPr>
        <w:autoSpaceDE w:val="0"/>
        <w:autoSpaceDN w:val="0"/>
        <w:adjustRightInd w:val="0"/>
        <w:jc w:val="both"/>
        <w:rPr>
          <w:rFonts w:ascii="AppleSystemUIFont" w:eastAsiaTheme="minorEastAsia" w:hAnsi="AppleSystemUIFont" w:cs="AppleSystemUIFont"/>
          <w:sz w:val="26"/>
          <w:szCs w:val="26"/>
          <w:lang w:eastAsia="zh-CN"/>
        </w:rPr>
      </w:pPr>
    </w:p>
    <w:p w14:paraId="5D67D9D1" w14:textId="77777777" w:rsidR="00FB7382" w:rsidRDefault="00FB7382" w:rsidP="00FB7382">
      <w:pPr>
        <w:autoSpaceDE w:val="0"/>
        <w:autoSpaceDN w:val="0"/>
        <w:adjustRightInd w:val="0"/>
        <w:spacing w:line="360" w:lineRule="auto"/>
        <w:jc w:val="both"/>
        <w:rPr>
          <w:rFonts w:ascii="Arial" w:hAnsi="Arial" w:cs="Arial"/>
          <w:color w:val="000000"/>
        </w:rPr>
      </w:pPr>
      <w:r w:rsidRPr="00552F80">
        <w:rPr>
          <w:rFonts w:ascii="Arial" w:hAnsi="Arial" w:cs="Arial"/>
          <w:color w:val="000000"/>
        </w:rPr>
        <w:t>Consistent with stakeholder theory, which holds that organisations are accountable to a broad range of groups beyond shareholders alone</w:t>
      </w:r>
      <w:r>
        <w:rPr>
          <w:rFonts w:ascii="Arial" w:hAnsi="Arial" w:cs="Arial"/>
          <w:color w:val="000000"/>
        </w:rPr>
        <w:t xml:space="preserve"> (</w:t>
      </w:r>
      <w:proofErr w:type="spellStart"/>
      <w:r w:rsidRPr="008F365B">
        <w:rPr>
          <w:rFonts w:ascii="Arial" w:hAnsi="Arial" w:cs="Arial"/>
          <w:color w:val="000000"/>
        </w:rPr>
        <w:t>Bridoux</w:t>
      </w:r>
      <w:proofErr w:type="spellEnd"/>
      <w:r w:rsidRPr="008F365B">
        <w:rPr>
          <w:rFonts w:ascii="Arial" w:hAnsi="Arial" w:cs="Arial"/>
          <w:color w:val="000000"/>
        </w:rPr>
        <w:t xml:space="preserve"> and </w:t>
      </w:r>
      <w:proofErr w:type="spellStart"/>
      <w:r w:rsidRPr="008F365B">
        <w:rPr>
          <w:rFonts w:ascii="Arial" w:hAnsi="Arial" w:cs="Arial"/>
          <w:color w:val="000000"/>
        </w:rPr>
        <w:t>Stoelhorst</w:t>
      </w:r>
      <w:proofErr w:type="spellEnd"/>
      <w:r w:rsidRPr="008F365B">
        <w:rPr>
          <w:rFonts w:ascii="Arial" w:hAnsi="Arial" w:cs="Arial"/>
          <w:color w:val="000000"/>
        </w:rPr>
        <w:t>, 2022</w:t>
      </w:r>
      <w:r>
        <w:rPr>
          <w:rFonts w:ascii="Arial" w:hAnsi="Arial" w:cs="Arial"/>
          <w:color w:val="000000"/>
        </w:rPr>
        <w:t>),</w:t>
      </w:r>
      <w:r w:rsidRPr="00552F80">
        <w:rPr>
          <w:rFonts w:ascii="Arial" w:hAnsi="Arial" w:cs="Arial"/>
          <w:color w:val="000000"/>
        </w:rPr>
        <w:t xml:space="preserve"> the recommended strategy affects employees, regulators, customers and communities, and their varying power and interest are mapped using Power/Interest Matrix</w:t>
      </w:r>
      <w:r>
        <w:rPr>
          <w:rFonts w:ascii="Arial" w:hAnsi="Arial" w:cs="Arial"/>
          <w:color w:val="000000"/>
        </w:rPr>
        <w:t xml:space="preserve">, </w:t>
      </w:r>
      <w:r w:rsidRPr="002515F0">
        <w:rPr>
          <w:rFonts w:ascii="Arial" w:hAnsi="Arial" w:cs="Arial"/>
          <w:color w:val="000000"/>
        </w:rPr>
        <w:t xml:space="preserve">applied here in the form recently used to classify stakeholders by relative power and interest in a comparable organisational setting (Farshid, </w:t>
      </w:r>
      <w:proofErr w:type="spellStart"/>
      <w:r w:rsidRPr="002515F0">
        <w:rPr>
          <w:rFonts w:ascii="Arial" w:hAnsi="Arial" w:cs="Arial"/>
          <w:color w:val="000000"/>
        </w:rPr>
        <w:t>Goharrostami</w:t>
      </w:r>
      <w:proofErr w:type="spellEnd"/>
      <w:r w:rsidRPr="002515F0">
        <w:rPr>
          <w:rFonts w:ascii="Arial" w:hAnsi="Arial" w:cs="Arial"/>
          <w:color w:val="000000"/>
        </w:rPr>
        <w:t xml:space="preserve"> and Ramezani Nejad, 2022).</w:t>
      </w:r>
    </w:p>
    <w:p w14:paraId="741C0F26" w14:textId="77777777" w:rsidR="00FB7382" w:rsidRPr="0036728D" w:rsidRDefault="00FB7382" w:rsidP="00FB7382">
      <w:pPr>
        <w:spacing w:after="160" w:line="276" w:lineRule="auto"/>
        <w:jc w:val="both"/>
        <w:rPr>
          <w:rFonts w:ascii="Arial" w:hAnsi="Arial" w:cs="Arial"/>
          <w:sz w:val="20"/>
          <w:szCs w:val="20"/>
        </w:rPr>
      </w:pPr>
    </w:p>
    <w:tbl>
      <w:tblPr>
        <w:tblW w:w="8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5200"/>
      </w:tblGrid>
      <w:tr w:rsidR="00FB7382" w:rsidRPr="0036728D" w14:paraId="461A866F" w14:textId="77777777" w:rsidTr="00D1554C">
        <w:trPr>
          <w:tblHeader/>
          <w:jc w:val="center"/>
        </w:trPr>
        <w:tc>
          <w:tcPr>
            <w:tcW w:w="3200" w:type="dxa"/>
            <w:shd w:val="clear" w:color="auto" w:fill="1B0459"/>
            <w:tcMar>
              <w:top w:w="80" w:type="dxa"/>
              <w:left w:w="100" w:type="dxa"/>
              <w:bottom w:w="80" w:type="dxa"/>
              <w:right w:w="100" w:type="dxa"/>
            </w:tcMar>
            <w:vAlign w:val="center"/>
          </w:tcPr>
          <w:p w14:paraId="737E180B"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Quadrant</w:t>
            </w:r>
          </w:p>
        </w:tc>
        <w:tc>
          <w:tcPr>
            <w:tcW w:w="5200" w:type="dxa"/>
            <w:shd w:val="clear" w:color="auto" w:fill="1B0459"/>
            <w:tcMar>
              <w:top w:w="80" w:type="dxa"/>
              <w:left w:w="100" w:type="dxa"/>
              <w:bottom w:w="80" w:type="dxa"/>
              <w:right w:w="100" w:type="dxa"/>
            </w:tcMar>
            <w:vAlign w:val="center"/>
          </w:tcPr>
          <w:p w14:paraId="476D45C6"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Stakeholders</w:t>
            </w:r>
          </w:p>
        </w:tc>
      </w:tr>
      <w:tr w:rsidR="00FB7382" w:rsidRPr="0036728D" w14:paraId="2BDEC940" w14:textId="77777777" w:rsidTr="00D1554C">
        <w:trPr>
          <w:jc w:val="center"/>
        </w:trPr>
        <w:tc>
          <w:tcPr>
            <w:tcW w:w="3200" w:type="dxa"/>
            <w:shd w:val="clear" w:color="auto" w:fill="FFFFFF"/>
            <w:tcMar>
              <w:top w:w="80" w:type="dxa"/>
              <w:left w:w="100" w:type="dxa"/>
              <w:bottom w:w="80" w:type="dxa"/>
              <w:right w:w="100" w:type="dxa"/>
            </w:tcMar>
            <w:vAlign w:val="center"/>
          </w:tcPr>
          <w:p w14:paraId="02A4316F"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High power / High interest (Manage Closely)</w:t>
            </w:r>
          </w:p>
        </w:tc>
        <w:tc>
          <w:tcPr>
            <w:tcW w:w="5200" w:type="dxa"/>
            <w:shd w:val="clear" w:color="auto" w:fill="FFFFFF"/>
            <w:tcMar>
              <w:top w:w="80" w:type="dxa"/>
              <w:left w:w="100" w:type="dxa"/>
              <w:bottom w:w="80" w:type="dxa"/>
              <w:right w:w="100" w:type="dxa"/>
            </w:tcMar>
            <w:vAlign w:val="center"/>
          </w:tcPr>
          <w:p w14:paraId="70093262"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Ofcom &amp; UK Government; Vodafone Group Board and shareholders; Employees directly affected by integration</w:t>
            </w:r>
          </w:p>
        </w:tc>
      </w:tr>
      <w:tr w:rsidR="00FB7382" w:rsidRPr="0036728D" w14:paraId="6FC3C25A" w14:textId="77777777" w:rsidTr="00D1554C">
        <w:trPr>
          <w:jc w:val="center"/>
        </w:trPr>
        <w:tc>
          <w:tcPr>
            <w:tcW w:w="3200" w:type="dxa"/>
            <w:tcMar>
              <w:top w:w="80" w:type="dxa"/>
              <w:left w:w="100" w:type="dxa"/>
              <w:bottom w:w="80" w:type="dxa"/>
              <w:right w:w="100" w:type="dxa"/>
            </w:tcMar>
            <w:vAlign w:val="center"/>
          </w:tcPr>
          <w:p w14:paraId="1CDB5905"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High power / Low interest (Keep Satisfied)</w:t>
            </w:r>
          </w:p>
        </w:tc>
        <w:tc>
          <w:tcPr>
            <w:tcW w:w="5200" w:type="dxa"/>
            <w:tcMar>
              <w:top w:w="80" w:type="dxa"/>
              <w:left w:w="100" w:type="dxa"/>
              <w:bottom w:w="80" w:type="dxa"/>
              <w:right w:w="100" w:type="dxa"/>
            </w:tcMar>
            <w:vAlign w:val="center"/>
          </w:tcPr>
          <w:p w14:paraId="25F2D435"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Institutional investors and credit rating agencies; Network equipment suppliers</w:t>
            </w:r>
          </w:p>
        </w:tc>
      </w:tr>
      <w:tr w:rsidR="00FB7382" w:rsidRPr="0036728D" w14:paraId="1EE5C49A" w14:textId="77777777" w:rsidTr="00D1554C">
        <w:trPr>
          <w:jc w:val="center"/>
        </w:trPr>
        <w:tc>
          <w:tcPr>
            <w:tcW w:w="3200" w:type="dxa"/>
            <w:tcMar>
              <w:top w:w="80" w:type="dxa"/>
              <w:left w:w="100" w:type="dxa"/>
              <w:bottom w:w="80" w:type="dxa"/>
              <w:right w:w="100" w:type="dxa"/>
            </w:tcMar>
            <w:vAlign w:val="center"/>
          </w:tcPr>
          <w:p w14:paraId="4403F360"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Low power / High interest (Keep Informed)</w:t>
            </w:r>
          </w:p>
        </w:tc>
        <w:tc>
          <w:tcPr>
            <w:tcW w:w="5200" w:type="dxa"/>
            <w:tcMar>
              <w:top w:w="80" w:type="dxa"/>
              <w:left w:w="100" w:type="dxa"/>
              <w:bottom w:w="80" w:type="dxa"/>
              <w:right w:w="100" w:type="dxa"/>
            </w:tcMar>
            <w:vAlign w:val="center"/>
          </w:tcPr>
          <w:p w14:paraId="669C8D4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Retail and business customers; Trade unions and works councils; Local communities near new infrastructure</w:t>
            </w:r>
          </w:p>
        </w:tc>
      </w:tr>
      <w:tr w:rsidR="00FB7382" w:rsidRPr="0036728D" w14:paraId="29E62755" w14:textId="77777777" w:rsidTr="00D1554C">
        <w:trPr>
          <w:jc w:val="center"/>
        </w:trPr>
        <w:tc>
          <w:tcPr>
            <w:tcW w:w="3200" w:type="dxa"/>
            <w:tcMar>
              <w:top w:w="80" w:type="dxa"/>
              <w:left w:w="100" w:type="dxa"/>
              <w:bottom w:w="80" w:type="dxa"/>
              <w:right w:w="100" w:type="dxa"/>
            </w:tcMar>
            <w:vAlign w:val="center"/>
          </w:tcPr>
          <w:p w14:paraId="6FB4048F"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Low power / Low interest (Monitor)</w:t>
            </w:r>
          </w:p>
        </w:tc>
        <w:tc>
          <w:tcPr>
            <w:tcW w:w="5200" w:type="dxa"/>
            <w:tcMar>
              <w:top w:w="80" w:type="dxa"/>
              <w:left w:w="100" w:type="dxa"/>
              <w:bottom w:w="80" w:type="dxa"/>
              <w:right w:w="100" w:type="dxa"/>
            </w:tcMar>
            <w:vAlign w:val="center"/>
          </w:tcPr>
          <w:p w14:paraId="681FE020"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 xml:space="preserve">General </w:t>
            </w:r>
            <w:proofErr w:type="gramStart"/>
            <w:r w:rsidRPr="0036728D">
              <w:rPr>
                <w:rFonts w:ascii="Arial" w:hAnsi="Arial" w:cs="Arial"/>
                <w:color w:val="000000"/>
                <w:sz w:val="20"/>
                <w:szCs w:val="20"/>
              </w:rPr>
              <w:t>public;</w:t>
            </w:r>
            <w:proofErr w:type="gramEnd"/>
            <w:r w:rsidRPr="0036728D">
              <w:rPr>
                <w:rFonts w:ascii="Arial" w:hAnsi="Arial" w:cs="Arial"/>
                <w:color w:val="000000"/>
                <w:sz w:val="20"/>
                <w:szCs w:val="20"/>
              </w:rPr>
              <w:t xml:space="preserve"> Smaller MVNO partners not directly affected by network integration</w:t>
            </w:r>
          </w:p>
        </w:tc>
      </w:tr>
    </w:tbl>
    <w:p w14:paraId="7D7FBD72" w14:textId="77777777" w:rsidR="00FB7382" w:rsidRPr="0036728D" w:rsidRDefault="00FB7382" w:rsidP="00FB7382">
      <w:pPr>
        <w:spacing w:before="60" w:after="220"/>
        <w:rPr>
          <w:rFonts w:ascii="Arial" w:hAnsi="Arial" w:cs="Arial"/>
          <w:sz w:val="20"/>
          <w:szCs w:val="20"/>
        </w:rPr>
      </w:pPr>
      <w:r>
        <w:rPr>
          <w:rFonts w:ascii="Arial" w:hAnsi="Arial" w:cs="Arial"/>
          <w:i/>
          <w:iCs/>
          <w:color w:val="595959"/>
          <w:sz w:val="20"/>
          <w:szCs w:val="20"/>
        </w:rPr>
        <w:t xml:space="preserve">    </w:t>
      </w:r>
      <w:r w:rsidRPr="0036728D">
        <w:rPr>
          <w:rFonts w:ascii="Arial" w:hAnsi="Arial" w:cs="Arial"/>
          <w:i/>
          <w:iCs/>
          <w:color w:val="595959"/>
          <w:sz w:val="20"/>
          <w:szCs w:val="20"/>
        </w:rPr>
        <w:t>Table 6: Mendelow's Power/Interest Matrix applied to the Vodafone growth strategy.</w:t>
      </w:r>
    </w:p>
    <w:p w14:paraId="2893A8E4" w14:textId="77777777" w:rsidR="00FB7382" w:rsidRDefault="00FB7382" w:rsidP="00FB7382">
      <w:pPr>
        <w:autoSpaceDE w:val="0"/>
        <w:autoSpaceDN w:val="0"/>
        <w:adjustRightInd w:val="0"/>
        <w:spacing w:line="360" w:lineRule="auto"/>
        <w:jc w:val="both"/>
        <w:rPr>
          <w:rFonts w:ascii="Arial" w:hAnsi="Arial" w:cs="Arial"/>
          <w:color w:val="000000"/>
        </w:rPr>
      </w:pPr>
    </w:p>
    <w:p w14:paraId="43C2EAA6" w14:textId="77777777" w:rsidR="00FB7382" w:rsidRDefault="00FB7382" w:rsidP="00FB7382">
      <w:pPr>
        <w:autoSpaceDE w:val="0"/>
        <w:autoSpaceDN w:val="0"/>
        <w:adjustRightInd w:val="0"/>
        <w:spacing w:line="360" w:lineRule="auto"/>
        <w:jc w:val="both"/>
        <w:rPr>
          <w:rFonts w:ascii="Arial" w:hAnsi="Arial" w:cs="Arial"/>
          <w:color w:val="000000"/>
        </w:rPr>
      </w:pPr>
      <w:r w:rsidRPr="000257FF">
        <w:rPr>
          <w:rFonts w:ascii="Arial" w:hAnsi="Arial" w:cs="Arial"/>
          <w:color w:val="000000"/>
        </w:rPr>
        <w:t xml:space="preserve">Employees face the most direct operational impact, as network and back-office integration following full </w:t>
      </w:r>
      <w:proofErr w:type="spellStart"/>
      <w:r w:rsidRPr="000257FF">
        <w:rPr>
          <w:rFonts w:ascii="Arial" w:hAnsi="Arial" w:cs="Arial"/>
          <w:color w:val="000000"/>
        </w:rPr>
        <w:t>VodafoneThree</w:t>
      </w:r>
      <w:proofErr w:type="spellEnd"/>
      <w:r w:rsidRPr="000257FF">
        <w:rPr>
          <w:rFonts w:ascii="Arial" w:hAnsi="Arial" w:cs="Arial"/>
          <w:color w:val="000000"/>
        </w:rPr>
        <w:t xml:space="preserve"> ownership may involve role changes or reductions; the Group's stated productivity programme should be paired with transparent communication and reskilling support to maintain trust and the "Spirit of Vodafone" values (Vodafone Group Plc, 2026b). Regulators, including Ofcom and the body assessing the transaction under the National Security and Investment Act, hold high power over the pace and conditions of integration and should be engaged proactively through transparent reporting on coverage and investment commitments (</w:t>
      </w:r>
      <w:proofErr w:type="spellStart"/>
      <w:r w:rsidRPr="000257FF">
        <w:rPr>
          <w:rFonts w:ascii="Arial" w:hAnsi="Arial" w:cs="Arial"/>
          <w:color w:val="000000"/>
        </w:rPr>
        <w:t>VodafoneThree</w:t>
      </w:r>
      <w:proofErr w:type="spellEnd"/>
      <w:r w:rsidRPr="000257FF">
        <w:rPr>
          <w:rFonts w:ascii="Arial" w:hAnsi="Arial" w:cs="Arial"/>
          <w:color w:val="000000"/>
        </w:rPr>
        <w:t xml:space="preserve">, 2026). Customers, while individually low-power, are high-interest in aggregate and should be kept informed through clear communication on network improvements and pricing, consistent with the "keep informed" approach recommended for this quadrant (Farshid, </w:t>
      </w:r>
      <w:proofErr w:type="spellStart"/>
      <w:r w:rsidRPr="000257FF">
        <w:rPr>
          <w:rFonts w:ascii="Arial" w:hAnsi="Arial" w:cs="Arial"/>
          <w:color w:val="000000"/>
        </w:rPr>
        <w:t>Goharrostami</w:t>
      </w:r>
      <w:proofErr w:type="spellEnd"/>
      <w:r w:rsidRPr="000257FF">
        <w:rPr>
          <w:rFonts w:ascii="Arial" w:hAnsi="Arial" w:cs="Arial"/>
          <w:color w:val="000000"/>
        </w:rPr>
        <w:t xml:space="preserve"> and Ramezani Nejad, 2022), </w:t>
      </w:r>
      <w:proofErr w:type="gramStart"/>
      <w:r w:rsidRPr="000257FF">
        <w:rPr>
          <w:rFonts w:ascii="Arial" w:hAnsi="Arial" w:cs="Arial"/>
          <w:color w:val="000000"/>
        </w:rPr>
        <w:t>in order to</w:t>
      </w:r>
      <w:proofErr w:type="gramEnd"/>
      <w:r w:rsidRPr="000257FF">
        <w:rPr>
          <w:rFonts w:ascii="Arial" w:hAnsi="Arial" w:cs="Arial"/>
          <w:color w:val="000000"/>
        </w:rPr>
        <w:t xml:space="preserve"> convert consolidation into visible service gains rather than perceived reduced choice. A brief engagement plan should include quarterly investor and </w:t>
      </w:r>
      <w:r w:rsidRPr="000257FF">
        <w:rPr>
          <w:rFonts w:ascii="Arial" w:hAnsi="Arial" w:cs="Arial"/>
          <w:color w:val="000000"/>
        </w:rPr>
        <w:lastRenderedPageBreak/>
        <w:t>regulator updates, a dedicated employee integration communication programme, and public reporting against the £11 billion investment and coverage milestones to maintain customer and community trust.</w:t>
      </w:r>
    </w:p>
    <w:p w14:paraId="267CD6E3" w14:textId="77777777" w:rsidR="00FB7382" w:rsidRDefault="00FB7382" w:rsidP="00FB7382">
      <w:pPr>
        <w:autoSpaceDE w:val="0"/>
        <w:autoSpaceDN w:val="0"/>
        <w:adjustRightInd w:val="0"/>
        <w:spacing w:line="360" w:lineRule="auto"/>
        <w:jc w:val="both"/>
        <w:rPr>
          <w:rFonts w:ascii="Arial" w:hAnsi="Arial" w:cs="Arial"/>
          <w:color w:val="000000"/>
        </w:rPr>
      </w:pPr>
    </w:p>
    <w:p w14:paraId="1E4C81C8" w14:textId="77777777" w:rsidR="00FB7382" w:rsidRPr="00552F80" w:rsidRDefault="00FB7382" w:rsidP="00FB7382">
      <w:pPr>
        <w:pStyle w:val="Ttulo1"/>
        <w:rPr>
          <w:rFonts w:ascii="Arial" w:hAnsi="Arial" w:cs="Arial"/>
          <w:sz w:val="36"/>
          <w:szCs w:val="36"/>
        </w:rPr>
      </w:pPr>
      <w:bookmarkStart w:id="16" w:name="_Toc237342837"/>
      <w:r>
        <w:rPr>
          <w:rFonts w:ascii="Arial" w:hAnsi="Arial" w:cs="Arial"/>
          <w:sz w:val="36"/>
          <w:szCs w:val="36"/>
        </w:rPr>
        <w:t>7</w:t>
      </w:r>
      <w:r w:rsidRPr="00796ED3">
        <w:rPr>
          <w:rFonts w:ascii="Arial" w:hAnsi="Arial" w:cs="Arial"/>
          <w:sz w:val="36"/>
          <w:szCs w:val="36"/>
        </w:rPr>
        <w:t xml:space="preserve">. </w:t>
      </w:r>
      <w:r>
        <w:rPr>
          <w:rFonts w:ascii="Arial" w:hAnsi="Arial" w:cs="Arial"/>
          <w:sz w:val="36"/>
          <w:szCs w:val="36"/>
        </w:rPr>
        <w:t>IMPLEMENTATION AND MONITORING</w:t>
      </w:r>
      <w:bookmarkEnd w:id="16"/>
      <w:r>
        <w:rPr>
          <w:rFonts w:ascii="Arial" w:hAnsi="Arial" w:cs="Arial"/>
          <w:sz w:val="36"/>
          <w:szCs w:val="36"/>
        </w:rPr>
        <w:t xml:space="preserve"> </w:t>
      </w:r>
    </w:p>
    <w:p w14:paraId="781B9BC9" w14:textId="77777777" w:rsidR="00FB7382" w:rsidRDefault="00FB7382" w:rsidP="00FB7382">
      <w:pPr>
        <w:spacing w:line="360" w:lineRule="auto"/>
        <w:jc w:val="both"/>
        <w:rPr>
          <w:rFonts w:ascii="Arial" w:hAnsi="Arial" w:cs="Arial"/>
          <w:color w:val="000000"/>
        </w:rPr>
      </w:pPr>
    </w:p>
    <w:p w14:paraId="56346ED2" w14:textId="77777777" w:rsidR="00FB7382" w:rsidRDefault="00FB7382" w:rsidP="00FB7382">
      <w:pPr>
        <w:autoSpaceDE w:val="0"/>
        <w:autoSpaceDN w:val="0"/>
        <w:adjustRightInd w:val="0"/>
        <w:spacing w:line="360" w:lineRule="auto"/>
        <w:jc w:val="both"/>
        <w:rPr>
          <w:rFonts w:ascii="Arial" w:hAnsi="Arial" w:cs="Arial"/>
          <w:color w:val="000000"/>
        </w:rPr>
      </w:pPr>
      <w:r w:rsidRPr="00552F80">
        <w:rPr>
          <w:rFonts w:ascii="Arial" w:hAnsi="Arial" w:cs="Arial"/>
          <w:color w:val="000000"/>
        </w:rPr>
        <w:t xml:space="preserve">Implementation should be phased over the next three years, reflecting the scale of the integration task now that Vodafone holds full ownership and control of </w:t>
      </w:r>
      <w:proofErr w:type="spellStart"/>
      <w:r w:rsidRPr="00552F80">
        <w:rPr>
          <w:rFonts w:ascii="Arial" w:hAnsi="Arial" w:cs="Arial"/>
          <w:color w:val="000000"/>
        </w:rPr>
        <w:t>VodafoneThree</w:t>
      </w:r>
      <w:proofErr w:type="spellEnd"/>
      <w:r w:rsidRPr="00552F80">
        <w:rPr>
          <w:rFonts w:ascii="Arial" w:hAnsi="Arial" w:cs="Arial"/>
          <w:color w:val="000000"/>
        </w:rPr>
        <w:t xml:space="preserve"> (Vodafone Group Plc, 2026a).</w:t>
      </w:r>
    </w:p>
    <w:p w14:paraId="348C516C" w14:textId="77777777" w:rsidR="00FB7382" w:rsidRPr="00552F80" w:rsidRDefault="00FB7382" w:rsidP="00FB7382">
      <w:pPr>
        <w:autoSpaceDE w:val="0"/>
        <w:autoSpaceDN w:val="0"/>
        <w:adjustRightInd w:val="0"/>
        <w:spacing w:line="360" w:lineRule="auto"/>
        <w:jc w:val="both"/>
        <w:rPr>
          <w:rFonts w:ascii="Arial" w:hAnsi="Arial" w:cs="Arial"/>
          <w:color w:val="000000"/>
        </w:rPr>
      </w:pPr>
    </w:p>
    <w:p w14:paraId="061C5BA1" w14:textId="77777777" w:rsidR="00FB7382" w:rsidRDefault="00FB7382" w:rsidP="00FB7382">
      <w:pPr>
        <w:autoSpaceDE w:val="0"/>
        <w:autoSpaceDN w:val="0"/>
        <w:adjustRightInd w:val="0"/>
        <w:spacing w:line="360" w:lineRule="auto"/>
        <w:jc w:val="both"/>
        <w:rPr>
          <w:rFonts w:ascii="Arial" w:hAnsi="Arial" w:cs="Arial"/>
          <w:color w:val="000000"/>
        </w:rPr>
      </w:pPr>
      <w:r w:rsidRPr="00552F80">
        <w:rPr>
          <w:rFonts w:ascii="Arial" w:hAnsi="Arial" w:cs="Arial"/>
          <w:color w:val="000000"/>
        </w:rPr>
        <w:t xml:space="preserve">Phase 1 (0-12 months): Complete technical and operational integration of Vodafone UK and Three UK systems; align accounting and governance now that </w:t>
      </w:r>
      <w:proofErr w:type="spellStart"/>
      <w:r w:rsidRPr="00552F80">
        <w:rPr>
          <w:rFonts w:ascii="Arial" w:hAnsi="Arial" w:cs="Arial"/>
          <w:color w:val="000000"/>
        </w:rPr>
        <w:t>VodafoneThree</w:t>
      </w:r>
      <w:proofErr w:type="spellEnd"/>
      <w:r w:rsidRPr="00552F80">
        <w:rPr>
          <w:rFonts w:ascii="Arial" w:hAnsi="Arial" w:cs="Arial"/>
          <w:color w:val="000000"/>
        </w:rPr>
        <w:t xml:space="preserve"> is wholly owned; launch a structured employee and customer communication programme.</w:t>
      </w:r>
      <w:r>
        <w:rPr>
          <w:rFonts w:ascii="Arial" w:hAnsi="Arial" w:cs="Arial"/>
          <w:color w:val="000000"/>
        </w:rPr>
        <w:t xml:space="preserve"> </w:t>
      </w:r>
      <w:r w:rsidRPr="00552F80">
        <w:rPr>
          <w:rFonts w:ascii="Arial" w:hAnsi="Arial" w:cs="Arial"/>
          <w:color w:val="000000"/>
        </w:rPr>
        <w:t>Phase 2 (12-24 months): Scale 5G Standalone coverage and converged bundles; accelerate cross-sell of digital, IoT and financial-services products into the enlarged customer base; begin realising early cost synergies.</w:t>
      </w:r>
      <w:r>
        <w:rPr>
          <w:rFonts w:ascii="Arial" w:hAnsi="Arial" w:cs="Arial"/>
          <w:color w:val="000000"/>
        </w:rPr>
        <w:t xml:space="preserve"> </w:t>
      </w:r>
      <w:r w:rsidRPr="00552F80">
        <w:rPr>
          <w:rFonts w:ascii="Arial" w:hAnsi="Arial" w:cs="Arial"/>
          <w:color w:val="000000"/>
        </w:rPr>
        <w:t>Phase 3 (24-36+ months): Reach majority run-rate synergy delivery toward the £700m FY30 target (Vodafone Group Plc, 2026a); evaluate further market-development opportunities once core integration is complete.</w:t>
      </w:r>
    </w:p>
    <w:p w14:paraId="08F3D63B" w14:textId="77777777" w:rsidR="00FB7382" w:rsidRPr="00552F80" w:rsidRDefault="00FB7382" w:rsidP="00FB7382">
      <w:pPr>
        <w:autoSpaceDE w:val="0"/>
        <w:autoSpaceDN w:val="0"/>
        <w:adjustRightInd w:val="0"/>
        <w:spacing w:line="360" w:lineRule="auto"/>
        <w:jc w:val="both"/>
        <w:rPr>
          <w:rFonts w:ascii="Arial" w:hAnsi="Arial" w:cs="Arial"/>
          <w:color w:val="000000"/>
        </w:rPr>
      </w:pPr>
    </w:p>
    <w:p w14:paraId="0D6E4564" w14:textId="77777777" w:rsidR="00FB7382" w:rsidRPr="00552F80" w:rsidRDefault="00FB7382" w:rsidP="00FB7382">
      <w:pPr>
        <w:autoSpaceDE w:val="0"/>
        <w:autoSpaceDN w:val="0"/>
        <w:adjustRightInd w:val="0"/>
        <w:spacing w:line="360" w:lineRule="auto"/>
        <w:jc w:val="both"/>
        <w:rPr>
          <w:rFonts w:ascii="Arial" w:hAnsi="Arial" w:cs="Arial"/>
          <w:color w:val="000000"/>
        </w:rPr>
      </w:pPr>
      <w:r w:rsidRPr="00552F80">
        <w:rPr>
          <w:rFonts w:ascii="Arial" w:hAnsi="Arial" w:cs="Arial"/>
          <w:color w:val="000000"/>
        </w:rPr>
        <w:t>The table below sets out core objectives, actions and KPIs the Board can use to monitor progress.</w:t>
      </w:r>
    </w:p>
    <w:p w14:paraId="5A68CA65" w14:textId="77777777" w:rsidR="00FB7382" w:rsidRDefault="00FB7382" w:rsidP="00FB7382">
      <w:pPr>
        <w:spacing w:after="160" w:line="276" w:lineRule="auto"/>
        <w:jc w:val="both"/>
      </w:pP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600"/>
        <w:gridCol w:w="3200"/>
      </w:tblGrid>
      <w:tr w:rsidR="00FB7382" w:rsidRPr="0036728D" w14:paraId="3698539D" w14:textId="77777777" w:rsidTr="00D1554C">
        <w:trPr>
          <w:tblHeader/>
          <w:jc w:val="center"/>
        </w:trPr>
        <w:tc>
          <w:tcPr>
            <w:tcW w:w="2000" w:type="dxa"/>
            <w:shd w:val="clear" w:color="auto" w:fill="1B0459"/>
            <w:tcMar>
              <w:top w:w="80" w:type="dxa"/>
              <w:left w:w="100" w:type="dxa"/>
              <w:bottom w:w="80" w:type="dxa"/>
              <w:right w:w="100" w:type="dxa"/>
            </w:tcMar>
            <w:vAlign w:val="center"/>
          </w:tcPr>
          <w:p w14:paraId="01295FF5"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Objective</w:t>
            </w:r>
          </w:p>
        </w:tc>
        <w:tc>
          <w:tcPr>
            <w:tcW w:w="3600" w:type="dxa"/>
            <w:shd w:val="clear" w:color="auto" w:fill="1B0459"/>
            <w:tcMar>
              <w:top w:w="80" w:type="dxa"/>
              <w:left w:w="100" w:type="dxa"/>
              <w:bottom w:w="80" w:type="dxa"/>
              <w:right w:w="100" w:type="dxa"/>
            </w:tcMar>
            <w:vAlign w:val="center"/>
          </w:tcPr>
          <w:p w14:paraId="2B52F69F"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Key Actions</w:t>
            </w:r>
          </w:p>
        </w:tc>
        <w:tc>
          <w:tcPr>
            <w:tcW w:w="3200" w:type="dxa"/>
            <w:shd w:val="clear" w:color="auto" w:fill="1B0459"/>
            <w:tcMar>
              <w:top w:w="80" w:type="dxa"/>
              <w:left w:w="100" w:type="dxa"/>
              <w:bottom w:w="80" w:type="dxa"/>
              <w:right w:w="100" w:type="dxa"/>
            </w:tcMar>
            <w:vAlign w:val="center"/>
          </w:tcPr>
          <w:p w14:paraId="28CC0995" w14:textId="77777777" w:rsidR="00FB7382" w:rsidRPr="0036728D" w:rsidRDefault="00FB7382" w:rsidP="00D1554C">
            <w:pPr>
              <w:rPr>
                <w:rFonts w:ascii="Arial" w:hAnsi="Arial" w:cs="Arial"/>
                <w:sz w:val="20"/>
                <w:szCs w:val="20"/>
              </w:rPr>
            </w:pPr>
            <w:r w:rsidRPr="0036728D">
              <w:rPr>
                <w:rFonts w:ascii="Arial" w:hAnsi="Arial" w:cs="Arial"/>
                <w:b/>
                <w:bCs/>
                <w:color w:val="FFFFFF"/>
                <w:sz w:val="20"/>
                <w:szCs w:val="20"/>
              </w:rPr>
              <w:t>KPI(s)</w:t>
            </w:r>
          </w:p>
        </w:tc>
      </w:tr>
      <w:tr w:rsidR="00FB7382" w:rsidRPr="0036728D" w14:paraId="053F1431" w14:textId="77777777" w:rsidTr="00D1554C">
        <w:trPr>
          <w:jc w:val="center"/>
        </w:trPr>
        <w:tc>
          <w:tcPr>
            <w:tcW w:w="2000" w:type="dxa"/>
            <w:tcMar>
              <w:top w:w="80" w:type="dxa"/>
              <w:left w:w="100" w:type="dxa"/>
              <w:bottom w:w="80" w:type="dxa"/>
              <w:right w:w="100" w:type="dxa"/>
            </w:tcMar>
            <w:vAlign w:val="center"/>
          </w:tcPr>
          <w:p w14:paraId="0CCC6BE4"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Complete network integration</w:t>
            </w:r>
          </w:p>
        </w:tc>
        <w:tc>
          <w:tcPr>
            <w:tcW w:w="3600" w:type="dxa"/>
            <w:tcMar>
              <w:top w:w="80" w:type="dxa"/>
              <w:left w:w="100" w:type="dxa"/>
              <w:bottom w:w="80" w:type="dxa"/>
              <w:right w:w="100" w:type="dxa"/>
            </w:tcMar>
            <w:vAlign w:val="center"/>
          </w:tcPr>
          <w:p w14:paraId="1953CE64"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Finalise unified 5G Standalone core; migrate remaining legacy Three/Vodafone systems</w:t>
            </w:r>
          </w:p>
        </w:tc>
        <w:tc>
          <w:tcPr>
            <w:tcW w:w="3200" w:type="dxa"/>
            <w:tcMar>
              <w:top w:w="80" w:type="dxa"/>
              <w:left w:w="100" w:type="dxa"/>
              <w:bottom w:w="80" w:type="dxa"/>
              <w:right w:w="100" w:type="dxa"/>
            </w:tcMar>
            <w:vAlign w:val="center"/>
          </w:tcPr>
          <w:p w14:paraId="3F218D86"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5G SA population coverage reaching 90% within three years; 99% by 2030</w:t>
            </w:r>
          </w:p>
        </w:tc>
      </w:tr>
      <w:tr w:rsidR="00FB7382" w:rsidRPr="0036728D" w14:paraId="4ED10814" w14:textId="77777777" w:rsidTr="00D1554C">
        <w:trPr>
          <w:jc w:val="center"/>
        </w:trPr>
        <w:tc>
          <w:tcPr>
            <w:tcW w:w="2000" w:type="dxa"/>
            <w:tcMar>
              <w:top w:w="80" w:type="dxa"/>
              <w:left w:w="100" w:type="dxa"/>
              <w:bottom w:w="80" w:type="dxa"/>
              <w:right w:w="100" w:type="dxa"/>
            </w:tcMar>
            <w:vAlign w:val="center"/>
          </w:tcPr>
          <w:p w14:paraId="5FF64C5A"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Deliver committed investment</w:t>
            </w:r>
          </w:p>
        </w:tc>
        <w:tc>
          <w:tcPr>
            <w:tcW w:w="3600" w:type="dxa"/>
            <w:tcMar>
              <w:top w:w="80" w:type="dxa"/>
              <w:left w:w="100" w:type="dxa"/>
              <w:bottom w:w="80" w:type="dxa"/>
              <w:right w:w="100" w:type="dxa"/>
            </w:tcMar>
            <w:vAlign w:val="center"/>
          </w:tcPr>
          <w:p w14:paraId="06DC0D83"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Execute £11bn network investment plan, with £1.3bn+ in early-year capex</w:t>
            </w:r>
          </w:p>
        </w:tc>
        <w:tc>
          <w:tcPr>
            <w:tcW w:w="3200" w:type="dxa"/>
            <w:tcMar>
              <w:top w:w="80" w:type="dxa"/>
              <w:left w:w="100" w:type="dxa"/>
              <w:bottom w:w="80" w:type="dxa"/>
              <w:right w:w="100" w:type="dxa"/>
            </w:tcMar>
            <w:vAlign w:val="center"/>
          </w:tcPr>
          <w:p w14:paraId="42FF14E2"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Capex delivered against plan (£m per year); not-spot reduction (km²)</w:t>
            </w:r>
          </w:p>
        </w:tc>
      </w:tr>
      <w:tr w:rsidR="00FB7382" w:rsidRPr="0036728D" w14:paraId="4EB83F3A" w14:textId="77777777" w:rsidTr="00D1554C">
        <w:trPr>
          <w:jc w:val="center"/>
        </w:trPr>
        <w:tc>
          <w:tcPr>
            <w:tcW w:w="2000" w:type="dxa"/>
            <w:tcMar>
              <w:top w:w="80" w:type="dxa"/>
              <w:left w:w="100" w:type="dxa"/>
              <w:bottom w:w="80" w:type="dxa"/>
              <w:right w:w="100" w:type="dxa"/>
            </w:tcMar>
            <w:vAlign w:val="center"/>
          </w:tcPr>
          <w:p w14:paraId="442FC946"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Realise cost synergies</w:t>
            </w:r>
          </w:p>
        </w:tc>
        <w:tc>
          <w:tcPr>
            <w:tcW w:w="3600" w:type="dxa"/>
            <w:tcMar>
              <w:top w:w="80" w:type="dxa"/>
              <w:left w:w="100" w:type="dxa"/>
              <w:bottom w:w="80" w:type="dxa"/>
              <w:right w:w="100" w:type="dxa"/>
            </w:tcMar>
            <w:vAlign w:val="center"/>
          </w:tcPr>
          <w:p w14:paraId="78494C61"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 xml:space="preserve">Integrate back-office, procurement and network operations across </w:t>
            </w:r>
            <w:proofErr w:type="spellStart"/>
            <w:r w:rsidRPr="0036728D">
              <w:rPr>
                <w:rFonts w:ascii="Arial" w:hAnsi="Arial" w:cs="Arial"/>
                <w:color w:val="000000"/>
                <w:sz w:val="20"/>
                <w:szCs w:val="20"/>
              </w:rPr>
              <w:t>VodafoneThree</w:t>
            </w:r>
            <w:proofErr w:type="spellEnd"/>
          </w:p>
        </w:tc>
        <w:tc>
          <w:tcPr>
            <w:tcW w:w="3200" w:type="dxa"/>
            <w:tcMar>
              <w:top w:w="80" w:type="dxa"/>
              <w:left w:w="100" w:type="dxa"/>
              <w:bottom w:w="80" w:type="dxa"/>
              <w:right w:w="100" w:type="dxa"/>
            </w:tcMar>
            <w:vAlign w:val="center"/>
          </w:tcPr>
          <w:p w14:paraId="2F043028"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Progress toward £700m annual run-rate synergies by FY30</w:t>
            </w:r>
          </w:p>
        </w:tc>
      </w:tr>
      <w:tr w:rsidR="00FB7382" w:rsidRPr="0036728D" w14:paraId="049EFA3E" w14:textId="77777777" w:rsidTr="00D1554C">
        <w:trPr>
          <w:jc w:val="center"/>
        </w:trPr>
        <w:tc>
          <w:tcPr>
            <w:tcW w:w="2000" w:type="dxa"/>
            <w:tcMar>
              <w:top w:w="80" w:type="dxa"/>
              <w:left w:w="100" w:type="dxa"/>
              <w:bottom w:w="80" w:type="dxa"/>
              <w:right w:w="100" w:type="dxa"/>
            </w:tcMar>
            <w:vAlign w:val="center"/>
          </w:tcPr>
          <w:p w14:paraId="0D5E85F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Grow convergence &amp; digital services</w:t>
            </w:r>
          </w:p>
        </w:tc>
        <w:tc>
          <w:tcPr>
            <w:tcW w:w="3600" w:type="dxa"/>
            <w:tcMar>
              <w:top w:w="80" w:type="dxa"/>
              <w:left w:w="100" w:type="dxa"/>
              <w:bottom w:w="80" w:type="dxa"/>
              <w:right w:w="100" w:type="dxa"/>
            </w:tcMar>
            <w:vAlign w:val="center"/>
          </w:tcPr>
          <w:p w14:paraId="7E460BCD"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Cross-sell broadband/mobile bundles; scale IoT, cyber security and financial-services propositions</w:t>
            </w:r>
          </w:p>
        </w:tc>
        <w:tc>
          <w:tcPr>
            <w:tcW w:w="3200" w:type="dxa"/>
            <w:tcMar>
              <w:top w:w="80" w:type="dxa"/>
              <w:left w:w="100" w:type="dxa"/>
              <w:bottom w:w="80" w:type="dxa"/>
              <w:right w:w="100" w:type="dxa"/>
            </w:tcMar>
            <w:vAlign w:val="center"/>
          </w:tcPr>
          <w:p w14:paraId="603FA4B7"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Net broadband adds per quarter; Vodafone Business digital-services revenue growth (%)</w:t>
            </w:r>
          </w:p>
        </w:tc>
      </w:tr>
      <w:tr w:rsidR="00FB7382" w:rsidRPr="0036728D" w14:paraId="7AC1ECD5" w14:textId="77777777" w:rsidTr="00D1554C">
        <w:trPr>
          <w:jc w:val="center"/>
        </w:trPr>
        <w:tc>
          <w:tcPr>
            <w:tcW w:w="2000" w:type="dxa"/>
            <w:tcMar>
              <w:top w:w="80" w:type="dxa"/>
              <w:left w:w="100" w:type="dxa"/>
              <w:bottom w:w="80" w:type="dxa"/>
              <w:right w:w="100" w:type="dxa"/>
            </w:tcMar>
            <w:vAlign w:val="center"/>
          </w:tcPr>
          <w:p w14:paraId="61F2D65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lastRenderedPageBreak/>
              <w:t>Protect customer experience &amp; trust</w:t>
            </w:r>
          </w:p>
        </w:tc>
        <w:tc>
          <w:tcPr>
            <w:tcW w:w="3600" w:type="dxa"/>
            <w:tcMar>
              <w:top w:w="80" w:type="dxa"/>
              <w:left w:w="100" w:type="dxa"/>
              <w:bottom w:w="80" w:type="dxa"/>
              <w:right w:w="100" w:type="dxa"/>
            </w:tcMar>
            <w:vAlign w:val="center"/>
          </w:tcPr>
          <w:p w14:paraId="3C16B6AE"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Maintain service levels through integration; transparent stakeholder communication</w:t>
            </w:r>
          </w:p>
        </w:tc>
        <w:tc>
          <w:tcPr>
            <w:tcW w:w="3200" w:type="dxa"/>
            <w:tcMar>
              <w:top w:w="80" w:type="dxa"/>
              <w:left w:w="100" w:type="dxa"/>
              <w:bottom w:w="80" w:type="dxa"/>
              <w:right w:w="100" w:type="dxa"/>
            </w:tcMar>
            <w:vAlign w:val="center"/>
          </w:tcPr>
          <w:p w14:paraId="4E6B0594" w14:textId="77777777" w:rsidR="00FB7382" w:rsidRPr="0036728D" w:rsidRDefault="00FB7382" w:rsidP="00D1554C">
            <w:pPr>
              <w:rPr>
                <w:rFonts w:ascii="Arial" w:hAnsi="Arial" w:cs="Arial"/>
                <w:sz w:val="20"/>
                <w:szCs w:val="20"/>
              </w:rPr>
            </w:pPr>
            <w:r w:rsidRPr="0036728D">
              <w:rPr>
                <w:rFonts w:ascii="Arial" w:hAnsi="Arial" w:cs="Arial"/>
                <w:color w:val="000000"/>
                <w:sz w:val="20"/>
                <w:szCs w:val="20"/>
              </w:rPr>
              <w:t>Net Promoter Score / promoter-detractor mix; customer churn rate; Ofcom complaints ranking</w:t>
            </w:r>
          </w:p>
        </w:tc>
      </w:tr>
    </w:tbl>
    <w:p w14:paraId="7CA7A10F" w14:textId="77777777" w:rsidR="00FB7382" w:rsidRPr="0036728D" w:rsidRDefault="00FB7382" w:rsidP="00FB7382">
      <w:pPr>
        <w:spacing w:line="360" w:lineRule="auto"/>
        <w:jc w:val="both"/>
        <w:rPr>
          <w:rFonts w:ascii="Arial" w:hAnsi="Arial" w:cs="Arial"/>
          <w:color w:val="000000"/>
          <w:sz w:val="20"/>
          <w:szCs w:val="20"/>
        </w:rPr>
      </w:pPr>
      <w:r>
        <w:rPr>
          <w:rFonts w:ascii="Arial" w:hAnsi="Arial" w:cs="Arial"/>
          <w:i/>
          <w:iCs/>
          <w:color w:val="595959"/>
          <w:sz w:val="20"/>
          <w:szCs w:val="20"/>
        </w:rPr>
        <w:t xml:space="preserve">  </w:t>
      </w:r>
      <w:r w:rsidRPr="0036728D">
        <w:rPr>
          <w:rFonts w:ascii="Arial" w:hAnsi="Arial" w:cs="Arial"/>
          <w:i/>
          <w:iCs/>
          <w:color w:val="595959"/>
          <w:sz w:val="20"/>
          <w:szCs w:val="20"/>
        </w:rPr>
        <w:t>Table 7: Implementation plan with objectives, actions and KPIs</w:t>
      </w:r>
    </w:p>
    <w:p w14:paraId="45DABC0D" w14:textId="77777777" w:rsidR="00FB7382" w:rsidRDefault="00FB7382" w:rsidP="00FB7382">
      <w:pPr>
        <w:spacing w:line="360" w:lineRule="auto"/>
        <w:jc w:val="both"/>
        <w:rPr>
          <w:rFonts w:ascii="Arial" w:hAnsi="Arial" w:cs="Arial"/>
          <w:color w:val="000000"/>
        </w:rPr>
      </w:pPr>
    </w:p>
    <w:p w14:paraId="736D2572" w14:textId="77777777" w:rsidR="00FB7382" w:rsidRDefault="00FB7382" w:rsidP="00FB7382">
      <w:pPr>
        <w:pStyle w:val="Ttulo1"/>
        <w:rPr>
          <w:rFonts w:ascii="Arial" w:hAnsi="Arial" w:cs="Arial"/>
          <w:sz w:val="36"/>
          <w:szCs w:val="36"/>
        </w:rPr>
      </w:pPr>
      <w:bookmarkStart w:id="17" w:name="_Toc237342838"/>
      <w:r>
        <w:rPr>
          <w:rFonts w:ascii="Arial" w:hAnsi="Arial" w:cs="Arial"/>
          <w:sz w:val="36"/>
          <w:szCs w:val="36"/>
        </w:rPr>
        <w:t>8</w:t>
      </w:r>
      <w:r w:rsidRPr="00796ED3">
        <w:rPr>
          <w:rFonts w:ascii="Arial" w:hAnsi="Arial" w:cs="Arial"/>
          <w:sz w:val="36"/>
          <w:szCs w:val="36"/>
        </w:rPr>
        <w:t xml:space="preserve">. </w:t>
      </w:r>
      <w:r>
        <w:rPr>
          <w:rFonts w:ascii="Arial" w:hAnsi="Arial" w:cs="Arial"/>
          <w:sz w:val="36"/>
          <w:szCs w:val="36"/>
        </w:rPr>
        <w:t>CONCLUSION</w:t>
      </w:r>
      <w:bookmarkEnd w:id="17"/>
      <w:r>
        <w:rPr>
          <w:rFonts w:ascii="Arial" w:hAnsi="Arial" w:cs="Arial"/>
          <w:sz w:val="36"/>
          <w:szCs w:val="36"/>
        </w:rPr>
        <w:t xml:space="preserve"> </w:t>
      </w:r>
    </w:p>
    <w:p w14:paraId="3D4287BE" w14:textId="77777777" w:rsidR="00FB7382" w:rsidRDefault="00FB7382" w:rsidP="00FB7382"/>
    <w:p w14:paraId="3C5E4B22" w14:textId="77777777" w:rsidR="00FB7382" w:rsidRDefault="00FB7382" w:rsidP="00FB7382">
      <w:pPr>
        <w:autoSpaceDE w:val="0"/>
        <w:autoSpaceDN w:val="0"/>
        <w:adjustRightInd w:val="0"/>
        <w:spacing w:line="360" w:lineRule="auto"/>
        <w:jc w:val="both"/>
        <w:rPr>
          <w:rFonts w:ascii="Arial" w:hAnsi="Arial" w:cs="Arial"/>
          <w:color w:val="000000"/>
        </w:rPr>
      </w:pPr>
    </w:p>
    <w:p w14:paraId="0875194B" w14:textId="5C52062D" w:rsidR="00FB7382" w:rsidRPr="000257FF" w:rsidRDefault="00FB7382" w:rsidP="000257FF">
      <w:pPr>
        <w:autoSpaceDE w:val="0"/>
        <w:autoSpaceDN w:val="0"/>
        <w:adjustRightInd w:val="0"/>
        <w:spacing w:line="360" w:lineRule="auto"/>
        <w:jc w:val="both"/>
        <w:rPr>
          <w:rFonts w:ascii="Arial" w:hAnsi="Arial" w:cs="Arial"/>
          <w:color w:val="000000"/>
        </w:rPr>
      </w:pPr>
      <w:r w:rsidRPr="000257FF">
        <w:rPr>
          <w:rFonts w:ascii="Arial" w:hAnsi="Arial" w:cs="Arial"/>
          <w:color w:val="000000"/>
        </w:rPr>
        <w:t xml:space="preserve">Vodafone UK enters this next strategic phase from a position of genuine structural strength: the 2025 merger with Three UK, and Vodafone's subsequent move to full ownership of </w:t>
      </w:r>
      <w:proofErr w:type="spellStart"/>
      <w:r w:rsidRPr="000257FF">
        <w:rPr>
          <w:rFonts w:ascii="Arial" w:hAnsi="Arial" w:cs="Arial"/>
          <w:color w:val="000000"/>
        </w:rPr>
        <w:t>VodafoneThree</w:t>
      </w:r>
      <w:proofErr w:type="spellEnd"/>
      <w:r w:rsidRPr="000257FF">
        <w:rPr>
          <w:rFonts w:ascii="Arial" w:hAnsi="Arial" w:cs="Arial"/>
          <w:color w:val="000000"/>
        </w:rPr>
        <w:t xml:space="preserve"> in July 2026, have created the UK's largest mobile operator, backed by an £11 billion decade-long investment commitment and a growing digital-services business (Vodafone Group Plc, 2025a; 2026a). The market evaluation shows a highly competitive but now three-player infrastructure market in which scale, network quality and converged, digital-led propositions</w:t>
      </w:r>
      <w:r w:rsidR="00F007A6">
        <w:rPr>
          <w:rFonts w:ascii="Arial" w:hAnsi="Arial" w:cs="Arial"/>
          <w:color w:val="000000"/>
        </w:rPr>
        <w:t>,</w:t>
      </w:r>
      <w:r w:rsidRPr="000257FF">
        <w:rPr>
          <w:rFonts w:ascii="Arial" w:hAnsi="Arial" w:cs="Arial"/>
          <w:color w:val="000000"/>
        </w:rPr>
        <w:t xml:space="preserve"> not price alone</w:t>
      </w:r>
      <w:r w:rsidR="00F007A6">
        <w:rPr>
          <w:rFonts w:ascii="Arial" w:hAnsi="Arial" w:cs="Arial"/>
          <w:color w:val="000000"/>
        </w:rPr>
        <w:t>,</w:t>
      </w:r>
      <w:r w:rsidRPr="000257FF">
        <w:rPr>
          <w:rFonts w:ascii="Arial" w:hAnsi="Arial" w:cs="Arial"/>
          <w:color w:val="000000"/>
        </w:rPr>
        <w:t xml:space="preserve"> are the basis of competition (Mordor Intelligence, 2026).</w:t>
      </w:r>
    </w:p>
    <w:p w14:paraId="0F57FFBB" w14:textId="77777777" w:rsidR="00FB7382" w:rsidRPr="000257FF" w:rsidRDefault="00FB7382" w:rsidP="000257FF">
      <w:pPr>
        <w:autoSpaceDE w:val="0"/>
        <w:autoSpaceDN w:val="0"/>
        <w:adjustRightInd w:val="0"/>
        <w:spacing w:line="360" w:lineRule="auto"/>
        <w:jc w:val="both"/>
        <w:rPr>
          <w:rFonts w:ascii="Arial" w:hAnsi="Arial" w:cs="Arial"/>
          <w:color w:val="000000"/>
        </w:rPr>
      </w:pPr>
    </w:p>
    <w:p w14:paraId="3DFA663A" w14:textId="77777777" w:rsidR="00FB7382" w:rsidRPr="002515F0" w:rsidRDefault="00FB7382" w:rsidP="000257FF">
      <w:pPr>
        <w:autoSpaceDE w:val="0"/>
        <w:autoSpaceDN w:val="0"/>
        <w:adjustRightInd w:val="0"/>
        <w:spacing w:line="360" w:lineRule="auto"/>
        <w:jc w:val="both"/>
        <w:rPr>
          <w:rFonts w:ascii="Arial" w:hAnsi="Arial" w:cs="Arial"/>
          <w:color w:val="000000"/>
        </w:rPr>
      </w:pPr>
      <w:r w:rsidRPr="000257FF">
        <w:rPr>
          <w:rFonts w:ascii="Arial" w:hAnsi="Arial" w:cs="Arial"/>
          <w:color w:val="000000"/>
        </w:rPr>
        <w:t xml:space="preserve">The report recommends a differentiation strategy (Ali and Anwar, 2021) built on market penetration through network leadership, deeper fixed-mobile convergence, and continued expansion of digital, IoT and financial services (Ferreira Oliveira and Marques, 2024). This strategy is suitable, broadly feasible and acceptable to key stakeholders (Johnson et al., 2020; </w:t>
      </w:r>
      <w:proofErr w:type="spellStart"/>
      <w:r w:rsidRPr="000257FF">
        <w:rPr>
          <w:rFonts w:ascii="Arial" w:hAnsi="Arial" w:cs="Arial"/>
          <w:color w:val="000000"/>
        </w:rPr>
        <w:t>Bridoux</w:t>
      </w:r>
      <w:proofErr w:type="spellEnd"/>
      <w:r w:rsidRPr="000257FF">
        <w:rPr>
          <w:rFonts w:ascii="Arial" w:hAnsi="Arial" w:cs="Arial"/>
          <w:color w:val="000000"/>
        </w:rPr>
        <w:t xml:space="preserve"> and </w:t>
      </w:r>
      <w:proofErr w:type="spellStart"/>
      <w:r w:rsidRPr="000257FF">
        <w:rPr>
          <w:rFonts w:ascii="Arial" w:hAnsi="Arial" w:cs="Arial"/>
          <w:color w:val="000000"/>
        </w:rPr>
        <w:t>Stoelhorst</w:t>
      </w:r>
      <w:proofErr w:type="spellEnd"/>
      <w:r w:rsidRPr="000257FF">
        <w:rPr>
          <w:rFonts w:ascii="Arial" w:hAnsi="Arial" w:cs="Arial"/>
          <w:color w:val="000000"/>
        </w:rPr>
        <w:t>, 2022), provided the Board manages integration, regulatory and employee-relations risk with the transparency and care the Vodafone brand requires. Executed well, it offers a credible path to converting Vodafone's newly consolidated UK scale into sustainable, profitable growth over the next three to five years.</w:t>
      </w:r>
    </w:p>
    <w:p w14:paraId="4A3088E0" w14:textId="77777777" w:rsidR="00FB7382" w:rsidRPr="00D1671E" w:rsidRDefault="00FB7382" w:rsidP="000257FF">
      <w:pPr>
        <w:spacing w:line="360" w:lineRule="auto"/>
        <w:jc w:val="both"/>
        <w:rPr>
          <w:rFonts w:ascii="Arial" w:hAnsi="Arial" w:cs="Arial"/>
          <w:color w:val="000000"/>
        </w:rPr>
      </w:pPr>
    </w:p>
    <w:p w14:paraId="42FFCFFE" w14:textId="77777777" w:rsidR="00FB7382" w:rsidRDefault="00FB7382" w:rsidP="00FB7382">
      <w:pPr>
        <w:pStyle w:val="Ttulo1"/>
        <w:spacing w:line="360" w:lineRule="auto"/>
        <w:jc w:val="both"/>
        <w:rPr>
          <w:rFonts w:ascii="Arial" w:hAnsi="Arial" w:cs="Arial"/>
          <w:sz w:val="36"/>
          <w:szCs w:val="36"/>
        </w:rPr>
      </w:pPr>
      <w:bookmarkStart w:id="18" w:name="_Toc237342839"/>
      <w:r>
        <w:rPr>
          <w:rFonts w:ascii="Arial" w:hAnsi="Arial" w:cs="Arial"/>
          <w:sz w:val="36"/>
          <w:szCs w:val="36"/>
        </w:rPr>
        <w:t>9</w:t>
      </w:r>
      <w:r w:rsidRPr="00796ED3">
        <w:rPr>
          <w:rFonts w:ascii="Arial" w:hAnsi="Arial" w:cs="Arial"/>
          <w:sz w:val="36"/>
          <w:szCs w:val="36"/>
        </w:rPr>
        <w:t xml:space="preserve">. </w:t>
      </w:r>
      <w:r w:rsidRPr="008E105D">
        <w:rPr>
          <w:rFonts w:ascii="Arial" w:hAnsi="Arial" w:cs="Arial"/>
          <w:sz w:val="36"/>
          <w:szCs w:val="36"/>
        </w:rPr>
        <w:t>REFERENCES</w:t>
      </w:r>
      <w:bookmarkEnd w:id="4"/>
      <w:bookmarkEnd w:id="5"/>
      <w:bookmarkEnd w:id="18"/>
    </w:p>
    <w:p w14:paraId="72D634C2"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1EB2DAF5" w14:textId="77777777" w:rsidR="00FB7382" w:rsidRPr="0073484C" w:rsidRDefault="00FB7382" w:rsidP="00FB7382">
      <w:pPr>
        <w:autoSpaceDE w:val="0"/>
        <w:autoSpaceDN w:val="0"/>
        <w:adjustRightInd w:val="0"/>
        <w:spacing w:line="360" w:lineRule="auto"/>
        <w:jc w:val="both"/>
        <w:rPr>
          <w:rFonts w:ascii="Arial" w:hAnsi="Arial" w:cs="Arial"/>
          <w:color w:val="000000"/>
        </w:rPr>
      </w:pPr>
      <w:r w:rsidRPr="0073484C">
        <w:rPr>
          <w:rFonts w:ascii="Arial" w:hAnsi="Arial" w:cs="Arial"/>
          <w:color w:val="000000"/>
        </w:rPr>
        <w:t>Ali, B.J. and Anwar, G. (2021) 'Porter's generic competitive strategies and its influence on the competitive advantage', International Journal of Advanced Engineering, Management and Science</w:t>
      </w:r>
      <w:r>
        <w:rPr>
          <w:rFonts w:ascii="Arial" w:hAnsi="Arial" w:cs="Arial"/>
          <w:color w:val="000000"/>
        </w:rPr>
        <w:t>.</w:t>
      </w:r>
    </w:p>
    <w:p w14:paraId="4E86B2CF" w14:textId="77777777" w:rsidR="00FB7382" w:rsidRPr="0073484C" w:rsidRDefault="00FB7382" w:rsidP="00FB7382">
      <w:pPr>
        <w:autoSpaceDE w:val="0"/>
        <w:autoSpaceDN w:val="0"/>
        <w:adjustRightInd w:val="0"/>
        <w:spacing w:line="360" w:lineRule="auto"/>
        <w:jc w:val="both"/>
        <w:rPr>
          <w:rFonts w:ascii="Arial" w:hAnsi="Arial" w:cs="Arial"/>
          <w:color w:val="000000"/>
        </w:rPr>
      </w:pPr>
    </w:p>
    <w:p w14:paraId="208685D2" w14:textId="77777777" w:rsidR="00FB7382" w:rsidRPr="0073484C" w:rsidRDefault="00FB7382" w:rsidP="00FB7382">
      <w:pPr>
        <w:autoSpaceDE w:val="0"/>
        <w:autoSpaceDN w:val="0"/>
        <w:adjustRightInd w:val="0"/>
        <w:spacing w:line="360" w:lineRule="auto"/>
        <w:jc w:val="both"/>
        <w:rPr>
          <w:rFonts w:ascii="Arial" w:hAnsi="Arial" w:cs="Arial"/>
          <w:color w:val="000000"/>
        </w:rPr>
      </w:pPr>
      <w:proofErr w:type="spellStart"/>
      <w:r w:rsidRPr="0073484C">
        <w:rPr>
          <w:rFonts w:ascii="Arial" w:hAnsi="Arial" w:cs="Arial"/>
          <w:color w:val="000000"/>
        </w:rPr>
        <w:t>Benzaghta</w:t>
      </w:r>
      <w:proofErr w:type="spellEnd"/>
      <w:r w:rsidRPr="0073484C">
        <w:rPr>
          <w:rFonts w:ascii="Arial" w:hAnsi="Arial" w:cs="Arial"/>
          <w:color w:val="000000"/>
        </w:rPr>
        <w:t xml:space="preserve">, M.A., </w:t>
      </w:r>
      <w:proofErr w:type="spellStart"/>
      <w:r w:rsidRPr="0073484C">
        <w:rPr>
          <w:rFonts w:ascii="Arial" w:hAnsi="Arial" w:cs="Arial"/>
          <w:color w:val="000000"/>
        </w:rPr>
        <w:t>Elwalda</w:t>
      </w:r>
      <w:proofErr w:type="spellEnd"/>
      <w:r w:rsidRPr="0073484C">
        <w:rPr>
          <w:rFonts w:ascii="Arial" w:hAnsi="Arial" w:cs="Arial"/>
          <w:color w:val="000000"/>
        </w:rPr>
        <w:t>, A., Mousa, M.M., Erkan, I. and Rahman, M. (2021) 'SWOT analysis applications: an integrative literature review', Journal of Global Business Insights</w:t>
      </w:r>
      <w:r>
        <w:rPr>
          <w:rFonts w:ascii="Arial" w:hAnsi="Arial" w:cs="Arial"/>
          <w:color w:val="000000"/>
        </w:rPr>
        <w:t>.</w:t>
      </w:r>
    </w:p>
    <w:p w14:paraId="63C87BDD" w14:textId="77777777" w:rsidR="00FB7382" w:rsidRPr="0073484C" w:rsidRDefault="00FB7382" w:rsidP="00FB7382">
      <w:pPr>
        <w:autoSpaceDE w:val="0"/>
        <w:autoSpaceDN w:val="0"/>
        <w:adjustRightInd w:val="0"/>
        <w:spacing w:line="360" w:lineRule="auto"/>
        <w:jc w:val="both"/>
        <w:rPr>
          <w:rFonts w:ascii="Arial" w:hAnsi="Arial" w:cs="Arial"/>
          <w:color w:val="000000"/>
        </w:rPr>
      </w:pPr>
    </w:p>
    <w:p w14:paraId="1D44BE6E" w14:textId="77777777" w:rsidR="00FB7382" w:rsidRDefault="00FB7382" w:rsidP="00FB7382">
      <w:pPr>
        <w:autoSpaceDE w:val="0"/>
        <w:autoSpaceDN w:val="0"/>
        <w:adjustRightInd w:val="0"/>
        <w:spacing w:line="360" w:lineRule="auto"/>
        <w:jc w:val="both"/>
        <w:rPr>
          <w:rFonts w:ascii="Arial" w:hAnsi="Arial" w:cs="Arial"/>
          <w:color w:val="000000"/>
        </w:rPr>
      </w:pPr>
      <w:r w:rsidRPr="0073484C">
        <w:rPr>
          <w:rFonts w:ascii="Arial" w:hAnsi="Arial" w:cs="Arial"/>
          <w:color w:val="000000"/>
        </w:rPr>
        <w:t xml:space="preserve">Bridoux, F. and </w:t>
      </w:r>
      <w:proofErr w:type="spellStart"/>
      <w:r w:rsidRPr="0073484C">
        <w:rPr>
          <w:rFonts w:ascii="Arial" w:hAnsi="Arial" w:cs="Arial"/>
          <w:color w:val="000000"/>
        </w:rPr>
        <w:t>Stoelhorst</w:t>
      </w:r>
      <w:proofErr w:type="spellEnd"/>
      <w:r w:rsidRPr="0073484C">
        <w:rPr>
          <w:rFonts w:ascii="Arial" w:hAnsi="Arial" w:cs="Arial"/>
          <w:color w:val="000000"/>
        </w:rPr>
        <w:t>, J.W. (2022) 'Stakeholder governance: solving the collective action problems in joint value creation', Academy of Management Review</w:t>
      </w:r>
      <w:r>
        <w:rPr>
          <w:rFonts w:ascii="Arial" w:hAnsi="Arial" w:cs="Arial"/>
          <w:color w:val="000000"/>
        </w:rPr>
        <w:t>.</w:t>
      </w:r>
    </w:p>
    <w:p w14:paraId="714A4013" w14:textId="77777777" w:rsidR="00FB7382" w:rsidRDefault="00FB7382" w:rsidP="00FB7382">
      <w:pPr>
        <w:autoSpaceDE w:val="0"/>
        <w:autoSpaceDN w:val="0"/>
        <w:adjustRightInd w:val="0"/>
        <w:spacing w:line="360" w:lineRule="auto"/>
        <w:jc w:val="both"/>
        <w:rPr>
          <w:rFonts w:ascii="Arial" w:hAnsi="Arial" w:cs="Arial"/>
          <w:color w:val="000000"/>
        </w:rPr>
      </w:pPr>
    </w:p>
    <w:p w14:paraId="488908FF" w14:textId="7879A553"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Comms Business (2025) 'Vodafone revenue increases two per cent in FY25', Comms Business, 21 October. Available at: </w:t>
      </w:r>
      <w:hyperlink r:id="rId9" w:history="1">
        <w:r w:rsidRPr="009D7A08">
          <w:rPr>
            <w:rStyle w:val="Hyperlink"/>
            <w:rFonts w:ascii="Arial" w:hAnsi="Arial" w:cs="Arial"/>
          </w:rPr>
          <w:t>https://www.commsbusiness.co.uk/content/news/vodafone-revenue-increases-two-per-cent-in-fy25</w:t>
        </w:r>
      </w:hyperlink>
      <w:r>
        <w:rPr>
          <w:rFonts w:ascii="Arial" w:hAnsi="Arial" w:cs="Arial"/>
          <w:color w:val="000000"/>
        </w:rPr>
        <w:t xml:space="preserve"> </w:t>
      </w:r>
      <w:r w:rsidRPr="00B45937">
        <w:rPr>
          <w:rFonts w:ascii="Arial" w:hAnsi="Arial" w:cs="Arial"/>
          <w:color w:val="000000"/>
        </w:rPr>
        <w:t xml:space="preserve">(Accessed: </w:t>
      </w:r>
      <w:r w:rsidR="00DB7B26">
        <w:rPr>
          <w:rFonts w:ascii="Arial" w:hAnsi="Arial" w:cs="Arial"/>
          <w:color w:val="000000"/>
        </w:rPr>
        <w:t>2</w:t>
      </w:r>
      <w:r w:rsidRPr="00B45937">
        <w:rPr>
          <w:rFonts w:ascii="Arial" w:hAnsi="Arial" w:cs="Arial"/>
          <w:color w:val="000000"/>
        </w:rPr>
        <w:t xml:space="preserve"> August 2026).</w:t>
      </w:r>
    </w:p>
    <w:p w14:paraId="4C2AEE49" w14:textId="77777777" w:rsidR="00FB7382" w:rsidRDefault="00FB7382" w:rsidP="00FB7382">
      <w:pPr>
        <w:autoSpaceDE w:val="0"/>
        <w:autoSpaceDN w:val="0"/>
        <w:adjustRightInd w:val="0"/>
        <w:spacing w:line="360" w:lineRule="auto"/>
        <w:jc w:val="both"/>
        <w:rPr>
          <w:rFonts w:ascii="Arial" w:hAnsi="Arial" w:cs="Arial"/>
          <w:color w:val="000000"/>
        </w:rPr>
      </w:pPr>
    </w:p>
    <w:p w14:paraId="26044395" w14:textId="77777777" w:rsidR="00FB7382" w:rsidRPr="0073484C" w:rsidRDefault="00FB7382" w:rsidP="00FB7382">
      <w:pPr>
        <w:autoSpaceDE w:val="0"/>
        <w:autoSpaceDN w:val="0"/>
        <w:adjustRightInd w:val="0"/>
        <w:spacing w:line="360" w:lineRule="auto"/>
        <w:jc w:val="both"/>
        <w:rPr>
          <w:rFonts w:ascii="Arial" w:hAnsi="Arial" w:cs="Arial"/>
          <w:color w:val="000000"/>
        </w:rPr>
      </w:pPr>
      <w:r w:rsidRPr="0073484C">
        <w:rPr>
          <w:rFonts w:ascii="Arial" w:hAnsi="Arial" w:cs="Arial"/>
          <w:color w:val="000000"/>
        </w:rPr>
        <w:t xml:space="preserve">Farshid, M., </w:t>
      </w:r>
      <w:proofErr w:type="spellStart"/>
      <w:r w:rsidRPr="0073484C">
        <w:rPr>
          <w:rFonts w:ascii="Arial" w:hAnsi="Arial" w:cs="Arial"/>
          <w:color w:val="000000"/>
        </w:rPr>
        <w:t>Goharrostami</w:t>
      </w:r>
      <w:proofErr w:type="spellEnd"/>
      <w:r w:rsidRPr="0073484C">
        <w:rPr>
          <w:rFonts w:ascii="Arial" w:hAnsi="Arial" w:cs="Arial"/>
          <w:color w:val="000000"/>
        </w:rPr>
        <w:t xml:space="preserve">, H.R. and Ramezani Nejad, R. (2022) 'Analysis the amount of power and interests of talent management system stakeholders in </w:t>
      </w:r>
      <w:proofErr w:type="spellStart"/>
      <w:r w:rsidRPr="0073484C">
        <w:rPr>
          <w:rFonts w:ascii="Arial" w:hAnsi="Arial" w:cs="Arial"/>
          <w:color w:val="000000"/>
        </w:rPr>
        <w:t>Guilan</w:t>
      </w:r>
      <w:proofErr w:type="spellEnd"/>
      <w:r w:rsidRPr="0073484C">
        <w:rPr>
          <w:rFonts w:ascii="Arial" w:hAnsi="Arial" w:cs="Arial"/>
          <w:color w:val="000000"/>
        </w:rPr>
        <w:t xml:space="preserve"> province sport based on Mendelow matrix', Sport Management Studies</w:t>
      </w:r>
      <w:r>
        <w:rPr>
          <w:rFonts w:ascii="Arial" w:hAnsi="Arial" w:cs="Arial"/>
          <w:color w:val="000000"/>
        </w:rPr>
        <w:t>.</w:t>
      </w:r>
    </w:p>
    <w:p w14:paraId="0CA17589" w14:textId="77777777" w:rsidR="00FB7382" w:rsidRPr="0073484C" w:rsidRDefault="00FB7382" w:rsidP="00FB7382">
      <w:pPr>
        <w:autoSpaceDE w:val="0"/>
        <w:autoSpaceDN w:val="0"/>
        <w:adjustRightInd w:val="0"/>
        <w:spacing w:line="360" w:lineRule="auto"/>
        <w:jc w:val="both"/>
        <w:rPr>
          <w:rFonts w:ascii="Arial" w:hAnsi="Arial" w:cs="Arial"/>
          <w:color w:val="000000"/>
        </w:rPr>
      </w:pPr>
    </w:p>
    <w:p w14:paraId="2926CA69" w14:textId="77777777" w:rsidR="00FB7382" w:rsidRPr="0073484C" w:rsidRDefault="00FB7382" w:rsidP="00FB7382">
      <w:pPr>
        <w:autoSpaceDE w:val="0"/>
        <w:autoSpaceDN w:val="0"/>
        <w:adjustRightInd w:val="0"/>
        <w:spacing w:line="360" w:lineRule="auto"/>
        <w:jc w:val="both"/>
        <w:rPr>
          <w:rFonts w:ascii="Arial" w:hAnsi="Arial" w:cs="Arial"/>
          <w:color w:val="000000"/>
        </w:rPr>
      </w:pPr>
      <w:r w:rsidRPr="0073484C">
        <w:rPr>
          <w:rFonts w:ascii="Arial" w:hAnsi="Arial" w:cs="Arial"/>
          <w:color w:val="000000"/>
        </w:rPr>
        <w:t xml:space="preserve">Ferreira Oliveira, A. and Marques, M.B. (2024) 'The importance of the </w:t>
      </w:r>
    </w:p>
    <w:p w14:paraId="502FD61E" w14:textId="77777777" w:rsidR="00FB7382" w:rsidRPr="0073484C" w:rsidRDefault="00FB7382" w:rsidP="00FB7382">
      <w:pPr>
        <w:autoSpaceDE w:val="0"/>
        <w:autoSpaceDN w:val="0"/>
        <w:adjustRightInd w:val="0"/>
        <w:spacing w:line="360" w:lineRule="auto"/>
        <w:jc w:val="both"/>
        <w:rPr>
          <w:rFonts w:ascii="Arial" w:hAnsi="Arial" w:cs="Arial"/>
          <w:color w:val="000000"/>
        </w:rPr>
      </w:pPr>
      <w:r w:rsidRPr="0073484C">
        <w:rPr>
          <w:rFonts w:ascii="Arial" w:hAnsi="Arial" w:cs="Arial"/>
          <w:color w:val="000000"/>
        </w:rPr>
        <w:t>Ansoff matrix for the study of the information services market', The Canadian Journal of Information and Library Science</w:t>
      </w:r>
      <w:r>
        <w:rPr>
          <w:rFonts w:ascii="Arial" w:hAnsi="Arial" w:cs="Arial"/>
          <w:color w:val="000000"/>
        </w:rPr>
        <w:t>.</w:t>
      </w:r>
    </w:p>
    <w:p w14:paraId="56360AAC" w14:textId="77777777" w:rsidR="00FB7382" w:rsidRPr="0073484C" w:rsidRDefault="00FB7382" w:rsidP="00FB7382">
      <w:pPr>
        <w:autoSpaceDE w:val="0"/>
        <w:autoSpaceDN w:val="0"/>
        <w:adjustRightInd w:val="0"/>
        <w:spacing w:line="360" w:lineRule="auto"/>
        <w:jc w:val="both"/>
        <w:rPr>
          <w:rFonts w:ascii="Arial" w:hAnsi="Arial" w:cs="Arial"/>
          <w:color w:val="000000"/>
        </w:rPr>
      </w:pPr>
    </w:p>
    <w:p w14:paraId="72445727" w14:textId="077915E9"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IG International (2025) 'Vodafone-Three merger: creating UK's largest mobile operator', IG.com, 11 June. Available at: </w:t>
      </w:r>
      <w:hyperlink r:id="rId10" w:history="1">
        <w:r w:rsidRPr="009D7A08">
          <w:rPr>
            <w:rStyle w:val="Hyperlink"/>
            <w:rFonts w:ascii="Arial" w:hAnsi="Arial" w:cs="Arial"/>
          </w:rPr>
          <w:t>https://www.ig.com/en/news-and-trade-ideas/vodafone-three-merger--what-next-after-the-creation-of-the-uk-s--250611</w:t>
        </w:r>
      </w:hyperlink>
      <w:r>
        <w:rPr>
          <w:rFonts w:ascii="Arial" w:hAnsi="Arial" w:cs="Arial"/>
          <w:color w:val="000000"/>
        </w:rPr>
        <w:t xml:space="preserve"> </w:t>
      </w:r>
      <w:r w:rsidRPr="00B45937">
        <w:rPr>
          <w:rFonts w:ascii="Arial" w:hAnsi="Arial" w:cs="Arial"/>
          <w:color w:val="000000"/>
        </w:rPr>
        <w:t xml:space="preserve">(Accessed: </w:t>
      </w:r>
      <w:r w:rsidR="00DB7B26">
        <w:rPr>
          <w:rFonts w:ascii="Arial" w:hAnsi="Arial" w:cs="Arial"/>
          <w:color w:val="000000"/>
        </w:rPr>
        <w:t>4</w:t>
      </w:r>
      <w:r w:rsidRPr="00B45937">
        <w:rPr>
          <w:rFonts w:ascii="Arial" w:hAnsi="Arial" w:cs="Arial"/>
          <w:color w:val="000000"/>
        </w:rPr>
        <w:t xml:space="preserve"> August 2026).</w:t>
      </w:r>
    </w:p>
    <w:p w14:paraId="42D057DF"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4DC7E4A5"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Investing.com (2025) 'Vodafone FY25 presentation: service revenue grows 5.1% amid portfolio restructuring', Investing.com, 20 May. Available at: </w:t>
      </w:r>
      <w:hyperlink r:id="rId11" w:history="1">
        <w:r w:rsidRPr="009D7A08">
          <w:rPr>
            <w:rStyle w:val="Hyperlink"/>
            <w:rFonts w:ascii="Arial" w:hAnsi="Arial" w:cs="Arial"/>
          </w:rPr>
          <w:t>https://www.investing.com/news/company-news/vodafone-fy25-presentation-service-revenue-grows-51-amid-portfolio-restructuring-4053969</w:t>
        </w:r>
      </w:hyperlink>
      <w:r>
        <w:rPr>
          <w:rFonts w:ascii="Arial" w:hAnsi="Arial" w:cs="Arial"/>
          <w:color w:val="000000"/>
        </w:rPr>
        <w:t xml:space="preserve"> </w:t>
      </w:r>
      <w:r w:rsidRPr="00B45937">
        <w:rPr>
          <w:rFonts w:ascii="Arial" w:hAnsi="Arial" w:cs="Arial"/>
          <w:color w:val="000000"/>
        </w:rPr>
        <w:t>(Accessed: 9 August 2026).</w:t>
      </w:r>
    </w:p>
    <w:p w14:paraId="089B7798"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4F47BA0A" w14:textId="77777777" w:rsidR="00FB7382" w:rsidRPr="0073484C" w:rsidRDefault="00FB7382" w:rsidP="00FB7382">
      <w:pPr>
        <w:autoSpaceDE w:val="0"/>
        <w:autoSpaceDN w:val="0"/>
        <w:adjustRightInd w:val="0"/>
        <w:spacing w:line="360" w:lineRule="auto"/>
        <w:jc w:val="both"/>
        <w:rPr>
          <w:rFonts w:ascii="Arial" w:hAnsi="Arial" w:cs="Arial"/>
          <w:color w:val="000000"/>
        </w:rPr>
      </w:pPr>
      <w:r w:rsidRPr="0073484C">
        <w:rPr>
          <w:rFonts w:ascii="Arial" w:hAnsi="Arial" w:cs="Arial"/>
          <w:color w:val="000000"/>
        </w:rPr>
        <w:t>Jia, W. and Ai, X. (2021) 'How do upper echelons perceive Porter's five forces? Evidence from strategic entrepreneurship in China', Frontiers in Psychology, 12, article 649574.</w:t>
      </w:r>
    </w:p>
    <w:p w14:paraId="0DB8F7D7" w14:textId="77777777" w:rsidR="00FB7382" w:rsidRDefault="00FB7382" w:rsidP="00FB7382">
      <w:pPr>
        <w:autoSpaceDE w:val="0"/>
        <w:autoSpaceDN w:val="0"/>
        <w:adjustRightInd w:val="0"/>
        <w:spacing w:line="360" w:lineRule="auto"/>
        <w:jc w:val="both"/>
        <w:rPr>
          <w:rFonts w:ascii="Arial" w:hAnsi="Arial" w:cs="Arial"/>
          <w:color w:val="000000"/>
        </w:rPr>
      </w:pPr>
    </w:p>
    <w:p w14:paraId="0C089D4B" w14:textId="77777777" w:rsidR="00FB7382"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Johnson, G., Whittington, R., Scholes, K., Angwin, D. and </w:t>
      </w:r>
      <w:proofErr w:type="spellStart"/>
      <w:r w:rsidRPr="00B45937">
        <w:rPr>
          <w:rFonts w:ascii="Arial" w:hAnsi="Arial" w:cs="Arial"/>
          <w:color w:val="000000"/>
        </w:rPr>
        <w:t>Regnér</w:t>
      </w:r>
      <w:proofErr w:type="spellEnd"/>
      <w:r w:rsidRPr="00B45937">
        <w:rPr>
          <w:rFonts w:ascii="Arial" w:hAnsi="Arial" w:cs="Arial"/>
          <w:color w:val="000000"/>
        </w:rPr>
        <w:t xml:space="preserve">, P. (2020) Exploring Strategy: Text and Cases. 12th </w:t>
      </w:r>
      <w:proofErr w:type="spellStart"/>
      <w:r w:rsidRPr="00B45937">
        <w:rPr>
          <w:rFonts w:ascii="Arial" w:hAnsi="Arial" w:cs="Arial"/>
          <w:color w:val="000000"/>
        </w:rPr>
        <w:t>edn</w:t>
      </w:r>
      <w:proofErr w:type="spellEnd"/>
      <w:r w:rsidRPr="00B45937">
        <w:rPr>
          <w:rFonts w:ascii="Arial" w:hAnsi="Arial" w:cs="Arial"/>
          <w:color w:val="000000"/>
        </w:rPr>
        <w:t>. Harlow: Pearson.</w:t>
      </w:r>
    </w:p>
    <w:p w14:paraId="418703D6" w14:textId="77777777" w:rsidR="00FB7382" w:rsidRPr="0073484C" w:rsidRDefault="00FB7382" w:rsidP="00FB7382">
      <w:pPr>
        <w:autoSpaceDE w:val="0"/>
        <w:autoSpaceDN w:val="0"/>
        <w:adjustRightInd w:val="0"/>
        <w:jc w:val="both"/>
        <w:rPr>
          <w:rFonts w:ascii="AppleSystemUIFont" w:eastAsiaTheme="minorEastAsia" w:hAnsi="AppleSystemUIFont" w:cs="AppleSystemUIFont"/>
          <w:sz w:val="26"/>
          <w:szCs w:val="26"/>
          <w:lang w:eastAsia="zh-CN"/>
        </w:rPr>
      </w:pPr>
    </w:p>
    <w:p w14:paraId="73AB0E6B"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04550B5F" w14:textId="7D107B27" w:rsidR="00FB7382" w:rsidRPr="00B45937" w:rsidRDefault="00FB7382" w:rsidP="00FB7382">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MatrixBCG</w:t>
      </w:r>
      <w:proofErr w:type="spellEnd"/>
      <w:r w:rsidRPr="00B45937">
        <w:rPr>
          <w:rFonts w:ascii="Arial" w:hAnsi="Arial" w:cs="Arial"/>
          <w:color w:val="000000"/>
        </w:rPr>
        <w:t xml:space="preserve"> (2026) 'What are mission, vision &amp; core values of Vodafone Group company?', </w:t>
      </w:r>
      <w:proofErr w:type="spellStart"/>
      <w:r w:rsidRPr="00B45937">
        <w:rPr>
          <w:rFonts w:ascii="Arial" w:hAnsi="Arial" w:cs="Arial"/>
          <w:color w:val="000000"/>
        </w:rPr>
        <w:t>MatrixBCG</w:t>
      </w:r>
      <w:proofErr w:type="spellEnd"/>
      <w:r w:rsidRPr="00B45937">
        <w:rPr>
          <w:rFonts w:ascii="Arial" w:hAnsi="Arial" w:cs="Arial"/>
          <w:color w:val="000000"/>
        </w:rPr>
        <w:t xml:space="preserve">, 10 March. Available at: </w:t>
      </w:r>
      <w:hyperlink r:id="rId12" w:history="1">
        <w:r w:rsidRPr="009D7A08">
          <w:rPr>
            <w:rStyle w:val="Hyperlink"/>
            <w:rFonts w:ascii="Arial" w:hAnsi="Arial" w:cs="Arial"/>
          </w:rPr>
          <w:t>https://matrixbcg.com/blogs/mission/vodafone</w:t>
        </w:r>
      </w:hyperlink>
      <w:r>
        <w:rPr>
          <w:rFonts w:ascii="Arial" w:hAnsi="Arial" w:cs="Arial"/>
          <w:color w:val="000000"/>
        </w:rPr>
        <w:t xml:space="preserve"> </w:t>
      </w:r>
      <w:r w:rsidRPr="00B45937">
        <w:rPr>
          <w:rFonts w:ascii="Arial" w:hAnsi="Arial" w:cs="Arial"/>
          <w:color w:val="000000"/>
        </w:rPr>
        <w:t xml:space="preserve">(Accessed: </w:t>
      </w:r>
      <w:r w:rsidR="00DB7B26">
        <w:rPr>
          <w:rFonts w:ascii="Arial" w:hAnsi="Arial" w:cs="Arial"/>
          <w:color w:val="000000"/>
        </w:rPr>
        <w:t>3</w:t>
      </w:r>
      <w:r w:rsidRPr="00B45937">
        <w:rPr>
          <w:rFonts w:ascii="Arial" w:hAnsi="Arial" w:cs="Arial"/>
          <w:color w:val="000000"/>
        </w:rPr>
        <w:t xml:space="preserve"> August 2026).</w:t>
      </w:r>
    </w:p>
    <w:p w14:paraId="4DA1EF96"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5871308C"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Mordor Intelligence (2026) UK Telecom MNO Market Size, Growth &amp; Forecast Report, 2031. Available at: </w:t>
      </w:r>
      <w:hyperlink r:id="rId13" w:history="1">
        <w:r w:rsidRPr="009D7A08">
          <w:rPr>
            <w:rStyle w:val="Hyperlink"/>
            <w:rFonts w:ascii="Arial" w:hAnsi="Arial" w:cs="Arial"/>
          </w:rPr>
          <w:t>https://www.mordorintelligence.com/industry-reports/united-kingdom-telecom-market</w:t>
        </w:r>
      </w:hyperlink>
      <w:r>
        <w:rPr>
          <w:rFonts w:ascii="Arial" w:hAnsi="Arial" w:cs="Arial"/>
          <w:color w:val="000000"/>
        </w:rPr>
        <w:t xml:space="preserve"> </w:t>
      </w:r>
      <w:r w:rsidRPr="00B45937">
        <w:rPr>
          <w:rFonts w:ascii="Arial" w:hAnsi="Arial" w:cs="Arial"/>
          <w:color w:val="000000"/>
        </w:rPr>
        <w:t>(Accessed: 9 August 2026).</w:t>
      </w:r>
    </w:p>
    <w:p w14:paraId="096049A6"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4DF6102A" w14:textId="4981D738" w:rsidR="00FB7382" w:rsidRPr="00B45937" w:rsidRDefault="00FB7382" w:rsidP="00FB7382">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MyAmplifiers</w:t>
      </w:r>
      <w:proofErr w:type="spellEnd"/>
      <w:r w:rsidRPr="00B45937">
        <w:rPr>
          <w:rFonts w:ascii="Arial" w:hAnsi="Arial" w:cs="Arial"/>
          <w:color w:val="000000"/>
        </w:rPr>
        <w:t xml:space="preserve"> (2026) 'EE, Three, Vodafone, O2: UK mobile network signal coverage ranked for 2026', </w:t>
      </w:r>
      <w:proofErr w:type="spellStart"/>
      <w:r w:rsidRPr="00B45937">
        <w:rPr>
          <w:rFonts w:ascii="Arial" w:hAnsi="Arial" w:cs="Arial"/>
          <w:color w:val="000000"/>
        </w:rPr>
        <w:t>MyAmplifiers</w:t>
      </w:r>
      <w:proofErr w:type="spellEnd"/>
      <w:r w:rsidRPr="00B45937">
        <w:rPr>
          <w:rFonts w:ascii="Arial" w:hAnsi="Arial" w:cs="Arial"/>
          <w:color w:val="000000"/>
        </w:rPr>
        <w:t xml:space="preserve">, 3 April. Available at: </w:t>
      </w:r>
      <w:hyperlink r:id="rId14" w:history="1">
        <w:r w:rsidRPr="009D7A08">
          <w:rPr>
            <w:rStyle w:val="Hyperlink"/>
            <w:rFonts w:ascii="Arial" w:hAnsi="Arial" w:cs="Arial"/>
          </w:rPr>
          <w:t>https://www.myamplifiers.com/articles/which-uk-mobile-networks-have-the-best-signal-in-2026/</w:t>
        </w:r>
      </w:hyperlink>
      <w:r>
        <w:rPr>
          <w:rFonts w:ascii="Arial" w:hAnsi="Arial" w:cs="Arial"/>
          <w:color w:val="000000"/>
        </w:rPr>
        <w:t xml:space="preserve"> </w:t>
      </w:r>
      <w:r w:rsidRPr="00B45937">
        <w:rPr>
          <w:rFonts w:ascii="Arial" w:hAnsi="Arial" w:cs="Arial"/>
          <w:color w:val="000000"/>
        </w:rPr>
        <w:t xml:space="preserve">(Accessed: </w:t>
      </w:r>
      <w:r w:rsidR="00DB7B26">
        <w:rPr>
          <w:rFonts w:ascii="Arial" w:hAnsi="Arial" w:cs="Arial"/>
          <w:color w:val="000000"/>
        </w:rPr>
        <w:t>2</w:t>
      </w:r>
      <w:r w:rsidRPr="00B45937">
        <w:rPr>
          <w:rFonts w:ascii="Arial" w:hAnsi="Arial" w:cs="Arial"/>
          <w:color w:val="000000"/>
        </w:rPr>
        <w:t xml:space="preserve"> August 2026).</w:t>
      </w:r>
    </w:p>
    <w:p w14:paraId="73D6F133"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17F0187B" w14:textId="1AE0A633" w:rsidR="00FB7382" w:rsidRPr="00B45937" w:rsidRDefault="00FB7382" w:rsidP="00FB7382">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Opensignal</w:t>
      </w:r>
      <w:proofErr w:type="spellEnd"/>
      <w:r w:rsidRPr="00B45937">
        <w:rPr>
          <w:rFonts w:ascii="Arial" w:hAnsi="Arial" w:cs="Arial"/>
          <w:color w:val="000000"/>
        </w:rPr>
        <w:t xml:space="preserve"> (2026) United Kingdom Mobile Network Experience Report, January 2026. Available at: </w:t>
      </w:r>
      <w:hyperlink r:id="rId15" w:history="1">
        <w:r w:rsidRPr="009D7A08">
          <w:rPr>
            <w:rStyle w:val="Hyperlink"/>
            <w:rFonts w:ascii="Arial" w:hAnsi="Arial" w:cs="Arial"/>
          </w:rPr>
          <w:t>https://insights.opensignal.com/reports/2026/01/uk/mobile-network-experience</w:t>
        </w:r>
      </w:hyperlink>
      <w:r>
        <w:rPr>
          <w:rFonts w:ascii="Arial" w:hAnsi="Arial" w:cs="Arial"/>
          <w:color w:val="000000"/>
        </w:rPr>
        <w:t xml:space="preserve"> </w:t>
      </w:r>
      <w:r w:rsidRPr="00B45937">
        <w:rPr>
          <w:rFonts w:ascii="Arial" w:hAnsi="Arial" w:cs="Arial"/>
          <w:color w:val="000000"/>
        </w:rPr>
        <w:t xml:space="preserve">(Accessed: </w:t>
      </w:r>
      <w:r w:rsidR="00DB7B26">
        <w:rPr>
          <w:rFonts w:ascii="Arial" w:hAnsi="Arial" w:cs="Arial"/>
          <w:color w:val="000000"/>
        </w:rPr>
        <w:t>2</w:t>
      </w:r>
      <w:r w:rsidRPr="00B45937">
        <w:rPr>
          <w:rFonts w:ascii="Arial" w:hAnsi="Arial" w:cs="Arial"/>
          <w:color w:val="000000"/>
        </w:rPr>
        <w:t xml:space="preserve"> August 2026).</w:t>
      </w:r>
    </w:p>
    <w:p w14:paraId="70E7F030"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0CF6428C"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RCR Wireless News (2025) 'Vodafone and Three complete £16.5bn merger', RCR Wireless News, 2 June. Available at: </w:t>
      </w:r>
      <w:hyperlink r:id="rId16" w:history="1">
        <w:r w:rsidRPr="009D7A08">
          <w:rPr>
            <w:rStyle w:val="Hyperlink"/>
            <w:rFonts w:ascii="Arial" w:hAnsi="Arial" w:cs="Arial"/>
          </w:rPr>
          <w:t>https://www.rcrwireless.com/20250602/carriers/vodafone-three-merger</w:t>
        </w:r>
      </w:hyperlink>
      <w:r>
        <w:rPr>
          <w:rFonts w:ascii="Arial" w:hAnsi="Arial" w:cs="Arial"/>
          <w:color w:val="000000"/>
        </w:rPr>
        <w:t xml:space="preserve"> </w:t>
      </w:r>
      <w:r w:rsidRPr="00B45937">
        <w:rPr>
          <w:rFonts w:ascii="Arial" w:hAnsi="Arial" w:cs="Arial"/>
          <w:color w:val="000000"/>
        </w:rPr>
        <w:t>(Accessed: 9 August 2026).</w:t>
      </w:r>
    </w:p>
    <w:p w14:paraId="5E63B7EB"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3293A204"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Rothaermel, F.T. (2021) Strategic Management: Concepts and Cases. 5th </w:t>
      </w:r>
      <w:proofErr w:type="spellStart"/>
      <w:r w:rsidRPr="00B45937">
        <w:rPr>
          <w:rFonts w:ascii="Arial" w:hAnsi="Arial" w:cs="Arial"/>
          <w:color w:val="000000"/>
        </w:rPr>
        <w:t>edn</w:t>
      </w:r>
      <w:proofErr w:type="spellEnd"/>
      <w:r w:rsidRPr="00B45937">
        <w:rPr>
          <w:rFonts w:ascii="Arial" w:hAnsi="Arial" w:cs="Arial"/>
          <w:color w:val="000000"/>
        </w:rPr>
        <w:t>. New York: McGraw-Hill Education.</w:t>
      </w:r>
    </w:p>
    <w:p w14:paraId="64BB3FA7"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7E85DF74"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Sphere </w:t>
      </w:r>
      <w:proofErr w:type="spellStart"/>
      <w:r w:rsidRPr="00B45937">
        <w:rPr>
          <w:rFonts w:ascii="Arial" w:hAnsi="Arial" w:cs="Arial"/>
          <w:color w:val="000000"/>
        </w:rPr>
        <w:t>eMagazine</w:t>
      </w:r>
      <w:proofErr w:type="spellEnd"/>
      <w:r w:rsidRPr="00B45937">
        <w:rPr>
          <w:rFonts w:ascii="Arial" w:hAnsi="Arial" w:cs="Arial"/>
          <w:color w:val="000000"/>
        </w:rPr>
        <w:t xml:space="preserve"> (2025) 'Business: </w:t>
      </w:r>
      <w:proofErr w:type="spellStart"/>
      <w:r w:rsidRPr="00B45937">
        <w:rPr>
          <w:rFonts w:ascii="Arial" w:hAnsi="Arial" w:cs="Arial"/>
          <w:color w:val="000000"/>
        </w:rPr>
        <w:t>VodafoneThree</w:t>
      </w:r>
      <w:proofErr w:type="spellEnd"/>
      <w:r w:rsidRPr="00B45937">
        <w:rPr>
          <w:rFonts w:ascii="Arial" w:hAnsi="Arial" w:cs="Arial"/>
          <w:color w:val="000000"/>
        </w:rPr>
        <w:t xml:space="preserve"> is here - £16.5 billion merger kicks off a new era for UK connectivity', CK Hutchison Holdings Sphere </w:t>
      </w:r>
      <w:proofErr w:type="spellStart"/>
      <w:r w:rsidRPr="00B45937">
        <w:rPr>
          <w:rFonts w:ascii="Arial" w:hAnsi="Arial" w:cs="Arial"/>
          <w:color w:val="000000"/>
        </w:rPr>
        <w:t>eMagazine</w:t>
      </w:r>
      <w:proofErr w:type="spellEnd"/>
      <w:r w:rsidRPr="00B45937">
        <w:rPr>
          <w:rFonts w:ascii="Arial" w:hAnsi="Arial" w:cs="Arial"/>
          <w:color w:val="000000"/>
        </w:rPr>
        <w:t xml:space="preserve">. Available at: </w:t>
      </w:r>
      <w:hyperlink r:id="rId17" w:history="1">
        <w:r w:rsidRPr="009D7A08">
          <w:rPr>
            <w:rStyle w:val="Hyperlink"/>
            <w:rFonts w:ascii="Arial" w:hAnsi="Arial" w:cs="Arial"/>
          </w:rPr>
          <w:t>https://sphere.ckh.com.hk/eng/business/417/vodafonethree-is-here-</w:t>
        </w:r>
        <w:r w:rsidRPr="009D7A08">
          <w:rPr>
            <w:rStyle w:val="Hyperlink"/>
            <w:rFonts w:ascii="Arial" w:hAnsi="Arial" w:cs="Arial"/>
          </w:rPr>
          <w:lastRenderedPageBreak/>
          <w:t>16.5-billion-merger-kicks-off-a-new-era-for-uk-connectivity.php</w:t>
        </w:r>
      </w:hyperlink>
      <w:r>
        <w:rPr>
          <w:rFonts w:ascii="Arial" w:hAnsi="Arial" w:cs="Arial"/>
          <w:color w:val="000000"/>
        </w:rPr>
        <w:t xml:space="preserve"> </w:t>
      </w:r>
      <w:r w:rsidRPr="00B45937">
        <w:rPr>
          <w:rFonts w:ascii="Arial" w:hAnsi="Arial" w:cs="Arial"/>
          <w:color w:val="000000"/>
        </w:rPr>
        <w:t>(Accessed: 9 August 2026).</w:t>
      </w:r>
    </w:p>
    <w:p w14:paraId="70DA53A8"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02C8513E" w14:textId="77777777" w:rsidR="00FB7382" w:rsidRPr="00B45937" w:rsidRDefault="00FB7382" w:rsidP="00FB7382">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TelecomTV</w:t>
      </w:r>
      <w:proofErr w:type="spellEnd"/>
      <w:r w:rsidRPr="00B45937">
        <w:rPr>
          <w:rFonts w:ascii="Arial" w:hAnsi="Arial" w:cs="Arial"/>
          <w:color w:val="000000"/>
        </w:rPr>
        <w:t xml:space="preserve"> (2026) 'Vodafone to take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Access Evolution', </w:t>
      </w:r>
      <w:proofErr w:type="spellStart"/>
      <w:r w:rsidRPr="00B45937">
        <w:rPr>
          <w:rFonts w:ascii="Arial" w:hAnsi="Arial" w:cs="Arial"/>
          <w:color w:val="000000"/>
        </w:rPr>
        <w:t>TelecomTV</w:t>
      </w:r>
      <w:proofErr w:type="spellEnd"/>
      <w:r w:rsidRPr="00B45937">
        <w:rPr>
          <w:rFonts w:ascii="Arial" w:hAnsi="Arial" w:cs="Arial"/>
          <w:color w:val="000000"/>
        </w:rPr>
        <w:t xml:space="preserve">, 5 May. Available at: </w:t>
      </w:r>
      <w:hyperlink r:id="rId18" w:history="1">
        <w:r w:rsidRPr="009D7A08">
          <w:rPr>
            <w:rStyle w:val="Hyperlink"/>
            <w:rFonts w:ascii="Arial" w:hAnsi="Arial" w:cs="Arial"/>
          </w:rPr>
          <w:t>https://www.telecomtv.com/content/access-evolution/vodafone-to-take-full-ownership-of-vodafonethree-55408/</w:t>
        </w:r>
      </w:hyperlink>
      <w:r>
        <w:rPr>
          <w:rFonts w:ascii="Arial" w:hAnsi="Arial" w:cs="Arial"/>
          <w:color w:val="000000"/>
        </w:rPr>
        <w:t xml:space="preserve"> </w:t>
      </w:r>
      <w:r w:rsidRPr="00B45937">
        <w:rPr>
          <w:rFonts w:ascii="Arial" w:hAnsi="Arial" w:cs="Arial"/>
          <w:color w:val="000000"/>
        </w:rPr>
        <w:t>(Accessed: 9 August 2026).</w:t>
      </w:r>
    </w:p>
    <w:p w14:paraId="59E158B7"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3515503B" w14:textId="7AA21F01"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Verdict (2026) 'Vodafone set for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in $5.8bn deal', Verdict, 6 May. Available at: </w:t>
      </w:r>
      <w:hyperlink r:id="rId19" w:history="1">
        <w:r w:rsidRPr="009D7A08">
          <w:rPr>
            <w:rStyle w:val="Hyperlink"/>
            <w:rFonts w:ascii="Arial" w:hAnsi="Arial" w:cs="Arial"/>
          </w:rPr>
          <w:t>https://www.verdict</w:t>
        </w:r>
        <w:r w:rsidRPr="009D7A08">
          <w:rPr>
            <w:rStyle w:val="Hyperlink"/>
            <w:rFonts w:ascii="Arial" w:hAnsi="Arial" w:cs="Arial"/>
          </w:rPr>
          <w:t>.</w:t>
        </w:r>
        <w:r w:rsidRPr="009D7A08">
          <w:rPr>
            <w:rStyle w:val="Hyperlink"/>
            <w:rFonts w:ascii="Arial" w:hAnsi="Arial" w:cs="Arial"/>
          </w:rPr>
          <w:t>co.uk/vodafone-takeover-vodafonethree/</w:t>
        </w:r>
      </w:hyperlink>
      <w:r>
        <w:rPr>
          <w:rFonts w:ascii="Arial" w:hAnsi="Arial" w:cs="Arial"/>
          <w:color w:val="000000"/>
        </w:rPr>
        <w:t xml:space="preserve"> </w:t>
      </w:r>
      <w:r w:rsidRPr="00B45937">
        <w:rPr>
          <w:rFonts w:ascii="Arial" w:hAnsi="Arial" w:cs="Arial"/>
          <w:color w:val="000000"/>
        </w:rPr>
        <w:t xml:space="preserve">(Accessed: </w:t>
      </w:r>
      <w:r w:rsidR="00DB7B26">
        <w:rPr>
          <w:rFonts w:ascii="Arial" w:hAnsi="Arial" w:cs="Arial"/>
          <w:color w:val="000000"/>
        </w:rPr>
        <w:t>30</w:t>
      </w:r>
      <w:r w:rsidRPr="00B45937">
        <w:rPr>
          <w:rFonts w:ascii="Arial" w:hAnsi="Arial" w:cs="Arial"/>
          <w:color w:val="000000"/>
        </w:rPr>
        <w:t xml:space="preserve"> </w:t>
      </w:r>
      <w:r w:rsidR="00DB7B26">
        <w:rPr>
          <w:rFonts w:ascii="Arial" w:hAnsi="Arial" w:cs="Arial"/>
          <w:color w:val="000000"/>
        </w:rPr>
        <w:t>July</w:t>
      </w:r>
      <w:r w:rsidRPr="00B45937">
        <w:rPr>
          <w:rFonts w:ascii="Arial" w:hAnsi="Arial" w:cs="Arial"/>
          <w:color w:val="000000"/>
        </w:rPr>
        <w:t xml:space="preserve"> 2026).</w:t>
      </w:r>
    </w:p>
    <w:p w14:paraId="0DB3B98F"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42E2596C"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(2025a) Completion of Vodafone and Three Merger in the UK. Available at: </w:t>
      </w:r>
      <w:hyperlink r:id="rId20" w:history="1">
        <w:r w:rsidRPr="009D7A08">
          <w:rPr>
            <w:rStyle w:val="Hyperlink"/>
            <w:rFonts w:ascii="Arial" w:hAnsi="Arial" w:cs="Arial"/>
          </w:rPr>
          <w:t>https://www.vodafone.com/news/newsroom/corporate-and-financial/completion-of-vodafone-and-three-merger-in-the-uk</w:t>
        </w:r>
      </w:hyperlink>
      <w:r>
        <w:rPr>
          <w:rFonts w:ascii="Arial" w:hAnsi="Arial" w:cs="Arial"/>
          <w:color w:val="000000"/>
        </w:rPr>
        <w:t xml:space="preserve"> </w:t>
      </w:r>
      <w:r w:rsidRPr="00B45937">
        <w:rPr>
          <w:rFonts w:ascii="Arial" w:hAnsi="Arial" w:cs="Arial"/>
          <w:color w:val="000000"/>
        </w:rPr>
        <w:t>(Accessed: 9 August 2026).</w:t>
      </w:r>
    </w:p>
    <w:p w14:paraId="008D601A"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4AAC6D15" w14:textId="3772F112"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(2025b) FY25 Preliminary Results Announcement, 20 May 2025. Available at: </w:t>
      </w:r>
      <w:hyperlink r:id="rId21" w:history="1">
        <w:r w:rsidRPr="009D7A08">
          <w:rPr>
            <w:rStyle w:val="Hyperlink"/>
            <w:rFonts w:ascii="Arial" w:hAnsi="Arial" w:cs="Arial"/>
          </w:rPr>
          <w:t>https://investors.vodafone.com/~/media/Files/V/Vodafone-IR/documents/performance/financial-results/2025/vodafone-fy25-results-announcement.pdf</w:t>
        </w:r>
      </w:hyperlink>
      <w:r>
        <w:rPr>
          <w:rFonts w:ascii="Arial" w:hAnsi="Arial" w:cs="Arial"/>
          <w:color w:val="000000"/>
        </w:rPr>
        <w:t xml:space="preserve"> </w:t>
      </w:r>
      <w:r w:rsidRPr="00B45937">
        <w:rPr>
          <w:rFonts w:ascii="Arial" w:hAnsi="Arial" w:cs="Arial"/>
          <w:color w:val="000000"/>
        </w:rPr>
        <w:t xml:space="preserve">(Accessed: </w:t>
      </w:r>
      <w:r w:rsidR="00B108B9">
        <w:rPr>
          <w:rFonts w:ascii="Arial" w:hAnsi="Arial" w:cs="Arial"/>
          <w:color w:val="000000"/>
        </w:rPr>
        <w:t>31</w:t>
      </w:r>
      <w:r w:rsidRPr="00B45937">
        <w:rPr>
          <w:rFonts w:ascii="Arial" w:hAnsi="Arial" w:cs="Arial"/>
          <w:color w:val="000000"/>
        </w:rPr>
        <w:t xml:space="preserve"> </w:t>
      </w:r>
      <w:r w:rsidR="00B108B9">
        <w:rPr>
          <w:rFonts w:ascii="Arial" w:hAnsi="Arial" w:cs="Arial"/>
          <w:color w:val="000000"/>
        </w:rPr>
        <w:t>July</w:t>
      </w:r>
      <w:r w:rsidRPr="00B45937">
        <w:rPr>
          <w:rFonts w:ascii="Arial" w:hAnsi="Arial" w:cs="Arial"/>
          <w:color w:val="000000"/>
        </w:rPr>
        <w:t xml:space="preserve"> 2026).</w:t>
      </w:r>
    </w:p>
    <w:p w14:paraId="53E19BD7"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11246AEA" w14:textId="77777777"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(2026a) Vodafone to Take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Available at: </w:t>
      </w:r>
      <w:hyperlink r:id="rId22" w:history="1">
        <w:r w:rsidRPr="009D7A08">
          <w:rPr>
            <w:rStyle w:val="Hyperlink"/>
            <w:rFonts w:ascii="Arial" w:hAnsi="Arial" w:cs="Arial"/>
          </w:rPr>
          <w:t>https://www.vodafone.com/news/newsroom/corporate-and-financial/vodafone-to-take-full-ownership-of-vodafone-three</w:t>
        </w:r>
      </w:hyperlink>
      <w:r>
        <w:rPr>
          <w:rFonts w:ascii="Arial" w:hAnsi="Arial" w:cs="Arial"/>
          <w:color w:val="000000"/>
        </w:rPr>
        <w:t xml:space="preserve"> </w:t>
      </w:r>
      <w:r w:rsidRPr="00B45937">
        <w:rPr>
          <w:rFonts w:ascii="Arial" w:hAnsi="Arial" w:cs="Arial"/>
          <w:color w:val="000000"/>
        </w:rPr>
        <w:t>(Accessed: 9 August 2026).</w:t>
      </w:r>
    </w:p>
    <w:p w14:paraId="3D264463"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001A5858" w14:textId="35D9B855" w:rsidR="00FB7382" w:rsidRPr="00B45937" w:rsidRDefault="00FB7382" w:rsidP="00FB7382">
      <w:pPr>
        <w:autoSpaceDE w:val="0"/>
        <w:autoSpaceDN w:val="0"/>
        <w:adjustRightInd w:val="0"/>
        <w:spacing w:line="360" w:lineRule="auto"/>
        <w:jc w:val="both"/>
        <w:rPr>
          <w:rFonts w:ascii="Arial" w:hAnsi="Arial" w:cs="Arial"/>
          <w:color w:val="000000"/>
        </w:rPr>
      </w:pPr>
      <w:r w:rsidRPr="00B45937">
        <w:rPr>
          <w:rFonts w:ascii="Arial" w:hAnsi="Arial" w:cs="Arial"/>
          <w:color w:val="000000"/>
        </w:rPr>
        <w:t xml:space="preserve">Vodafone Group Plc (2026b) 2026 Annual Report. Available at: </w:t>
      </w:r>
      <w:hyperlink r:id="rId23" w:history="1">
        <w:r w:rsidRPr="009D7A08">
          <w:rPr>
            <w:rStyle w:val="Hyperlink"/>
            <w:rFonts w:ascii="Arial" w:hAnsi="Arial" w:cs="Arial"/>
          </w:rPr>
          <w:t>https://reports.investors.vodafone.com/view/500231330</w:t>
        </w:r>
      </w:hyperlink>
      <w:r>
        <w:rPr>
          <w:rFonts w:ascii="Arial" w:hAnsi="Arial" w:cs="Arial"/>
          <w:color w:val="000000"/>
        </w:rPr>
        <w:t xml:space="preserve"> </w:t>
      </w:r>
      <w:r w:rsidRPr="00B45937">
        <w:rPr>
          <w:rFonts w:ascii="Arial" w:hAnsi="Arial" w:cs="Arial"/>
          <w:color w:val="000000"/>
        </w:rPr>
        <w:t xml:space="preserve">(Accessed: </w:t>
      </w:r>
      <w:r w:rsidR="00B108B9">
        <w:rPr>
          <w:rFonts w:ascii="Arial" w:hAnsi="Arial" w:cs="Arial"/>
          <w:color w:val="000000"/>
        </w:rPr>
        <w:t>31 July</w:t>
      </w:r>
      <w:r w:rsidRPr="00B45937">
        <w:rPr>
          <w:rFonts w:ascii="Arial" w:hAnsi="Arial" w:cs="Arial"/>
          <w:color w:val="000000"/>
        </w:rPr>
        <w:t xml:space="preserve"> 2026).</w:t>
      </w:r>
    </w:p>
    <w:p w14:paraId="0DBBDB4C" w14:textId="77777777" w:rsidR="00FB7382" w:rsidRPr="00B45937" w:rsidRDefault="00FB7382" w:rsidP="00FB7382">
      <w:pPr>
        <w:autoSpaceDE w:val="0"/>
        <w:autoSpaceDN w:val="0"/>
        <w:adjustRightInd w:val="0"/>
        <w:spacing w:line="360" w:lineRule="auto"/>
        <w:jc w:val="both"/>
        <w:rPr>
          <w:rFonts w:ascii="Arial" w:hAnsi="Arial" w:cs="Arial"/>
          <w:color w:val="000000"/>
        </w:rPr>
      </w:pPr>
    </w:p>
    <w:p w14:paraId="7AD8B658" w14:textId="096ADE15" w:rsidR="00FB7382" w:rsidRPr="00B45937" w:rsidRDefault="00FB7382" w:rsidP="00FB7382">
      <w:pPr>
        <w:autoSpaceDE w:val="0"/>
        <w:autoSpaceDN w:val="0"/>
        <w:adjustRightInd w:val="0"/>
        <w:spacing w:line="360" w:lineRule="auto"/>
        <w:jc w:val="both"/>
        <w:rPr>
          <w:rFonts w:ascii="Arial" w:hAnsi="Arial" w:cs="Arial"/>
          <w:color w:val="000000"/>
        </w:rPr>
      </w:pPr>
      <w:proofErr w:type="spellStart"/>
      <w:r w:rsidRPr="00B45937">
        <w:rPr>
          <w:rFonts w:ascii="Arial" w:hAnsi="Arial" w:cs="Arial"/>
          <w:color w:val="000000"/>
        </w:rPr>
        <w:t>VodafoneThree</w:t>
      </w:r>
      <w:proofErr w:type="spellEnd"/>
      <w:r w:rsidRPr="00B45937">
        <w:rPr>
          <w:rFonts w:ascii="Arial" w:hAnsi="Arial" w:cs="Arial"/>
          <w:color w:val="000000"/>
        </w:rPr>
        <w:t xml:space="preserve"> (2026) Vodafone to Take Full Ownership of </w:t>
      </w:r>
      <w:proofErr w:type="spellStart"/>
      <w:r w:rsidRPr="00B45937">
        <w:rPr>
          <w:rFonts w:ascii="Arial" w:hAnsi="Arial" w:cs="Arial"/>
          <w:color w:val="000000"/>
        </w:rPr>
        <w:t>VodafoneThree</w:t>
      </w:r>
      <w:proofErr w:type="spellEnd"/>
      <w:r w:rsidRPr="00B45937">
        <w:rPr>
          <w:rFonts w:ascii="Arial" w:hAnsi="Arial" w:cs="Arial"/>
          <w:color w:val="000000"/>
        </w:rPr>
        <w:t xml:space="preserve"> - Building the UK's Best Network. Available at: </w:t>
      </w:r>
      <w:hyperlink r:id="rId24" w:history="1">
        <w:r w:rsidRPr="009D7A08">
          <w:rPr>
            <w:rStyle w:val="Hyperlink"/>
            <w:rFonts w:ascii="Arial" w:hAnsi="Arial" w:cs="Arial"/>
          </w:rPr>
          <w:t>https://www.vodafonethree.com/vodafone-to-take-full-ownership-of-vodafonethree/</w:t>
        </w:r>
      </w:hyperlink>
      <w:r>
        <w:rPr>
          <w:rFonts w:ascii="Arial" w:hAnsi="Arial" w:cs="Arial"/>
          <w:color w:val="000000"/>
        </w:rPr>
        <w:t xml:space="preserve"> </w:t>
      </w:r>
      <w:r w:rsidRPr="00B45937">
        <w:rPr>
          <w:rFonts w:ascii="Arial" w:hAnsi="Arial" w:cs="Arial"/>
          <w:color w:val="000000"/>
        </w:rPr>
        <w:t xml:space="preserve">(Accessed: </w:t>
      </w:r>
      <w:r w:rsidR="00B108B9">
        <w:rPr>
          <w:rFonts w:ascii="Arial" w:hAnsi="Arial" w:cs="Arial"/>
          <w:color w:val="000000"/>
        </w:rPr>
        <w:t>3</w:t>
      </w:r>
      <w:r w:rsidRPr="00B45937">
        <w:rPr>
          <w:rFonts w:ascii="Arial" w:hAnsi="Arial" w:cs="Arial"/>
          <w:color w:val="000000"/>
        </w:rPr>
        <w:t xml:space="preserve"> August 2026).</w:t>
      </w:r>
    </w:p>
    <w:p w14:paraId="1CEF65DF" w14:textId="10CE23A5" w:rsidR="00BA2A22" w:rsidRPr="00B45937" w:rsidRDefault="00BA2A22" w:rsidP="00FB7382">
      <w:pPr>
        <w:autoSpaceDE w:val="0"/>
        <w:autoSpaceDN w:val="0"/>
        <w:adjustRightInd w:val="0"/>
        <w:spacing w:line="360" w:lineRule="auto"/>
        <w:jc w:val="both"/>
        <w:rPr>
          <w:rFonts w:ascii="Arial" w:hAnsi="Arial" w:cs="Arial"/>
          <w:color w:val="000000"/>
        </w:rPr>
      </w:pPr>
    </w:p>
    <w:sectPr w:rsidR="00BA2A22" w:rsidRPr="00B45937" w:rsidSect="00E4306E">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91756" w14:textId="77777777" w:rsidR="002645C9" w:rsidRDefault="002645C9" w:rsidP="00904688">
      <w:r>
        <w:separator/>
      </w:r>
    </w:p>
  </w:endnote>
  <w:endnote w:type="continuationSeparator" w:id="0">
    <w:p w14:paraId="34762BAE" w14:textId="77777777" w:rsidR="002645C9" w:rsidRDefault="002645C9"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 w:name="-webkit-standard">
    <w:altName w:val="Cambria"/>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2B9938C3" w:rsidR="00A9697D" w:rsidRDefault="00A9697D">
        <w:pPr>
          <w:pStyle w:val="Rodap"/>
          <w:pBdr>
            <w:top w:val="single" w:sz="4" w:space="1" w:color="D9D9D9" w:themeColor="background1" w:themeShade="D9"/>
          </w:pBdr>
          <w:jc w:val="right"/>
        </w:pPr>
        <w:r>
          <w:fldChar w:fldCharType="begin"/>
        </w:r>
        <w:r>
          <w:instrText xml:space="preserve"> PAGE   \* MERGEFORMAT </w:instrText>
        </w:r>
        <w:r>
          <w:fldChar w:fldCharType="separate"/>
        </w:r>
        <w:r w:rsidR="00E33CFF">
          <w:rPr>
            <w:noProof/>
          </w:rPr>
          <w:t>5</w:t>
        </w:r>
        <w:r>
          <w:rPr>
            <w:noProof/>
          </w:rPr>
          <w:fldChar w:fldCharType="end"/>
        </w:r>
        <w:r>
          <w:t xml:space="preserve"> | </w:t>
        </w:r>
        <w:r>
          <w:rPr>
            <w:color w:val="7F7F7F" w:themeColor="background1" w:themeShade="7F"/>
            <w:spacing w:val="60"/>
          </w:rPr>
          <w:t>Page</w:t>
        </w:r>
      </w:p>
    </w:sdtContent>
  </w:sdt>
  <w:p w14:paraId="36107783" w14:textId="77777777" w:rsidR="00A9697D" w:rsidRDefault="00A9697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ADB79" w14:textId="77777777" w:rsidR="002645C9" w:rsidRDefault="002645C9" w:rsidP="00904688">
      <w:r>
        <w:separator/>
      </w:r>
    </w:p>
  </w:footnote>
  <w:footnote w:type="continuationSeparator" w:id="0">
    <w:p w14:paraId="4F30594B" w14:textId="77777777" w:rsidR="002645C9" w:rsidRDefault="002645C9"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4CE"/>
    <w:multiLevelType w:val="hybridMultilevel"/>
    <w:tmpl w:val="15D29C58"/>
    <w:lvl w:ilvl="0" w:tplc="6A42DB60">
      <w:start w:val="1"/>
      <w:numFmt w:val="bullet"/>
      <w:lvlText w:val="u"/>
      <w:lvlJc w:val="left"/>
      <w:pPr>
        <w:tabs>
          <w:tab w:val="num" w:pos="720"/>
        </w:tabs>
        <w:ind w:left="720" w:hanging="360"/>
      </w:pPr>
      <w:rPr>
        <w:rFonts w:ascii="Wingdings 3" w:hAnsi="Wingdings 3" w:hint="default"/>
      </w:rPr>
    </w:lvl>
    <w:lvl w:ilvl="1" w:tplc="76E6CAD2" w:tentative="1">
      <w:start w:val="1"/>
      <w:numFmt w:val="bullet"/>
      <w:lvlText w:val="u"/>
      <w:lvlJc w:val="left"/>
      <w:pPr>
        <w:tabs>
          <w:tab w:val="num" w:pos="1440"/>
        </w:tabs>
        <w:ind w:left="1440" w:hanging="360"/>
      </w:pPr>
      <w:rPr>
        <w:rFonts w:ascii="Wingdings 3" w:hAnsi="Wingdings 3" w:hint="default"/>
      </w:rPr>
    </w:lvl>
    <w:lvl w:ilvl="2" w:tplc="4EB29BA8" w:tentative="1">
      <w:start w:val="1"/>
      <w:numFmt w:val="bullet"/>
      <w:lvlText w:val="u"/>
      <w:lvlJc w:val="left"/>
      <w:pPr>
        <w:tabs>
          <w:tab w:val="num" w:pos="2160"/>
        </w:tabs>
        <w:ind w:left="2160" w:hanging="360"/>
      </w:pPr>
      <w:rPr>
        <w:rFonts w:ascii="Wingdings 3" w:hAnsi="Wingdings 3" w:hint="default"/>
      </w:rPr>
    </w:lvl>
    <w:lvl w:ilvl="3" w:tplc="FB0CBD60" w:tentative="1">
      <w:start w:val="1"/>
      <w:numFmt w:val="bullet"/>
      <w:lvlText w:val="u"/>
      <w:lvlJc w:val="left"/>
      <w:pPr>
        <w:tabs>
          <w:tab w:val="num" w:pos="2880"/>
        </w:tabs>
        <w:ind w:left="2880" w:hanging="360"/>
      </w:pPr>
      <w:rPr>
        <w:rFonts w:ascii="Wingdings 3" w:hAnsi="Wingdings 3" w:hint="default"/>
      </w:rPr>
    </w:lvl>
    <w:lvl w:ilvl="4" w:tplc="852EDEF8" w:tentative="1">
      <w:start w:val="1"/>
      <w:numFmt w:val="bullet"/>
      <w:lvlText w:val="u"/>
      <w:lvlJc w:val="left"/>
      <w:pPr>
        <w:tabs>
          <w:tab w:val="num" w:pos="3600"/>
        </w:tabs>
        <w:ind w:left="3600" w:hanging="360"/>
      </w:pPr>
      <w:rPr>
        <w:rFonts w:ascii="Wingdings 3" w:hAnsi="Wingdings 3" w:hint="default"/>
      </w:rPr>
    </w:lvl>
    <w:lvl w:ilvl="5" w:tplc="8D428ECE" w:tentative="1">
      <w:start w:val="1"/>
      <w:numFmt w:val="bullet"/>
      <w:lvlText w:val="u"/>
      <w:lvlJc w:val="left"/>
      <w:pPr>
        <w:tabs>
          <w:tab w:val="num" w:pos="4320"/>
        </w:tabs>
        <w:ind w:left="4320" w:hanging="360"/>
      </w:pPr>
      <w:rPr>
        <w:rFonts w:ascii="Wingdings 3" w:hAnsi="Wingdings 3" w:hint="default"/>
      </w:rPr>
    </w:lvl>
    <w:lvl w:ilvl="6" w:tplc="E56E3498" w:tentative="1">
      <w:start w:val="1"/>
      <w:numFmt w:val="bullet"/>
      <w:lvlText w:val="u"/>
      <w:lvlJc w:val="left"/>
      <w:pPr>
        <w:tabs>
          <w:tab w:val="num" w:pos="5040"/>
        </w:tabs>
        <w:ind w:left="5040" w:hanging="360"/>
      </w:pPr>
      <w:rPr>
        <w:rFonts w:ascii="Wingdings 3" w:hAnsi="Wingdings 3" w:hint="default"/>
      </w:rPr>
    </w:lvl>
    <w:lvl w:ilvl="7" w:tplc="2496E06C" w:tentative="1">
      <w:start w:val="1"/>
      <w:numFmt w:val="bullet"/>
      <w:lvlText w:val="u"/>
      <w:lvlJc w:val="left"/>
      <w:pPr>
        <w:tabs>
          <w:tab w:val="num" w:pos="5760"/>
        </w:tabs>
        <w:ind w:left="5760" w:hanging="360"/>
      </w:pPr>
      <w:rPr>
        <w:rFonts w:ascii="Wingdings 3" w:hAnsi="Wingdings 3" w:hint="default"/>
      </w:rPr>
    </w:lvl>
    <w:lvl w:ilvl="8" w:tplc="320C7CC8"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7C05091"/>
    <w:multiLevelType w:val="hybridMultilevel"/>
    <w:tmpl w:val="2A32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E252D63"/>
    <w:multiLevelType w:val="hybridMultilevel"/>
    <w:tmpl w:val="29B4408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27384175">
    <w:abstractNumId w:val="1"/>
  </w:num>
  <w:num w:numId="2" w16cid:durableId="867066223">
    <w:abstractNumId w:val="0"/>
  </w:num>
  <w:num w:numId="3" w16cid:durableId="65850802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00612"/>
    <w:rsid w:val="00011ADD"/>
    <w:rsid w:val="00022E3E"/>
    <w:rsid w:val="000257FF"/>
    <w:rsid w:val="00032E38"/>
    <w:rsid w:val="000343A2"/>
    <w:rsid w:val="000378CE"/>
    <w:rsid w:val="00070E9B"/>
    <w:rsid w:val="00072390"/>
    <w:rsid w:val="00094666"/>
    <w:rsid w:val="000C5AFE"/>
    <w:rsid w:val="000E675F"/>
    <w:rsid w:val="000E6DAC"/>
    <w:rsid w:val="000F146D"/>
    <w:rsid w:val="00107E91"/>
    <w:rsid w:val="00111143"/>
    <w:rsid w:val="00127ED5"/>
    <w:rsid w:val="00131DDC"/>
    <w:rsid w:val="00140A33"/>
    <w:rsid w:val="00142707"/>
    <w:rsid w:val="001460DD"/>
    <w:rsid w:val="00150DF9"/>
    <w:rsid w:val="00171D72"/>
    <w:rsid w:val="00172E36"/>
    <w:rsid w:val="00175CC5"/>
    <w:rsid w:val="00192C89"/>
    <w:rsid w:val="001C269C"/>
    <w:rsid w:val="001C2708"/>
    <w:rsid w:val="001C65B2"/>
    <w:rsid w:val="001D75C4"/>
    <w:rsid w:val="001E694E"/>
    <w:rsid w:val="002141E8"/>
    <w:rsid w:val="0021579B"/>
    <w:rsid w:val="002314D1"/>
    <w:rsid w:val="002515F0"/>
    <w:rsid w:val="00255882"/>
    <w:rsid w:val="00264473"/>
    <w:rsid w:val="002645C9"/>
    <w:rsid w:val="00264BF3"/>
    <w:rsid w:val="00265F60"/>
    <w:rsid w:val="00295799"/>
    <w:rsid w:val="002A6197"/>
    <w:rsid w:val="002B0E9E"/>
    <w:rsid w:val="002B3ECC"/>
    <w:rsid w:val="002B6447"/>
    <w:rsid w:val="002B7D60"/>
    <w:rsid w:val="002E380B"/>
    <w:rsid w:val="002E3CCA"/>
    <w:rsid w:val="002F651E"/>
    <w:rsid w:val="00300575"/>
    <w:rsid w:val="00304B75"/>
    <w:rsid w:val="00317AD2"/>
    <w:rsid w:val="00324A54"/>
    <w:rsid w:val="003323B6"/>
    <w:rsid w:val="003342C0"/>
    <w:rsid w:val="00342A49"/>
    <w:rsid w:val="00353BA9"/>
    <w:rsid w:val="00355F04"/>
    <w:rsid w:val="00356578"/>
    <w:rsid w:val="0036728D"/>
    <w:rsid w:val="003717E0"/>
    <w:rsid w:val="00373188"/>
    <w:rsid w:val="003744C8"/>
    <w:rsid w:val="003A731C"/>
    <w:rsid w:val="003E419D"/>
    <w:rsid w:val="004278F1"/>
    <w:rsid w:val="0046780A"/>
    <w:rsid w:val="00475097"/>
    <w:rsid w:val="00483A6C"/>
    <w:rsid w:val="00490756"/>
    <w:rsid w:val="00491BC3"/>
    <w:rsid w:val="00496209"/>
    <w:rsid w:val="004B3A79"/>
    <w:rsid w:val="004C319F"/>
    <w:rsid w:val="004E3752"/>
    <w:rsid w:val="004F17AB"/>
    <w:rsid w:val="00502B0C"/>
    <w:rsid w:val="00503CD1"/>
    <w:rsid w:val="0050733E"/>
    <w:rsid w:val="005213D2"/>
    <w:rsid w:val="0053593C"/>
    <w:rsid w:val="00552DFA"/>
    <w:rsid w:val="00552F80"/>
    <w:rsid w:val="00561003"/>
    <w:rsid w:val="005765C8"/>
    <w:rsid w:val="005A144F"/>
    <w:rsid w:val="005A7E5B"/>
    <w:rsid w:val="005B779F"/>
    <w:rsid w:val="005C332D"/>
    <w:rsid w:val="005F6836"/>
    <w:rsid w:val="006019D9"/>
    <w:rsid w:val="0061525C"/>
    <w:rsid w:val="00640B87"/>
    <w:rsid w:val="00653323"/>
    <w:rsid w:val="00667D77"/>
    <w:rsid w:val="006912F7"/>
    <w:rsid w:val="0069230C"/>
    <w:rsid w:val="006B7D3D"/>
    <w:rsid w:val="006D3CF7"/>
    <w:rsid w:val="006D78F4"/>
    <w:rsid w:val="006F113F"/>
    <w:rsid w:val="00701CD7"/>
    <w:rsid w:val="007110E7"/>
    <w:rsid w:val="00711C74"/>
    <w:rsid w:val="00717CDA"/>
    <w:rsid w:val="00722572"/>
    <w:rsid w:val="0073484C"/>
    <w:rsid w:val="00735E77"/>
    <w:rsid w:val="00736CEA"/>
    <w:rsid w:val="00741099"/>
    <w:rsid w:val="007466A3"/>
    <w:rsid w:val="00747FD5"/>
    <w:rsid w:val="00753D23"/>
    <w:rsid w:val="0075517B"/>
    <w:rsid w:val="007758FD"/>
    <w:rsid w:val="00780490"/>
    <w:rsid w:val="00793C84"/>
    <w:rsid w:val="00796ED3"/>
    <w:rsid w:val="007A69D7"/>
    <w:rsid w:val="007C1FE1"/>
    <w:rsid w:val="007D536B"/>
    <w:rsid w:val="007D5CF1"/>
    <w:rsid w:val="007E4058"/>
    <w:rsid w:val="00811D12"/>
    <w:rsid w:val="00840532"/>
    <w:rsid w:val="00843D29"/>
    <w:rsid w:val="00852FF1"/>
    <w:rsid w:val="008836E2"/>
    <w:rsid w:val="008A4217"/>
    <w:rsid w:val="008E105D"/>
    <w:rsid w:val="008E7701"/>
    <w:rsid w:val="008F365B"/>
    <w:rsid w:val="00904688"/>
    <w:rsid w:val="00910481"/>
    <w:rsid w:val="009114C5"/>
    <w:rsid w:val="009130C0"/>
    <w:rsid w:val="00934751"/>
    <w:rsid w:val="00964347"/>
    <w:rsid w:val="0096798A"/>
    <w:rsid w:val="009745EB"/>
    <w:rsid w:val="009C3866"/>
    <w:rsid w:val="009C54F9"/>
    <w:rsid w:val="009D3174"/>
    <w:rsid w:val="009E09C8"/>
    <w:rsid w:val="009E627E"/>
    <w:rsid w:val="009F161B"/>
    <w:rsid w:val="009F2F30"/>
    <w:rsid w:val="009F5062"/>
    <w:rsid w:val="00A021EF"/>
    <w:rsid w:val="00A07084"/>
    <w:rsid w:val="00A14C5D"/>
    <w:rsid w:val="00A165A2"/>
    <w:rsid w:val="00A2495C"/>
    <w:rsid w:val="00A257D3"/>
    <w:rsid w:val="00A420F8"/>
    <w:rsid w:val="00A44D4F"/>
    <w:rsid w:val="00A53933"/>
    <w:rsid w:val="00A62AE9"/>
    <w:rsid w:val="00A66EEB"/>
    <w:rsid w:val="00A7589C"/>
    <w:rsid w:val="00A75CB3"/>
    <w:rsid w:val="00A86519"/>
    <w:rsid w:val="00A90C9B"/>
    <w:rsid w:val="00A9697D"/>
    <w:rsid w:val="00AA2FC7"/>
    <w:rsid w:val="00AB3D5E"/>
    <w:rsid w:val="00AD04A3"/>
    <w:rsid w:val="00AE19A7"/>
    <w:rsid w:val="00AE5852"/>
    <w:rsid w:val="00AE676A"/>
    <w:rsid w:val="00AE7B41"/>
    <w:rsid w:val="00B108B9"/>
    <w:rsid w:val="00B17E79"/>
    <w:rsid w:val="00B25F16"/>
    <w:rsid w:val="00B322B4"/>
    <w:rsid w:val="00B3404C"/>
    <w:rsid w:val="00B45937"/>
    <w:rsid w:val="00B47CE2"/>
    <w:rsid w:val="00B5375D"/>
    <w:rsid w:val="00B55F0A"/>
    <w:rsid w:val="00B61EAB"/>
    <w:rsid w:val="00B748A7"/>
    <w:rsid w:val="00B74D01"/>
    <w:rsid w:val="00B8558B"/>
    <w:rsid w:val="00B85A0D"/>
    <w:rsid w:val="00B93841"/>
    <w:rsid w:val="00BA2A22"/>
    <w:rsid w:val="00BB7D8C"/>
    <w:rsid w:val="00BC5AD4"/>
    <w:rsid w:val="00BC5B73"/>
    <w:rsid w:val="00BC68E9"/>
    <w:rsid w:val="00BC7F80"/>
    <w:rsid w:val="00BD4194"/>
    <w:rsid w:val="00BE0469"/>
    <w:rsid w:val="00BE568C"/>
    <w:rsid w:val="00BF40A1"/>
    <w:rsid w:val="00C00860"/>
    <w:rsid w:val="00C0103B"/>
    <w:rsid w:val="00C16CE0"/>
    <w:rsid w:val="00C24515"/>
    <w:rsid w:val="00C279D1"/>
    <w:rsid w:val="00C503C5"/>
    <w:rsid w:val="00C516D4"/>
    <w:rsid w:val="00C70738"/>
    <w:rsid w:val="00CB3E5A"/>
    <w:rsid w:val="00CB5D9E"/>
    <w:rsid w:val="00CC7BE1"/>
    <w:rsid w:val="00CD0047"/>
    <w:rsid w:val="00CD24BB"/>
    <w:rsid w:val="00CF2729"/>
    <w:rsid w:val="00D02D2D"/>
    <w:rsid w:val="00D04DD2"/>
    <w:rsid w:val="00D06764"/>
    <w:rsid w:val="00D166E1"/>
    <w:rsid w:val="00D1671E"/>
    <w:rsid w:val="00D4545B"/>
    <w:rsid w:val="00D7576D"/>
    <w:rsid w:val="00D82F48"/>
    <w:rsid w:val="00DA7FBE"/>
    <w:rsid w:val="00DB7B26"/>
    <w:rsid w:val="00DC71AC"/>
    <w:rsid w:val="00DF1C5A"/>
    <w:rsid w:val="00DF2244"/>
    <w:rsid w:val="00E027D6"/>
    <w:rsid w:val="00E04BBF"/>
    <w:rsid w:val="00E0775B"/>
    <w:rsid w:val="00E1473F"/>
    <w:rsid w:val="00E245F9"/>
    <w:rsid w:val="00E2668F"/>
    <w:rsid w:val="00E33CFF"/>
    <w:rsid w:val="00E374B2"/>
    <w:rsid w:val="00E4306E"/>
    <w:rsid w:val="00E603B9"/>
    <w:rsid w:val="00E64A2F"/>
    <w:rsid w:val="00E72F6E"/>
    <w:rsid w:val="00E808EC"/>
    <w:rsid w:val="00EA1470"/>
    <w:rsid w:val="00ED3850"/>
    <w:rsid w:val="00EE3105"/>
    <w:rsid w:val="00EE4FB4"/>
    <w:rsid w:val="00EF4A72"/>
    <w:rsid w:val="00F007A6"/>
    <w:rsid w:val="00F05556"/>
    <w:rsid w:val="00F114BD"/>
    <w:rsid w:val="00F2576A"/>
    <w:rsid w:val="00F37814"/>
    <w:rsid w:val="00F50940"/>
    <w:rsid w:val="00F53214"/>
    <w:rsid w:val="00F60297"/>
    <w:rsid w:val="00F637A5"/>
    <w:rsid w:val="00F705E3"/>
    <w:rsid w:val="00F8154D"/>
    <w:rsid w:val="00F857D7"/>
    <w:rsid w:val="00F93DDE"/>
    <w:rsid w:val="00F94589"/>
    <w:rsid w:val="00F95D1D"/>
    <w:rsid w:val="00FA20C9"/>
    <w:rsid w:val="00FB7382"/>
    <w:rsid w:val="00FD7091"/>
    <w:rsid w:val="00FF2E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8F4"/>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Ttulo3">
    <w:name w:val="heading 3"/>
    <w:basedOn w:val="Normal"/>
    <w:next w:val="Normal"/>
    <w:link w:val="Ttulo3Char"/>
    <w:uiPriority w:val="9"/>
    <w:unhideWhenUsed/>
    <w:qFormat/>
    <w:rsid w:val="00E64A2F"/>
    <w:pPr>
      <w:keepNext/>
      <w:keepLines/>
      <w:spacing w:before="40"/>
      <w:outlineLvl w:val="2"/>
    </w:pPr>
    <w:rPr>
      <w:rFonts w:eastAsiaTheme="majorEastAsia" w:cstheme="majorBidi"/>
      <w:b/>
      <w:color w:val="385623" w:themeColor="accent6" w:themeShade="80"/>
      <w:sz w:val="28"/>
    </w:rPr>
  </w:style>
  <w:style w:type="paragraph" w:styleId="Ttulo4">
    <w:name w:val="heading 4"/>
    <w:basedOn w:val="Normal"/>
    <w:next w:val="Normal"/>
    <w:link w:val="Ttulo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A3"/>
    <w:rPr>
      <w:rFonts w:ascii="Arial" w:eastAsiaTheme="majorEastAsia" w:hAnsi="Arial" w:cstheme="majorBidi"/>
      <w:b/>
      <w:color w:val="2F5496" w:themeColor="accent1" w:themeShade="BF"/>
      <w:sz w:val="28"/>
      <w:szCs w:val="32"/>
    </w:rPr>
  </w:style>
  <w:style w:type="table" w:styleId="Tabelacomgrade">
    <w:name w:val="Table Grid"/>
    <w:basedOn w:val="Tabela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4B3A79"/>
    <w:pPr>
      <w:outlineLvl w:val="9"/>
    </w:pPr>
    <w:rPr>
      <w:lang w:val="en-US" w:eastAsia="en-US"/>
    </w:rPr>
  </w:style>
  <w:style w:type="paragraph" w:styleId="Sumrio1">
    <w:name w:val="toc 1"/>
    <w:basedOn w:val="Normal"/>
    <w:next w:val="Normal"/>
    <w:autoRedefine/>
    <w:uiPriority w:val="39"/>
    <w:unhideWhenUsed/>
    <w:rsid w:val="004B3A79"/>
    <w:pPr>
      <w:spacing w:before="120"/>
    </w:pPr>
    <w:rPr>
      <w:rFonts w:asciiTheme="minorHAnsi" w:hAnsiTheme="minorHAnsi" w:cstheme="minorHAnsi"/>
      <w:b/>
      <w:bCs/>
      <w:i/>
      <w:iCs/>
    </w:rPr>
  </w:style>
  <w:style w:type="character" w:styleId="Hyperlink">
    <w:name w:val="Hyperlink"/>
    <w:basedOn w:val="Fontepargpadro"/>
    <w:uiPriority w:val="99"/>
    <w:unhideWhenUsed/>
    <w:rsid w:val="004B3A79"/>
    <w:rPr>
      <w:color w:val="0563C1" w:themeColor="hyperlink"/>
      <w:u w:val="single"/>
    </w:rPr>
  </w:style>
  <w:style w:type="character" w:customStyle="1" w:styleId="Ttulo2Char">
    <w:name w:val="Título 2 Char"/>
    <w:basedOn w:val="Fontepargpadro"/>
    <w:link w:val="Ttulo2"/>
    <w:uiPriority w:val="9"/>
    <w:rsid w:val="00AD04A3"/>
    <w:rPr>
      <w:rFonts w:ascii="Arial" w:eastAsiaTheme="majorEastAsia" w:hAnsi="Arial" w:cstheme="majorBidi"/>
      <w:b/>
      <w:color w:val="833C0B" w:themeColor="accent2" w:themeShade="80"/>
      <w:sz w:val="28"/>
      <w:szCs w:val="26"/>
    </w:rPr>
  </w:style>
  <w:style w:type="character" w:customStyle="1" w:styleId="Ttulo3Char">
    <w:name w:val="Título 3 Char"/>
    <w:basedOn w:val="Fontepargpadro"/>
    <w:link w:val="Ttulo3"/>
    <w:uiPriority w:val="9"/>
    <w:rsid w:val="00E64A2F"/>
    <w:rPr>
      <w:rFonts w:ascii="Times New Roman" w:eastAsiaTheme="majorEastAsia" w:hAnsi="Times New Roman" w:cstheme="majorBidi"/>
      <w:b/>
      <w:color w:val="385623" w:themeColor="accent6" w:themeShade="80"/>
      <w:sz w:val="28"/>
      <w:szCs w:val="24"/>
      <w:lang w:eastAsia="en-GB"/>
    </w:rPr>
  </w:style>
  <w:style w:type="paragraph" w:styleId="Cabealho">
    <w:name w:val="header"/>
    <w:basedOn w:val="Normal"/>
    <w:link w:val="CabealhoChar"/>
    <w:uiPriority w:val="99"/>
    <w:unhideWhenUsed/>
    <w:rsid w:val="00904688"/>
    <w:pPr>
      <w:tabs>
        <w:tab w:val="center" w:pos="4513"/>
        <w:tab w:val="right" w:pos="9026"/>
      </w:tabs>
    </w:pPr>
  </w:style>
  <w:style w:type="character" w:customStyle="1" w:styleId="CabealhoChar">
    <w:name w:val="Cabeçalho Char"/>
    <w:basedOn w:val="Fontepargpadro"/>
    <w:link w:val="Cabealho"/>
    <w:uiPriority w:val="99"/>
    <w:rsid w:val="00904688"/>
    <w:rPr>
      <w:rFonts w:ascii="Arial" w:hAnsi="Arial"/>
    </w:rPr>
  </w:style>
  <w:style w:type="paragraph" w:styleId="Rodap">
    <w:name w:val="footer"/>
    <w:basedOn w:val="Normal"/>
    <w:link w:val="RodapChar"/>
    <w:uiPriority w:val="99"/>
    <w:unhideWhenUsed/>
    <w:rsid w:val="00904688"/>
    <w:pPr>
      <w:tabs>
        <w:tab w:val="center" w:pos="4513"/>
        <w:tab w:val="right" w:pos="9026"/>
      </w:tabs>
    </w:pPr>
  </w:style>
  <w:style w:type="character" w:customStyle="1" w:styleId="RodapChar">
    <w:name w:val="Rodapé Char"/>
    <w:basedOn w:val="Fontepargpadro"/>
    <w:link w:val="Rodap"/>
    <w:uiPriority w:val="99"/>
    <w:rsid w:val="00904688"/>
    <w:rPr>
      <w:rFonts w:ascii="Arial" w:hAnsi="Arial"/>
    </w:rPr>
  </w:style>
  <w:style w:type="paragraph" w:styleId="Sumrio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Sumrio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SemEspaamento">
    <w:name w:val="No Spacing"/>
    <w:link w:val="SemEspaamentoChar"/>
    <w:uiPriority w:val="1"/>
    <w:qFormat/>
    <w:rsid w:val="00F53214"/>
    <w:pPr>
      <w:spacing w:after="0" w:line="240" w:lineRule="auto"/>
    </w:pPr>
    <w:rPr>
      <w:rFonts w:ascii="Arial" w:hAnsi="Arial"/>
    </w:rPr>
  </w:style>
  <w:style w:type="paragraph" w:styleId="PargrafodaLista">
    <w:name w:val="List Paragraph"/>
    <w:basedOn w:val="Normal"/>
    <w:uiPriority w:val="34"/>
    <w:qFormat/>
    <w:rsid w:val="00A86519"/>
    <w:pPr>
      <w:ind w:left="720"/>
      <w:contextualSpacing/>
    </w:pPr>
  </w:style>
  <w:style w:type="paragraph" w:styleId="Reviso">
    <w:name w:val="Revision"/>
    <w:hidden/>
    <w:uiPriority w:val="99"/>
    <w:semiHidden/>
    <w:rsid w:val="00AA2FC7"/>
    <w:pPr>
      <w:spacing w:after="0" w:line="240" w:lineRule="auto"/>
    </w:pPr>
    <w:rPr>
      <w:rFonts w:ascii="Arial" w:hAnsi="Arial"/>
    </w:rPr>
  </w:style>
  <w:style w:type="paragraph" w:styleId="Sumrio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Ttulo4Char">
    <w:name w:val="Título 4 Char"/>
    <w:basedOn w:val="Fontepargpadro"/>
    <w:link w:val="Ttulo4"/>
    <w:uiPriority w:val="9"/>
    <w:semiHidden/>
    <w:rsid w:val="00C503C5"/>
    <w:rPr>
      <w:rFonts w:asciiTheme="majorHAnsi" w:eastAsiaTheme="majorEastAsia" w:hAnsiTheme="majorHAnsi" w:cstheme="majorBidi"/>
      <w:i/>
      <w:iCs/>
      <w:color w:val="2F5496" w:themeColor="accent1" w:themeShade="BF"/>
    </w:rPr>
  </w:style>
  <w:style w:type="character" w:customStyle="1" w:styleId="MenoPendente1">
    <w:name w:val="Menção Pendente1"/>
    <w:basedOn w:val="Fontepargpadro"/>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Forte">
    <w:name w:val="Strong"/>
    <w:basedOn w:val="Fontepargpadro"/>
    <w:uiPriority w:val="22"/>
    <w:qFormat/>
    <w:rsid w:val="008836E2"/>
    <w:rPr>
      <w:b/>
      <w:bCs/>
    </w:rPr>
  </w:style>
  <w:style w:type="character" w:styleId="nfase">
    <w:name w:val="Emphasis"/>
    <w:basedOn w:val="Fontepargpadro"/>
    <w:uiPriority w:val="20"/>
    <w:qFormat/>
    <w:rsid w:val="008836E2"/>
    <w:rPr>
      <w:i/>
      <w:iCs/>
    </w:rPr>
  </w:style>
  <w:style w:type="table" w:styleId="TabeladeGrade1Clara-nfase5">
    <w:name w:val="Grid Table 1 Light Accent 5"/>
    <w:basedOn w:val="Tabela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Lista3-nfase5">
    <w:name w:val="List Table 3 Accent 5"/>
    <w:basedOn w:val="Tabela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Grade5Escura-nfase5">
    <w:name w:val="Grid Table 5 Dark Accent 5"/>
    <w:basedOn w:val="Tabela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egenda">
    <w:name w:val="caption"/>
    <w:basedOn w:val="Normal"/>
    <w:next w:val="Normal"/>
    <w:uiPriority w:val="35"/>
    <w:unhideWhenUsed/>
    <w:qFormat/>
    <w:rsid w:val="0061525C"/>
    <w:pPr>
      <w:spacing w:after="200"/>
    </w:pPr>
    <w:rPr>
      <w:i/>
      <w:iCs/>
      <w:color w:val="44546A" w:themeColor="text2"/>
      <w:sz w:val="18"/>
      <w:szCs w:val="18"/>
    </w:rPr>
  </w:style>
  <w:style w:type="table" w:styleId="TabeladeGrade5Escura-nfase1">
    <w:name w:val="Grid Table 5 Dark Accent 1"/>
    <w:basedOn w:val="Tabela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SemEspaamentoChar">
    <w:name w:val="Sem Espaçamento Char"/>
    <w:basedOn w:val="Fontepargpadro"/>
    <w:link w:val="SemEspaamento"/>
    <w:uiPriority w:val="1"/>
    <w:rsid w:val="00C00860"/>
    <w:rPr>
      <w:rFonts w:ascii="Arial" w:hAnsi="Arial"/>
    </w:rPr>
  </w:style>
  <w:style w:type="character" w:customStyle="1" w:styleId="rynqvb">
    <w:name w:val="rynqvb"/>
    <w:basedOn w:val="Fontepargpadro"/>
    <w:rsid w:val="00AE19A7"/>
  </w:style>
  <w:style w:type="character" w:styleId="MenoPendente">
    <w:name w:val="Unresolved Mention"/>
    <w:basedOn w:val="Fontepargpadro"/>
    <w:uiPriority w:val="99"/>
    <w:semiHidden/>
    <w:unhideWhenUsed/>
    <w:rsid w:val="00C0103B"/>
    <w:rPr>
      <w:color w:val="605E5C"/>
      <w:shd w:val="clear" w:color="auto" w:fill="E1DFDD"/>
    </w:rPr>
  </w:style>
  <w:style w:type="character" w:customStyle="1" w:styleId="apple-converted-space">
    <w:name w:val="apple-converted-space"/>
    <w:basedOn w:val="Fontepargpadro"/>
    <w:rsid w:val="00A90C9B"/>
  </w:style>
  <w:style w:type="character" w:styleId="HiperlinkVisitado">
    <w:name w:val="FollowedHyperlink"/>
    <w:basedOn w:val="Fontepargpadro"/>
    <w:uiPriority w:val="99"/>
    <w:semiHidden/>
    <w:unhideWhenUsed/>
    <w:rsid w:val="00355F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170784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30570783">
      <w:bodyDiv w:val="1"/>
      <w:marLeft w:val="0"/>
      <w:marRight w:val="0"/>
      <w:marTop w:val="0"/>
      <w:marBottom w:val="0"/>
      <w:divBdr>
        <w:top w:val="none" w:sz="0" w:space="0" w:color="auto"/>
        <w:left w:val="none" w:sz="0" w:space="0" w:color="auto"/>
        <w:bottom w:val="none" w:sz="0" w:space="0" w:color="auto"/>
        <w:right w:val="none" w:sz="0" w:space="0" w:color="auto"/>
      </w:divBdr>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570043495">
      <w:bodyDiv w:val="1"/>
      <w:marLeft w:val="0"/>
      <w:marRight w:val="0"/>
      <w:marTop w:val="0"/>
      <w:marBottom w:val="0"/>
      <w:divBdr>
        <w:top w:val="none" w:sz="0" w:space="0" w:color="auto"/>
        <w:left w:val="none" w:sz="0" w:space="0" w:color="auto"/>
        <w:bottom w:val="none" w:sz="0" w:space="0" w:color="auto"/>
        <w:right w:val="none" w:sz="0" w:space="0" w:color="auto"/>
      </w:divBdr>
      <w:divsChild>
        <w:div w:id="439103609">
          <w:marLeft w:val="-720"/>
          <w:marRight w:val="0"/>
          <w:marTop w:val="0"/>
          <w:marBottom w:val="0"/>
          <w:divBdr>
            <w:top w:val="none" w:sz="0" w:space="0" w:color="auto"/>
            <w:left w:val="none" w:sz="0" w:space="0" w:color="auto"/>
            <w:bottom w:val="none" w:sz="0" w:space="0" w:color="auto"/>
            <w:right w:val="none" w:sz="0" w:space="0" w:color="auto"/>
          </w:divBdr>
        </w:div>
      </w:divsChild>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20791826">
      <w:bodyDiv w:val="1"/>
      <w:marLeft w:val="0"/>
      <w:marRight w:val="0"/>
      <w:marTop w:val="0"/>
      <w:marBottom w:val="0"/>
      <w:divBdr>
        <w:top w:val="none" w:sz="0" w:space="0" w:color="auto"/>
        <w:left w:val="none" w:sz="0" w:space="0" w:color="auto"/>
        <w:bottom w:val="none" w:sz="0" w:space="0" w:color="auto"/>
        <w:right w:val="none" w:sz="0" w:space="0" w:color="auto"/>
      </w:divBdr>
      <w:divsChild>
        <w:div w:id="1606764911">
          <w:marLeft w:val="-720"/>
          <w:marRight w:val="0"/>
          <w:marTop w:val="0"/>
          <w:marBottom w:val="0"/>
          <w:divBdr>
            <w:top w:val="none" w:sz="0" w:space="0" w:color="auto"/>
            <w:left w:val="none" w:sz="0" w:space="0" w:color="auto"/>
            <w:bottom w:val="none" w:sz="0" w:space="0" w:color="auto"/>
            <w:right w:val="none" w:sz="0" w:space="0" w:color="auto"/>
          </w:divBdr>
        </w:div>
      </w:divsChild>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993919449">
      <w:bodyDiv w:val="1"/>
      <w:marLeft w:val="0"/>
      <w:marRight w:val="0"/>
      <w:marTop w:val="0"/>
      <w:marBottom w:val="0"/>
      <w:divBdr>
        <w:top w:val="none" w:sz="0" w:space="0" w:color="auto"/>
        <w:left w:val="none" w:sz="0" w:space="0" w:color="auto"/>
        <w:bottom w:val="none" w:sz="0" w:space="0" w:color="auto"/>
        <w:right w:val="none" w:sz="0" w:space="0" w:color="auto"/>
      </w:divBdr>
      <w:divsChild>
        <w:div w:id="627004395">
          <w:marLeft w:val="547"/>
          <w:marRight w:val="0"/>
          <w:marTop w:val="200"/>
          <w:marBottom w:val="0"/>
          <w:divBdr>
            <w:top w:val="none" w:sz="0" w:space="0" w:color="auto"/>
            <w:left w:val="none" w:sz="0" w:space="0" w:color="auto"/>
            <w:bottom w:val="none" w:sz="0" w:space="0" w:color="auto"/>
            <w:right w:val="none" w:sz="0" w:space="0" w:color="auto"/>
          </w:divBdr>
        </w:div>
        <w:div w:id="1830555970">
          <w:marLeft w:val="547"/>
          <w:marRight w:val="0"/>
          <w:marTop w:val="200"/>
          <w:marBottom w:val="0"/>
          <w:divBdr>
            <w:top w:val="none" w:sz="0" w:space="0" w:color="auto"/>
            <w:left w:val="none" w:sz="0" w:space="0" w:color="auto"/>
            <w:bottom w:val="none" w:sz="0" w:space="0" w:color="auto"/>
            <w:right w:val="none" w:sz="0" w:space="0" w:color="auto"/>
          </w:divBdr>
        </w:div>
        <w:div w:id="1185053361">
          <w:marLeft w:val="547"/>
          <w:marRight w:val="0"/>
          <w:marTop w:val="200"/>
          <w:marBottom w:val="0"/>
          <w:divBdr>
            <w:top w:val="none" w:sz="0" w:space="0" w:color="auto"/>
            <w:left w:val="none" w:sz="0" w:space="0" w:color="auto"/>
            <w:bottom w:val="none" w:sz="0" w:space="0" w:color="auto"/>
            <w:right w:val="none" w:sz="0" w:space="0" w:color="auto"/>
          </w:divBdr>
        </w:div>
        <w:div w:id="79063889">
          <w:marLeft w:val="547"/>
          <w:marRight w:val="0"/>
          <w:marTop w:val="200"/>
          <w:marBottom w:val="0"/>
          <w:divBdr>
            <w:top w:val="none" w:sz="0" w:space="0" w:color="auto"/>
            <w:left w:val="none" w:sz="0" w:space="0" w:color="auto"/>
            <w:bottom w:val="none" w:sz="0" w:space="0" w:color="auto"/>
            <w:right w:val="none" w:sz="0" w:space="0" w:color="auto"/>
          </w:divBdr>
        </w:div>
        <w:div w:id="1660235709">
          <w:marLeft w:val="547"/>
          <w:marRight w:val="0"/>
          <w:marTop w:val="200"/>
          <w:marBottom w:val="0"/>
          <w:divBdr>
            <w:top w:val="none" w:sz="0" w:space="0" w:color="auto"/>
            <w:left w:val="none" w:sz="0" w:space="0" w:color="auto"/>
            <w:bottom w:val="none" w:sz="0" w:space="0" w:color="auto"/>
            <w:right w:val="none" w:sz="0" w:space="0" w:color="auto"/>
          </w:divBdr>
        </w:div>
        <w:div w:id="1779056999">
          <w:marLeft w:val="547"/>
          <w:marRight w:val="0"/>
          <w:marTop w:val="200"/>
          <w:marBottom w:val="0"/>
          <w:divBdr>
            <w:top w:val="none" w:sz="0" w:space="0" w:color="auto"/>
            <w:left w:val="none" w:sz="0" w:space="0" w:color="auto"/>
            <w:bottom w:val="none" w:sz="0" w:space="0" w:color="auto"/>
            <w:right w:val="none" w:sz="0" w:space="0" w:color="auto"/>
          </w:divBdr>
        </w:div>
        <w:div w:id="680743545">
          <w:marLeft w:val="547"/>
          <w:marRight w:val="0"/>
          <w:marTop w:val="200"/>
          <w:marBottom w:val="0"/>
          <w:divBdr>
            <w:top w:val="none" w:sz="0" w:space="0" w:color="auto"/>
            <w:left w:val="none" w:sz="0" w:space="0" w:color="auto"/>
            <w:bottom w:val="none" w:sz="0" w:space="0" w:color="auto"/>
            <w:right w:val="none" w:sz="0" w:space="0" w:color="auto"/>
          </w:divBdr>
        </w:div>
        <w:div w:id="347757606">
          <w:marLeft w:val="547"/>
          <w:marRight w:val="0"/>
          <w:marTop w:val="200"/>
          <w:marBottom w:val="0"/>
          <w:divBdr>
            <w:top w:val="none" w:sz="0" w:space="0" w:color="auto"/>
            <w:left w:val="none" w:sz="0" w:space="0" w:color="auto"/>
            <w:bottom w:val="none" w:sz="0" w:space="0" w:color="auto"/>
            <w:right w:val="none" w:sz="0" w:space="0" w:color="auto"/>
          </w:divBdr>
        </w:div>
        <w:div w:id="1807772594">
          <w:marLeft w:val="547"/>
          <w:marRight w:val="0"/>
          <w:marTop w:val="200"/>
          <w:marBottom w:val="0"/>
          <w:divBdr>
            <w:top w:val="none" w:sz="0" w:space="0" w:color="auto"/>
            <w:left w:val="none" w:sz="0" w:space="0" w:color="auto"/>
            <w:bottom w:val="none" w:sz="0" w:space="0" w:color="auto"/>
            <w:right w:val="none" w:sz="0" w:space="0" w:color="auto"/>
          </w:divBdr>
        </w:div>
      </w:divsChild>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48292530">
      <w:bodyDiv w:val="1"/>
      <w:marLeft w:val="0"/>
      <w:marRight w:val="0"/>
      <w:marTop w:val="0"/>
      <w:marBottom w:val="0"/>
      <w:divBdr>
        <w:top w:val="none" w:sz="0" w:space="0" w:color="auto"/>
        <w:left w:val="none" w:sz="0" w:space="0" w:color="auto"/>
        <w:bottom w:val="none" w:sz="0" w:space="0" w:color="auto"/>
        <w:right w:val="none" w:sz="0" w:space="0" w:color="auto"/>
      </w:divBdr>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4700568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567229">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rdorintelligence.com/industry-reports/united-kingdom-telecom-market" TargetMode="External"/><Relationship Id="rId18" Type="http://schemas.openxmlformats.org/officeDocument/2006/relationships/hyperlink" Target="https://www.telecomtv.com/content/access-evolution/vodafone-to-take-full-ownership-of-vodafonethree-5540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vestors.vodafone.com/~/media/Files/V/Vodafone-IR/documents/performance/financial-results/2025/vodafone-fy25-results-announcement.pdf" TargetMode="External"/><Relationship Id="rId7" Type="http://schemas.openxmlformats.org/officeDocument/2006/relationships/endnotes" Target="endnotes.xml"/><Relationship Id="rId12" Type="http://schemas.openxmlformats.org/officeDocument/2006/relationships/hyperlink" Target="https://matrixbcg.com/blogs/mission/vodafone" TargetMode="External"/><Relationship Id="rId17" Type="http://schemas.openxmlformats.org/officeDocument/2006/relationships/hyperlink" Target="https://sphere.ckh.com.hk/eng/business/417/vodafonethree-is-here-16.5-billion-merger-kicks-off-a-new-era-for-uk-connectivity.ph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crwireless.com/20250602/carriers/vodafone-three-merger" TargetMode="External"/><Relationship Id="rId20" Type="http://schemas.openxmlformats.org/officeDocument/2006/relationships/hyperlink" Target="https://www.vodafone.com/news/newsroom/corporate-and-financial/completion-of-vodafone-and-three-merger-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ing.com/news/company-news/vodafone-fy25-presentation-service-revenue-grows-51-amid-portfolio-restructuring-4053969" TargetMode="External"/><Relationship Id="rId24" Type="http://schemas.openxmlformats.org/officeDocument/2006/relationships/hyperlink" Target="https://www.vodafonethree.com/vodafone-to-take-full-ownership-of-vodafonethree/" TargetMode="External"/><Relationship Id="rId5" Type="http://schemas.openxmlformats.org/officeDocument/2006/relationships/webSettings" Target="webSettings.xml"/><Relationship Id="rId15" Type="http://schemas.openxmlformats.org/officeDocument/2006/relationships/hyperlink" Target="https://insights.opensignal.com/reports/2026/01/uk/mobile-network-experience" TargetMode="External"/><Relationship Id="rId23" Type="http://schemas.openxmlformats.org/officeDocument/2006/relationships/hyperlink" Target="https://reports.investors.vodafone.com/view/500231330" TargetMode="External"/><Relationship Id="rId10" Type="http://schemas.openxmlformats.org/officeDocument/2006/relationships/hyperlink" Target="https://www.ig.com/en/news-and-trade-ideas/vodafone-three-merger--what-next-after-the-creation-of-the-uk-s--250611" TargetMode="External"/><Relationship Id="rId19" Type="http://schemas.openxmlformats.org/officeDocument/2006/relationships/hyperlink" Target="https://www.verdict.co.uk/vodafone-takeover-vodafonethree/" TargetMode="External"/><Relationship Id="rId4" Type="http://schemas.openxmlformats.org/officeDocument/2006/relationships/settings" Target="settings.xml"/><Relationship Id="rId9" Type="http://schemas.openxmlformats.org/officeDocument/2006/relationships/hyperlink" Target="https://www.commsbusiness.co.uk/content/news/vodafone-revenue-increases-two-per-cent-in-fy25" TargetMode="External"/><Relationship Id="rId14" Type="http://schemas.openxmlformats.org/officeDocument/2006/relationships/hyperlink" Target="https://www.myamplifiers.com/articles/which-uk-mobile-networks-have-the-best-signal-in-2026/" TargetMode="External"/><Relationship Id="rId22" Type="http://schemas.openxmlformats.org/officeDocument/2006/relationships/hyperlink" Target="https://www.vodafone.com/news/newsroom/corporate-and-financial/vodafone-to-take-full-ownership-of-vodafone-thre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0595A-B2C6-4FEF-BC76-9EF61E67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17</Pages>
  <Words>5244</Words>
  <Characters>28318</Characters>
  <Application>Microsoft Office Word</Application>
  <DocSecurity>0</DocSecurity>
  <Lines>235</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Rodrigues Casagrande, Katiuscia</cp:lastModifiedBy>
  <cp:revision>4</cp:revision>
  <dcterms:created xsi:type="dcterms:W3CDTF">2026-08-11T11:02:00Z</dcterms:created>
  <dcterms:modified xsi:type="dcterms:W3CDTF">2026-08-11T12:28:00Z</dcterms:modified>
</cp:coreProperties>
</file>