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B89660" w14:textId="77777777" w:rsidR="00874A36" w:rsidRDefault="00874A36">
      <w:pPr>
        <w:spacing w:after="158" w:line="360" w:lineRule="auto"/>
        <w:ind w:left="49"/>
        <w:jc w:val="both"/>
        <w:rPr>
          <w:rFonts w:ascii="Arial" w:hAnsi="Arial"/>
        </w:rPr>
      </w:pPr>
    </w:p>
    <w:p w14:paraId="426D99BF" w14:textId="77777777" w:rsidR="00874A36" w:rsidRDefault="00874A36">
      <w:pPr>
        <w:spacing w:line="360" w:lineRule="auto"/>
        <w:ind w:left="49"/>
        <w:jc w:val="both"/>
        <w:rPr>
          <w:rFonts w:ascii="Arial" w:hAnsi="Arial"/>
        </w:rPr>
      </w:pPr>
    </w:p>
    <w:p w14:paraId="01B0090F" w14:textId="77777777" w:rsidR="00874A36" w:rsidRDefault="00000000">
      <w:pPr>
        <w:spacing w:after="158" w:line="360" w:lineRule="auto"/>
        <w:ind w:left="49"/>
        <w:jc w:val="both"/>
        <w:rPr>
          <w:rFonts w:ascii="Arial" w:hAnsi="Arial"/>
        </w:rPr>
      </w:pPr>
      <w:r>
        <w:rPr>
          <w:rFonts w:ascii="Arial" w:hAnsi="Arial"/>
          <w:noProof/>
          <w:lang w:val="en-US" w:eastAsia="en-US" w:bidi="hi-IN"/>
        </w:rPr>
        <w:drawing>
          <wp:inline distT="0" distB="0" distL="0" distR="0" wp14:anchorId="21089E9C" wp14:editId="62B993EC">
            <wp:extent cx="1979999" cy="824400"/>
            <wp:effectExtent l="0" t="0" r="1270" b="0"/>
            <wp:docPr id="1026"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cstate="print"/>
                    <a:srcRect/>
                    <a:stretch/>
                  </pic:blipFill>
                  <pic:spPr>
                    <a:xfrm>
                      <a:off x="0" y="0"/>
                      <a:ext cx="1979999" cy="824400"/>
                    </a:xfrm>
                    <a:prstGeom prst="rect">
                      <a:avLst/>
                    </a:prstGeom>
                  </pic:spPr>
                </pic:pic>
              </a:graphicData>
            </a:graphic>
          </wp:inline>
        </w:drawing>
      </w:r>
    </w:p>
    <w:p w14:paraId="595841AA" w14:textId="77777777" w:rsidR="00874A36" w:rsidRDefault="00874A36">
      <w:pPr>
        <w:spacing w:line="360" w:lineRule="auto"/>
        <w:ind w:left="49"/>
        <w:jc w:val="both"/>
        <w:rPr>
          <w:rFonts w:ascii="Arial" w:hAnsi="Arial"/>
        </w:rPr>
      </w:pPr>
    </w:p>
    <w:p w14:paraId="29DBFFF6" w14:textId="77777777" w:rsidR="00874A36" w:rsidRDefault="00874A36">
      <w:pPr>
        <w:spacing w:after="287" w:line="360" w:lineRule="auto"/>
        <w:ind w:left="49"/>
        <w:jc w:val="both"/>
        <w:rPr>
          <w:rFonts w:ascii="Arial" w:hAnsi="Arial"/>
        </w:rPr>
      </w:pPr>
    </w:p>
    <w:p w14:paraId="77F74BBE" w14:textId="77777777" w:rsidR="00874A36" w:rsidRDefault="00000000">
      <w:pPr>
        <w:spacing w:line="360" w:lineRule="auto"/>
        <w:jc w:val="center"/>
        <w:rPr>
          <w:rFonts w:ascii="Arial" w:hAnsi="Arial"/>
          <w:b/>
          <w:bCs/>
          <w:sz w:val="32"/>
        </w:rPr>
      </w:pPr>
      <w:r>
        <w:rPr>
          <w:rFonts w:ascii="Arial" w:hAnsi="Arial"/>
        </w:rPr>
        <w:t xml:space="preserve"> </w:t>
      </w:r>
      <w:r>
        <w:rPr>
          <w:rFonts w:ascii="Arial" w:hAnsi="Arial"/>
          <w:b/>
          <w:bCs/>
          <w:sz w:val="32"/>
        </w:rPr>
        <w:t>A SYSTEMATIC REVIEW OF MANAGEMENT STRATEGIES AND QUALITY OF LIFE IMPROVEMENT OF ADULTS WITH TYPE 1 DIA</w:t>
      </w:r>
      <w:r>
        <w:rPr>
          <w:rFonts w:ascii="Arial" w:hAnsi="Arial"/>
          <w:b/>
          <w:bCs/>
          <w:sz w:val="32"/>
          <w:lang w:val="en-US"/>
        </w:rPr>
        <w:t>B</w:t>
      </w:r>
      <w:r>
        <w:rPr>
          <w:rFonts w:ascii="Arial" w:hAnsi="Arial"/>
          <w:b/>
          <w:bCs/>
          <w:sz w:val="32"/>
        </w:rPr>
        <w:t>ETES IN THE UK</w:t>
      </w:r>
    </w:p>
    <w:p w14:paraId="6521ADE2" w14:textId="77777777" w:rsidR="00874A36" w:rsidRDefault="00874A36">
      <w:pPr>
        <w:spacing w:after="157" w:line="360" w:lineRule="auto"/>
        <w:ind w:left="89"/>
        <w:jc w:val="both"/>
        <w:rPr>
          <w:rFonts w:ascii="Arial" w:hAnsi="Arial"/>
        </w:rPr>
      </w:pPr>
    </w:p>
    <w:p w14:paraId="5818ACAA" w14:textId="77777777" w:rsidR="00874A36" w:rsidRDefault="00874A36">
      <w:pPr>
        <w:spacing w:after="42" w:line="360" w:lineRule="auto"/>
        <w:ind w:left="89"/>
        <w:jc w:val="center"/>
        <w:rPr>
          <w:rFonts w:ascii="Arial" w:hAnsi="Arial"/>
        </w:rPr>
      </w:pPr>
    </w:p>
    <w:p w14:paraId="45A4CF5F" w14:textId="77777777" w:rsidR="00874A36" w:rsidRDefault="00000000">
      <w:pPr>
        <w:spacing w:after="157" w:line="360" w:lineRule="auto"/>
        <w:ind w:left="2367" w:right="2358"/>
        <w:jc w:val="center"/>
        <w:rPr>
          <w:rFonts w:ascii="Arial" w:hAnsi="Arial"/>
        </w:rPr>
      </w:pPr>
      <w:r>
        <w:rPr>
          <w:rFonts w:ascii="Arial" w:hAnsi="Arial"/>
        </w:rPr>
        <w:t xml:space="preserve">by </w:t>
      </w:r>
    </w:p>
    <w:p w14:paraId="5EB452A4" w14:textId="77777777" w:rsidR="00874A36" w:rsidRDefault="00874A36">
      <w:pPr>
        <w:spacing w:after="158" w:line="360" w:lineRule="auto"/>
        <w:ind w:left="59"/>
        <w:jc w:val="center"/>
        <w:rPr>
          <w:rFonts w:ascii="Arial" w:hAnsi="Arial"/>
        </w:rPr>
      </w:pPr>
    </w:p>
    <w:p w14:paraId="46D34355" w14:textId="06FF5CC9" w:rsidR="00874A36" w:rsidRDefault="00E6150B">
      <w:pPr>
        <w:spacing w:after="157" w:line="360" w:lineRule="auto"/>
        <w:ind w:left="2367" w:right="2359"/>
        <w:jc w:val="center"/>
        <w:rPr>
          <w:rFonts w:ascii="Arial" w:hAnsi="Arial"/>
        </w:rPr>
      </w:pPr>
      <w:r>
        <w:rPr>
          <w:rFonts w:ascii="Arial" w:hAnsi="Arial"/>
        </w:rPr>
        <w:t xml:space="preserve">Kashyapkumar Jaiminkumar Kansara </w:t>
      </w:r>
    </w:p>
    <w:p w14:paraId="31CAE0FB" w14:textId="77777777" w:rsidR="00874A36" w:rsidRDefault="00874A36">
      <w:pPr>
        <w:spacing w:after="158" w:line="360" w:lineRule="auto"/>
        <w:ind w:left="59"/>
        <w:jc w:val="center"/>
        <w:rPr>
          <w:rFonts w:ascii="Arial" w:hAnsi="Arial"/>
        </w:rPr>
      </w:pPr>
    </w:p>
    <w:p w14:paraId="4F25D380" w14:textId="77777777" w:rsidR="00874A36" w:rsidRDefault="00874A36">
      <w:pPr>
        <w:spacing w:after="156" w:line="360" w:lineRule="auto"/>
        <w:ind w:left="59"/>
        <w:jc w:val="center"/>
        <w:rPr>
          <w:rFonts w:ascii="Arial" w:hAnsi="Arial"/>
        </w:rPr>
      </w:pPr>
    </w:p>
    <w:p w14:paraId="792FB8ED" w14:textId="77777777" w:rsidR="00874A36" w:rsidRDefault="00874A36">
      <w:pPr>
        <w:spacing w:after="158" w:line="360" w:lineRule="auto"/>
        <w:ind w:left="59"/>
        <w:jc w:val="center"/>
        <w:rPr>
          <w:rFonts w:ascii="Arial" w:hAnsi="Arial"/>
        </w:rPr>
      </w:pPr>
    </w:p>
    <w:p w14:paraId="36D65DB9" w14:textId="77777777" w:rsidR="00874A36" w:rsidRDefault="00000000">
      <w:pPr>
        <w:spacing w:after="169" w:line="360" w:lineRule="auto"/>
        <w:jc w:val="center"/>
        <w:rPr>
          <w:rFonts w:ascii="Arial" w:hAnsi="Arial"/>
          <w:b/>
          <w:bCs/>
        </w:rPr>
      </w:pPr>
      <w:r>
        <w:rPr>
          <w:rFonts w:ascii="Arial" w:hAnsi="Arial"/>
          <w:b/>
          <w:bCs/>
        </w:rPr>
        <w:t>The Institute of Inner-City Learning</w:t>
      </w:r>
    </w:p>
    <w:p w14:paraId="58D66556" w14:textId="77777777" w:rsidR="00874A36" w:rsidRDefault="00000000">
      <w:pPr>
        <w:spacing w:after="169" w:line="360" w:lineRule="auto"/>
        <w:jc w:val="center"/>
        <w:rPr>
          <w:rFonts w:ascii="Arial" w:hAnsi="Arial"/>
          <w:b/>
          <w:bCs/>
        </w:rPr>
      </w:pPr>
      <w:r>
        <w:rPr>
          <w:rFonts w:ascii="Arial" w:hAnsi="Arial"/>
          <w:b/>
          <w:bCs/>
        </w:rPr>
        <w:t>University of Wales Trinity Saint David – London Campus</w:t>
      </w:r>
    </w:p>
    <w:p w14:paraId="33FA79FF" w14:textId="77777777" w:rsidR="00874A36" w:rsidRDefault="00874A36">
      <w:pPr>
        <w:spacing w:after="157" w:line="360" w:lineRule="auto"/>
        <w:ind w:left="2367" w:right="2357"/>
        <w:jc w:val="center"/>
        <w:rPr>
          <w:rFonts w:ascii="Arial" w:hAnsi="Arial"/>
          <w:b/>
          <w:bCs/>
        </w:rPr>
      </w:pPr>
    </w:p>
    <w:p w14:paraId="2B26F8BD" w14:textId="77777777" w:rsidR="00874A36" w:rsidRDefault="00874A36">
      <w:pPr>
        <w:spacing w:after="157" w:line="360" w:lineRule="auto"/>
        <w:ind w:left="2367" w:right="2357"/>
        <w:jc w:val="center"/>
        <w:rPr>
          <w:rFonts w:ascii="Arial" w:hAnsi="Arial"/>
          <w:b/>
          <w:bCs/>
        </w:rPr>
      </w:pPr>
    </w:p>
    <w:p w14:paraId="112140FB" w14:textId="45C6B9B1" w:rsidR="00874A36" w:rsidRDefault="00A262AB">
      <w:pPr>
        <w:spacing w:after="157" w:line="360" w:lineRule="auto"/>
        <w:ind w:left="2367" w:right="2357"/>
        <w:jc w:val="center"/>
        <w:rPr>
          <w:rFonts w:ascii="Arial" w:hAnsi="Arial"/>
          <w:b/>
          <w:bCs/>
        </w:rPr>
      </w:pPr>
      <w:r>
        <w:rPr>
          <w:rFonts w:ascii="Arial" w:hAnsi="Arial"/>
          <w:b/>
          <w:bCs/>
        </w:rPr>
        <w:t>September 2026</w:t>
      </w:r>
    </w:p>
    <w:p w14:paraId="43C69A40" w14:textId="77777777" w:rsidR="00874A36" w:rsidRDefault="00000000">
      <w:pPr>
        <w:spacing w:line="360" w:lineRule="auto"/>
        <w:jc w:val="both"/>
        <w:rPr>
          <w:rFonts w:ascii="Arial" w:hAnsi="Arial"/>
          <w:b/>
          <w:bCs/>
        </w:rPr>
      </w:pPr>
      <w:r>
        <w:rPr>
          <w:rFonts w:ascii="Arial" w:hAnsi="Arial"/>
          <w:b/>
          <w:bCs/>
        </w:rPr>
        <w:br w:type="page"/>
      </w:r>
    </w:p>
    <w:p w14:paraId="35186483" w14:textId="77777777" w:rsidR="00874A36" w:rsidRDefault="00000000">
      <w:pPr>
        <w:spacing w:after="200" w:line="360" w:lineRule="auto"/>
        <w:jc w:val="center"/>
        <w:rPr>
          <w:rFonts w:ascii="Arial" w:eastAsia="Times New Roman" w:hAnsi="Arial"/>
          <w:b/>
          <w:bCs/>
          <w:color w:val="000000"/>
          <w:lang w:val="hr-HR"/>
        </w:rPr>
      </w:pPr>
      <w:r>
        <w:rPr>
          <w:rFonts w:ascii="Arial" w:eastAsia="Times New Roman" w:hAnsi="Arial"/>
          <w:b/>
          <w:bCs/>
          <w:color w:val="000000"/>
          <w:lang w:val="hr-HR"/>
        </w:rPr>
        <w:lastRenderedPageBreak/>
        <w:t>DECLARATION</w:t>
      </w:r>
    </w:p>
    <w:p w14:paraId="03D4D893" w14:textId="77777777" w:rsidR="00874A36" w:rsidRDefault="00874A36">
      <w:pPr>
        <w:spacing w:after="200" w:line="360" w:lineRule="auto"/>
        <w:jc w:val="both"/>
        <w:rPr>
          <w:rFonts w:ascii="Arial" w:eastAsia="Times New Roman" w:hAnsi="Arial"/>
          <w:color w:val="000000"/>
          <w:lang w:val="hr-HR"/>
        </w:rPr>
      </w:pPr>
    </w:p>
    <w:p w14:paraId="64BB10C3" w14:textId="2977C6F7" w:rsidR="00874A36" w:rsidRDefault="00000000">
      <w:pPr>
        <w:spacing w:after="200" w:line="360" w:lineRule="auto"/>
        <w:jc w:val="both"/>
        <w:rPr>
          <w:rFonts w:ascii="Arial" w:eastAsia="Times New Roman" w:hAnsi="Arial"/>
          <w:color w:val="000000"/>
          <w:lang w:val="hr-HR"/>
        </w:rPr>
      </w:pPr>
      <w:r>
        <w:rPr>
          <w:rFonts w:ascii="Arial" w:hAnsi="Arial"/>
          <w:noProof/>
        </w:rPr>
        <w:pict w14:anchorId="046CA8FE">
          <v:shape id="1027" o:spid="_x0000_s1029" style="position:absolute;left:0;text-align:left;margin-left:-127.85pt;margin-top:18.55pt;width:1.45pt;height:1.45pt;z-index:2;visibility:visible;mso-width-percent:0;mso-height-percent:0;mso-wrap-distance-left:0;mso-wrap-distance-right:0;mso-position-horizontal-relative:text;mso-position-vertical-relative:text;mso-width-percent:0;mso-height-percent:0;mso-width-relative:page;mso-height-relative:page" coordsize="" o:spt="100" adj="0,,0" path="" filled="f" stroked="f" strokeweight=".5mm">
            <v:stroke joinstyle="round" endcap="round"/>
            <v:formulas/>
            <v:path shadowok="f" o:extrusionok="f" fillok="f" insetpenok="f" o:connecttype="segments"/>
            <o:lock v:ext="edit" rotation="t" aspectratio="t" verticies="t" text="t" shapetype="t"/>
            <o:ink i="ACYdAgYGAwZIEUUyRjIFATgZCzgJAP7/AwAAAAAACggBAQABABBf/x==&#10;" annotation="t"/>
          </v:shape>
        </w:pict>
      </w:r>
      <w:r>
        <w:rPr>
          <w:rFonts w:ascii="Arial" w:hAnsi="Arial"/>
          <w:noProof/>
        </w:rPr>
        <w:pict w14:anchorId="579BCD19">
          <v:shape id="1028" o:spid="_x0000_s1028" style="position:absolute;left:0;text-align:left;margin-left:-127.85pt;margin-top:19.05pt;width:1.45pt;height:1.85pt;z-index:3;visibility:visible;mso-width-percent:0;mso-height-percent:0;mso-wrap-distance-left:0;mso-wrap-distance-right:0;mso-position-horizontal-relative:text;mso-position-vertical-relative:text;mso-width-percent:0;mso-height-percent:0;mso-width-relative:page;mso-height-relative:page" coordsize="" o:spt="100" adj="0,,0" path="" filled="f" stroked="f" strokeweight=".5mm">
            <v:stroke joinstyle="round" endcap="round"/>
            <v:formulas/>
            <v:path shadowok="f" o:extrusionok="f" fillok="f" insetpenok="f" o:connecttype="segments"/>
            <o:lock v:ext="edit" rotation="t" aspectratio="t" verticies="t" text="t" shapetype="t"/>
            <o:ink i="ACkdAgYMAwZIEUUyRjIFATgZCzgJAP7/AwAAAAAACgsCAQAIQQAQX/9f//==&#10;" annotation="t"/>
          </v:shape>
        </w:pict>
      </w:r>
      <w:r>
        <w:rPr>
          <w:rFonts w:ascii="Arial" w:hAnsi="Arial"/>
          <w:noProof/>
        </w:rPr>
        <w:pict w14:anchorId="0F181419">
          <v:shape id="1029" o:spid="_x0000_s1027" style="position:absolute;left:0;text-align:left;margin-left:-127.85pt;margin-top:19.35pt;width:1.45pt;height:1.45pt;z-index:4;visibility:visible;mso-width-percent:0;mso-height-percent:0;mso-wrap-distance-left:0;mso-wrap-distance-right:0;mso-position-horizontal-relative:text;mso-position-vertical-relative:text;mso-width-percent:0;mso-height-percent:0;mso-width-relative:page;mso-height-relative:page" coordsize="" o:spt="100" adj="0,,0" path="" filled="f" stroked="f" strokeweight=".5mm">
            <v:stroke joinstyle="round" endcap="round"/>
            <v:formulas/>
            <v:path shadowok="f" o:extrusionok="f" fillok="f" insetpenok="f" o:connecttype="segments"/>
            <o:lock v:ext="edit" rotation="t" aspectratio="t" verticies="t" text="t" shapetype="t"/>
            <o:ink i="ACYdAgYGAwZIEUUyRjIFATgZCzgJAP7/AwAAAAAACggBAQABABBf/x==&#10;" annotation="t"/>
          </v:shape>
        </w:pict>
      </w:r>
      <w:r>
        <w:rPr>
          <w:rFonts w:ascii="Arial" w:hAnsi="Arial"/>
          <w:noProof/>
        </w:rPr>
        <w:pict w14:anchorId="29C7B8A8">
          <v:shape id="1030" o:spid="_x0000_s1026" style="position:absolute;left:0;text-align:left;margin-left:-152.4pt;margin-top:19.2pt;width:1.45pt;height:1.45pt;z-index:5;visibility:visible;mso-width-percent:0;mso-height-percent:0;mso-wrap-distance-left:0;mso-wrap-distance-right:0;mso-position-horizontal-relative:text;mso-position-vertical-relative:text;mso-width-percent:0;mso-height-percent:0;mso-width-relative:page;mso-height-relative:page" coordsize="" o:spt="100" adj="0,,0" path="" filled="f" stroked="f" strokeweight=".5mm">
            <v:stroke joinstyle="round" endcap="round"/>
            <v:formulas/>
            <v:path shadowok="f" o:extrusionok="f" fillok="f" insetpenok="f" o:connecttype="segments"/>
            <o:lock v:ext="edit" rotation="t" aspectratio="t" verticies="t" text="t" shapetype="t"/>
            <o:ink i="ACYdAgYGAwZIEUUyRjIFATgZCzgJAP7/AwAAAAAACggBAQABABBf/x==&#10;" annotation="t"/>
          </v:shape>
        </w:pict>
      </w:r>
      <w:r>
        <w:rPr>
          <w:rFonts w:ascii="Arial" w:eastAsia="Times New Roman" w:hAnsi="Arial"/>
          <w:color w:val="000000"/>
          <w:lang w:val="hr-HR"/>
        </w:rPr>
        <w:t xml:space="preserve">I, </w:t>
      </w:r>
      <w:r w:rsidR="004F7BD9">
        <w:rPr>
          <w:rFonts w:ascii="Arial" w:eastAsia="Times New Roman" w:hAnsi="Arial"/>
          <w:color w:val="000000"/>
          <w:lang w:val="hr-HR"/>
        </w:rPr>
        <w:t>Kashyapkumar Jaiminkumar Kansara</w:t>
      </w:r>
      <w:r>
        <w:rPr>
          <w:rFonts w:ascii="Arial" w:eastAsia="Times New Roman" w:hAnsi="Arial"/>
          <w:color w:val="000000"/>
          <w:lang w:val="hr-HR"/>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2B68C66F" w14:textId="77777777" w:rsidR="004F7BD9" w:rsidRDefault="004F7BD9">
      <w:pPr>
        <w:spacing w:after="200" w:line="360" w:lineRule="auto"/>
        <w:jc w:val="both"/>
        <w:rPr>
          <w:rFonts w:ascii="Arial" w:eastAsia="Times New Roman" w:hAnsi="Arial"/>
          <w:color w:val="000000"/>
          <w:lang w:val="hr-HR"/>
        </w:rPr>
      </w:pPr>
    </w:p>
    <w:p w14:paraId="7F1599C1" w14:textId="77777777" w:rsidR="004F7BD9" w:rsidRDefault="004F7BD9">
      <w:pPr>
        <w:spacing w:after="200" w:line="360" w:lineRule="auto"/>
        <w:jc w:val="both"/>
        <w:rPr>
          <w:rFonts w:ascii="Arial" w:eastAsia="Times New Roman" w:hAnsi="Arial"/>
          <w:color w:val="000000"/>
          <w:lang w:val="hr-HR"/>
        </w:rPr>
      </w:pPr>
    </w:p>
    <w:p w14:paraId="166F326F" w14:textId="67BA5EBF" w:rsidR="004F7BD9" w:rsidRDefault="004F7BD9">
      <w:pPr>
        <w:spacing w:after="200" w:line="360" w:lineRule="auto"/>
        <w:jc w:val="both"/>
        <w:rPr>
          <w:rFonts w:ascii="Arial" w:eastAsia="Times New Roman" w:hAnsi="Arial"/>
          <w:color w:val="000000"/>
          <w:lang w:val="hr-HR"/>
        </w:rPr>
      </w:pPr>
      <w:r>
        <w:rPr>
          <w:rFonts w:ascii="Arial" w:eastAsia="Times New Roman" w:hAnsi="Arial"/>
          <w:color w:val="000000"/>
          <w:lang w:val="hr-HR"/>
        </w:rPr>
        <w:t>Sign :- Kashyapkumar Jaiminkumar Kansara</w:t>
      </w:r>
    </w:p>
    <w:p w14:paraId="4F59FD43" w14:textId="2F0628A3" w:rsidR="004F7BD9" w:rsidRDefault="004F7BD9">
      <w:pPr>
        <w:spacing w:after="200" w:line="360" w:lineRule="auto"/>
        <w:jc w:val="both"/>
        <w:rPr>
          <w:rFonts w:ascii="Arial" w:eastAsia="Times New Roman" w:hAnsi="Arial"/>
          <w:color w:val="000000"/>
          <w:lang w:val="hr-HR"/>
        </w:rPr>
      </w:pPr>
      <w:r>
        <w:rPr>
          <w:rFonts w:ascii="Arial" w:eastAsia="Times New Roman" w:hAnsi="Arial"/>
          <w:color w:val="000000"/>
          <w:lang w:val="hr-HR"/>
        </w:rPr>
        <w:t>Date :- 23/09/202</w:t>
      </w:r>
      <w:r w:rsidR="00BE30F3">
        <w:rPr>
          <w:rFonts w:ascii="Arial" w:eastAsia="Times New Roman" w:hAnsi="Arial"/>
          <w:color w:val="000000"/>
          <w:lang w:val="hr-HR"/>
        </w:rPr>
        <w:t>6</w:t>
      </w:r>
      <w:r>
        <w:rPr>
          <w:rFonts w:ascii="Arial" w:eastAsia="Times New Roman" w:hAnsi="Arial"/>
          <w:color w:val="000000"/>
          <w:lang w:val="hr-HR"/>
        </w:rPr>
        <w:t>.</w:t>
      </w:r>
    </w:p>
    <w:p w14:paraId="777EEC31" w14:textId="77777777" w:rsidR="00874A36" w:rsidRDefault="00874A36">
      <w:pPr>
        <w:spacing w:after="157" w:line="360" w:lineRule="auto"/>
        <w:ind w:right="2357"/>
        <w:jc w:val="both"/>
        <w:rPr>
          <w:rFonts w:ascii="Arial" w:hAnsi="Arial"/>
          <w:b/>
          <w:bCs/>
        </w:rPr>
      </w:pPr>
    </w:p>
    <w:p w14:paraId="5B380E75" w14:textId="77777777" w:rsidR="00874A36" w:rsidRDefault="00000000">
      <w:pPr>
        <w:spacing w:after="0" w:line="360" w:lineRule="auto"/>
        <w:jc w:val="both"/>
        <w:rPr>
          <w:rFonts w:ascii="Arial" w:hAnsi="Arial"/>
        </w:rPr>
      </w:pPr>
      <w:r>
        <w:rPr>
          <w:rFonts w:ascii="Arial" w:hAnsi="Arial"/>
          <w:color w:val="0070C0"/>
        </w:rPr>
        <w:tab/>
      </w:r>
    </w:p>
    <w:p w14:paraId="108F85AF" w14:textId="77777777" w:rsidR="00874A36" w:rsidRDefault="00000000">
      <w:pPr>
        <w:spacing w:line="360" w:lineRule="auto"/>
        <w:jc w:val="both"/>
        <w:rPr>
          <w:rFonts w:ascii="Arial" w:eastAsia="Times New Roman" w:hAnsi="Arial"/>
          <w:b/>
          <w:color w:val="000000"/>
        </w:rPr>
      </w:pPr>
      <w:r>
        <w:rPr>
          <w:rFonts w:ascii="Arial" w:hAnsi="Arial"/>
        </w:rPr>
        <w:br w:type="page"/>
      </w:r>
    </w:p>
    <w:p w14:paraId="6D08429E" w14:textId="77777777" w:rsidR="00874A36" w:rsidRDefault="00000000">
      <w:pPr>
        <w:pStyle w:val="Heading2"/>
        <w:jc w:val="center"/>
      </w:pPr>
      <w:r>
        <w:lastRenderedPageBreak/>
        <w:t>Acknowledgements</w:t>
      </w:r>
    </w:p>
    <w:p w14:paraId="70F0A281" w14:textId="77777777" w:rsidR="00874A36" w:rsidRDefault="00874A36">
      <w:pPr>
        <w:spacing w:after="158" w:line="360" w:lineRule="auto"/>
        <w:jc w:val="both"/>
        <w:rPr>
          <w:rFonts w:ascii="Arial" w:hAnsi="Arial"/>
        </w:rPr>
      </w:pPr>
    </w:p>
    <w:p w14:paraId="5A97197C" w14:textId="00EA1478" w:rsidR="00874A36" w:rsidRDefault="00000000">
      <w:pPr>
        <w:spacing w:after="169" w:line="360" w:lineRule="auto"/>
        <w:jc w:val="both"/>
        <w:rPr>
          <w:rFonts w:ascii="Arial" w:hAnsi="Arial"/>
        </w:rPr>
      </w:pPr>
      <w:r>
        <w:rPr>
          <w:rFonts w:ascii="Arial" w:hAnsi="Arial"/>
        </w:rPr>
        <w:t xml:space="preserve">I want to thank everyone who has continuously assisted in finishing my dissertation. First and foremost, I want to express my gratitude to </w:t>
      </w:r>
      <w:r w:rsidR="0061027D">
        <w:rPr>
          <w:rFonts w:ascii="Arial" w:hAnsi="Arial"/>
        </w:rPr>
        <w:t>professor Soban Sadiq</w:t>
      </w:r>
      <w:r>
        <w:rPr>
          <w:rFonts w:ascii="Arial" w:hAnsi="Arial"/>
        </w:rPr>
        <w:t>, my mentor and boss, for all of his or her invaluable advice, perceptive criticism, and unwavering support while I worked to complete my research report.</w:t>
      </w:r>
    </w:p>
    <w:p w14:paraId="71B9962A" w14:textId="77777777" w:rsidR="00874A36" w:rsidRDefault="00000000">
      <w:pPr>
        <w:spacing w:after="0" w:line="360" w:lineRule="auto"/>
        <w:jc w:val="both"/>
        <w:rPr>
          <w:rFonts w:ascii="Arial" w:hAnsi="Arial"/>
        </w:rPr>
      </w:pPr>
      <w:r>
        <w:rPr>
          <w:rFonts w:ascii="Arial" w:hAnsi="Arial"/>
          <w:color w:val="0070C0"/>
        </w:rPr>
        <w:tab/>
      </w:r>
      <w:r>
        <w:rPr>
          <w:rFonts w:ascii="Arial" w:hAnsi="Arial"/>
        </w:rPr>
        <w:br w:type="page"/>
      </w:r>
    </w:p>
    <w:p w14:paraId="77C2CD94" w14:textId="77777777" w:rsidR="00874A36" w:rsidRDefault="00000000">
      <w:pPr>
        <w:pStyle w:val="Heading2"/>
        <w:jc w:val="center"/>
      </w:pPr>
      <w:r>
        <w:lastRenderedPageBreak/>
        <w:t>Abstract</w:t>
      </w:r>
    </w:p>
    <w:p w14:paraId="07559E94" w14:textId="77777777" w:rsidR="00874A36" w:rsidRDefault="00000000">
      <w:pPr>
        <w:spacing w:line="360" w:lineRule="auto"/>
        <w:jc w:val="both"/>
        <w:rPr>
          <w:rFonts w:ascii="Arial" w:hAnsi="Arial"/>
          <w:b/>
          <w:bCs/>
          <w:lang w:val="en-IN"/>
        </w:rPr>
      </w:pPr>
      <w:r>
        <w:rPr>
          <w:rFonts w:ascii="Arial" w:hAnsi="Arial"/>
          <w:b/>
          <w:bCs/>
          <w:lang w:val="en-IN"/>
        </w:rPr>
        <w:t>Research Problem and Objectives</w:t>
      </w:r>
    </w:p>
    <w:p w14:paraId="7AB15852" w14:textId="77777777" w:rsidR="00874A36" w:rsidRDefault="00000000">
      <w:pPr>
        <w:spacing w:line="360" w:lineRule="auto"/>
        <w:jc w:val="both"/>
        <w:rPr>
          <w:rFonts w:ascii="Arial" w:hAnsi="Arial"/>
          <w:lang w:val="en-IN"/>
        </w:rPr>
      </w:pPr>
      <w:r>
        <w:rPr>
          <w:rFonts w:ascii="Arial" w:hAnsi="Arial"/>
        </w:rPr>
        <w:t>The management of Type 1 Diabetes (T1D) is lifelong, but the improvement of the treatment and technology are not always directly related to a successful disease management and a better quality of life. The paper is an analysis of the impact of clinical, behavioural and socioeconomic variables on outcomes of the UK adult population experiencing T1D. The objectives are to examine socioeconomic inequalities, identify self-management challenges, evaluate treatment and support services, and assess physical, psychological and social impacts</w:t>
      </w:r>
      <w:r>
        <w:rPr>
          <w:rFonts w:ascii="Arial" w:hAnsi="Arial"/>
          <w:lang w:val="en-IN"/>
        </w:rPr>
        <w:t xml:space="preserve">. </w:t>
      </w:r>
    </w:p>
    <w:p w14:paraId="009649B7" w14:textId="77777777" w:rsidR="00874A36" w:rsidRDefault="00000000">
      <w:pPr>
        <w:spacing w:line="360" w:lineRule="auto"/>
        <w:jc w:val="both"/>
        <w:rPr>
          <w:rFonts w:ascii="Arial" w:hAnsi="Arial"/>
          <w:b/>
          <w:bCs/>
          <w:lang w:val="en-IN"/>
        </w:rPr>
      </w:pPr>
      <w:r>
        <w:rPr>
          <w:rFonts w:ascii="Arial" w:hAnsi="Arial"/>
          <w:b/>
          <w:bCs/>
          <w:lang w:val="en-IN"/>
        </w:rPr>
        <w:t>Methods</w:t>
      </w:r>
    </w:p>
    <w:p w14:paraId="209691C7" w14:textId="77777777" w:rsidR="00874A36" w:rsidRDefault="00000000">
      <w:pPr>
        <w:spacing w:line="360" w:lineRule="auto"/>
        <w:jc w:val="both"/>
        <w:rPr>
          <w:rFonts w:ascii="Arial" w:hAnsi="Arial"/>
          <w:lang w:val="en-IN"/>
        </w:rPr>
      </w:pPr>
      <w:r>
        <w:rPr>
          <w:rFonts w:ascii="Arial" w:hAnsi="Arial"/>
        </w:rPr>
        <w:t>A systematic literature review was conducted using PubMed, MDPI, Web of Science, ScienceDirect and Google Scholar. PRISMA was used to identify and screen studies and among the initially identified records 15 studies were included in the study. The systematical search and extraction of the relevant evidence were followed by a critical appraisal through CASP and JBI tools, and thematic analysis were used to synthesise it</w:t>
      </w:r>
      <w:r>
        <w:rPr>
          <w:rFonts w:ascii="Arial" w:hAnsi="Arial"/>
          <w:lang w:val="en-IN"/>
        </w:rPr>
        <w:t xml:space="preserve">. </w:t>
      </w:r>
    </w:p>
    <w:p w14:paraId="4B633DC9" w14:textId="77777777" w:rsidR="00874A36" w:rsidRDefault="00000000">
      <w:pPr>
        <w:spacing w:line="360" w:lineRule="auto"/>
        <w:jc w:val="both"/>
        <w:rPr>
          <w:rFonts w:ascii="Arial" w:hAnsi="Arial"/>
          <w:b/>
          <w:bCs/>
          <w:lang w:val="en-IN"/>
        </w:rPr>
      </w:pPr>
      <w:r>
        <w:rPr>
          <w:rFonts w:ascii="Arial" w:hAnsi="Arial"/>
          <w:b/>
          <w:bCs/>
          <w:lang w:val="en-IN"/>
        </w:rPr>
        <w:t>Key Results</w:t>
      </w:r>
    </w:p>
    <w:p w14:paraId="394619BB" w14:textId="77777777" w:rsidR="00874A36" w:rsidRDefault="00000000">
      <w:pPr>
        <w:spacing w:line="360" w:lineRule="auto"/>
        <w:jc w:val="both"/>
        <w:rPr>
          <w:rFonts w:ascii="Arial" w:hAnsi="Arial"/>
          <w:lang w:val="en-IN"/>
        </w:rPr>
      </w:pPr>
      <w:r>
        <w:rPr>
          <w:rFonts w:ascii="Arial" w:hAnsi="Arial"/>
        </w:rPr>
        <w:t>The review had identified how the improved technologies in diabetes tended to enhance the glycaemic results, yet deprivation and lack of digital access limited accessibility in a fair manner. The presence of self-efficacy, education and social support made management possible, and the presence of psychological distress, treatment burden and conflicting demands in life posed challenges. Notably, better clinical outcomes were not necessarily associated with better psychological wellbeing or quality of life</w:t>
      </w:r>
      <w:r>
        <w:rPr>
          <w:rFonts w:ascii="Arial" w:hAnsi="Arial"/>
          <w:lang w:val="en-IN"/>
        </w:rPr>
        <w:t>.</w:t>
      </w:r>
    </w:p>
    <w:p w14:paraId="5155E4AA" w14:textId="77777777" w:rsidR="00874A36" w:rsidRDefault="00000000">
      <w:pPr>
        <w:spacing w:line="360" w:lineRule="auto"/>
        <w:jc w:val="both"/>
        <w:rPr>
          <w:rFonts w:ascii="Arial" w:hAnsi="Arial"/>
          <w:b/>
          <w:bCs/>
          <w:lang w:val="en-IN"/>
        </w:rPr>
      </w:pPr>
      <w:r>
        <w:rPr>
          <w:rFonts w:ascii="Arial" w:hAnsi="Arial"/>
          <w:b/>
          <w:bCs/>
          <w:lang w:val="en-IN"/>
        </w:rPr>
        <w:t>Conclusion</w:t>
      </w:r>
    </w:p>
    <w:p w14:paraId="67321D68" w14:textId="77777777" w:rsidR="00874A36" w:rsidRDefault="00000000">
      <w:pPr>
        <w:spacing w:line="360" w:lineRule="auto"/>
        <w:jc w:val="both"/>
        <w:rPr>
          <w:rFonts w:ascii="Arial" w:hAnsi="Arial"/>
          <w:lang w:val="en-IN"/>
        </w:rPr>
      </w:pPr>
      <w:r>
        <w:rPr>
          <w:rFonts w:ascii="Arial" w:hAnsi="Arial"/>
        </w:rPr>
        <w:t>Clinical therapy, behavioural capacity, mental health, socioeconomic conditions and access to healthcare all interrelate to achieve successful T1D management. Thus, technology by itself is not an adequate thing. Multidisciplinary and person-centred care with a combination of clinical management and structured education, psychological support, fair access to technologies is advisable. Nevertheless, the direct comparisons can be made only in case of homogenized study designs and outcome measures, and thus, the necessity of longitudinal UK research assessing integrated interventions emerges</w:t>
      </w:r>
      <w:r>
        <w:rPr>
          <w:rFonts w:ascii="Arial" w:hAnsi="Arial"/>
          <w:lang w:val="en-IN"/>
        </w:rPr>
        <w:t>.</w:t>
      </w:r>
    </w:p>
    <w:p w14:paraId="089EFBD9" w14:textId="77777777" w:rsidR="00874A36" w:rsidRDefault="00874A36">
      <w:pPr>
        <w:spacing w:line="360" w:lineRule="auto"/>
        <w:rPr>
          <w:lang w:val="en-US"/>
        </w:rPr>
      </w:pPr>
    </w:p>
    <w:p w14:paraId="563057DF" w14:textId="77777777" w:rsidR="00874A36" w:rsidRDefault="00874A36">
      <w:pPr>
        <w:spacing w:after="158" w:line="360" w:lineRule="auto"/>
        <w:jc w:val="both"/>
        <w:rPr>
          <w:rFonts w:ascii="Arial" w:hAnsi="Arial"/>
        </w:rPr>
      </w:pPr>
    </w:p>
    <w:p w14:paraId="17A7EE04" w14:textId="77777777" w:rsidR="00874A36" w:rsidRDefault="00874A36">
      <w:pPr>
        <w:spacing w:after="14" w:line="360" w:lineRule="auto"/>
        <w:jc w:val="both"/>
        <w:rPr>
          <w:rFonts w:ascii="Arial" w:hAnsi="Arial"/>
        </w:rPr>
      </w:pPr>
    </w:p>
    <w:p w14:paraId="2062C76D" w14:textId="77777777" w:rsidR="00874A36" w:rsidRDefault="00874A36">
      <w:pPr>
        <w:spacing w:line="360" w:lineRule="auto"/>
        <w:jc w:val="both"/>
        <w:rPr>
          <w:rFonts w:ascii="Arial" w:hAnsi="Arial"/>
        </w:rPr>
      </w:pPr>
    </w:p>
    <w:p w14:paraId="08896E60" w14:textId="77777777" w:rsidR="00874A36" w:rsidRDefault="00874A36">
      <w:pPr>
        <w:spacing w:after="14" w:line="360" w:lineRule="auto"/>
        <w:ind w:left="705"/>
        <w:jc w:val="both"/>
        <w:rPr>
          <w:rFonts w:ascii="Arial" w:hAnsi="Arial"/>
        </w:rPr>
      </w:pPr>
    </w:p>
    <w:p w14:paraId="1B5C212F" w14:textId="77777777" w:rsidR="00874A36" w:rsidRDefault="00000000">
      <w:pPr>
        <w:pStyle w:val="Heading2"/>
        <w:jc w:val="center"/>
      </w:pPr>
      <w:r>
        <w:t>Table of contents</w:t>
      </w:r>
    </w:p>
    <w:p w14:paraId="3871C66A" w14:textId="77777777" w:rsidR="00874A36" w:rsidRDefault="00874A36">
      <w:pPr>
        <w:spacing w:after="158" w:line="360" w:lineRule="auto"/>
        <w:jc w:val="both"/>
        <w:rPr>
          <w:rFonts w:ascii="Arial" w:hAnsi="Arial"/>
        </w:rPr>
      </w:pPr>
    </w:p>
    <w:p w14:paraId="7FD5AF24" w14:textId="77777777" w:rsidR="00874A36" w:rsidRDefault="00000000">
      <w:pPr>
        <w:pStyle w:val="TOC1"/>
        <w:tabs>
          <w:tab w:val="right" w:leader="dot" w:pos="9016"/>
        </w:tabs>
        <w:spacing w:line="360" w:lineRule="auto"/>
        <w:rPr>
          <w:rFonts w:ascii="Arial" w:eastAsia="SimSun" w:hAnsi="Arial" w:cs="Arial"/>
          <w:noProof/>
          <w:color w:val="auto"/>
          <w:sz w:val="22"/>
          <w:lang w:val="en-IN" w:eastAsia="en-IN"/>
          <w14:ligatures w14:val="standardContextual"/>
        </w:rPr>
      </w:pPr>
      <w:r>
        <w:rPr>
          <w:rFonts w:ascii="Arial" w:hAnsi="Arial" w:cs="Arial"/>
          <w:sz w:val="22"/>
        </w:rPr>
        <w:fldChar w:fldCharType="begin"/>
      </w:r>
      <w:r>
        <w:rPr>
          <w:rFonts w:ascii="Arial" w:hAnsi="Arial" w:cs="Arial"/>
          <w:sz w:val="22"/>
        </w:rPr>
        <w:instrText xml:space="preserve"> TOC \o "1-1" \h \z \u </w:instrText>
      </w:r>
      <w:r>
        <w:rPr>
          <w:rFonts w:ascii="Arial" w:hAnsi="Arial" w:cs="Arial"/>
          <w:sz w:val="22"/>
        </w:rPr>
        <w:fldChar w:fldCharType="separate"/>
      </w:r>
      <w:hyperlink w:anchor="_Toc239687640" w:history="1">
        <w:r w:rsidR="00874A36">
          <w:rPr>
            <w:rStyle w:val="Hyperlink"/>
            <w:rFonts w:ascii="Arial" w:hAnsi="Arial" w:cs="Arial"/>
            <w:noProof/>
            <w:sz w:val="22"/>
          </w:rPr>
          <w:t>List of figures</w:t>
        </w:r>
        <w:r w:rsidR="00874A36">
          <w:rPr>
            <w:rFonts w:ascii="Arial" w:hAnsi="Arial" w:cs="Arial"/>
            <w:noProof/>
            <w:webHidden/>
            <w:sz w:val="22"/>
          </w:rPr>
          <w:tab/>
        </w:r>
        <w:r w:rsidR="00874A36">
          <w:rPr>
            <w:rFonts w:ascii="Arial" w:hAnsi="Arial" w:cs="Arial"/>
            <w:noProof/>
            <w:webHidden/>
            <w:sz w:val="22"/>
          </w:rPr>
          <w:fldChar w:fldCharType="begin"/>
        </w:r>
        <w:r w:rsidR="00874A36">
          <w:rPr>
            <w:rFonts w:ascii="Arial" w:hAnsi="Arial" w:cs="Arial"/>
            <w:noProof/>
            <w:webHidden/>
            <w:sz w:val="22"/>
          </w:rPr>
          <w:instrText xml:space="preserve"> PAGEREF _Toc239687640 \h </w:instrText>
        </w:r>
        <w:r w:rsidR="00874A36">
          <w:rPr>
            <w:rFonts w:ascii="Arial" w:hAnsi="Arial" w:cs="Arial"/>
            <w:noProof/>
            <w:webHidden/>
            <w:sz w:val="22"/>
          </w:rPr>
        </w:r>
        <w:r w:rsidR="00874A36">
          <w:rPr>
            <w:rFonts w:ascii="Arial" w:hAnsi="Arial" w:cs="Arial"/>
            <w:noProof/>
            <w:webHidden/>
            <w:sz w:val="22"/>
          </w:rPr>
          <w:fldChar w:fldCharType="separate"/>
        </w:r>
        <w:r w:rsidR="00874A36">
          <w:rPr>
            <w:rFonts w:ascii="Arial" w:hAnsi="Arial" w:cs="Arial"/>
            <w:noProof/>
            <w:webHidden/>
            <w:sz w:val="22"/>
          </w:rPr>
          <w:t>6</w:t>
        </w:r>
        <w:r w:rsidR="00874A36">
          <w:rPr>
            <w:rFonts w:ascii="Arial" w:hAnsi="Arial" w:cs="Arial"/>
            <w:noProof/>
            <w:webHidden/>
            <w:sz w:val="22"/>
          </w:rPr>
          <w:fldChar w:fldCharType="end"/>
        </w:r>
      </w:hyperlink>
    </w:p>
    <w:p w14:paraId="43ACE1BA"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1" w:history="1">
        <w:r>
          <w:rPr>
            <w:rStyle w:val="Hyperlink"/>
            <w:rFonts w:ascii="Arial" w:hAnsi="Arial" w:cs="Arial"/>
            <w:noProof/>
            <w:sz w:val="22"/>
          </w:rPr>
          <w:t>List of tables</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_Toc239687641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7</w:t>
        </w:r>
        <w:r>
          <w:rPr>
            <w:rFonts w:ascii="Arial" w:hAnsi="Arial" w:cs="Arial"/>
            <w:noProof/>
            <w:webHidden/>
            <w:sz w:val="22"/>
          </w:rPr>
          <w:fldChar w:fldCharType="end"/>
        </w:r>
      </w:hyperlink>
    </w:p>
    <w:p w14:paraId="5A5C7AE7"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2" w:history="1">
        <w:r>
          <w:rPr>
            <w:rStyle w:val="Hyperlink"/>
            <w:rFonts w:ascii="Arial" w:hAnsi="Arial" w:cs="Arial"/>
            <w:noProof/>
            <w:sz w:val="22"/>
          </w:rPr>
          <w:t>List of abbreviations</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_Toc239687642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8</w:t>
        </w:r>
        <w:r>
          <w:rPr>
            <w:rFonts w:ascii="Arial" w:hAnsi="Arial" w:cs="Arial"/>
            <w:noProof/>
            <w:webHidden/>
            <w:sz w:val="22"/>
          </w:rPr>
          <w:fldChar w:fldCharType="end"/>
        </w:r>
      </w:hyperlink>
    </w:p>
    <w:p w14:paraId="28E3E40F"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3" w:history="1">
        <w:r>
          <w:rPr>
            <w:rStyle w:val="Hyperlink"/>
            <w:rFonts w:ascii="Arial" w:hAnsi="Arial" w:cs="Arial"/>
            <w:noProof/>
            <w:sz w:val="22"/>
          </w:rPr>
          <w:t>Chapter 1: Introduction</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_Toc239687643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9</w:t>
        </w:r>
        <w:r>
          <w:rPr>
            <w:rFonts w:ascii="Arial" w:hAnsi="Arial" w:cs="Arial"/>
            <w:noProof/>
            <w:webHidden/>
            <w:sz w:val="22"/>
          </w:rPr>
          <w:fldChar w:fldCharType="end"/>
        </w:r>
      </w:hyperlink>
    </w:p>
    <w:p w14:paraId="49B0DBC1"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4" w:history="1">
        <w:r>
          <w:rPr>
            <w:rStyle w:val="Hyperlink"/>
            <w:rFonts w:ascii="Arial" w:hAnsi="Arial" w:cs="Arial"/>
            <w:noProof/>
            <w:sz w:val="22"/>
          </w:rPr>
          <w:t>Chapter 2: Literature Review /Theoretical Framework</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_Toc239687644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15</w:t>
        </w:r>
        <w:r>
          <w:rPr>
            <w:rFonts w:ascii="Arial" w:hAnsi="Arial" w:cs="Arial"/>
            <w:noProof/>
            <w:webHidden/>
            <w:sz w:val="22"/>
          </w:rPr>
          <w:fldChar w:fldCharType="end"/>
        </w:r>
      </w:hyperlink>
    </w:p>
    <w:p w14:paraId="20EB5FD2"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5" w:history="1">
        <w:r>
          <w:rPr>
            <w:rStyle w:val="Hyperlink"/>
            <w:rFonts w:ascii="Arial" w:hAnsi="Arial" w:cs="Arial"/>
            <w:noProof/>
            <w:sz w:val="22"/>
          </w:rPr>
          <w:t>Chapter 3: Research Methodology</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_Toc239687645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27</w:t>
        </w:r>
        <w:r>
          <w:rPr>
            <w:rFonts w:ascii="Arial" w:hAnsi="Arial" w:cs="Arial"/>
            <w:noProof/>
            <w:webHidden/>
            <w:sz w:val="22"/>
          </w:rPr>
          <w:fldChar w:fldCharType="end"/>
        </w:r>
      </w:hyperlink>
    </w:p>
    <w:p w14:paraId="00C7B390"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6" w:history="1">
        <w:r>
          <w:rPr>
            <w:rStyle w:val="Hyperlink"/>
            <w:rFonts w:ascii="Arial" w:hAnsi="Arial" w:cs="Arial"/>
            <w:noProof/>
            <w:sz w:val="22"/>
          </w:rPr>
          <w:t>Chapter 4: Results</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_Toc239687646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33</w:t>
        </w:r>
        <w:r>
          <w:rPr>
            <w:rFonts w:ascii="Arial" w:hAnsi="Arial" w:cs="Arial"/>
            <w:noProof/>
            <w:webHidden/>
            <w:sz w:val="22"/>
          </w:rPr>
          <w:fldChar w:fldCharType="end"/>
        </w:r>
      </w:hyperlink>
    </w:p>
    <w:p w14:paraId="08405E9A"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7" w:history="1">
        <w:r>
          <w:rPr>
            <w:rStyle w:val="Hyperlink"/>
            <w:rFonts w:ascii="Arial" w:hAnsi="Arial" w:cs="Arial"/>
            <w:noProof/>
            <w:sz w:val="22"/>
          </w:rPr>
          <w:t>Chapter 5: Discussion</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_Toc239687647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44</w:t>
        </w:r>
        <w:r>
          <w:rPr>
            <w:rFonts w:ascii="Arial" w:hAnsi="Arial" w:cs="Arial"/>
            <w:noProof/>
            <w:webHidden/>
            <w:sz w:val="22"/>
          </w:rPr>
          <w:fldChar w:fldCharType="end"/>
        </w:r>
      </w:hyperlink>
    </w:p>
    <w:p w14:paraId="2879F1C5"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8" w:history="1">
        <w:r>
          <w:rPr>
            <w:rStyle w:val="Hyperlink"/>
            <w:rFonts w:ascii="Arial" w:hAnsi="Arial" w:cs="Arial"/>
            <w:noProof/>
            <w:sz w:val="22"/>
          </w:rPr>
          <w:t>Chapter 6: Conclusion</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_Toc239687648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49</w:t>
        </w:r>
        <w:r>
          <w:rPr>
            <w:rFonts w:ascii="Arial" w:hAnsi="Arial" w:cs="Arial"/>
            <w:noProof/>
            <w:webHidden/>
            <w:sz w:val="22"/>
          </w:rPr>
          <w:fldChar w:fldCharType="end"/>
        </w:r>
      </w:hyperlink>
    </w:p>
    <w:p w14:paraId="693CDDE8"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49" w:history="1">
        <w:r>
          <w:rPr>
            <w:rStyle w:val="Hyperlink"/>
            <w:rFonts w:ascii="Arial" w:hAnsi="Arial" w:cs="Arial"/>
            <w:noProof/>
            <w:sz w:val="22"/>
          </w:rPr>
          <w:t>Reference list</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_Toc239687649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53</w:t>
        </w:r>
        <w:r>
          <w:rPr>
            <w:rFonts w:ascii="Arial" w:hAnsi="Arial" w:cs="Arial"/>
            <w:noProof/>
            <w:webHidden/>
            <w:sz w:val="22"/>
          </w:rPr>
          <w:fldChar w:fldCharType="end"/>
        </w:r>
      </w:hyperlink>
    </w:p>
    <w:p w14:paraId="5F19EC7A"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50" w:history="1">
        <w:r>
          <w:rPr>
            <w:rStyle w:val="Hyperlink"/>
            <w:rFonts w:ascii="Arial" w:hAnsi="Arial" w:cs="Arial"/>
            <w:noProof/>
            <w:sz w:val="22"/>
          </w:rPr>
          <w:t>Appendix 1: CASP Analysis</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_Toc239687650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70</w:t>
        </w:r>
        <w:r>
          <w:rPr>
            <w:rFonts w:ascii="Arial" w:hAnsi="Arial" w:cs="Arial"/>
            <w:noProof/>
            <w:webHidden/>
            <w:sz w:val="22"/>
          </w:rPr>
          <w:fldChar w:fldCharType="end"/>
        </w:r>
      </w:hyperlink>
    </w:p>
    <w:p w14:paraId="0091E8BA" w14:textId="77777777" w:rsidR="00874A36" w:rsidRDefault="00874A36">
      <w:pPr>
        <w:pStyle w:val="TOC1"/>
        <w:tabs>
          <w:tab w:val="right" w:leader="dot" w:pos="9016"/>
        </w:tabs>
        <w:spacing w:line="360" w:lineRule="auto"/>
        <w:rPr>
          <w:rFonts w:ascii="Arial" w:eastAsia="SimSun" w:hAnsi="Arial" w:cs="Arial"/>
          <w:noProof/>
          <w:color w:val="auto"/>
          <w:sz w:val="22"/>
          <w:lang w:val="en-IN" w:eastAsia="en-IN"/>
          <w14:ligatures w14:val="standardContextual"/>
        </w:rPr>
      </w:pPr>
      <w:hyperlink w:anchor="_Toc239687651" w:history="1">
        <w:r>
          <w:rPr>
            <w:rStyle w:val="Hyperlink"/>
            <w:rFonts w:ascii="Arial" w:hAnsi="Arial" w:cs="Arial"/>
            <w:noProof/>
            <w:sz w:val="22"/>
          </w:rPr>
          <w:t>Appendix 2: Data extraction</w:t>
        </w:r>
        <w:r>
          <w:rPr>
            <w:rFonts w:ascii="Arial" w:hAnsi="Arial" w:cs="Arial"/>
            <w:noProof/>
            <w:webHidden/>
            <w:sz w:val="22"/>
          </w:rPr>
          <w:tab/>
        </w:r>
        <w:r>
          <w:rPr>
            <w:rFonts w:ascii="Arial" w:hAnsi="Arial" w:cs="Arial"/>
            <w:noProof/>
            <w:webHidden/>
            <w:sz w:val="22"/>
          </w:rPr>
          <w:fldChar w:fldCharType="begin"/>
        </w:r>
        <w:r>
          <w:rPr>
            <w:rFonts w:ascii="Arial" w:hAnsi="Arial" w:cs="Arial"/>
            <w:noProof/>
            <w:webHidden/>
            <w:sz w:val="22"/>
          </w:rPr>
          <w:instrText xml:space="preserve"> PAGEREF _Toc239687651 \h </w:instrText>
        </w:r>
        <w:r>
          <w:rPr>
            <w:rFonts w:ascii="Arial" w:hAnsi="Arial" w:cs="Arial"/>
            <w:noProof/>
            <w:webHidden/>
            <w:sz w:val="22"/>
          </w:rPr>
        </w:r>
        <w:r>
          <w:rPr>
            <w:rFonts w:ascii="Arial" w:hAnsi="Arial" w:cs="Arial"/>
            <w:noProof/>
            <w:webHidden/>
            <w:sz w:val="22"/>
          </w:rPr>
          <w:fldChar w:fldCharType="separate"/>
        </w:r>
        <w:r>
          <w:rPr>
            <w:rFonts w:ascii="Arial" w:hAnsi="Arial" w:cs="Arial"/>
            <w:noProof/>
            <w:webHidden/>
            <w:sz w:val="22"/>
          </w:rPr>
          <w:t>74</w:t>
        </w:r>
        <w:r>
          <w:rPr>
            <w:rFonts w:ascii="Arial" w:hAnsi="Arial" w:cs="Arial"/>
            <w:noProof/>
            <w:webHidden/>
            <w:sz w:val="22"/>
          </w:rPr>
          <w:fldChar w:fldCharType="end"/>
        </w:r>
      </w:hyperlink>
    </w:p>
    <w:p w14:paraId="7899EA54" w14:textId="77777777" w:rsidR="00874A36" w:rsidRDefault="00000000">
      <w:pPr>
        <w:spacing w:line="360" w:lineRule="auto"/>
        <w:jc w:val="both"/>
        <w:rPr>
          <w:rFonts w:ascii="Arial" w:hAnsi="Arial"/>
        </w:rPr>
      </w:pPr>
      <w:r>
        <w:rPr>
          <w:rFonts w:ascii="Arial" w:hAnsi="Arial"/>
        </w:rPr>
        <w:fldChar w:fldCharType="end"/>
      </w:r>
    </w:p>
    <w:p w14:paraId="43BF92A6" w14:textId="77777777" w:rsidR="00874A36" w:rsidRDefault="00000000">
      <w:pPr>
        <w:spacing w:line="360" w:lineRule="auto"/>
        <w:jc w:val="both"/>
        <w:rPr>
          <w:rFonts w:ascii="Arial" w:eastAsia="Times New Roman" w:hAnsi="Arial"/>
          <w:b/>
          <w:color w:val="000000"/>
        </w:rPr>
      </w:pPr>
      <w:r>
        <w:rPr>
          <w:rFonts w:ascii="Arial" w:hAnsi="Arial"/>
        </w:rPr>
        <w:br w:type="page"/>
      </w:r>
    </w:p>
    <w:p w14:paraId="2769D288" w14:textId="77777777" w:rsidR="00874A36" w:rsidRDefault="00000000">
      <w:pPr>
        <w:pStyle w:val="Heading1"/>
      </w:pPr>
      <w:bookmarkStart w:id="0" w:name="_Toc239687640"/>
      <w:r>
        <w:lastRenderedPageBreak/>
        <w:t>List of figures</w:t>
      </w:r>
      <w:bookmarkEnd w:id="0"/>
    </w:p>
    <w:p w14:paraId="21BE7849" w14:textId="77777777" w:rsidR="00874A36" w:rsidRDefault="00000000">
      <w:pPr>
        <w:pStyle w:val="TableofFigures"/>
        <w:tabs>
          <w:tab w:val="right" w:leader="dot" w:pos="9016"/>
        </w:tabs>
        <w:spacing w:line="360" w:lineRule="auto"/>
        <w:rPr>
          <w:rFonts w:ascii="Arial" w:eastAsia="SimSun" w:hAnsi="Arial"/>
          <w:noProof/>
          <w:sz w:val="24"/>
          <w:szCs w:val="24"/>
          <w:lang w:val="en-IN" w:eastAsia="en-IN"/>
          <w14:ligatures w14:val="standardContextual"/>
        </w:rPr>
      </w:pPr>
      <w:r>
        <w:rPr>
          <w:rFonts w:ascii="Arial" w:eastAsia="Times New Roman" w:hAnsi="Arial"/>
        </w:rPr>
        <w:fldChar w:fldCharType="begin"/>
      </w:r>
      <w:r>
        <w:rPr>
          <w:rFonts w:ascii="Arial" w:eastAsia="Times New Roman" w:hAnsi="Arial"/>
        </w:rPr>
        <w:instrText xml:space="preserve"> TOC \h \z \t "Heading 4" \c </w:instrText>
      </w:r>
      <w:r>
        <w:rPr>
          <w:rFonts w:ascii="Arial" w:eastAsia="Times New Roman" w:hAnsi="Arial"/>
        </w:rPr>
        <w:fldChar w:fldCharType="separate"/>
      </w:r>
      <w:hyperlink w:anchor="_Toc235897036" w:history="1">
        <w:r w:rsidR="00874A36">
          <w:rPr>
            <w:rStyle w:val="Hyperlink"/>
            <w:rFonts w:ascii="Arial" w:hAnsi="Arial"/>
            <w:noProof/>
          </w:rPr>
          <w:t>Figure 1.1: People in the UK who have diabetes</w:t>
        </w:r>
        <w:r w:rsidR="00874A36">
          <w:rPr>
            <w:rFonts w:ascii="Arial" w:hAnsi="Arial"/>
            <w:noProof/>
            <w:webHidden/>
          </w:rPr>
          <w:tab/>
        </w:r>
        <w:r w:rsidR="00874A36">
          <w:rPr>
            <w:rFonts w:ascii="Arial" w:hAnsi="Arial"/>
            <w:noProof/>
            <w:webHidden/>
          </w:rPr>
          <w:fldChar w:fldCharType="begin"/>
        </w:r>
        <w:r w:rsidR="00874A36">
          <w:rPr>
            <w:rFonts w:ascii="Arial" w:hAnsi="Arial"/>
            <w:noProof/>
            <w:webHidden/>
          </w:rPr>
          <w:instrText xml:space="preserve"> PAGEREF _Toc235897036 \h </w:instrText>
        </w:r>
        <w:r w:rsidR="00874A36">
          <w:rPr>
            <w:rFonts w:ascii="Arial" w:hAnsi="Arial"/>
            <w:noProof/>
            <w:webHidden/>
          </w:rPr>
        </w:r>
        <w:r w:rsidR="00874A36">
          <w:rPr>
            <w:rFonts w:ascii="Arial" w:hAnsi="Arial"/>
            <w:noProof/>
            <w:webHidden/>
          </w:rPr>
          <w:fldChar w:fldCharType="separate"/>
        </w:r>
        <w:r w:rsidR="00874A36">
          <w:rPr>
            <w:rFonts w:ascii="Arial" w:hAnsi="Arial"/>
            <w:noProof/>
            <w:webHidden/>
          </w:rPr>
          <w:t>10</w:t>
        </w:r>
        <w:r w:rsidR="00874A36">
          <w:rPr>
            <w:rFonts w:ascii="Arial" w:hAnsi="Arial"/>
            <w:noProof/>
            <w:webHidden/>
          </w:rPr>
          <w:fldChar w:fldCharType="end"/>
        </w:r>
      </w:hyperlink>
    </w:p>
    <w:p w14:paraId="231949EF"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37" w:history="1">
        <w:r>
          <w:rPr>
            <w:rStyle w:val="Hyperlink"/>
            <w:rFonts w:ascii="Arial" w:hAnsi="Arial"/>
            <w:noProof/>
          </w:rPr>
          <w:t>Figure 1.2: Individuals with diabetes in England and Wales 2023/24</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_Toc235897037 \h </w:instrText>
        </w:r>
        <w:r>
          <w:rPr>
            <w:rFonts w:ascii="Arial" w:hAnsi="Arial"/>
            <w:noProof/>
            <w:webHidden/>
          </w:rPr>
        </w:r>
        <w:r>
          <w:rPr>
            <w:rFonts w:ascii="Arial" w:hAnsi="Arial"/>
            <w:noProof/>
            <w:webHidden/>
          </w:rPr>
          <w:fldChar w:fldCharType="separate"/>
        </w:r>
        <w:r>
          <w:rPr>
            <w:rFonts w:ascii="Arial" w:hAnsi="Arial"/>
            <w:noProof/>
            <w:webHidden/>
          </w:rPr>
          <w:t>11</w:t>
        </w:r>
        <w:r>
          <w:rPr>
            <w:rFonts w:ascii="Arial" w:hAnsi="Arial"/>
            <w:noProof/>
            <w:webHidden/>
          </w:rPr>
          <w:fldChar w:fldCharType="end"/>
        </w:r>
      </w:hyperlink>
    </w:p>
    <w:p w14:paraId="1C361F42"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38" w:history="1">
        <w:r>
          <w:rPr>
            <w:rStyle w:val="Hyperlink"/>
            <w:rFonts w:ascii="Arial" w:hAnsi="Arial"/>
            <w:noProof/>
          </w:rPr>
          <w:t>Figure 1.</w:t>
        </w:r>
        <w:r>
          <w:rPr>
            <w:rStyle w:val="Hyperlink"/>
            <w:rFonts w:ascii="Arial" w:hAnsi="Arial"/>
            <w:noProof/>
            <w:lang w:val="en-US"/>
          </w:rPr>
          <w:t>3</w:t>
        </w:r>
        <w:r>
          <w:rPr>
            <w:rStyle w:val="Hyperlink"/>
            <w:rFonts w:ascii="Arial" w:hAnsi="Arial"/>
            <w:noProof/>
          </w:rPr>
          <w:t>: Dissertation Structure</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_Toc235897038 \h </w:instrText>
        </w:r>
        <w:r>
          <w:rPr>
            <w:rFonts w:ascii="Arial" w:hAnsi="Arial"/>
            <w:noProof/>
            <w:webHidden/>
          </w:rPr>
        </w:r>
        <w:r>
          <w:rPr>
            <w:rFonts w:ascii="Arial" w:hAnsi="Arial"/>
            <w:noProof/>
            <w:webHidden/>
          </w:rPr>
          <w:fldChar w:fldCharType="separate"/>
        </w:r>
        <w:r>
          <w:rPr>
            <w:rFonts w:ascii="Arial" w:hAnsi="Arial"/>
            <w:noProof/>
            <w:webHidden/>
          </w:rPr>
          <w:t>14</w:t>
        </w:r>
        <w:r>
          <w:rPr>
            <w:rFonts w:ascii="Arial" w:hAnsi="Arial"/>
            <w:noProof/>
            <w:webHidden/>
          </w:rPr>
          <w:fldChar w:fldCharType="end"/>
        </w:r>
      </w:hyperlink>
    </w:p>
    <w:p w14:paraId="6359DAC0"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39" w:history="1">
        <w:r>
          <w:rPr>
            <w:rStyle w:val="Hyperlink"/>
            <w:rFonts w:ascii="Arial" w:hAnsi="Arial"/>
            <w:noProof/>
          </w:rPr>
          <w:t>Figure 2.1: Respondent interest in UK research for type 1 diabetes</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_Toc235897039 \h </w:instrText>
        </w:r>
        <w:r>
          <w:rPr>
            <w:rFonts w:ascii="Arial" w:hAnsi="Arial"/>
            <w:noProof/>
            <w:webHidden/>
          </w:rPr>
        </w:r>
        <w:r>
          <w:rPr>
            <w:rFonts w:ascii="Arial" w:hAnsi="Arial"/>
            <w:noProof/>
            <w:webHidden/>
          </w:rPr>
          <w:fldChar w:fldCharType="separate"/>
        </w:r>
        <w:r>
          <w:rPr>
            <w:rFonts w:ascii="Arial" w:hAnsi="Arial"/>
            <w:noProof/>
            <w:webHidden/>
          </w:rPr>
          <w:t>16</w:t>
        </w:r>
        <w:r>
          <w:rPr>
            <w:rFonts w:ascii="Arial" w:hAnsi="Arial"/>
            <w:noProof/>
            <w:webHidden/>
          </w:rPr>
          <w:fldChar w:fldCharType="end"/>
        </w:r>
      </w:hyperlink>
    </w:p>
    <w:p w14:paraId="0929E54D"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40" w:history="1">
        <w:r>
          <w:rPr>
            <w:rStyle w:val="Hyperlink"/>
            <w:rFonts w:ascii="Arial" w:hAnsi="Arial"/>
            <w:noProof/>
          </w:rPr>
          <w:t>Figure 2.2: Current research area in clinical science and care</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_Toc235897040 \h </w:instrText>
        </w:r>
        <w:r>
          <w:rPr>
            <w:rFonts w:ascii="Arial" w:hAnsi="Arial"/>
            <w:noProof/>
            <w:webHidden/>
          </w:rPr>
        </w:r>
        <w:r>
          <w:rPr>
            <w:rFonts w:ascii="Arial" w:hAnsi="Arial"/>
            <w:noProof/>
            <w:webHidden/>
          </w:rPr>
          <w:fldChar w:fldCharType="separate"/>
        </w:r>
        <w:r>
          <w:rPr>
            <w:rFonts w:ascii="Arial" w:hAnsi="Arial"/>
            <w:noProof/>
            <w:webHidden/>
          </w:rPr>
          <w:t>17</w:t>
        </w:r>
        <w:r>
          <w:rPr>
            <w:rFonts w:ascii="Arial" w:hAnsi="Arial"/>
            <w:noProof/>
            <w:webHidden/>
          </w:rPr>
          <w:fldChar w:fldCharType="end"/>
        </w:r>
      </w:hyperlink>
    </w:p>
    <w:p w14:paraId="274E5D84"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41" w:history="1">
        <w:r>
          <w:rPr>
            <w:rStyle w:val="Hyperlink"/>
            <w:rFonts w:ascii="Arial" w:hAnsi="Arial"/>
            <w:noProof/>
          </w:rPr>
          <w:t>Figure 2.3: Biopsychosocial approach</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_Toc235897041 \h </w:instrText>
        </w:r>
        <w:r>
          <w:rPr>
            <w:rFonts w:ascii="Arial" w:hAnsi="Arial"/>
            <w:noProof/>
            <w:webHidden/>
          </w:rPr>
        </w:r>
        <w:r>
          <w:rPr>
            <w:rFonts w:ascii="Arial" w:hAnsi="Arial"/>
            <w:noProof/>
            <w:webHidden/>
          </w:rPr>
          <w:fldChar w:fldCharType="separate"/>
        </w:r>
        <w:r>
          <w:rPr>
            <w:rFonts w:ascii="Arial" w:hAnsi="Arial"/>
            <w:noProof/>
            <w:webHidden/>
          </w:rPr>
          <w:t>21</w:t>
        </w:r>
        <w:r>
          <w:rPr>
            <w:rFonts w:ascii="Arial" w:hAnsi="Arial"/>
            <w:noProof/>
            <w:webHidden/>
          </w:rPr>
          <w:fldChar w:fldCharType="end"/>
        </w:r>
      </w:hyperlink>
    </w:p>
    <w:p w14:paraId="046660AE"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42" w:history="1">
        <w:r>
          <w:rPr>
            <w:rStyle w:val="Hyperlink"/>
            <w:rFonts w:ascii="Arial" w:hAnsi="Arial"/>
            <w:noProof/>
          </w:rPr>
          <w:t>Figure 2.4: Health Belief Model</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_Toc235897042 \h </w:instrText>
        </w:r>
        <w:r>
          <w:rPr>
            <w:rFonts w:ascii="Arial" w:hAnsi="Arial"/>
            <w:noProof/>
            <w:webHidden/>
          </w:rPr>
        </w:r>
        <w:r>
          <w:rPr>
            <w:rFonts w:ascii="Arial" w:hAnsi="Arial"/>
            <w:noProof/>
            <w:webHidden/>
          </w:rPr>
          <w:fldChar w:fldCharType="separate"/>
        </w:r>
        <w:r>
          <w:rPr>
            <w:rFonts w:ascii="Arial" w:hAnsi="Arial"/>
            <w:noProof/>
            <w:webHidden/>
          </w:rPr>
          <w:t>24</w:t>
        </w:r>
        <w:r>
          <w:rPr>
            <w:rFonts w:ascii="Arial" w:hAnsi="Arial"/>
            <w:noProof/>
            <w:webHidden/>
          </w:rPr>
          <w:fldChar w:fldCharType="end"/>
        </w:r>
      </w:hyperlink>
    </w:p>
    <w:p w14:paraId="6697B0E0"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7043" w:history="1">
        <w:r>
          <w:rPr>
            <w:rStyle w:val="Hyperlink"/>
            <w:rFonts w:ascii="Arial" w:hAnsi="Arial"/>
            <w:noProof/>
          </w:rPr>
          <w:t>Figure 4.1: PRISMA Diagram</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_Toc235897043 \h </w:instrText>
        </w:r>
        <w:r>
          <w:rPr>
            <w:rFonts w:ascii="Arial" w:hAnsi="Arial"/>
            <w:noProof/>
            <w:webHidden/>
          </w:rPr>
        </w:r>
        <w:r>
          <w:rPr>
            <w:rFonts w:ascii="Arial" w:hAnsi="Arial"/>
            <w:noProof/>
            <w:webHidden/>
          </w:rPr>
          <w:fldChar w:fldCharType="separate"/>
        </w:r>
        <w:r>
          <w:rPr>
            <w:rFonts w:ascii="Arial" w:hAnsi="Arial"/>
            <w:noProof/>
            <w:webHidden/>
          </w:rPr>
          <w:t>29</w:t>
        </w:r>
        <w:r>
          <w:rPr>
            <w:rFonts w:ascii="Arial" w:hAnsi="Arial"/>
            <w:noProof/>
            <w:webHidden/>
          </w:rPr>
          <w:fldChar w:fldCharType="end"/>
        </w:r>
      </w:hyperlink>
    </w:p>
    <w:p w14:paraId="64696E05" w14:textId="77777777" w:rsidR="00874A36" w:rsidRDefault="00000000">
      <w:pPr>
        <w:spacing w:after="179" w:line="360" w:lineRule="auto"/>
        <w:ind w:left="59"/>
        <w:jc w:val="both"/>
        <w:rPr>
          <w:rFonts w:ascii="Arial" w:hAnsi="Arial"/>
        </w:rPr>
      </w:pPr>
      <w:r>
        <w:rPr>
          <w:rFonts w:ascii="Arial" w:eastAsia="Times New Roman" w:hAnsi="Arial"/>
        </w:rPr>
        <w:fldChar w:fldCharType="end"/>
      </w:r>
    </w:p>
    <w:p w14:paraId="3BAE9E31" w14:textId="77777777" w:rsidR="00874A36" w:rsidRDefault="00874A36">
      <w:pPr>
        <w:spacing w:after="158" w:line="360" w:lineRule="auto"/>
        <w:jc w:val="both"/>
        <w:rPr>
          <w:rFonts w:ascii="Arial" w:hAnsi="Arial"/>
        </w:rPr>
      </w:pPr>
    </w:p>
    <w:p w14:paraId="34F7989D" w14:textId="77777777" w:rsidR="00874A36" w:rsidRDefault="00874A36">
      <w:pPr>
        <w:spacing w:after="156" w:line="360" w:lineRule="auto"/>
        <w:ind w:left="59"/>
        <w:jc w:val="both"/>
        <w:rPr>
          <w:rFonts w:ascii="Arial" w:hAnsi="Arial"/>
        </w:rPr>
      </w:pPr>
    </w:p>
    <w:p w14:paraId="19A69E92" w14:textId="77777777" w:rsidR="00874A36" w:rsidRDefault="00000000">
      <w:pPr>
        <w:spacing w:line="360" w:lineRule="auto"/>
        <w:jc w:val="both"/>
        <w:rPr>
          <w:rFonts w:ascii="Arial" w:eastAsia="Times New Roman" w:hAnsi="Arial"/>
          <w:b/>
          <w:color w:val="000000"/>
        </w:rPr>
      </w:pPr>
      <w:r>
        <w:rPr>
          <w:rFonts w:ascii="Arial" w:hAnsi="Arial"/>
        </w:rPr>
        <w:br w:type="page"/>
      </w:r>
    </w:p>
    <w:p w14:paraId="281E1138" w14:textId="77777777" w:rsidR="00874A36" w:rsidRDefault="00000000">
      <w:pPr>
        <w:pStyle w:val="Heading1"/>
      </w:pPr>
      <w:bookmarkStart w:id="1" w:name="_Toc239687641"/>
      <w:r>
        <w:lastRenderedPageBreak/>
        <w:t>List of tables</w:t>
      </w:r>
      <w:bookmarkEnd w:id="1"/>
      <w:r>
        <w:t xml:space="preserve"> </w:t>
      </w:r>
    </w:p>
    <w:p w14:paraId="24876471" w14:textId="77777777" w:rsidR="00874A36" w:rsidRDefault="00000000">
      <w:pPr>
        <w:pStyle w:val="TableofFigures"/>
        <w:tabs>
          <w:tab w:val="right" w:leader="dot" w:pos="9016"/>
        </w:tabs>
        <w:spacing w:line="360" w:lineRule="auto"/>
        <w:rPr>
          <w:rFonts w:ascii="Arial" w:eastAsia="SimSun" w:hAnsi="Arial"/>
          <w:noProof/>
          <w:sz w:val="24"/>
          <w:szCs w:val="24"/>
          <w:lang w:val="en-IN" w:eastAsia="en-IN"/>
          <w14:ligatures w14:val="standardContextual"/>
        </w:rPr>
      </w:pPr>
      <w:r>
        <w:rPr>
          <w:rFonts w:ascii="Arial" w:hAnsi="Arial"/>
        </w:rPr>
        <w:fldChar w:fldCharType="begin"/>
      </w:r>
      <w:r>
        <w:rPr>
          <w:rFonts w:ascii="Arial" w:hAnsi="Arial"/>
        </w:rPr>
        <w:instrText xml:space="preserve"> TOC \h \z \t "Heading 5" \c </w:instrText>
      </w:r>
      <w:r>
        <w:rPr>
          <w:rFonts w:ascii="Arial" w:hAnsi="Arial"/>
        </w:rPr>
        <w:fldChar w:fldCharType="separate"/>
      </w:r>
      <w:hyperlink w:anchor="_Toc235896187" w:history="1">
        <w:r w:rsidR="00874A36">
          <w:rPr>
            <w:rStyle w:val="Hyperlink"/>
            <w:rFonts w:ascii="Arial" w:hAnsi="Arial"/>
            <w:noProof/>
          </w:rPr>
          <w:t>Table 4.1: Boolean search strategy</w:t>
        </w:r>
        <w:r w:rsidR="00874A36">
          <w:rPr>
            <w:rFonts w:ascii="Arial" w:hAnsi="Arial"/>
            <w:noProof/>
            <w:webHidden/>
          </w:rPr>
          <w:tab/>
        </w:r>
        <w:r w:rsidR="00874A36">
          <w:rPr>
            <w:rFonts w:ascii="Arial" w:hAnsi="Arial"/>
            <w:noProof/>
            <w:webHidden/>
          </w:rPr>
          <w:fldChar w:fldCharType="begin"/>
        </w:r>
        <w:r w:rsidR="00874A36">
          <w:rPr>
            <w:rFonts w:ascii="Arial" w:hAnsi="Arial"/>
            <w:noProof/>
            <w:webHidden/>
          </w:rPr>
          <w:instrText xml:space="preserve"> PAGEREF _Toc235896187 \h </w:instrText>
        </w:r>
        <w:r w:rsidR="00874A36">
          <w:rPr>
            <w:rFonts w:ascii="Arial" w:hAnsi="Arial"/>
            <w:noProof/>
            <w:webHidden/>
          </w:rPr>
        </w:r>
        <w:r w:rsidR="00874A36">
          <w:rPr>
            <w:rFonts w:ascii="Arial" w:hAnsi="Arial"/>
            <w:noProof/>
            <w:webHidden/>
          </w:rPr>
          <w:fldChar w:fldCharType="separate"/>
        </w:r>
        <w:r w:rsidR="00874A36">
          <w:rPr>
            <w:rFonts w:ascii="Arial" w:hAnsi="Arial"/>
            <w:noProof/>
            <w:webHidden/>
          </w:rPr>
          <w:t>29</w:t>
        </w:r>
        <w:r w:rsidR="00874A36">
          <w:rPr>
            <w:rFonts w:ascii="Arial" w:hAnsi="Arial"/>
            <w:noProof/>
            <w:webHidden/>
          </w:rPr>
          <w:fldChar w:fldCharType="end"/>
        </w:r>
      </w:hyperlink>
    </w:p>
    <w:p w14:paraId="79250762" w14:textId="77777777" w:rsidR="00874A36" w:rsidRDefault="00874A36">
      <w:pPr>
        <w:pStyle w:val="TableofFigures"/>
        <w:tabs>
          <w:tab w:val="right" w:leader="dot" w:pos="9016"/>
        </w:tabs>
        <w:spacing w:line="360" w:lineRule="auto"/>
        <w:rPr>
          <w:rFonts w:ascii="Arial" w:eastAsia="SimSun" w:hAnsi="Arial"/>
          <w:noProof/>
          <w:sz w:val="24"/>
          <w:szCs w:val="24"/>
          <w:lang w:val="en-IN" w:eastAsia="en-IN"/>
          <w14:ligatures w14:val="standardContextual"/>
        </w:rPr>
      </w:pPr>
      <w:hyperlink w:anchor="_Toc235896188" w:history="1">
        <w:r>
          <w:rPr>
            <w:rStyle w:val="Hyperlink"/>
            <w:rFonts w:ascii="Arial" w:hAnsi="Arial"/>
            <w:noProof/>
          </w:rPr>
          <w:t>Table 4.2: Inclusion and Exclusion Criteria</w:t>
        </w:r>
        <w:r>
          <w:rPr>
            <w:rFonts w:ascii="Arial" w:hAnsi="Arial"/>
            <w:noProof/>
            <w:webHidden/>
          </w:rPr>
          <w:tab/>
        </w:r>
        <w:r>
          <w:rPr>
            <w:rFonts w:ascii="Arial" w:hAnsi="Arial"/>
            <w:noProof/>
            <w:webHidden/>
          </w:rPr>
          <w:fldChar w:fldCharType="begin"/>
        </w:r>
        <w:r>
          <w:rPr>
            <w:rFonts w:ascii="Arial" w:hAnsi="Arial"/>
            <w:noProof/>
            <w:webHidden/>
          </w:rPr>
          <w:instrText xml:space="preserve"> PAGEREF _Toc235896188 \h </w:instrText>
        </w:r>
        <w:r>
          <w:rPr>
            <w:rFonts w:ascii="Arial" w:hAnsi="Arial"/>
            <w:noProof/>
            <w:webHidden/>
          </w:rPr>
        </w:r>
        <w:r>
          <w:rPr>
            <w:rFonts w:ascii="Arial" w:hAnsi="Arial"/>
            <w:noProof/>
            <w:webHidden/>
          </w:rPr>
          <w:fldChar w:fldCharType="separate"/>
        </w:r>
        <w:r>
          <w:rPr>
            <w:rFonts w:ascii="Arial" w:hAnsi="Arial"/>
            <w:noProof/>
            <w:webHidden/>
          </w:rPr>
          <w:t>29</w:t>
        </w:r>
        <w:r>
          <w:rPr>
            <w:rFonts w:ascii="Arial" w:hAnsi="Arial"/>
            <w:noProof/>
            <w:webHidden/>
          </w:rPr>
          <w:fldChar w:fldCharType="end"/>
        </w:r>
      </w:hyperlink>
    </w:p>
    <w:p w14:paraId="1C992D9E" w14:textId="77777777" w:rsidR="00874A36" w:rsidRDefault="00000000">
      <w:pPr>
        <w:spacing w:after="205" w:line="360" w:lineRule="auto"/>
        <w:jc w:val="both"/>
        <w:rPr>
          <w:rFonts w:ascii="Arial" w:hAnsi="Arial"/>
        </w:rPr>
      </w:pPr>
      <w:r>
        <w:rPr>
          <w:rFonts w:ascii="Arial" w:hAnsi="Arial"/>
        </w:rPr>
        <w:fldChar w:fldCharType="end"/>
      </w:r>
    </w:p>
    <w:p w14:paraId="3B77D958" w14:textId="77777777" w:rsidR="00874A36" w:rsidRDefault="00874A36">
      <w:pPr>
        <w:spacing w:after="169" w:line="360" w:lineRule="auto"/>
        <w:jc w:val="both"/>
        <w:rPr>
          <w:rFonts w:ascii="Arial" w:hAnsi="Arial"/>
        </w:rPr>
      </w:pPr>
    </w:p>
    <w:p w14:paraId="7FD9E1BA" w14:textId="77777777" w:rsidR="00874A36" w:rsidRDefault="00000000">
      <w:pPr>
        <w:spacing w:line="360" w:lineRule="auto"/>
        <w:jc w:val="both"/>
        <w:rPr>
          <w:rFonts w:ascii="Arial" w:eastAsia="Times New Roman" w:hAnsi="Arial"/>
          <w:b/>
          <w:color w:val="000000"/>
        </w:rPr>
      </w:pPr>
      <w:r>
        <w:rPr>
          <w:rFonts w:ascii="Arial" w:hAnsi="Arial"/>
        </w:rPr>
        <w:br w:type="page"/>
      </w:r>
    </w:p>
    <w:p w14:paraId="64B597D3" w14:textId="77777777" w:rsidR="00874A36" w:rsidRDefault="00000000">
      <w:pPr>
        <w:pStyle w:val="Heading1"/>
        <w:jc w:val="center"/>
      </w:pPr>
      <w:bookmarkStart w:id="2" w:name="_Toc239687642"/>
      <w:r>
        <w:lastRenderedPageBreak/>
        <w:t>List of abbreviations</w:t>
      </w:r>
      <w:bookmarkEnd w:id="2"/>
    </w:p>
    <w:p w14:paraId="258E7237" w14:textId="77777777" w:rsidR="00874A36" w:rsidRDefault="00874A36">
      <w:pPr>
        <w:spacing w:after="158" w:line="360" w:lineRule="auto"/>
        <w:ind w:left="59"/>
        <w:jc w:val="both"/>
        <w:rPr>
          <w:rFonts w:ascii="Arial" w:hAnsi="Arial"/>
        </w:rPr>
      </w:pPr>
    </w:p>
    <w:p w14:paraId="64C0656B"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AI:</w:t>
      </w:r>
      <w:r>
        <w:rPr>
          <w:rFonts w:ascii="Arial" w:hAnsi="Arial"/>
          <w:lang w:val="en-IN"/>
        </w:rPr>
        <w:t xml:space="preserve"> Artificial Intelligence</w:t>
      </w:r>
    </w:p>
    <w:p w14:paraId="43FFB7FA"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QoL:</w:t>
      </w:r>
      <w:r>
        <w:rPr>
          <w:rFonts w:ascii="Arial" w:hAnsi="Arial"/>
          <w:lang w:val="en-IN"/>
        </w:rPr>
        <w:t xml:space="preserve"> Quality of Life </w:t>
      </w:r>
    </w:p>
    <w:p w14:paraId="4441C032"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SLR:</w:t>
      </w:r>
      <w:r>
        <w:rPr>
          <w:rFonts w:ascii="Arial" w:hAnsi="Arial"/>
          <w:lang w:val="en-IN"/>
        </w:rPr>
        <w:t xml:space="preserve"> Systematic Literature Review</w:t>
      </w:r>
    </w:p>
    <w:p w14:paraId="297717DB"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T1D / T1DM:</w:t>
      </w:r>
      <w:r>
        <w:rPr>
          <w:rFonts w:ascii="Arial" w:hAnsi="Arial"/>
          <w:lang w:val="en-IN"/>
        </w:rPr>
        <w:t xml:space="preserve"> Type 1 Diabetes / Type 1 Diabetes Mellitus </w:t>
      </w:r>
    </w:p>
    <w:p w14:paraId="58DAF04B"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T2D:</w:t>
      </w:r>
      <w:r>
        <w:rPr>
          <w:rFonts w:ascii="Arial" w:hAnsi="Arial"/>
          <w:lang w:val="en-IN"/>
        </w:rPr>
        <w:t xml:space="preserve"> Type 2 Diabetes   </w:t>
      </w:r>
    </w:p>
    <w:p w14:paraId="62414EE0" w14:textId="77777777" w:rsidR="00874A36" w:rsidRDefault="00000000">
      <w:pPr>
        <w:tabs>
          <w:tab w:val="center" w:pos="3189"/>
        </w:tabs>
        <w:spacing w:after="173" w:line="360" w:lineRule="auto"/>
        <w:ind w:left="360"/>
        <w:jc w:val="both"/>
        <w:rPr>
          <w:rFonts w:ascii="Arial" w:hAnsi="Arial"/>
          <w:lang w:val="en-IN"/>
        </w:rPr>
      </w:pPr>
      <w:r>
        <w:rPr>
          <w:rFonts w:ascii="Arial" w:hAnsi="Arial"/>
          <w:b/>
          <w:bCs/>
        </w:rPr>
        <w:t>UK:</w:t>
      </w:r>
      <w:r>
        <w:rPr>
          <w:rFonts w:ascii="Arial" w:hAnsi="Arial"/>
        </w:rPr>
        <w:t xml:space="preserve"> United Kingdom</w:t>
      </w:r>
    </w:p>
    <w:p w14:paraId="7E7BDB36"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CASP:</w:t>
      </w:r>
      <w:r>
        <w:rPr>
          <w:rFonts w:ascii="Arial" w:hAnsi="Arial"/>
          <w:lang w:val="en-IN"/>
        </w:rPr>
        <w:t xml:space="preserve"> Critical Appraisal Skills Programme </w:t>
      </w:r>
    </w:p>
    <w:p w14:paraId="70959FC6"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HbA1c:</w:t>
      </w:r>
      <w:r>
        <w:rPr>
          <w:rFonts w:ascii="Arial" w:hAnsi="Arial"/>
          <w:lang w:val="en-IN"/>
        </w:rPr>
        <w:t xml:space="preserve"> Glycated Haemoglobin </w:t>
      </w:r>
    </w:p>
    <w:p w14:paraId="371F6431"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SMT:</w:t>
      </w:r>
      <w:r>
        <w:rPr>
          <w:rFonts w:ascii="Arial" w:hAnsi="Arial"/>
          <w:lang w:val="en-IN"/>
        </w:rPr>
        <w:t xml:space="preserve"> Self-Management Theory </w:t>
      </w:r>
    </w:p>
    <w:p w14:paraId="4A538FFB"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PICO:</w:t>
      </w:r>
      <w:r>
        <w:rPr>
          <w:rFonts w:ascii="Arial" w:hAnsi="Arial"/>
          <w:lang w:val="en-IN"/>
        </w:rPr>
        <w:t xml:space="preserve"> Population, Intervention, Comparison, Outcome </w:t>
      </w:r>
    </w:p>
    <w:p w14:paraId="02C76468"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PRISMA:</w:t>
      </w:r>
      <w:r>
        <w:rPr>
          <w:rFonts w:ascii="Arial" w:hAnsi="Arial"/>
          <w:lang w:val="en-IN"/>
        </w:rPr>
        <w:t xml:space="preserve"> Preferred Reporting Items for Systematic Reviews and Meta-Analyses </w:t>
      </w:r>
    </w:p>
    <w:p w14:paraId="3663A38D"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CGM:</w:t>
      </w:r>
      <w:r>
        <w:rPr>
          <w:rFonts w:ascii="Arial" w:hAnsi="Arial"/>
          <w:lang w:val="en-IN"/>
        </w:rPr>
        <w:t xml:space="preserve"> Continuous Glucose Monitoring / Continuous Glucose Monitor </w:t>
      </w:r>
    </w:p>
    <w:p w14:paraId="278633CA"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HBM:</w:t>
      </w:r>
      <w:r>
        <w:rPr>
          <w:rFonts w:ascii="Arial" w:hAnsi="Arial"/>
          <w:lang w:val="en-IN"/>
        </w:rPr>
        <w:t xml:space="preserve"> Health Belief Model </w:t>
      </w:r>
    </w:p>
    <w:p w14:paraId="627D9583"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HCLS:</w:t>
      </w:r>
      <w:r>
        <w:rPr>
          <w:rFonts w:ascii="Arial" w:hAnsi="Arial"/>
          <w:lang w:val="en-IN"/>
        </w:rPr>
        <w:t xml:space="preserve"> Hybrid Closed-Loop System </w:t>
      </w:r>
    </w:p>
    <w:p w14:paraId="06DDA739"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HRQoL:</w:t>
      </w:r>
      <w:r>
        <w:rPr>
          <w:rFonts w:ascii="Arial" w:hAnsi="Arial"/>
          <w:lang w:val="en-IN"/>
        </w:rPr>
        <w:t xml:space="preserve"> Health-Related Quality of Life </w:t>
      </w:r>
    </w:p>
    <w:p w14:paraId="0064E704"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MDPI:</w:t>
      </w:r>
      <w:r>
        <w:rPr>
          <w:rFonts w:ascii="Arial" w:hAnsi="Arial"/>
          <w:lang w:val="en-IN"/>
        </w:rPr>
        <w:t xml:space="preserve"> Multidisciplinary Digital Publishing Institute </w:t>
      </w:r>
    </w:p>
    <w:p w14:paraId="39FF257F"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NHS:</w:t>
      </w:r>
      <w:r>
        <w:rPr>
          <w:rFonts w:ascii="Arial" w:hAnsi="Arial"/>
          <w:lang w:val="en-IN"/>
        </w:rPr>
        <w:t xml:space="preserve"> National Health Service </w:t>
      </w:r>
    </w:p>
    <w:p w14:paraId="0C4E56F4"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JBI:</w:t>
      </w:r>
      <w:r>
        <w:rPr>
          <w:rFonts w:ascii="Arial" w:hAnsi="Arial"/>
          <w:lang w:val="en-IN"/>
        </w:rPr>
        <w:t xml:space="preserve"> Joanna Briggs Institute </w:t>
      </w:r>
    </w:p>
    <w:p w14:paraId="346A7A06" w14:textId="77777777" w:rsidR="00874A36" w:rsidRDefault="00000000">
      <w:pPr>
        <w:tabs>
          <w:tab w:val="center" w:pos="3189"/>
        </w:tabs>
        <w:spacing w:after="173" w:line="360" w:lineRule="auto"/>
        <w:ind w:left="360"/>
        <w:jc w:val="both"/>
        <w:rPr>
          <w:rFonts w:ascii="Arial" w:hAnsi="Arial"/>
          <w:lang w:val="en-IN"/>
        </w:rPr>
      </w:pPr>
      <w:r>
        <w:rPr>
          <w:rFonts w:ascii="Arial" w:hAnsi="Arial"/>
          <w:b/>
          <w:bCs/>
          <w:lang w:val="en-IN"/>
        </w:rPr>
        <w:t>PROMs:</w:t>
      </w:r>
      <w:r>
        <w:rPr>
          <w:rFonts w:ascii="Arial" w:hAnsi="Arial"/>
          <w:lang w:val="en-IN"/>
        </w:rPr>
        <w:t xml:space="preserve"> Patient-Reported Outcome Measures </w:t>
      </w:r>
    </w:p>
    <w:p w14:paraId="73D81889" w14:textId="77777777" w:rsidR="00874A36" w:rsidRDefault="00874A36">
      <w:pPr>
        <w:tabs>
          <w:tab w:val="center" w:pos="3189"/>
        </w:tabs>
        <w:spacing w:after="173" w:line="360" w:lineRule="auto"/>
        <w:jc w:val="both"/>
        <w:rPr>
          <w:rFonts w:ascii="Arial" w:hAnsi="Arial"/>
        </w:rPr>
      </w:pPr>
    </w:p>
    <w:p w14:paraId="4432303D" w14:textId="77777777" w:rsidR="00874A36" w:rsidRDefault="00000000">
      <w:pPr>
        <w:spacing w:after="0" w:line="360" w:lineRule="auto"/>
        <w:jc w:val="both"/>
        <w:rPr>
          <w:rFonts w:ascii="Arial" w:hAnsi="Arial"/>
        </w:rPr>
      </w:pPr>
      <w:r>
        <w:rPr>
          <w:rFonts w:ascii="Arial" w:eastAsia="Times New Roman" w:hAnsi="Arial"/>
          <w:b/>
          <w:i/>
        </w:rPr>
        <w:tab/>
      </w:r>
    </w:p>
    <w:p w14:paraId="5471605C" w14:textId="77777777" w:rsidR="00874A36" w:rsidRDefault="00000000">
      <w:pPr>
        <w:spacing w:line="360" w:lineRule="auto"/>
        <w:jc w:val="both"/>
        <w:rPr>
          <w:rFonts w:ascii="Arial" w:eastAsia="Times New Roman" w:hAnsi="Arial"/>
          <w:b/>
          <w:color w:val="000000"/>
        </w:rPr>
      </w:pPr>
      <w:r>
        <w:rPr>
          <w:rFonts w:ascii="Arial" w:hAnsi="Arial"/>
        </w:rPr>
        <w:br w:type="page"/>
      </w:r>
    </w:p>
    <w:p w14:paraId="1C8A9F36" w14:textId="77777777" w:rsidR="00874A36" w:rsidRDefault="00874A36">
      <w:pPr>
        <w:spacing w:after="0" w:line="360" w:lineRule="auto"/>
        <w:jc w:val="both"/>
        <w:rPr>
          <w:rFonts w:ascii="Arial" w:hAnsi="Arial"/>
        </w:rPr>
      </w:pPr>
    </w:p>
    <w:p w14:paraId="0D0AA2C7" w14:textId="77777777" w:rsidR="00874A36" w:rsidRDefault="00000000">
      <w:pPr>
        <w:pStyle w:val="Heading1"/>
      </w:pPr>
      <w:bookmarkStart w:id="3" w:name="_Toc239687643"/>
      <w:r>
        <w:t>Chapter 1: Introduction</w:t>
      </w:r>
      <w:bookmarkEnd w:id="3"/>
      <w:r>
        <w:t xml:space="preserve"> </w:t>
      </w:r>
    </w:p>
    <w:p w14:paraId="6C135CB2" w14:textId="77777777" w:rsidR="00874A36" w:rsidRDefault="00000000">
      <w:pPr>
        <w:pStyle w:val="Heading2"/>
      </w:pPr>
      <w:bookmarkStart w:id="4" w:name="_wiov76zb2ecf" w:colFirst="0" w:colLast="0"/>
      <w:bookmarkStart w:id="5" w:name="_Toc234278686"/>
      <w:bookmarkEnd w:id="4"/>
      <w:r>
        <w:t>1.1 Introduction</w:t>
      </w:r>
      <w:bookmarkEnd w:id="5"/>
    </w:p>
    <w:p w14:paraId="3DD7FF8B" w14:textId="77777777" w:rsidR="00874A36" w:rsidRDefault="00000000">
      <w:pPr>
        <w:spacing w:line="360" w:lineRule="auto"/>
        <w:jc w:val="both"/>
        <w:rPr>
          <w:rFonts w:ascii="Arial" w:hAnsi="Arial"/>
        </w:rPr>
      </w:pPr>
      <w:r>
        <w:rPr>
          <w:rFonts w:ascii="Arial" w:hAnsi="Arial"/>
        </w:rPr>
        <w:t xml:space="preserve">Type 1 Diabetes is a lifelong illness that needs to be managed consistently, and it can have severe physical, psychological and interpersonal impacts. The chapter puts forward the research context, the current knowledge and research problem, the scope of the research and the research aim, objectives and questions that the systematic review is going to follow. </w:t>
      </w:r>
    </w:p>
    <w:p w14:paraId="22733A1C" w14:textId="77777777" w:rsidR="00874A36" w:rsidRDefault="00000000">
      <w:pPr>
        <w:pStyle w:val="Heading2"/>
      </w:pPr>
      <w:bookmarkStart w:id="6" w:name="_clrsn7p7r7hq" w:colFirst="0" w:colLast="0"/>
      <w:bookmarkStart w:id="7" w:name="_Toc234278687"/>
      <w:bookmarkEnd w:id="6"/>
      <w:r>
        <w:t>1.2 Research Background</w:t>
      </w:r>
      <w:bookmarkEnd w:id="7"/>
    </w:p>
    <w:p w14:paraId="39890A01" w14:textId="77777777" w:rsidR="00874A36" w:rsidRDefault="00000000">
      <w:pPr>
        <w:spacing w:before="240" w:after="240" w:line="360" w:lineRule="auto"/>
        <w:jc w:val="both"/>
        <w:rPr>
          <w:rFonts w:ascii="Arial" w:hAnsi="Arial"/>
        </w:rPr>
      </w:pPr>
      <w:r>
        <w:rPr>
          <w:rFonts w:ascii="Arial" w:hAnsi="Arial"/>
        </w:rPr>
        <w:t>Diabetes type 1 is an autoimmune disorder that has a chronic form, in which the beta cells of the pancreas are destroyed, leaving a person permanently insulin-deficient and requiring a lifelong insulin dependence. Compared to Type 2 diabetes, Type 1 diabetes is not related to lifestyle and has to be maintained with persistent regulation of blood glucose levels, the intake of insulin, management of nutrition and physical activity (Kueh</w:t>
      </w:r>
      <w:r>
        <w:rPr>
          <w:rFonts w:ascii="Arial" w:hAnsi="Arial"/>
          <w:i/>
          <w:iCs/>
        </w:rPr>
        <w:t xml:space="preserve"> et al</w:t>
      </w:r>
      <w:r>
        <w:rPr>
          <w:rFonts w:ascii="Arial" w:hAnsi="Arial"/>
        </w:rPr>
        <w:t>., 2023). The problem occurs in people of all ages, but advances in the medical field and treatments have greatly extended life expectancy, resulting in an increasing number of adults with the illness in the United Kingdom (</w:t>
      </w:r>
      <w:r>
        <w:rPr>
          <w:rFonts w:ascii="Arial" w:eastAsia="Arial" w:hAnsi="Arial"/>
          <w:color w:val="222222"/>
          <w:highlight w:val="white"/>
        </w:rPr>
        <w:t>Ziegler</w:t>
      </w:r>
      <w:r>
        <w:rPr>
          <w:rFonts w:ascii="Arial" w:eastAsia="Arial" w:hAnsi="Arial"/>
          <w:i/>
          <w:iCs/>
          <w:color w:val="222222"/>
          <w:highlight w:val="white"/>
        </w:rPr>
        <w:t xml:space="preserve"> et al</w:t>
      </w:r>
      <w:r>
        <w:rPr>
          <w:rFonts w:ascii="Arial" w:eastAsia="Arial" w:hAnsi="Arial"/>
          <w:color w:val="222222"/>
          <w:highlight w:val="white"/>
        </w:rPr>
        <w:t>., 2025)</w:t>
      </w:r>
      <w:r>
        <w:rPr>
          <w:rFonts w:ascii="Arial" w:hAnsi="Arial"/>
        </w:rPr>
        <w:t>. It has also seen a shift in the healthcare priorities, i.e. not only to improve the survival rates of adults with Type 1 diabetes but also to improve their long-term well-being and quality of life.</w:t>
      </w:r>
    </w:p>
    <w:p w14:paraId="5951AD4A" w14:textId="77777777" w:rsidR="00874A36" w:rsidRDefault="00000000">
      <w:pPr>
        <w:spacing w:before="240" w:after="240" w:line="360" w:lineRule="auto"/>
        <w:jc w:val="both"/>
        <w:rPr>
          <w:rFonts w:ascii="Arial" w:hAnsi="Arial"/>
        </w:rPr>
      </w:pPr>
      <w:r>
        <w:rPr>
          <w:rFonts w:ascii="Arial" w:hAnsi="Arial"/>
        </w:rPr>
        <w:t xml:space="preserve">The past years have witnessed a shift in the way adults with type 1 diabetes are managed in the UK amidst the evolution of formal location education programmes, continuous glucose monitors, insulin pumps and hybrid closed-loop devices. These have enhanced the glycaemic control and decreased severe hypoglycaemia and the complications arising from diabetes (Subramanian and Baidal, 2026). Nonetheless, many of the adult population continue to encounter issues that are associated with self-management needs, treatment needs, fear of hypoglycaemia, psychological suffering and social limitation, which adversely affect daily functioning and quality of life in general. Thus, the proper management of diabetes is not only about biomedical outcomes but also includes more and more aspects of psychosocial well-being and patient-reported outcomes (Nano </w:t>
      </w:r>
      <w:r>
        <w:rPr>
          <w:rFonts w:ascii="Arial" w:hAnsi="Arial"/>
          <w:i/>
          <w:iCs/>
        </w:rPr>
        <w:t>et al</w:t>
      </w:r>
      <w:r>
        <w:rPr>
          <w:rFonts w:ascii="Arial" w:hAnsi="Arial"/>
        </w:rPr>
        <w:t>., 2020).</w:t>
      </w:r>
    </w:p>
    <w:p w14:paraId="2D71E36C" w14:textId="77777777" w:rsidR="00874A36" w:rsidRDefault="00000000">
      <w:pPr>
        <w:spacing w:before="240" w:after="240" w:line="360" w:lineRule="auto"/>
        <w:jc w:val="center"/>
        <w:rPr>
          <w:rFonts w:ascii="Arial" w:hAnsi="Arial"/>
        </w:rPr>
      </w:pPr>
      <w:r>
        <w:rPr>
          <w:rFonts w:ascii="Arial" w:hAnsi="Arial"/>
          <w:noProof/>
          <w:lang w:val="en-US" w:eastAsia="en-US" w:bidi="hi-IN"/>
        </w:rPr>
        <w:lastRenderedPageBreak/>
        <w:drawing>
          <wp:inline distT="0" distB="0" distL="0" distR="0" wp14:anchorId="6E03D9FF" wp14:editId="24CF0B17">
            <wp:extent cx="5731200" cy="3860800"/>
            <wp:effectExtent l="0" t="0" r="0" b="0"/>
            <wp:docPr id="1031" name="image1.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3" cstate="print"/>
                    <a:srcRect/>
                    <a:stretch/>
                  </pic:blipFill>
                  <pic:spPr>
                    <a:xfrm>
                      <a:off x="0" y="0"/>
                      <a:ext cx="5731200" cy="3860800"/>
                    </a:xfrm>
                    <a:prstGeom prst="rect">
                      <a:avLst/>
                    </a:prstGeom>
                    <a:ln w="9525" cap="flat" cmpd="sng">
                      <a:solidFill>
                        <a:srgbClr val="000000"/>
                      </a:solidFill>
                      <a:prstDash val="solid"/>
                      <a:round/>
                      <a:headEnd type="none" w="med" len="med"/>
                      <a:tailEnd type="none" w="med" len="med"/>
                    </a:ln>
                  </pic:spPr>
                </pic:pic>
              </a:graphicData>
            </a:graphic>
          </wp:inline>
        </w:drawing>
      </w:r>
    </w:p>
    <w:p w14:paraId="052E8386" w14:textId="77777777" w:rsidR="00874A36" w:rsidRDefault="00000000">
      <w:pPr>
        <w:pStyle w:val="Heading4"/>
      </w:pPr>
      <w:bookmarkStart w:id="8" w:name="_Toc234313567"/>
      <w:bookmarkStart w:id="9" w:name="_Toc235897036"/>
      <w:r>
        <w:t>Figure 1.1: People in the UK who have diabetes</w:t>
      </w:r>
      <w:bookmarkEnd w:id="8"/>
      <w:bookmarkEnd w:id="9"/>
    </w:p>
    <w:p w14:paraId="647864A0" w14:textId="77777777" w:rsidR="00874A36" w:rsidRDefault="00000000">
      <w:pPr>
        <w:spacing w:before="240" w:after="240" w:line="360" w:lineRule="auto"/>
        <w:jc w:val="center"/>
        <w:rPr>
          <w:rFonts w:ascii="Arial" w:hAnsi="Arial"/>
        </w:rPr>
      </w:pPr>
      <w:r>
        <w:rPr>
          <w:rFonts w:ascii="Arial" w:hAnsi="Arial"/>
        </w:rPr>
        <w:t>(Source: Yahoo News, 2023)</w:t>
      </w:r>
    </w:p>
    <w:p w14:paraId="79B929C2" w14:textId="77777777" w:rsidR="00874A36" w:rsidRDefault="00000000">
      <w:pPr>
        <w:spacing w:before="240" w:after="240" w:line="360" w:lineRule="auto"/>
        <w:jc w:val="both"/>
        <w:rPr>
          <w:rFonts w:ascii="Arial" w:hAnsi="Arial"/>
        </w:rPr>
      </w:pPr>
      <w:r>
        <w:rPr>
          <w:rFonts w:ascii="Arial" w:hAnsi="Arial"/>
        </w:rPr>
        <w:t xml:space="preserve">The healthcare burden of Type 1 diabetes in the UK continues to be high. According to recent statistics, of the 4.26 million people in the UK diagnosed with diabetes in recent years (Yahoo News, 2023). Given the increasing availability of more multifaceted management interventions and person-centred interventions, a systematic review is needed to critically assess the current evidence on their impact on improving clinical outcomes as well as quality of life in adults with Type 1 diabetes in the UK. This kind of evidence can assist healthcare professionals, policymakers and researchers to come up with more robust and sustainable care pathways in diabetes. </w:t>
      </w:r>
    </w:p>
    <w:p w14:paraId="4F83FD4C" w14:textId="77777777" w:rsidR="00874A36" w:rsidRDefault="00000000">
      <w:pPr>
        <w:pStyle w:val="Heading2"/>
      </w:pPr>
      <w:bookmarkStart w:id="10" w:name="_i1ung0ttajzs" w:colFirst="0" w:colLast="0"/>
      <w:bookmarkStart w:id="11" w:name="_Toc234278688"/>
      <w:bookmarkEnd w:id="10"/>
      <w:r>
        <w:t>1.3 Current knowledge and research problem</w:t>
      </w:r>
      <w:bookmarkEnd w:id="11"/>
    </w:p>
    <w:p w14:paraId="15993656" w14:textId="77777777" w:rsidR="00874A36" w:rsidRDefault="00000000">
      <w:pPr>
        <w:spacing w:before="240" w:after="240" w:line="360" w:lineRule="auto"/>
        <w:jc w:val="both"/>
        <w:rPr>
          <w:rFonts w:ascii="Arial" w:hAnsi="Arial"/>
        </w:rPr>
      </w:pPr>
      <w:r>
        <w:rPr>
          <w:rFonts w:ascii="Arial" w:hAnsi="Arial"/>
        </w:rPr>
        <w:t xml:space="preserve">Current evidence suggests that the current management of Type 1 Diabetes in adulthood has been diverted from traditional insulin injection management practices to integrated methodologies with the use of increased technologies, behavioural and customised management. The introduction of continuous glucose monitoring systems, insulin pumps and hybrid closed-loop systems is the new technology that has proven to have improved glycaemic results with reduced intensity of treatment (Templer, 2022). Meanwhile, </w:t>
      </w:r>
      <w:r>
        <w:rPr>
          <w:rFonts w:ascii="Arial" w:hAnsi="Arial"/>
        </w:rPr>
        <w:lastRenderedPageBreak/>
        <w:t xml:space="preserve">psychological support, self-management education and shared decision-making are the issues which have increasingly been attracting attention as one of the components of the diabetes treatment since clinical control does not necessarily lead to the improvement of wellbeing or life satisfaction. It is because of this research, quality of life is turning multidimensional in which physical health, emotional wellbeing, social participation and convenience of treatment issues are highly regarded and need not be limited to blood glucose regulation. </w:t>
      </w:r>
    </w:p>
    <w:p w14:paraId="31C64009" w14:textId="77777777" w:rsidR="00874A36" w:rsidRDefault="00000000">
      <w:pPr>
        <w:spacing w:before="240" w:after="240" w:line="360" w:lineRule="auto"/>
        <w:jc w:val="center"/>
        <w:rPr>
          <w:rFonts w:ascii="Arial" w:hAnsi="Arial"/>
        </w:rPr>
      </w:pPr>
      <w:r>
        <w:rPr>
          <w:rFonts w:ascii="Arial" w:hAnsi="Arial"/>
          <w:noProof/>
          <w:lang w:val="en-US" w:eastAsia="en-US" w:bidi="hi-IN"/>
        </w:rPr>
        <w:drawing>
          <wp:inline distT="0" distB="0" distL="0" distR="0" wp14:anchorId="35E94A25" wp14:editId="51CE50A5">
            <wp:extent cx="5731510" cy="3840479"/>
            <wp:effectExtent l="0" t="0" r="0" b="0"/>
            <wp:docPr id="1032"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4" cstate="print"/>
                    <a:srcRect/>
                    <a:stretch/>
                  </pic:blipFill>
                  <pic:spPr>
                    <a:xfrm>
                      <a:off x="0" y="0"/>
                      <a:ext cx="5731510" cy="3840479"/>
                    </a:xfrm>
                    <a:prstGeom prst="rect">
                      <a:avLst/>
                    </a:prstGeom>
                  </pic:spPr>
                </pic:pic>
              </a:graphicData>
            </a:graphic>
          </wp:inline>
        </w:drawing>
      </w:r>
    </w:p>
    <w:p w14:paraId="1D9354FD" w14:textId="77777777" w:rsidR="00874A36" w:rsidRDefault="00000000">
      <w:pPr>
        <w:pStyle w:val="Heading4"/>
      </w:pPr>
      <w:bookmarkStart w:id="12" w:name="_Toc235897037"/>
      <w:r>
        <w:t>Figure 1.2: Individuals with diabetes in England and Wales 2023/24</w:t>
      </w:r>
      <w:bookmarkEnd w:id="12"/>
    </w:p>
    <w:p w14:paraId="38303ED5" w14:textId="77777777" w:rsidR="00874A36" w:rsidRDefault="00000000">
      <w:pPr>
        <w:spacing w:before="240" w:after="240" w:line="360" w:lineRule="auto"/>
        <w:jc w:val="center"/>
        <w:rPr>
          <w:rFonts w:ascii="Arial" w:hAnsi="Arial"/>
        </w:rPr>
      </w:pPr>
      <w:r>
        <w:rPr>
          <w:rFonts w:ascii="Arial" w:hAnsi="Arial"/>
        </w:rPr>
        <w:t xml:space="preserve">(Source: </w:t>
      </w:r>
      <w:r>
        <w:rPr>
          <w:rFonts w:ascii="Arial" w:hAnsi="Arial"/>
          <w:lang w:val="en-IN"/>
        </w:rPr>
        <w:t>Statista, 2023</w:t>
      </w:r>
      <w:r>
        <w:rPr>
          <w:rFonts w:ascii="Arial" w:hAnsi="Arial"/>
        </w:rPr>
        <w:t>)</w:t>
      </w:r>
    </w:p>
    <w:p w14:paraId="2DE751D0" w14:textId="77777777" w:rsidR="00874A36" w:rsidRDefault="00000000">
      <w:pPr>
        <w:spacing w:before="240" w:after="240" w:line="360" w:lineRule="auto"/>
        <w:jc w:val="both"/>
        <w:rPr>
          <w:rFonts w:ascii="Arial" w:hAnsi="Arial"/>
          <w:color w:val="FF0000"/>
          <w:lang w:val="en-IN"/>
        </w:rPr>
      </w:pPr>
      <w:r>
        <w:rPr>
          <w:rFonts w:ascii="Arial" w:hAnsi="Arial"/>
          <w:color w:val="FF0000"/>
        </w:rPr>
        <w:t xml:space="preserve">In the years 2023 and 2024, 44.7 percent of Type 1 diabetics registered in England belong to the age bracket of 40 years and younger. In 2021, the UK was ranked second to Germany in Europe with the highest number of Type 1 diabetes cases among children and adolescents, amounting to over 31,600 reported cases </w:t>
      </w:r>
      <w:r>
        <w:rPr>
          <w:rFonts w:ascii="Arial" w:hAnsi="Arial"/>
          <w:color w:val="FF0000"/>
          <w:lang w:val="en-IN"/>
        </w:rPr>
        <w:t>(Statista, 2023)</w:t>
      </w:r>
      <w:r>
        <w:rPr>
          <w:rFonts w:ascii="Arial" w:hAnsi="Arial"/>
          <w:color w:val="FF0000"/>
        </w:rPr>
        <w:t>.</w:t>
      </w:r>
    </w:p>
    <w:p w14:paraId="1E3A69A3" w14:textId="77777777" w:rsidR="00874A36" w:rsidRDefault="00000000">
      <w:pPr>
        <w:spacing w:before="240" w:after="240" w:line="360" w:lineRule="auto"/>
        <w:jc w:val="both"/>
        <w:rPr>
          <w:rFonts w:ascii="Arial" w:hAnsi="Arial"/>
        </w:rPr>
      </w:pPr>
      <w:r>
        <w:rPr>
          <w:rFonts w:ascii="Arial" w:hAnsi="Arial"/>
        </w:rPr>
        <w:t xml:space="preserve">Important gaps in research can still be noticed despite these developments, as far as the comparability of various management approaches to adults with Type 1 Diabetes in the context of the UK healthcare system is concerned. The existing literature by Baretić and Bralić Lang (2020) generally lies in the medical parameters such as the degree of HbA1c </w:t>
      </w:r>
      <w:r>
        <w:rPr>
          <w:rFonts w:ascii="Arial" w:hAnsi="Arial"/>
        </w:rPr>
        <w:lastRenderedPageBreak/>
        <w:t xml:space="preserve">and incidences of hypoglycaemia, and less on patient report domains, in contrast to Speight </w:t>
      </w:r>
      <w:r>
        <w:rPr>
          <w:rFonts w:ascii="Arial" w:hAnsi="Arial"/>
          <w:i/>
          <w:iCs/>
        </w:rPr>
        <w:t xml:space="preserve">et al. </w:t>
      </w:r>
      <w:r>
        <w:rPr>
          <w:rFonts w:ascii="Arial" w:hAnsi="Arial"/>
        </w:rPr>
        <w:t xml:space="preserve">(2022) </w:t>
      </w:r>
      <w:r>
        <w:rPr>
          <w:rFonts w:ascii="Arial" w:eastAsia="Arial" w:hAnsi="Arial"/>
          <w:color w:val="222222"/>
          <w:highlight w:val="white"/>
        </w:rPr>
        <w:t xml:space="preserve">who state that </w:t>
      </w:r>
      <w:r>
        <w:rPr>
          <w:rFonts w:ascii="Arial" w:hAnsi="Arial"/>
        </w:rPr>
        <w:t xml:space="preserve">psychosocial functioning and long-term quality of life improvements. </w:t>
      </w:r>
    </w:p>
    <w:p w14:paraId="41F35A39" w14:textId="77777777" w:rsidR="00874A36" w:rsidRDefault="00000000">
      <w:pPr>
        <w:spacing w:before="240" w:after="240" w:line="360" w:lineRule="auto"/>
        <w:jc w:val="both"/>
        <w:rPr>
          <w:rFonts w:ascii="Arial" w:hAnsi="Arial"/>
          <w:color w:val="FF0000"/>
          <w:lang w:val="en-IN"/>
        </w:rPr>
      </w:pPr>
      <w:r>
        <w:rPr>
          <w:rFonts w:ascii="Arial" w:hAnsi="Arial"/>
          <w:color w:val="FF0000"/>
        </w:rPr>
        <w:t xml:space="preserve">The research problem concerns the continuing difficulty of achieving effective Type 1 Diabetes management and satisfactory quality of life despite advances in treatment and technology. In 2024–25, only 30.7% of people with Type 1 Diabetes in England achieved all three recommended treatment targets, demonstrating a substantial management gap and justifying investigation of clinical, behavioural and socioeconomic influences on outcomes </w:t>
      </w:r>
      <w:r>
        <w:rPr>
          <w:rFonts w:ascii="Arial" w:hAnsi="Arial"/>
          <w:color w:val="FF0000"/>
          <w:lang w:val="en-IN"/>
        </w:rPr>
        <w:t>(NHS England, 2026a)</w:t>
      </w:r>
      <w:r>
        <w:rPr>
          <w:rFonts w:ascii="Arial" w:hAnsi="Arial"/>
          <w:color w:val="FF0000"/>
        </w:rPr>
        <w:t>.</w:t>
      </w:r>
      <w:r>
        <w:rPr>
          <w:rFonts w:ascii="Arial" w:hAnsi="Arial"/>
        </w:rPr>
        <w:t xml:space="preserve"> Additionally, data is usually incomplete within particular interventions, so it is challenging to find out which combinations of technological, educational, and psychological interventions have the most extensive net impact on adults who live with the condition in the UK. Bellass</w:t>
      </w:r>
      <w:r>
        <w:rPr>
          <w:rFonts w:ascii="Arial" w:hAnsi="Arial"/>
          <w:i/>
          <w:iCs/>
        </w:rPr>
        <w:t xml:space="preserve"> et al.</w:t>
      </w:r>
      <w:r>
        <w:rPr>
          <w:rFonts w:ascii="Arial" w:hAnsi="Arial"/>
        </w:rPr>
        <w:t xml:space="preserve"> (2021) highlighted that half of the adults with diabetes could not recall a discussion of mental health in their care by a healthcare team, despite the various levels of distress and emotional burden due to diabetes. </w:t>
      </w:r>
    </w:p>
    <w:p w14:paraId="2FD9058A" w14:textId="77777777" w:rsidR="00874A36" w:rsidRDefault="00000000">
      <w:pPr>
        <w:pStyle w:val="Heading2"/>
      </w:pPr>
      <w:bookmarkStart w:id="13" w:name="_voof6xdmjq58" w:colFirst="0" w:colLast="0"/>
      <w:bookmarkStart w:id="14" w:name="_Toc234278689"/>
      <w:bookmarkEnd w:id="13"/>
      <w:r>
        <w:t>1.4 Scope of the research</w:t>
      </w:r>
      <w:bookmarkEnd w:id="14"/>
    </w:p>
    <w:p w14:paraId="33B647E4" w14:textId="77777777" w:rsidR="00874A36" w:rsidRDefault="00000000">
      <w:pPr>
        <w:spacing w:before="240" w:after="240" w:line="360" w:lineRule="auto"/>
        <w:jc w:val="both"/>
        <w:rPr>
          <w:rFonts w:ascii="Arial" w:hAnsi="Arial"/>
        </w:rPr>
      </w:pPr>
      <w:r>
        <w:rPr>
          <w:rFonts w:ascii="Arial" w:hAnsi="Arial"/>
        </w:rPr>
        <w:t xml:space="preserve">The systematic review is aimed at the evaluation of the varieties of management strategies applied to assist adults with Type 1 Diabetes in the United Kingdom and their impact on the quality of life results. The review specifically focuses on the cases of adults aged 18 years and above with Type 1 Diabetes being treated in the UK health care system, both in primary care and also in speciality diabetes clinics, as well as in community-based services. The adult population, because of employment demands, independence in self-care and family life, and the chronic risk of complications (Sadeghi </w:t>
      </w:r>
      <w:r>
        <w:rPr>
          <w:rFonts w:ascii="Arial" w:hAnsi="Arial"/>
          <w:i/>
          <w:iCs/>
        </w:rPr>
        <w:t>et al.</w:t>
      </w:r>
      <w:r>
        <w:rPr>
          <w:rFonts w:ascii="Arial" w:hAnsi="Arial"/>
        </w:rPr>
        <w:t>, 2024). Their management needs are very different from those of children and adolescents.</w:t>
      </w:r>
    </w:p>
    <w:p w14:paraId="72F0B79D" w14:textId="77777777" w:rsidR="00874A36" w:rsidRDefault="00000000">
      <w:pPr>
        <w:spacing w:before="240" w:after="240" w:line="360" w:lineRule="auto"/>
        <w:jc w:val="both"/>
        <w:rPr>
          <w:rFonts w:ascii="Arial" w:hAnsi="Arial"/>
        </w:rPr>
      </w:pPr>
      <w:r>
        <w:rPr>
          <w:rFonts w:ascii="Arial" w:hAnsi="Arial"/>
        </w:rPr>
        <w:t>The review encompasses the non-clinical to clinical management strategies, which are embraced in the management of diabetes. Subramanian and Baidal (2026) note that the clinical therapeutic interventions include insulin administration methods, techniques of glucose monitoring and treatment, and therapeutic programs. Whilst the non-clinical-based would include patient education interventions, psychological education and therapies, behavioural and self-management interventions. The quality of life outcomes that have been incorporated in the review are confined not only to physiological but also to the emotional wellbeing, satisfaction with treatment, social functioning, work productivity and day-to-day living.</w:t>
      </w:r>
    </w:p>
    <w:p w14:paraId="17C0EE4F" w14:textId="77777777" w:rsidR="00874A36" w:rsidRDefault="00000000">
      <w:pPr>
        <w:spacing w:before="240" w:after="240" w:line="360" w:lineRule="auto"/>
        <w:jc w:val="both"/>
        <w:rPr>
          <w:rFonts w:ascii="Arial" w:hAnsi="Arial"/>
        </w:rPr>
      </w:pPr>
      <w:r>
        <w:rPr>
          <w:rFonts w:ascii="Arial" w:hAnsi="Arial"/>
        </w:rPr>
        <w:lastRenderedPageBreak/>
        <w:t xml:space="preserve">It can be limited to the research in the UK context, in order to provide the results' applicability to the organisational system, finances and models of care delivery of the National Health Service. Also, the evidence is restricted to those published over the last few years, so that the review is able to define what the modern tendency in the sphere of management is, as well as what changes are occurring in the expectations of patients in relation to long-term wellbeing and patient-centred diabetes care. This limited scope will help in coming up with strategies that will prove to be most useful in enriching the practice among adults with Type 1 Diabetes in the UK. </w:t>
      </w:r>
    </w:p>
    <w:p w14:paraId="5F83124E" w14:textId="77777777" w:rsidR="00874A36" w:rsidRDefault="00000000">
      <w:pPr>
        <w:pStyle w:val="Heading2"/>
      </w:pPr>
      <w:bookmarkStart w:id="15" w:name="_t8rdoygzfqxc" w:colFirst="0" w:colLast="0"/>
      <w:bookmarkStart w:id="16" w:name="_Toc234278690"/>
      <w:bookmarkEnd w:id="15"/>
      <w:r>
        <w:t>1.5 Aim and objectives</w:t>
      </w:r>
      <w:bookmarkEnd w:id="16"/>
    </w:p>
    <w:p w14:paraId="426230B9" w14:textId="77777777" w:rsidR="00874A36" w:rsidRDefault="00000000">
      <w:pPr>
        <w:spacing w:line="360" w:lineRule="auto"/>
        <w:jc w:val="both"/>
        <w:rPr>
          <w:rFonts w:ascii="Arial" w:hAnsi="Arial"/>
          <w:b/>
          <w:bCs/>
        </w:rPr>
      </w:pPr>
      <w:r>
        <w:rPr>
          <w:rFonts w:ascii="Arial" w:hAnsi="Arial"/>
          <w:b/>
          <w:bCs/>
        </w:rPr>
        <w:t>Aim</w:t>
      </w:r>
    </w:p>
    <w:p w14:paraId="4BF402BF" w14:textId="77777777" w:rsidR="00874A36" w:rsidRDefault="00000000">
      <w:pPr>
        <w:spacing w:line="360" w:lineRule="auto"/>
        <w:jc w:val="both"/>
        <w:rPr>
          <w:rFonts w:ascii="Arial" w:hAnsi="Arial"/>
        </w:rPr>
      </w:pPr>
      <w:r>
        <w:rPr>
          <w:rFonts w:ascii="Arial" w:hAnsi="Arial"/>
        </w:rPr>
        <w:t>The aim of this study is to critically examine the key clinical, behavioural, and socio-economic factors that influence successful disease management and improved health outcomes among adults with Type 1 Diabetes in the UK.</w:t>
      </w:r>
    </w:p>
    <w:p w14:paraId="6B1A358C" w14:textId="77777777" w:rsidR="00874A36" w:rsidRDefault="00000000">
      <w:pPr>
        <w:spacing w:line="360" w:lineRule="auto"/>
        <w:jc w:val="both"/>
        <w:rPr>
          <w:rFonts w:ascii="Arial" w:hAnsi="Arial"/>
          <w:b/>
          <w:bCs/>
        </w:rPr>
      </w:pPr>
      <w:r>
        <w:rPr>
          <w:rFonts w:ascii="Arial" w:hAnsi="Arial"/>
          <w:b/>
          <w:bCs/>
        </w:rPr>
        <w:t>Objectives</w:t>
      </w:r>
    </w:p>
    <w:p w14:paraId="678525BB" w14:textId="77777777" w:rsidR="00874A36" w:rsidRDefault="00000000">
      <w:pPr>
        <w:numPr>
          <w:ilvl w:val="0"/>
          <w:numId w:val="1"/>
        </w:numPr>
        <w:spacing w:after="0" w:line="360" w:lineRule="auto"/>
        <w:jc w:val="both"/>
        <w:rPr>
          <w:rFonts w:ascii="Arial" w:hAnsi="Arial"/>
        </w:rPr>
      </w:pPr>
      <w:r>
        <w:rPr>
          <w:rFonts w:ascii="Arial" w:hAnsi="Arial"/>
        </w:rPr>
        <w:t>To analyse the influence of socioeconomic status and health inequalities on access to healthcare services and disease outcomes among adults with Type 1 Diabetes in the UK.</w:t>
      </w:r>
    </w:p>
    <w:p w14:paraId="7A056A18" w14:textId="77777777" w:rsidR="00874A36" w:rsidRDefault="00000000">
      <w:pPr>
        <w:numPr>
          <w:ilvl w:val="0"/>
          <w:numId w:val="1"/>
        </w:numPr>
        <w:spacing w:after="0" w:line="360" w:lineRule="auto"/>
        <w:jc w:val="both"/>
        <w:rPr>
          <w:rFonts w:ascii="Arial" w:hAnsi="Arial"/>
        </w:rPr>
      </w:pPr>
      <w:r>
        <w:rPr>
          <w:rFonts w:ascii="Arial" w:hAnsi="Arial"/>
        </w:rPr>
        <w:t>To identify the key challenges faced by adults with Type 1 Diabetes in managing their condition within the UK context.</w:t>
      </w:r>
    </w:p>
    <w:p w14:paraId="3CC421E4" w14:textId="77777777" w:rsidR="00874A36" w:rsidRDefault="00000000">
      <w:pPr>
        <w:numPr>
          <w:ilvl w:val="0"/>
          <w:numId w:val="1"/>
        </w:numPr>
        <w:spacing w:after="0" w:line="360" w:lineRule="auto"/>
        <w:jc w:val="both"/>
        <w:rPr>
          <w:rFonts w:ascii="Arial" w:hAnsi="Arial"/>
        </w:rPr>
      </w:pPr>
      <w:r>
        <w:rPr>
          <w:rFonts w:ascii="Arial" w:hAnsi="Arial"/>
        </w:rPr>
        <w:t>To evaluate the effectiveness of current treatment approaches and support services available to adults with Type 1 Diabetes in the UK healthcare system.</w:t>
      </w:r>
    </w:p>
    <w:p w14:paraId="4B54F561" w14:textId="77777777" w:rsidR="00874A36" w:rsidRDefault="00000000">
      <w:pPr>
        <w:numPr>
          <w:ilvl w:val="0"/>
          <w:numId w:val="1"/>
        </w:numPr>
        <w:spacing w:after="0" w:line="360" w:lineRule="auto"/>
        <w:jc w:val="both"/>
        <w:rPr>
          <w:rFonts w:ascii="Arial" w:hAnsi="Arial"/>
        </w:rPr>
      </w:pPr>
      <w:r>
        <w:rPr>
          <w:rFonts w:ascii="Arial" w:hAnsi="Arial"/>
        </w:rPr>
        <w:t>To assess the physical, psychological, and social impacts of Type 1 Diabetes on adults in the UK, along with the strategies used to manage the condition.</w:t>
      </w:r>
    </w:p>
    <w:p w14:paraId="15566401" w14:textId="77777777" w:rsidR="00874A36" w:rsidRDefault="00000000">
      <w:pPr>
        <w:pStyle w:val="Heading2"/>
      </w:pPr>
      <w:bookmarkStart w:id="17" w:name="_u404dpe6zxwl" w:colFirst="0" w:colLast="0"/>
      <w:bookmarkStart w:id="18" w:name="_Toc234278691"/>
      <w:bookmarkEnd w:id="17"/>
      <w:r>
        <w:t>1.6 Research questions</w:t>
      </w:r>
      <w:bookmarkEnd w:id="18"/>
    </w:p>
    <w:p w14:paraId="2E474511" w14:textId="77777777" w:rsidR="00874A36" w:rsidRDefault="00000000">
      <w:pPr>
        <w:numPr>
          <w:ilvl w:val="0"/>
          <w:numId w:val="1"/>
        </w:numPr>
        <w:spacing w:after="0" w:line="360" w:lineRule="auto"/>
        <w:jc w:val="both"/>
        <w:rPr>
          <w:rFonts w:ascii="Arial" w:hAnsi="Arial"/>
        </w:rPr>
      </w:pPr>
      <w:r>
        <w:rPr>
          <w:rFonts w:ascii="Arial" w:hAnsi="Arial"/>
        </w:rPr>
        <w:t>How do socioeconomic status and health inequalities influence on access to healthcare services and disease outcomes among adults with Type 1 Diabetes in the UK?</w:t>
      </w:r>
    </w:p>
    <w:p w14:paraId="7F317AAF" w14:textId="77777777" w:rsidR="00874A36" w:rsidRDefault="00000000">
      <w:pPr>
        <w:numPr>
          <w:ilvl w:val="0"/>
          <w:numId w:val="1"/>
        </w:numPr>
        <w:spacing w:after="0" w:line="360" w:lineRule="auto"/>
        <w:jc w:val="both"/>
        <w:rPr>
          <w:rFonts w:ascii="Arial" w:hAnsi="Arial"/>
        </w:rPr>
      </w:pPr>
      <w:r>
        <w:rPr>
          <w:rFonts w:ascii="Arial" w:hAnsi="Arial"/>
        </w:rPr>
        <w:t>What are the key challenges faced by adults with Type 1 Diabetes in managing their condition within the UK context?</w:t>
      </w:r>
    </w:p>
    <w:p w14:paraId="283C7FCA" w14:textId="77777777" w:rsidR="00874A36" w:rsidRDefault="00000000">
      <w:pPr>
        <w:numPr>
          <w:ilvl w:val="0"/>
          <w:numId w:val="1"/>
        </w:numPr>
        <w:spacing w:after="0" w:line="360" w:lineRule="auto"/>
        <w:jc w:val="both"/>
        <w:rPr>
          <w:rFonts w:ascii="Arial" w:hAnsi="Arial"/>
        </w:rPr>
      </w:pPr>
      <w:r>
        <w:rPr>
          <w:rFonts w:ascii="Arial" w:hAnsi="Arial"/>
        </w:rPr>
        <w:t>How effective are current treatment approaches and support services available to adults with Type 1 Diabetes in the UK healthcare system?</w:t>
      </w:r>
    </w:p>
    <w:p w14:paraId="33FF37BC" w14:textId="77777777" w:rsidR="00874A36" w:rsidRDefault="00000000">
      <w:pPr>
        <w:numPr>
          <w:ilvl w:val="0"/>
          <w:numId w:val="1"/>
        </w:numPr>
        <w:spacing w:after="0" w:line="360" w:lineRule="auto"/>
        <w:jc w:val="both"/>
        <w:rPr>
          <w:rFonts w:ascii="Arial" w:hAnsi="Arial"/>
        </w:rPr>
      </w:pPr>
      <w:r>
        <w:rPr>
          <w:rFonts w:ascii="Arial" w:hAnsi="Arial"/>
        </w:rPr>
        <w:t>What are the physical, psychological, and social impacts of Type 1 Diabetes on adults in the UK, along with the strategies used to manage the condition?</w:t>
      </w:r>
    </w:p>
    <w:p w14:paraId="6109E87C" w14:textId="77777777" w:rsidR="00874A36" w:rsidRDefault="00000000">
      <w:pPr>
        <w:pStyle w:val="Heading2"/>
      </w:pPr>
      <w:bookmarkStart w:id="19" w:name="_hofijtmxdnb0" w:colFirst="0" w:colLast="0"/>
      <w:bookmarkStart w:id="20" w:name="_Toc234278692"/>
      <w:bookmarkEnd w:id="19"/>
      <w:r>
        <w:lastRenderedPageBreak/>
        <w:t>1.7 Dissertation Structure</w:t>
      </w:r>
      <w:bookmarkEnd w:id="20"/>
    </w:p>
    <w:p w14:paraId="5428B7EF" w14:textId="77777777" w:rsidR="00874A36" w:rsidRDefault="00000000">
      <w:pPr>
        <w:spacing w:line="360" w:lineRule="auto"/>
        <w:jc w:val="both"/>
        <w:rPr>
          <w:rFonts w:ascii="Arial" w:hAnsi="Arial"/>
        </w:rPr>
      </w:pPr>
      <w:r>
        <w:rPr>
          <w:rFonts w:ascii="Arial" w:hAnsi="Arial"/>
          <w:noProof/>
          <w:lang w:val="en-US" w:eastAsia="en-US" w:bidi="hi-IN"/>
        </w:rPr>
        <w:drawing>
          <wp:inline distT="0" distB="0" distL="0" distR="0" wp14:anchorId="72F8B6A9" wp14:editId="4A8460BD">
            <wp:extent cx="5486400" cy="3200400"/>
            <wp:effectExtent l="0" t="0" r="0" b="0"/>
            <wp:docPr id="1033"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9253254" w14:textId="77777777" w:rsidR="00874A36" w:rsidRDefault="00000000">
      <w:pPr>
        <w:pStyle w:val="Heading4"/>
      </w:pPr>
      <w:bookmarkStart w:id="21" w:name="_Toc234313568"/>
      <w:bookmarkStart w:id="22" w:name="_Toc235897038"/>
      <w:r>
        <w:t>Figure 1.</w:t>
      </w:r>
      <w:r>
        <w:rPr>
          <w:lang w:val="en-US"/>
        </w:rPr>
        <w:t>3</w:t>
      </w:r>
      <w:r>
        <w:t>: Dissertation Structure</w:t>
      </w:r>
      <w:bookmarkEnd w:id="21"/>
      <w:bookmarkEnd w:id="22"/>
    </w:p>
    <w:p w14:paraId="63088692" w14:textId="77777777" w:rsidR="00874A36" w:rsidRDefault="00000000">
      <w:pPr>
        <w:spacing w:before="240" w:after="240" w:line="360" w:lineRule="auto"/>
        <w:jc w:val="center"/>
        <w:rPr>
          <w:rFonts w:ascii="Arial" w:hAnsi="Arial"/>
        </w:rPr>
      </w:pPr>
      <w:r>
        <w:rPr>
          <w:rFonts w:ascii="Arial" w:hAnsi="Arial"/>
        </w:rPr>
        <w:t>(Source: Author’s creation)</w:t>
      </w:r>
    </w:p>
    <w:p w14:paraId="591F88DF" w14:textId="77777777" w:rsidR="00874A36" w:rsidRDefault="00000000">
      <w:pPr>
        <w:pStyle w:val="Heading2"/>
      </w:pPr>
      <w:bookmarkStart w:id="23" w:name="_kh4jlqdltl8n" w:colFirst="0" w:colLast="0"/>
      <w:bookmarkStart w:id="24" w:name="_Toc234278693"/>
      <w:bookmarkEnd w:id="23"/>
      <w:r>
        <w:t>1.8 Summary</w:t>
      </w:r>
      <w:bookmarkEnd w:id="24"/>
      <w:r>
        <w:t> </w:t>
      </w:r>
    </w:p>
    <w:p w14:paraId="29D2BA31" w14:textId="77777777" w:rsidR="00874A36" w:rsidRDefault="00000000">
      <w:pPr>
        <w:spacing w:line="360" w:lineRule="auto"/>
        <w:jc w:val="both"/>
        <w:rPr>
          <w:rFonts w:ascii="Arial" w:hAnsi="Arial"/>
        </w:rPr>
      </w:pPr>
      <w:r>
        <w:rPr>
          <w:rFonts w:ascii="Arial" w:hAnsi="Arial"/>
        </w:rPr>
        <w:t xml:space="preserve">The chapter laid the foundation of the moribund nature of reasons to study management approaches and quality of life in adults with Type 1 Diabetes in the UK. It emphasised existing information, suggested gaps in the research, scaled out the study limits, and also outlined the research objectives and questions which guided the next literature review. </w:t>
      </w:r>
    </w:p>
    <w:p w14:paraId="143DA1DA" w14:textId="77777777" w:rsidR="00874A36" w:rsidRDefault="00000000">
      <w:pPr>
        <w:spacing w:line="360" w:lineRule="auto"/>
        <w:jc w:val="both"/>
        <w:rPr>
          <w:rFonts w:ascii="Arial" w:hAnsi="Arial"/>
          <w:b/>
          <w:bCs/>
        </w:rPr>
      </w:pPr>
      <w:bookmarkStart w:id="25" w:name="_r6y69un7znq0" w:colFirst="0" w:colLast="0"/>
      <w:bookmarkStart w:id="26" w:name="_Toc234278694"/>
      <w:bookmarkEnd w:id="25"/>
      <w:r>
        <w:rPr>
          <w:rFonts w:ascii="Arial" w:hAnsi="Arial"/>
        </w:rPr>
        <w:br w:type="page"/>
      </w:r>
    </w:p>
    <w:p w14:paraId="1B76D694" w14:textId="77777777" w:rsidR="00874A36" w:rsidRDefault="00000000">
      <w:pPr>
        <w:pStyle w:val="Heading1"/>
      </w:pPr>
      <w:bookmarkStart w:id="27" w:name="_Toc239687644"/>
      <w:r>
        <w:lastRenderedPageBreak/>
        <w:t>Chapter 2: Literature Review /Theoretical Framework</w:t>
      </w:r>
      <w:bookmarkEnd w:id="26"/>
      <w:bookmarkEnd w:id="27"/>
    </w:p>
    <w:p w14:paraId="3912AFF3" w14:textId="77777777" w:rsidR="00874A36" w:rsidRDefault="00000000">
      <w:pPr>
        <w:pStyle w:val="Heading2"/>
      </w:pPr>
      <w:bookmarkStart w:id="28" w:name="_94t4e0qdzt4u" w:colFirst="0" w:colLast="0"/>
      <w:bookmarkStart w:id="29" w:name="_Toc234278695"/>
      <w:bookmarkEnd w:id="28"/>
      <w:r>
        <w:t>2.1 Introduction</w:t>
      </w:r>
      <w:bookmarkEnd w:id="29"/>
    </w:p>
    <w:p w14:paraId="1CF4E25C" w14:textId="77777777" w:rsidR="00874A36" w:rsidRDefault="00000000">
      <w:pPr>
        <w:spacing w:line="360" w:lineRule="auto"/>
        <w:jc w:val="both"/>
        <w:rPr>
          <w:rFonts w:ascii="Arial" w:hAnsi="Arial"/>
        </w:rPr>
      </w:pPr>
      <w:r>
        <w:rPr>
          <w:rFonts w:ascii="Arial" w:hAnsi="Arial"/>
        </w:rPr>
        <w:t xml:space="preserve">This chapter provides a critical review of the literature that exists as far as management strategies and quality of life amelioration of the Type 1 Diabetes patients in the United Kingdom is concerned. It analyses the existing knowledge, compiles the results of the past research and assesses their strengths, limitations and weaknesses. The chapter also exposes critical gaps in research and shows the way the current research will help in the existing scholarship. Lastly, it shows the theoretical framework and concepts that inform the systematic review and offer some basis for the interpretation of the findings and for comprehension of the intricate correlation between diabetes management and quality of life. </w:t>
      </w:r>
    </w:p>
    <w:p w14:paraId="799C982B" w14:textId="77777777" w:rsidR="00874A36" w:rsidRDefault="00000000">
      <w:pPr>
        <w:pStyle w:val="Heading2"/>
      </w:pPr>
      <w:bookmarkStart w:id="30" w:name="_u4e61r7adpqo" w:colFirst="0" w:colLast="0"/>
      <w:bookmarkStart w:id="31" w:name="_Toc234278696"/>
      <w:bookmarkEnd w:id="30"/>
      <w:r>
        <w:t>2.2 Survey of the literature</w:t>
      </w:r>
      <w:bookmarkEnd w:id="31"/>
    </w:p>
    <w:p w14:paraId="0786A508" w14:textId="77777777" w:rsidR="00874A36" w:rsidRDefault="00000000">
      <w:pPr>
        <w:pStyle w:val="Heading3"/>
        <w:spacing w:line="360" w:lineRule="auto"/>
        <w:rPr>
          <w:rFonts w:ascii="Arial" w:hAnsi="Arial" w:cs="Arial"/>
          <w:sz w:val="22"/>
        </w:rPr>
      </w:pPr>
      <w:bookmarkStart w:id="32" w:name="_Toc234322940"/>
      <w:r>
        <w:rPr>
          <w:rFonts w:ascii="Arial" w:hAnsi="Arial" w:cs="Arial"/>
          <w:sz w:val="22"/>
        </w:rPr>
        <w:t xml:space="preserve">2.2.1 </w:t>
      </w:r>
      <w:bookmarkEnd w:id="32"/>
      <w:r>
        <w:rPr>
          <w:rFonts w:ascii="Arial" w:hAnsi="Arial" w:cs="Arial"/>
          <w:sz w:val="22"/>
          <w:lang w:val="en-US"/>
        </w:rPr>
        <w:t>Resea</w:t>
      </w:r>
      <w:r>
        <w:rPr>
          <w:rFonts w:ascii="Arial" w:hAnsi="Arial" w:cs="Arial"/>
          <w:sz w:val="22"/>
        </w:rPr>
        <w:t xml:space="preserve">rch </w:t>
      </w:r>
      <w:r>
        <w:rPr>
          <w:rFonts w:ascii="Arial" w:hAnsi="Arial" w:cs="Arial"/>
          <w:sz w:val="22"/>
          <w:lang w:val="en-US"/>
        </w:rPr>
        <w:t>till date</w:t>
      </w:r>
    </w:p>
    <w:p w14:paraId="5375DDAD" w14:textId="77777777" w:rsidR="00874A36" w:rsidRDefault="00000000">
      <w:pPr>
        <w:pStyle w:val="Normal1"/>
        <w:spacing w:line="360" w:lineRule="auto"/>
        <w:jc w:val="both"/>
        <w:rPr>
          <w:lang w:val="en-GB"/>
        </w:rPr>
      </w:pPr>
      <w:r>
        <w:rPr>
          <w:lang w:val="en-GB"/>
        </w:rPr>
        <w:t xml:space="preserve">Type 1 Diabetes (T1D) management strategies and quality of life (QoL) received substantial scholarly attention due to the growing rate of diabetic patients globally within the last two decades. With these effective strategies, successful diabetes management is being extended with fast recognition to encompass psychological as well as functional wellbeing beyond glycaemic control (Hao </w:t>
      </w:r>
      <w:r>
        <w:rPr>
          <w:i/>
          <w:iCs/>
          <w:lang w:val="en-GB"/>
        </w:rPr>
        <w:t xml:space="preserve">et al., </w:t>
      </w:r>
      <w:r>
        <w:rPr>
          <w:lang w:val="en-GB"/>
        </w:rPr>
        <w:t>2025). The majority of the previous studies are based on physiological outcomes such as “glycated haemoglobin (HbA1c)” and hypoglycaemia complications.</w:t>
      </w:r>
    </w:p>
    <w:p w14:paraId="6BC61168" w14:textId="77777777" w:rsidR="00874A36" w:rsidRDefault="00000000">
      <w:pPr>
        <w:pStyle w:val="Normal1"/>
        <w:spacing w:line="360" w:lineRule="auto"/>
        <w:jc w:val="both"/>
        <w:rPr>
          <w:lang w:val="en-GB"/>
        </w:rPr>
      </w:pPr>
      <w:r>
        <w:rPr>
          <w:lang w:val="en-GB"/>
        </w:rPr>
        <w:t xml:space="preserve"> On the other hand Alliston </w:t>
      </w:r>
      <w:r>
        <w:rPr>
          <w:i/>
          <w:iCs/>
          <w:lang w:val="en-GB"/>
        </w:rPr>
        <w:t xml:space="preserve">et al., </w:t>
      </w:r>
      <w:r>
        <w:rPr>
          <w:lang w:val="en-GB"/>
        </w:rPr>
        <w:t>(2024) mentioned that patient-reported outcome measures (PROMs) have become increasingly focused since 2010 to understand the impact, such as diabetes distress, QoL and self-management strategies. With the same trend, diabetes services and clinical guidelines are promoted through person-centred care strategies in the UK.  To understand the nature of Type 1 Diabetes</w:t>
      </w:r>
      <w:r>
        <w:rPr>
          <w:highlight w:val="white"/>
          <w:lang w:val="en-GB"/>
        </w:rPr>
        <w:t xml:space="preserve"> and the impact of adults’ </w:t>
      </w:r>
      <w:r>
        <w:rPr>
          <w:lang w:val="en-GB"/>
        </w:rPr>
        <w:t>QoL with management approach, a survey was conducted to recognise basic characteristics of the research community in the UK. Figure 2.1 highlights the major fields of interest through various research methods for examining type 1 diabetes, where the response rate is  36.8 % (Breakthrought1d.org.uk, 2021).  Clinical and basic research both holds 30% interest as a majority of the research area.</w:t>
      </w:r>
    </w:p>
    <w:p w14:paraId="2896C1A3" w14:textId="77777777" w:rsidR="00874A36" w:rsidRDefault="00874A36">
      <w:pPr>
        <w:pStyle w:val="Normal1"/>
        <w:spacing w:line="360" w:lineRule="auto"/>
        <w:rPr>
          <w:lang w:val="en-GB"/>
        </w:rPr>
      </w:pPr>
    </w:p>
    <w:p w14:paraId="3A8F519F" w14:textId="77777777" w:rsidR="00874A36" w:rsidRDefault="00000000">
      <w:pPr>
        <w:pStyle w:val="Normal1"/>
        <w:spacing w:line="360" w:lineRule="auto"/>
        <w:jc w:val="center"/>
        <w:rPr>
          <w:lang w:val="en-GB"/>
        </w:rPr>
      </w:pPr>
      <w:r>
        <w:rPr>
          <w:noProof/>
          <w:lang w:bidi="hi-IN"/>
        </w:rPr>
        <w:lastRenderedPageBreak/>
        <w:drawing>
          <wp:inline distT="0" distB="0" distL="0" distR="0" wp14:anchorId="53800980" wp14:editId="71F96158">
            <wp:extent cx="2439672" cy="3945001"/>
            <wp:effectExtent l="0" t="0" r="0" b="0"/>
            <wp:docPr id="1034"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20" cstate="print"/>
                    <a:srcRect/>
                    <a:stretch/>
                  </pic:blipFill>
                  <pic:spPr>
                    <a:xfrm>
                      <a:off x="0" y="0"/>
                      <a:ext cx="2439672" cy="3945001"/>
                    </a:xfrm>
                    <a:prstGeom prst="rect">
                      <a:avLst/>
                    </a:prstGeom>
                    <a:ln w="9525" cap="flat" cmpd="sng">
                      <a:solidFill>
                        <a:srgbClr val="000000"/>
                      </a:solidFill>
                      <a:prstDash val="solid"/>
                      <a:round/>
                      <a:headEnd type="none" w="med" len="med"/>
                      <a:tailEnd type="none" w="med" len="med"/>
                    </a:ln>
                  </pic:spPr>
                </pic:pic>
              </a:graphicData>
            </a:graphic>
          </wp:inline>
        </w:drawing>
      </w:r>
    </w:p>
    <w:p w14:paraId="273B1E93" w14:textId="77777777" w:rsidR="00874A36" w:rsidRDefault="00000000">
      <w:pPr>
        <w:pStyle w:val="Heading4"/>
      </w:pPr>
      <w:bookmarkStart w:id="33" w:name="_Toc234322986"/>
      <w:bookmarkStart w:id="34" w:name="_Toc235897039"/>
      <w:r>
        <w:t>Figure 2.1: Respondent interest in UK research for type 1 diabetes</w:t>
      </w:r>
      <w:bookmarkEnd w:id="33"/>
      <w:bookmarkEnd w:id="34"/>
    </w:p>
    <w:p w14:paraId="2210B0C4" w14:textId="77777777" w:rsidR="00874A36" w:rsidRDefault="00000000">
      <w:pPr>
        <w:pStyle w:val="Normal1"/>
        <w:spacing w:line="360" w:lineRule="auto"/>
        <w:jc w:val="center"/>
        <w:rPr>
          <w:lang w:val="en-GB"/>
        </w:rPr>
      </w:pPr>
      <w:r>
        <w:rPr>
          <w:lang w:val="en-GB"/>
        </w:rPr>
        <w:t xml:space="preserve">(Source: Breakthrought1d.org.uk, 2021) </w:t>
      </w:r>
    </w:p>
    <w:p w14:paraId="755A0DFD" w14:textId="77777777" w:rsidR="00874A36" w:rsidRDefault="00000000">
      <w:pPr>
        <w:spacing w:line="360" w:lineRule="auto"/>
        <w:jc w:val="both"/>
        <w:rPr>
          <w:rFonts w:ascii="Arial" w:hAnsi="Arial"/>
        </w:rPr>
      </w:pPr>
      <w:r>
        <w:rPr>
          <w:rFonts w:ascii="Arial" w:hAnsi="Arial"/>
        </w:rPr>
        <w:t xml:space="preserve">This research aimed to identify alternative sources of beta cells for transplantation due to the lack of a unified strategy in the UK and Europe. This strategy would highlight care and self-management conditions. However, Salis </w:t>
      </w:r>
      <w:r>
        <w:rPr>
          <w:rFonts w:ascii="Arial" w:hAnsi="Arial"/>
          <w:i/>
        </w:rPr>
        <w:t>et al.,</w:t>
      </w:r>
      <w:r>
        <w:rPr>
          <w:rFonts w:ascii="Arial" w:hAnsi="Arial"/>
        </w:rPr>
        <w:t xml:space="preserve"> (2022) argued that cure interventions might elude patients and healthcare professionals as there is no proven method for completely preventing the T1D condition. Therefore, to address clinical solutions and management of T1D effectively, 40% research has been done on clinical diabetes, 32% on glucose monitoring, 28% on insulin therapy and other factors, as shown in Figure 2.2 (Breakthrought1d.org.uk, 2021).</w:t>
      </w:r>
    </w:p>
    <w:p w14:paraId="1AD7AB5B" w14:textId="77777777" w:rsidR="00874A36" w:rsidRDefault="00000000">
      <w:pPr>
        <w:pStyle w:val="Normal1"/>
        <w:spacing w:line="360" w:lineRule="auto"/>
        <w:jc w:val="center"/>
        <w:rPr>
          <w:lang w:val="en-GB"/>
        </w:rPr>
      </w:pPr>
      <w:bookmarkStart w:id="35" w:name="_69az7veq7ud9" w:colFirst="0" w:colLast="0"/>
      <w:bookmarkEnd w:id="35"/>
      <w:r>
        <w:rPr>
          <w:noProof/>
          <w:lang w:bidi="hi-IN"/>
        </w:rPr>
        <w:drawing>
          <wp:inline distT="0" distB="0" distL="0" distR="0" wp14:anchorId="071851C0" wp14:editId="4B04F210">
            <wp:extent cx="4349588" cy="2273995"/>
            <wp:effectExtent l="0" t="0" r="0" b="0"/>
            <wp:docPr id="1035" name="image4.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21" cstate="print"/>
                    <a:srcRect/>
                    <a:stretch/>
                  </pic:blipFill>
                  <pic:spPr>
                    <a:xfrm>
                      <a:off x="0" y="0"/>
                      <a:ext cx="4349588" cy="2273995"/>
                    </a:xfrm>
                    <a:prstGeom prst="rect">
                      <a:avLst/>
                    </a:prstGeom>
                    <a:ln w="9525" cap="flat" cmpd="sng">
                      <a:solidFill>
                        <a:srgbClr val="000000"/>
                      </a:solidFill>
                      <a:prstDash val="solid"/>
                      <a:round/>
                      <a:headEnd type="none" w="med" len="med"/>
                      <a:tailEnd type="none" w="med" len="med"/>
                    </a:ln>
                  </pic:spPr>
                </pic:pic>
              </a:graphicData>
            </a:graphic>
          </wp:inline>
        </w:drawing>
      </w:r>
    </w:p>
    <w:p w14:paraId="5ED5930E" w14:textId="77777777" w:rsidR="00874A36" w:rsidRDefault="00000000">
      <w:pPr>
        <w:pStyle w:val="Heading4"/>
      </w:pPr>
      <w:bookmarkStart w:id="36" w:name="_Toc234322987"/>
      <w:bookmarkStart w:id="37" w:name="_Toc235897040"/>
      <w:r>
        <w:lastRenderedPageBreak/>
        <w:t>Figure 2.2: Current research area in clinical science and care</w:t>
      </w:r>
      <w:bookmarkEnd w:id="36"/>
      <w:bookmarkEnd w:id="37"/>
      <w:r>
        <w:t xml:space="preserve"> </w:t>
      </w:r>
    </w:p>
    <w:p w14:paraId="4277677D" w14:textId="77777777" w:rsidR="00874A36" w:rsidRDefault="00000000">
      <w:pPr>
        <w:pStyle w:val="Normal1"/>
        <w:spacing w:line="360" w:lineRule="auto"/>
        <w:jc w:val="center"/>
        <w:rPr>
          <w:lang w:val="en-GB"/>
        </w:rPr>
      </w:pPr>
      <w:r>
        <w:rPr>
          <w:lang w:val="en-GB"/>
        </w:rPr>
        <w:t>(Source: Breakthrought1d.org.uk, 2021)</w:t>
      </w:r>
    </w:p>
    <w:p w14:paraId="79C9F35C" w14:textId="77777777" w:rsidR="00874A36" w:rsidRDefault="00000000">
      <w:pPr>
        <w:pStyle w:val="Normal1"/>
        <w:spacing w:line="360" w:lineRule="auto"/>
        <w:jc w:val="both"/>
        <w:rPr>
          <w:lang w:val="en-GB"/>
        </w:rPr>
      </w:pPr>
      <w:r>
        <w:rPr>
          <w:lang w:val="en-GB"/>
        </w:rPr>
        <w:t>Along with these, further investigation of T1D was observed in wellbeing, stigma, and health technologies. As an example, a systematic review identified 20 relevant studies that highlight the relationship between QoL and management of T1D among adult patients in the UK (</w:t>
      </w:r>
      <w:r>
        <w:rPr>
          <w:highlight w:val="white"/>
          <w:lang w:val="en-GB"/>
        </w:rPr>
        <w:t>Matlock</w:t>
      </w:r>
      <w:r>
        <w:rPr>
          <w:lang w:val="en-GB"/>
        </w:rPr>
        <w:t xml:space="preserve"> </w:t>
      </w:r>
      <w:r>
        <w:rPr>
          <w:i/>
          <w:iCs/>
          <w:lang w:val="en-GB"/>
        </w:rPr>
        <w:t xml:space="preserve">et al., </w:t>
      </w:r>
      <w:r>
        <w:rPr>
          <w:lang w:val="en-GB"/>
        </w:rPr>
        <w:t>2022). Despite this evidence, a gap remains due to the frequent employment of different QoL instruments, intervention durations, and samples, affecting direct comparison for the outcomes.</w:t>
      </w:r>
    </w:p>
    <w:p w14:paraId="5389FF2A" w14:textId="77777777" w:rsidR="00874A36" w:rsidRDefault="00000000">
      <w:pPr>
        <w:pStyle w:val="Heading3"/>
        <w:keepNext w:val="0"/>
        <w:keepLines w:val="0"/>
        <w:shd w:val="clear" w:color="auto" w:fill="FFFFFF"/>
        <w:spacing w:after="0" w:line="360" w:lineRule="auto"/>
        <w:jc w:val="both"/>
        <w:rPr>
          <w:rFonts w:ascii="Arial" w:hAnsi="Arial" w:cs="Arial"/>
          <w:b/>
          <w:bCs/>
          <w:color w:val="auto"/>
          <w:sz w:val="22"/>
        </w:rPr>
      </w:pPr>
      <w:bookmarkStart w:id="38" w:name="_ymc9j1jf5348" w:colFirst="0" w:colLast="0"/>
      <w:bookmarkStart w:id="39" w:name="_Toc234322941"/>
      <w:bookmarkEnd w:id="38"/>
      <w:r>
        <w:rPr>
          <w:rFonts w:ascii="Arial" w:hAnsi="Arial" w:cs="Arial"/>
          <w:b/>
          <w:bCs/>
          <w:color w:val="auto"/>
          <w:sz w:val="22"/>
        </w:rPr>
        <w:t>2.2.2 Synthesis of key findings from relevant studies</w:t>
      </w:r>
      <w:bookmarkEnd w:id="39"/>
      <w:r>
        <w:rPr>
          <w:rFonts w:ascii="Arial" w:hAnsi="Arial" w:cs="Arial"/>
          <w:b/>
          <w:bCs/>
          <w:color w:val="auto"/>
          <w:sz w:val="22"/>
        </w:rPr>
        <w:t xml:space="preserve"> </w:t>
      </w:r>
    </w:p>
    <w:p w14:paraId="700EDA14" w14:textId="77777777" w:rsidR="00874A36" w:rsidRDefault="00000000">
      <w:pPr>
        <w:pStyle w:val="Normal1"/>
        <w:spacing w:line="360" w:lineRule="auto"/>
        <w:jc w:val="both"/>
        <w:rPr>
          <w:lang w:val="en-GB"/>
        </w:rPr>
      </w:pPr>
      <w:r>
        <w:rPr>
          <w:lang w:val="en-GB"/>
        </w:rPr>
        <w:t xml:space="preserve">Existing literature has deliberately presented effective management strategies and clinical interventions to improve both quality of life as well as patient outcomes among adults suffering from type 1 diabetes. Although benefits and magnitude of the outcome vary across different intervention type health care settings and patient characteristics, three significant areas have been identified as strategic solutions (Fontaine </w:t>
      </w:r>
      <w:r>
        <w:rPr>
          <w:i/>
          <w:iCs/>
          <w:lang w:val="en-GB"/>
        </w:rPr>
        <w:t xml:space="preserve">et al., </w:t>
      </w:r>
      <w:r>
        <w:rPr>
          <w:lang w:val="en-GB"/>
        </w:rPr>
        <w:t xml:space="preserve">2024). The areas are self-management capacity, glycaemic control and psychological well-being. The undertaken research showed how self-management is possible through enhancing educational knowledge about the type of diabetes and awareness about treatment intervention with self-monitoring, control and behavioural activities to improve quality of life. </w:t>
      </w:r>
      <w:r>
        <w:rPr>
          <w:color w:val="FF0000"/>
          <w:lang w:val="en-GB"/>
        </w:rPr>
        <w:t xml:space="preserve">In previous study Self-Management Theory (SMT) helped to understand how Type 1 Diabetes spends the majority as a disease rather than direct supervision from healthcare providers. In this case, Alliston et al., (2024) mentioned that structured diabetes education would significantly improve patients' self-efficacy, leading to better quality of life. </w:t>
      </w:r>
      <w:r>
        <w:rPr>
          <w:lang w:val="en-GB"/>
        </w:rPr>
        <w:t xml:space="preserve">The systematic review has focused on hypoglycaemia in adults comparing the intervention for both T1D and T2D and highlighted how it affects patients, reducing </w:t>
      </w:r>
      <w:r>
        <w:rPr>
          <w:highlight w:val="white"/>
          <w:lang w:val="en-GB"/>
        </w:rPr>
        <w:t>social activities</w:t>
      </w:r>
      <w:r>
        <w:rPr>
          <w:lang w:val="en-GB"/>
        </w:rPr>
        <w:t>, sleep quality and increasing anxiety (</w:t>
      </w:r>
      <w:r>
        <w:rPr>
          <w:highlight w:val="white"/>
          <w:lang w:val="en-GB"/>
        </w:rPr>
        <w:t>Matlock</w:t>
      </w:r>
      <w:r>
        <w:rPr>
          <w:lang w:val="en-GB"/>
        </w:rPr>
        <w:t xml:space="preserve"> </w:t>
      </w:r>
      <w:r>
        <w:rPr>
          <w:i/>
          <w:iCs/>
          <w:lang w:val="en-GB"/>
        </w:rPr>
        <w:t xml:space="preserve">et al., </w:t>
      </w:r>
      <w:r>
        <w:rPr>
          <w:lang w:val="en-GB"/>
        </w:rPr>
        <w:t>2022). Research showed that this can be managed by insulin therapy and blood sugar maintenance effectively.</w:t>
      </w:r>
    </w:p>
    <w:p w14:paraId="04D119B8" w14:textId="77777777" w:rsidR="00874A36" w:rsidRDefault="00000000">
      <w:pPr>
        <w:pStyle w:val="Normal1"/>
        <w:spacing w:line="360" w:lineRule="auto"/>
        <w:jc w:val="both"/>
        <w:rPr>
          <w:color w:val="FF0000"/>
          <w:lang w:val="en-IN"/>
        </w:rPr>
      </w:pPr>
      <w:r>
        <w:rPr>
          <w:lang w:val="en-GB"/>
        </w:rPr>
        <w:t xml:space="preserve">According to Ashraf </w:t>
      </w:r>
      <w:r>
        <w:rPr>
          <w:i/>
          <w:iCs/>
          <w:lang w:val="en-GB"/>
        </w:rPr>
        <w:t xml:space="preserve">et al., </w:t>
      </w:r>
      <w:r>
        <w:rPr>
          <w:lang w:val="en-GB"/>
        </w:rPr>
        <w:t>(2024), psychological well-being is another critical determinant of diabetes management. In this case of T1D, adults might experience hypoglycaemia with enhanced anxiety and impaired emotional well-being</w:t>
      </w:r>
      <w:r>
        <w:rPr>
          <w:color w:val="FF0000"/>
          <w:lang w:val="en-GB"/>
        </w:rPr>
        <w:t xml:space="preserve">. </w:t>
      </w:r>
      <w:r>
        <w:rPr>
          <w:color w:val="FF0000"/>
        </w:rPr>
        <w:t>In this case, the framework, Health Belief Model (HBM) has been introduced by Alissa and Al Zahrani, (2025) to explain variations in the adoption of insulin pumps in developing preventive and self-care behaviours so that meaningful benefits are generated. Hence, HBM provides a behavioural explanation for different outcomes across individuals.</w:t>
      </w:r>
      <w:r>
        <w:rPr>
          <w:color w:val="FF0000"/>
          <w:lang w:val="en-IN"/>
        </w:rPr>
        <w:t xml:space="preserve"> </w:t>
      </w:r>
      <w:r>
        <w:rPr>
          <w:lang w:val="en-GB"/>
        </w:rPr>
        <w:t xml:space="preserve">Therefore, taking care of their psychological well-being is significant by implementing behavioural therapy, coping-skills training and motivational interviewing to improve the condition of patients. This would help to create a good interaction between healthcare providers and patients in the UK within clinical research supporting overall wellbeing. Additionally, multinational populations with NHS data </w:t>
      </w:r>
      <w:r>
        <w:rPr>
          <w:lang w:val="en-GB"/>
        </w:rPr>
        <w:lastRenderedPageBreak/>
        <w:t xml:space="preserve">highlighted various management strategies of T1D, which involve both adults and children as patients (Hao </w:t>
      </w:r>
      <w:r>
        <w:rPr>
          <w:i/>
          <w:iCs/>
          <w:lang w:val="en-GB"/>
        </w:rPr>
        <w:t xml:space="preserve">et al., </w:t>
      </w:r>
      <w:r>
        <w:rPr>
          <w:lang w:val="en-GB"/>
        </w:rPr>
        <w:t>2025). Hence, the research on this topic is largely conducted within the clinical as well as scientific research to manage the health condition effectively, integrating current evidence for the UK context.</w:t>
      </w:r>
    </w:p>
    <w:p w14:paraId="64D46369" w14:textId="77777777" w:rsidR="00874A36" w:rsidRDefault="00000000">
      <w:pPr>
        <w:pStyle w:val="Heading3"/>
        <w:spacing w:after="0" w:line="360" w:lineRule="auto"/>
        <w:jc w:val="both"/>
        <w:rPr>
          <w:rFonts w:ascii="Arial" w:hAnsi="Arial" w:cs="Arial"/>
          <w:sz w:val="22"/>
        </w:rPr>
      </w:pPr>
      <w:bookmarkStart w:id="40" w:name="_y18lw06yi9ek" w:colFirst="0" w:colLast="0"/>
      <w:bookmarkStart w:id="41" w:name="_Toc234278697"/>
      <w:bookmarkEnd w:id="40"/>
      <w:r>
        <w:rPr>
          <w:rFonts w:ascii="Arial" w:hAnsi="Arial" w:cs="Arial"/>
          <w:sz w:val="22"/>
        </w:rPr>
        <w:t>2.2.3 The strengths and weaknesses of previous research</w:t>
      </w:r>
      <w:bookmarkEnd w:id="41"/>
    </w:p>
    <w:p w14:paraId="42F69C7E" w14:textId="77777777" w:rsidR="00874A36" w:rsidRDefault="00000000">
      <w:pPr>
        <w:spacing w:before="240" w:after="240" w:line="360" w:lineRule="auto"/>
        <w:jc w:val="both"/>
        <w:rPr>
          <w:rFonts w:ascii="Arial" w:hAnsi="Arial"/>
        </w:rPr>
      </w:pPr>
      <w:r>
        <w:rPr>
          <w:rFonts w:ascii="Arial" w:hAnsi="Arial"/>
        </w:rPr>
        <w:t>Prior research on the management of Type 1 Diabetes has been highly optimistic regarding the concept of technological interventions, particularly, systems to regularly monitor glucose level, insulin pump therapy and hybrid closed-loop system as a method of enhancing glycaemic control and reducing incidences of hypoglycaemic episodes in adults. Responses to the new technologies of diabetic care are also supported by the research of Vettoretti</w:t>
      </w:r>
      <w:r>
        <w:rPr>
          <w:rFonts w:ascii="Arial" w:hAnsi="Arial"/>
          <w:i/>
          <w:iCs/>
        </w:rPr>
        <w:t xml:space="preserve"> et al</w:t>
      </w:r>
      <w:r>
        <w:rPr>
          <w:rFonts w:ascii="Arial" w:hAnsi="Arial"/>
        </w:rPr>
        <w:t xml:space="preserve">. (2020), Bode </w:t>
      </w:r>
      <w:r>
        <w:rPr>
          <w:rFonts w:ascii="Arial" w:hAnsi="Arial"/>
          <w:i/>
          <w:iCs/>
        </w:rPr>
        <w:t>et al.</w:t>
      </w:r>
      <w:r>
        <w:rPr>
          <w:rFonts w:ascii="Arial" w:hAnsi="Arial"/>
        </w:rPr>
        <w:t xml:space="preserve"> (2021), which demonstrates that diabetes technologies assist in more responsive and personalised care. The overall strength of this literature is that it regards its research on the basis of measurable clinical outcomes, like HbA1c, time-in-range and frequency of hypoglycaemia, and thereby interventions can be more easily compared. Likewise, the study of </w:t>
      </w:r>
      <w:r>
        <w:rPr>
          <w:rFonts w:ascii="Arial" w:eastAsia="Arial" w:hAnsi="Arial"/>
          <w:color w:val="222222"/>
          <w:highlight w:val="white"/>
        </w:rPr>
        <w:t>Mangoulia</w:t>
      </w:r>
      <w:r>
        <w:rPr>
          <w:rFonts w:ascii="Arial" w:hAnsi="Arial"/>
          <w:i/>
          <w:iCs/>
        </w:rPr>
        <w:t>et al.</w:t>
      </w:r>
      <w:r>
        <w:rPr>
          <w:rFonts w:ascii="Arial" w:hAnsi="Arial"/>
        </w:rPr>
        <w:t xml:space="preserve"> (2024) enriches the discourse by exploring the field of psychological interventions and demonstrating the increased understanding that the management of diabetes should also concern emotional well-being and not just the biomedical one.</w:t>
      </w:r>
    </w:p>
    <w:p w14:paraId="09DE7674" w14:textId="77777777" w:rsidR="00874A36" w:rsidRDefault="00000000">
      <w:pPr>
        <w:spacing w:before="240" w:after="240" w:line="360" w:lineRule="auto"/>
        <w:jc w:val="both"/>
        <w:rPr>
          <w:rFonts w:ascii="Arial" w:hAnsi="Arial"/>
        </w:rPr>
      </w:pPr>
      <w:r>
        <w:rPr>
          <w:rFonts w:ascii="Arial" w:hAnsi="Arial"/>
        </w:rPr>
        <w:t xml:space="preserve">The limitation of the literature is, however, that they place more emphasis on clinical effectiveness than lived experience. Though the technology-oriented studies are effective insofar as the evidence of glucose outcome is concerned, there are cases where they fail to explain how the adults perceive the burden of the device, alarm fatigue, cost, digital confidence, or disturbance of the working and social life. Sarfo </w:t>
      </w:r>
      <w:r>
        <w:rPr>
          <w:rFonts w:ascii="Arial" w:hAnsi="Arial"/>
          <w:i/>
          <w:iCs/>
        </w:rPr>
        <w:t>et al.</w:t>
      </w:r>
      <w:r>
        <w:rPr>
          <w:rFonts w:ascii="Arial" w:hAnsi="Arial"/>
        </w:rPr>
        <w:t xml:space="preserve"> (2021) highlight that qualitative research, on the other hand, provides a more detailed picture of the experience of patients but may be based on a smaller sample and may not always be generalisable. Therefore, existing studies exist but are unequal, with the biomedical studies more methodological and the psychosocial ones more person-related and weaker in magnitude and in comparability. </w:t>
      </w:r>
    </w:p>
    <w:p w14:paraId="3672EA1A" w14:textId="77777777" w:rsidR="00874A36" w:rsidRDefault="00000000">
      <w:pPr>
        <w:pStyle w:val="Heading3"/>
        <w:spacing w:after="0" w:line="360" w:lineRule="auto"/>
        <w:jc w:val="both"/>
        <w:rPr>
          <w:rFonts w:ascii="Arial" w:hAnsi="Arial" w:cs="Arial"/>
          <w:sz w:val="22"/>
        </w:rPr>
      </w:pPr>
      <w:bookmarkStart w:id="42" w:name="_b6biezc977aq" w:colFirst="0" w:colLast="0"/>
      <w:bookmarkStart w:id="43" w:name="_Toc234278698"/>
      <w:bookmarkEnd w:id="42"/>
      <w:r>
        <w:rPr>
          <w:rFonts w:ascii="Arial" w:hAnsi="Arial" w:cs="Arial"/>
          <w:sz w:val="22"/>
        </w:rPr>
        <w:t>2.2.4 Gaps or limitations in existing research</w:t>
      </w:r>
      <w:bookmarkEnd w:id="43"/>
    </w:p>
    <w:p w14:paraId="718BB67E" w14:textId="77777777" w:rsidR="00874A36" w:rsidRDefault="00000000">
      <w:pPr>
        <w:spacing w:before="240" w:after="240" w:line="360" w:lineRule="auto"/>
        <w:jc w:val="both"/>
        <w:rPr>
          <w:rFonts w:ascii="Arial" w:hAnsi="Arial"/>
        </w:rPr>
      </w:pPr>
      <w:r>
        <w:rPr>
          <w:rFonts w:ascii="Arial" w:hAnsi="Arial"/>
        </w:rPr>
        <w:t>A limited discussion of the integration of clinical, psychological and social outcomes of the same studies is one of the most inadequate aspects of the literature. Almabadi</w:t>
      </w:r>
      <w:r>
        <w:rPr>
          <w:rFonts w:ascii="Arial" w:hAnsi="Arial"/>
          <w:i/>
          <w:iCs/>
        </w:rPr>
        <w:t xml:space="preserve"> et al</w:t>
      </w:r>
      <w:r>
        <w:rPr>
          <w:rFonts w:ascii="Arial" w:hAnsi="Arial"/>
        </w:rPr>
        <w:t xml:space="preserve">. (2025) compare the treatment of insulin delivery, glucose monitoring/education programmes or education programmes individually, when adults with Type 1 Diabetes deal with both in real life. Thus, the evidence has not been completely collected and compiled to demonstrate the </w:t>
      </w:r>
      <w:r>
        <w:rPr>
          <w:rFonts w:ascii="Arial" w:hAnsi="Arial"/>
        </w:rPr>
        <w:lastRenderedPageBreak/>
        <w:t xml:space="preserve">best strategies that should be used together to enhance the quality of life. The second weak point is the variability in the research into and the response to differences in the delivery of diabetes technology and specialist assistance to populations in the UK. The evidence that relates to technology and psychological support would be applicable because of </w:t>
      </w:r>
      <w:r>
        <w:rPr>
          <w:rFonts w:ascii="Arial" w:hAnsi="Arial"/>
          <w:color w:val="222222"/>
          <w:highlight w:val="white"/>
        </w:rPr>
        <w:t>Bode</w:t>
      </w:r>
      <w:r>
        <w:rPr>
          <w:rFonts w:ascii="Arial" w:hAnsi="Arial"/>
          <w:i/>
          <w:iCs/>
        </w:rPr>
        <w:t xml:space="preserve"> et al.</w:t>
      </w:r>
      <w:r>
        <w:rPr>
          <w:rFonts w:ascii="Arial" w:hAnsi="Arial"/>
        </w:rPr>
        <w:t xml:space="preserve"> (2021), suggesting that the interventions could be useful, but their accessibility can change across regions/socioeconomic status/ethnicity/digital curiousness/service access.</w:t>
      </w:r>
    </w:p>
    <w:p w14:paraId="17E4F1D1" w14:textId="77777777" w:rsidR="00874A36" w:rsidRDefault="00000000">
      <w:pPr>
        <w:spacing w:before="240" w:after="240" w:line="360" w:lineRule="auto"/>
        <w:jc w:val="both"/>
        <w:rPr>
          <w:rFonts w:ascii="Arial" w:hAnsi="Arial"/>
          <w:color w:val="FF0000"/>
        </w:rPr>
      </w:pPr>
      <w:r>
        <w:rPr>
          <w:rFonts w:ascii="Arial" w:hAnsi="Arial"/>
          <w:color w:val="FF0000"/>
        </w:rPr>
        <w:t xml:space="preserve">Moreover, there is still a lack of integrated evidence because most studies deal with separate aspects of management of type 1 diabetes rather than looking at the issue as a whole. Thus, Harris </w:t>
      </w:r>
      <w:r>
        <w:rPr>
          <w:rFonts w:ascii="Arial" w:hAnsi="Arial"/>
          <w:i/>
          <w:iCs/>
          <w:color w:val="FF0000"/>
        </w:rPr>
        <w:t>et al</w:t>
      </w:r>
      <w:r>
        <w:rPr>
          <w:rFonts w:ascii="Arial" w:hAnsi="Arial"/>
          <w:color w:val="FF0000"/>
        </w:rPr>
        <w:t xml:space="preserve">. (2022) emphasize the significance of structured education and self-management, while Charleer </w:t>
      </w:r>
      <w:r>
        <w:rPr>
          <w:rFonts w:ascii="Arial" w:hAnsi="Arial"/>
          <w:i/>
          <w:iCs/>
          <w:color w:val="FF0000"/>
        </w:rPr>
        <w:t>et al</w:t>
      </w:r>
      <w:r>
        <w:rPr>
          <w:rFonts w:ascii="Arial" w:hAnsi="Arial"/>
          <w:color w:val="FF0000"/>
        </w:rPr>
        <w:t xml:space="preserve">. (2023) and Nefs </w:t>
      </w:r>
      <w:r>
        <w:rPr>
          <w:rFonts w:ascii="Arial" w:hAnsi="Arial"/>
          <w:i/>
          <w:iCs/>
          <w:color w:val="FF0000"/>
        </w:rPr>
        <w:t>et al</w:t>
      </w:r>
      <w:r>
        <w:rPr>
          <w:rFonts w:ascii="Arial" w:hAnsi="Arial"/>
          <w:color w:val="FF0000"/>
        </w:rPr>
        <w:t xml:space="preserve">. (2024) mainly investigate diabetes technologies and psychosocial results. Also, Walker </w:t>
      </w:r>
      <w:r>
        <w:rPr>
          <w:rFonts w:ascii="Arial" w:hAnsi="Arial"/>
          <w:i/>
          <w:iCs/>
          <w:color w:val="FF0000"/>
        </w:rPr>
        <w:t>et al.</w:t>
      </w:r>
      <w:r>
        <w:rPr>
          <w:rFonts w:ascii="Arial" w:hAnsi="Arial"/>
          <w:color w:val="FF0000"/>
        </w:rPr>
        <w:t xml:space="preserve"> (2021) discuss social inequality, while Martyn-Nemeth </w:t>
      </w:r>
      <w:r>
        <w:rPr>
          <w:rFonts w:ascii="Arial" w:hAnsi="Arial"/>
          <w:i/>
          <w:iCs/>
          <w:color w:val="FF0000"/>
        </w:rPr>
        <w:t>et al</w:t>
      </w:r>
      <w:r>
        <w:rPr>
          <w:rFonts w:ascii="Arial" w:hAnsi="Arial"/>
          <w:color w:val="FF0000"/>
        </w:rPr>
        <w:t>. (2022) research emotional distress and fear of hypoglycemia separately. A lack of comprehensive evidence linking clinical efficiency, psychological wellbeing, social determinants, and healthcare accessibility restricts the development of an integrated approach to managing type 1 diabetes in the UK.</w:t>
      </w:r>
    </w:p>
    <w:p w14:paraId="451DA416" w14:textId="77777777" w:rsidR="00874A36" w:rsidRDefault="00000000">
      <w:pPr>
        <w:spacing w:before="240" w:after="240" w:line="360" w:lineRule="auto"/>
        <w:jc w:val="both"/>
        <w:rPr>
          <w:rFonts w:ascii="Arial" w:hAnsi="Arial"/>
        </w:rPr>
      </w:pPr>
      <w:r>
        <w:rPr>
          <w:rFonts w:ascii="Arial" w:hAnsi="Arial"/>
        </w:rPr>
        <w:t xml:space="preserve">Few long-term studies have also been done on whether gains in glycaemic outcomes may result in long-term gains in quality of life. There are also countless studies which are brief and will examine the outcomes of interventions in comparison to the long-term adoptions, the contentment or the emotional durability of the therapy. In this way, this systematic review presents a knowledge gap since it conducted a critical synthesis of the evidence regarding management approach and quality of life enhancement of adult patients with Type 1 Diabetes in the UK. </w:t>
      </w:r>
    </w:p>
    <w:p w14:paraId="1D2CAC92" w14:textId="77777777" w:rsidR="00874A36" w:rsidRDefault="00000000">
      <w:pPr>
        <w:pStyle w:val="Heading2"/>
      </w:pPr>
      <w:bookmarkStart w:id="44" w:name="_ux4vym6hjft5" w:colFirst="0" w:colLast="0"/>
      <w:bookmarkStart w:id="45" w:name="_Toc234278699"/>
      <w:bookmarkEnd w:id="44"/>
      <w:r>
        <w:t xml:space="preserve">2.3 </w:t>
      </w:r>
      <w:bookmarkEnd w:id="45"/>
      <w:r>
        <w:t>Contribution of this research </w:t>
      </w:r>
    </w:p>
    <w:p w14:paraId="55E528F1" w14:textId="77777777" w:rsidR="00874A36" w:rsidRDefault="00000000">
      <w:pPr>
        <w:pStyle w:val="Heading3"/>
        <w:spacing w:after="0" w:line="360" w:lineRule="auto"/>
        <w:jc w:val="both"/>
        <w:rPr>
          <w:rFonts w:ascii="Arial" w:hAnsi="Arial" w:cs="Arial"/>
          <w:sz w:val="22"/>
        </w:rPr>
      </w:pPr>
      <w:bookmarkStart w:id="46" w:name="_8s8w4lh8vy2k" w:colFirst="0" w:colLast="0"/>
      <w:bookmarkStart w:id="47" w:name="_Toc234278700"/>
      <w:bookmarkEnd w:id="46"/>
      <w:r>
        <w:rPr>
          <w:rFonts w:ascii="Arial" w:hAnsi="Arial" w:cs="Arial"/>
          <w:sz w:val="22"/>
        </w:rPr>
        <w:t>2.3.1 Address</w:t>
      </w:r>
      <w:r>
        <w:rPr>
          <w:rFonts w:ascii="Arial" w:hAnsi="Arial" w:cs="Arial"/>
          <w:sz w:val="22"/>
          <w:lang w:val="en-US"/>
        </w:rPr>
        <w:t>ing</w:t>
      </w:r>
      <w:r>
        <w:rPr>
          <w:rFonts w:ascii="Arial" w:hAnsi="Arial" w:cs="Arial"/>
          <w:sz w:val="22"/>
        </w:rPr>
        <w:t xml:space="preserve"> a gap in the literature</w:t>
      </w:r>
      <w:bookmarkEnd w:id="47"/>
    </w:p>
    <w:p w14:paraId="53607F77" w14:textId="77777777" w:rsidR="00874A36" w:rsidRDefault="00000000">
      <w:pPr>
        <w:spacing w:before="240" w:after="240" w:line="360" w:lineRule="auto"/>
        <w:jc w:val="both"/>
        <w:rPr>
          <w:rFonts w:ascii="Arial" w:hAnsi="Arial"/>
        </w:rPr>
      </w:pPr>
      <w:r>
        <w:rPr>
          <w:rFonts w:ascii="Arial" w:hAnsi="Arial"/>
        </w:rPr>
        <w:t xml:space="preserve">Jeyam </w:t>
      </w:r>
      <w:r>
        <w:rPr>
          <w:rFonts w:ascii="Arial" w:hAnsi="Arial"/>
          <w:i/>
          <w:iCs/>
        </w:rPr>
        <w:t>et al</w:t>
      </w:r>
      <w:r>
        <w:rPr>
          <w:rFonts w:ascii="Arial" w:hAnsi="Arial"/>
        </w:rPr>
        <w:t xml:space="preserve">. (2021), including 4684 individuals with type 1 diabetes from the national Scottish register, Type 1 Diabetes in the UK is based on individual interventions (insulin pump therapy, glucose monitoring technologies or structured education programmes) without the interaction of either of the interventions with the other to determine the final outcome of quality of life. Although </w:t>
      </w:r>
      <w:r>
        <w:rPr>
          <w:rFonts w:ascii="Arial" w:eastAsia="Arial" w:hAnsi="Arial"/>
          <w:color w:val="222222"/>
          <w:highlight w:val="white"/>
        </w:rPr>
        <w:t xml:space="preserve">Pease </w:t>
      </w:r>
      <w:r>
        <w:rPr>
          <w:rFonts w:ascii="Arial" w:eastAsia="Arial" w:hAnsi="Arial"/>
          <w:i/>
          <w:iCs/>
          <w:color w:val="222222"/>
          <w:highlight w:val="white"/>
        </w:rPr>
        <w:t>et al</w:t>
      </w:r>
      <w:r>
        <w:rPr>
          <w:rFonts w:ascii="Arial" w:eastAsia="Arial" w:hAnsi="Arial"/>
          <w:color w:val="222222"/>
          <w:highlight w:val="white"/>
        </w:rPr>
        <w:t>. (2020)</w:t>
      </w:r>
      <w:r>
        <w:rPr>
          <w:rFonts w:ascii="Arial" w:hAnsi="Arial"/>
        </w:rPr>
        <w:t xml:space="preserve"> have had opportunities to establish the effectiveness of each given modality of treatment, little emphasis has been put on establishing the interaction of various clinical management strategies to influence the physical, psychological and social well-being of adult patients with the condition. Furthermore, the previous reviews have frequently used mixed populations of diabetes or </w:t>
      </w:r>
      <w:r>
        <w:rPr>
          <w:rFonts w:ascii="Arial" w:hAnsi="Arial"/>
        </w:rPr>
        <w:lastRenderedPageBreak/>
        <w:t>worldwide evidence that limits their precision to the UK health care generic and models of delivering healthcare through the National Health Service.</w:t>
      </w:r>
    </w:p>
    <w:p w14:paraId="3806D0DF" w14:textId="77777777" w:rsidR="00874A36" w:rsidRDefault="00000000">
      <w:pPr>
        <w:spacing w:before="240" w:after="240" w:line="360" w:lineRule="auto"/>
        <w:jc w:val="both"/>
        <w:rPr>
          <w:rFonts w:ascii="Arial" w:hAnsi="Arial"/>
        </w:rPr>
      </w:pPr>
      <w:r>
        <w:rPr>
          <w:rFonts w:ascii="Arial" w:hAnsi="Arial"/>
        </w:rPr>
        <w:t xml:space="preserve">Limitations described in the systematic review deal with the synthesis of evidence that involves UK adults with Type 1 Diabetes and the measurement of management practices on a broader scope of understanding of quality of life. Unlike the research by </w:t>
      </w:r>
      <w:r>
        <w:rPr>
          <w:rFonts w:ascii="Arial" w:eastAsia="Arial" w:hAnsi="Arial"/>
          <w:color w:val="222222"/>
          <w:highlight w:val="white"/>
        </w:rPr>
        <w:t xml:space="preserve">Porth </w:t>
      </w:r>
      <w:r>
        <w:rPr>
          <w:rFonts w:ascii="Arial" w:eastAsia="Arial" w:hAnsi="Arial"/>
          <w:i/>
          <w:iCs/>
          <w:color w:val="222222"/>
          <w:highlight w:val="white"/>
        </w:rPr>
        <w:t xml:space="preserve">et al. </w:t>
      </w:r>
      <w:r>
        <w:rPr>
          <w:rFonts w:ascii="Arial" w:eastAsia="Arial" w:hAnsi="Arial"/>
          <w:color w:val="222222"/>
          <w:highlight w:val="white"/>
        </w:rPr>
        <w:t>(2024)</w:t>
      </w:r>
      <w:r>
        <w:rPr>
          <w:rFonts w:ascii="Arial" w:hAnsi="Arial"/>
        </w:rPr>
        <w:t xml:space="preserve">, where the researcher concentrated on metabolic outcomes as the only outcome that is to be measured in their studies, the present study has patient-centred outcomes, which include emotional wellbeing, satisfaction with the treatment and social involvement. Therefore, the review helps to fill the gaps in the existing literature on the effectiveness of diabetes management in modern healthcare environments and addresses the need for more evidence-based chronic disease management tools. </w:t>
      </w:r>
    </w:p>
    <w:p w14:paraId="7887D047" w14:textId="77777777" w:rsidR="00874A36" w:rsidRDefault="00000000">
      <w:pPr>
        <w:pStyle w:val="Heading3"/>
        <w:spacing w:after="0" w:line="360" w:lineRule="auto"/>
        <w:jc w:val="both"/>
        <w:rPr>
          <w:rFonts w:ascii="Arial" w:hAnsi="Arial" w:cs="Arial"/>
          <w:sz w:val="22"/>
        </w:rPr>
      </w:pPr>
      <w:bookmarkStart w:id="48" w:name="_9c0btbb4cggv" w:colFirst="0" w:colLast="0"/>
      <w:bookmarkStart w:id="49" w:name="_Toc234278701"/>
      <w:bookmarkEnd w:id="48"/>
      <w:r>
        <w:rPr>
          <w:rFonts w:ascii="Arial" w:hAnsi="Arial" w:cs="Arial"/>
          <w:sz w:val="22"/>
        </w:rPr>
        <w:t xml:space="preserve">2.3.2 </w:t>
      </w:r>
      <w:r>
        <w:rPr>
          <w:rFonts w:ascii="Arial" w:hAnsi="Arial" w:cs="Arial"/>
          <w:sz w:val="22"/>
          <w:lang w:val="en-US"/>
        </w:rPr>
        <w:t xml:space="preserve">A </w:t>
      </w:r>
      <w:r>
        <w:rPr>
          <w:rFonts w:ascii="Arial" w:hAnsi="Arial" w:cs="Arial"/>
          <w:sz w:val="22"/>
        </w:rPr>
        <w:t>new theoretical or methodological approach to the topic</w:t>
      </w:r>
      <w:bookmarkEnd w:id="49"/>
    </w:p>
    <w:p w14:paraId="0D4E28C2" w14:textId="77777777" w:rsidR="00874A36" w:rsidRDefault="00000000">
      <w:pPr>
        <w:spacing w:before="240" w:after="240" w:line="360" w:lineRule="auto"/>
        <w:jc w:val="both"/>
        <w:rPr>
          <w:rFonts w:ascii="Arial" w:hAnsi="Arial"/>
        </w:rPr>
      </w:pPr>
      <w:r>
        <w:rPr>
          <w:rFonts w:ascii="Arial" w:hAnsi="Arial"/>
        </w:rPr>
        <w:t xml:space="preserve">Major part of the previous studies has adopted biomedical models that model the effective management of Type 1 Diabetes in relation to such parameters as the level of HbA1c, glucose variation and complications prevalence. Wijk </w:t>
      </w:r>
      <w:r>
        <w:rPr>
          <w:rFonts w:ascii="Arial" w:hAnsi="Arial"/>
          <w:i/>
          <w:iCs/>
        </w:rPr>
        <w:t>et al.</w:t>
      </w:r>
      <w:r>
        <w:rPr>
          <w:rFonts w:ascii="Arial" w:hAnsi="Arial"/>
        </w:rPr>
        <w:t xml:space="preserve"> (2023) note that though these measures are still clinically important, they might not fully appreciate the importance of behavioural adaptation, self-management confidence and psychosocial wellbeing. </w:t>
      </w:r>
    </w:p>
    <w:p w14:paraId="0A7E62C9" w14:textId="77777777" w:rsidR="00874A36" w:rsidRDefault="00000000">
      <w:pPr>
        <w:spacing w:before="240" w:after="240" w:line="360" w:lineRule="auto"/>
        <w:jc w:val="center"/>
        <w:rPr>
          <w:rFonts w:ascii="Arial" w:hAnsi="Arial"/>
        </w:rPr>
      </w:pPr>
      <w:r>
        <w:rPr>
          <w:rFonts w:ascii="Arial" w:hAnsi="Arial"/>
          <w:noProof/>
          <w:lang w:val="en-US" w:eastAsia="en-US" w:bidi="hi-IN"/>
        </w:rPr>
        <w:drawing>
          <wp:inline distT="0" distB="0" distL="0" distR="0" wp14:anchorId="17C73C50" wp14:editId="51617D23">
            <wp:extent cx="4046220" cy="3646993"/>
            <wp:effectExtent l="0" t="0" r="0" b="0"/>
            <wp:docPr id="1036" name="Picture 2" descr="Biopsychosocial (BPS) Model - Brookbush Institut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2"/>
                    <pic:cNvPicPr/>
                  </pic:nvPicPr>
                  <pic:blipFill>
                    <a:blip r:embed="rId22" cstate="print"/>
                    <a:srcRect/>
                    <a:stretch/>
                  </pic:blipFill>
                  <pic:spPr>
                    <a:xfrm>
                      <a:off x="0" y="0"/>
                      <a:ext cx="4046220" cy="3646993"/>
                    </a:xfrm>
                    <a:prstGeom prst="rect">
                      <a:avLst/>
                    </a:prstGeom>
                    <a:ln>
                      <a:noFill/>
                    </a:ln>
                  </pic:spPr>
                </pic:pic>
              </a:graphicData>
            </a:graphic>
          </wp:inline>
        </w:drawing>
      </w:r>
    </w:p>
    <w:p w14:paraId="2DA0775C" w14:textId="77777777" w:rsidR="00874A36" w:rsidRDefault="00000000">
      <w:pPr>
        <w:pStyle w:val="Heading4"/>
      </w:pPr>
      <w:bookmarkStart w:id="50" w:name="_Toc234313569"/>
      <w:bookmarkStart w:id="51" w:name="_Toc235897041"/>
      <w:r>
        <w:lastRenderedPageBreak/>
        <w:t>Figure 2.3: Biopsychosocial approach</w:t>
      </w:r>
      <w:bookmarkEnd w:id="50"/>
      <w:bookmarkEnd w:id="51"/>
    </w:p>
    <w:p w14:paraId="000FE30F" w14:textId="77777777" w:rsidR="00874A36" w:rsidRDefault="00000000">
      <w:pPr>
        <w:spacing w:before="240" w:after="240" w:line="360" w:lineRule="auto"/>
        <w:jc w:val="center"/>
        <w:rPr>
          <w:rFonts w:ascii="Arial" w:hAnsi="Arial"/>
          <w:lang w:val="en-IN"/>
        </w:rPr>
      </w:pPr>
      <w:r>
        <w:rPr>
          <w:rFonts w:ascii="Arial" w:hAnsi="Arial"/>
        </w:rPr>
        <w:t xml:space="preserve">(Source: </w:t>
      </w:r>
      <w:r>
        <w:rPr>
          <w:rFonts w:ascii="Arial" w:hAnsi="Arial"/>
          <w:lang w:val="en-IN"/>
        </w:rPr>
        <w:t>Brookbush Institute, 2025</w:t>
      </w:r>
      <w:r>
        <w:rPr>
          <w:rFonts w:ascii="Arial" w:hAnsi="Arial"/>
        </w:rPr>
        <w:t>)</w:t>
      </w:r>
    </w:p>
    <w:p w14:paraId="7C8679BB" w14:textId="77777777" w:rsidR="00874A36" w:rsidRDefault="00000000">
      <w:pPr>
        <w:spacing w:before="240" w:after="240" w:line="360" w:lineRule="auto"/>
        <w:jc w:val="both"/>
        <w:rPr>
          <w:rFonts w:ascii="Arial" w:hAnsi="Arial"/>
        </w:rPr>
      </w:pPr>
      <w:r>
        <w:rPr>
          <w:rFonts w:ascii="Arial" w:hAnsi="Arial"/>
        </w:rPr>
        <w:t>In contrast, Hao</w:t>
      </w:r>
      <w:r>
        <w:rPr>
          <w:rFonts w:ascii="Arial" w:hAnsi="Arial"/>
          <w:i/>
          <w:iCs/>
        </w:rPr>
        <w:t xml:space="preserve"> et al.</w:t>
      </w:r>
      <w:r>
        <w:rPr>
          <w:rFonts w:ascii="Arial" w:hAnsi="Arial"/>
        </w:rPr>
        <w:t xml:space="preserve"> (2025) suggest that person-centred and biopsychosocial approaches, which recognise diabetes management as a dynamic of the interaction of biological, psychological, and social determinants, are recommended.</w:t>
      </w:r>
    </w:p>
    <w:p w14:paraId="4DF8FF7C" w14:textId="77777777" w:rsidR="00874A36" w:rsidRDefault="00000000">
      <w:pPr>
        <w:spacing w:before="240" w:after="240" w:line="360" w:lineRule="auto"/>
        <w:jc w:val="both"/>
        <w:rPr>
          <w:rFonts w:ascii="Arial" w:hAnsi="Arial"/>
        </w:rPr>
      </w:pPr>
      <w:r>
        <w:rPr>
          <w:rFonts w:ascii="Arial" w:hAnsi="Arial"/>
        </w:rPr>
        <w:t xml:space="preserve">In terms of methodology, this systematic review takes an integrative approach as it synthesises findings of both qualitative and quantitative and mixed-method research and does not give preference to any research paradigm. Goldberg </w:t>
      </w:r>
      <w:r>
        <w:rPr>
          <w:rFonts w:ascii="Arial" w:hAnsi="Arial"/>
          <w:i/>
          <w:iCs/>
        </w:rPr>
        <w:t xml:space="preserve">et al. </w:t>
      </w:r>
      <w:r>
        <w:rPr>
          <w:rFonts w:ascii="Arial" w:hAnsi="Arial"/>
        </w:rPr>
        <w:t xml:space="preserve">(2021) found that such an approach can address limitations associated with the use of randomised controlled trials alone in that it enables comparison of the effectiveness studies of the clinical setting with those of the patient experience. This broad methodology enables the investigation of the real-world functioning of management strategies in more detail, and it is possible to justify the current trend of holistic chronic disease care models. </w:t>
      </w:r>
    </w:p>
    <w:p w14:paraId="646E0599" w14:textId="77777777" w:rsidR="00874A36" w:rsidRDefault="00000000">
      <w:pPr>
        <w:pStyle w:val="Heading3"/>
        <w:spacing w:after="0" w:line="360" w:lineRule="auto"/>
        <w:jc w:val="both"/>
        <w:rPr>
          <w:rFonts w:ascii="Arial" w:hAnsi="Arial" w:cs="Arial"/>
          <w:sz w:val="22"/>
        </w:rPr>
      </w:pPr>
      <w:bookmarkStart w:id="52" w:name="_hil003vpztcj" w:colFirst="0" w:colLast="0"/>
      <w:bookmarkStart w:id="53" w:name="_Toc234278702"/>
      <w:bookmarkEnd w:id="52"/>
      <w:r>
        <w:rPr>
          <w:rFonts w:ascii="Arial" w:hAnsi="Arial" w:cs="Arial"/>
          <w:sz w:val="22"/>
        </w:rPr>
        <w:t>2.3.3 Propos</w:t>
      </w:r>
      <w:r>
        <w:rPr>
          <w:rFonts w:ascii="Arial" w:hAnsi="Arial" w:cs="Arial"/>
          <w:sz w:val="22"/>
          <w:lang w:val="en-US"/>
        </w:rPr>
        <w:t xml:space="preserve">ing </w:t>
      </w:r>
      <w:r>
        <w:rPr>
          <w:rFonts w:ascii="Arial" w:hAnsi="Arial" w:cs="Arial"/>
          <w:sz w:val="22"/>
        </w:rPr>
        <w:t>a solution to an unresolved problem</w:t>
      </w:r>
      <w:bookmarkEnd w:id="53"/>
    </w:p>
    <w:p w14:paraId="6BD99858" w14:textId="77777777" w:rsidR="00874A36" w:rsidRDefault="00000000">
      <w:pPr>
        <w:spacing w:before="240" w:after="240" w:line="360" w:lineRule="auto"/>
        <w:jc w:val="both"/>
        <w:rPr>
          <w:rFonts w:ascii="Arial" w:hAnsi="Arial"/>
        </w:rPr>
      </w:pPr>
      <w:r>
        <w:rPr>
          <w:rFonts w:ascii="Arial" w:hAnsi="Arial"/>
        </w:rPr>
        <w:t>One gap in Type 1 Diabetes research is the lack of a relationship between improvements in clinical indicators and improvements in patient quality of life. Boscari and Avogaro (2021) show that the latest types of technologies have a positive effect on glucose parameters, but the literature on the effect of those technologies on emotional welfare, treatment burden, and social functionalities is not coherent. Studies indicate more liberation and confidence with the use of technology, while Reznik</w:t>
      </w:r>
      <w:r>
        <w:rPr>
          <w:rFonts w:ascii="Arial" w:hAnsi="Arial"/>
          <w:i/>
          <w:iCs/>
        </w:rPr>
        <w:t xml:space="preserve"> et al</w:t>
      </w:r>
      <w:r>
        <w:rPr>
          <w:rFonts w:ascii="Arial" w:hAnsi="Arial"/>
        </w:rPr>
        <w:t>. (2024) indicate more anxiety and weariness with the device and worry about dependence on technological systems.</w:t>
      </w:r>
    </w:p>
    <w:p w14:paraId="15B6590A" w14:textId="77777777" w:rsidR="00874A36" w:rsidRDefault="00000000">
      <w:pPr>
        <w:spacing w:before="240" w:after="240" w:line="360" w:lineRule="auto"/>
        <w:jc w:val="both"/>
        <w:rPr>
          <w:rFonts w:ascii="Arial" w:hAnsi="Arial"/>
        </w:rPr>
      </w:pPr>
      <w:r>
        <w:rPr>
          <w:rFonts w:ascii="Arial" w:hAnsi="Arial"/>
        </w:rPr>
        <w:t>The hypothesis of this systematic review is that integrated care pathways, which include clinical treatment, psychological support and self-management education, should be employed in the management strategies in the future, in contrast to isolated treatments. Such a model takes into consideration the multidimensionality of living with Type 1 Diabetes and aligns healthcare delivery to patient priorities as opposed to focusing only on clinician-defined outcomes. This synthesis of evidence of various types of interventions will aid in settling the current debate on the most effective measure to improve the long-term well-being of adults with Type 1 Diabetes in the UK.</w:t>
      </w:r>
    </w:p>
    <w:p w14:paraId="0F828BDC" w14:textId="77777777" w:rsidR="00874A36" w:rsidRDefault="00000000">
      <w:pPr>
        <w:pStyle w:val="Heading3"/>
        <w:spacing w:after="0" w:line="360" w:lineRule="auto"/>
        <w:jc w:val="both"/>
        <w:rPr>
          <w:rFonts w:ascii="Arial" w:hAnsi="Arial" w:cs="Arial"/>
          <w:sz w:val="22"/>
        </w:rPr>
      </w:pPr>
      <w:bookmarkStart w:id="54" w:name="_80tcdayx2i48" w:colFirst="0" w:colLast="0"/>
      <w:bookmarkStart w:id="55" w:name="_Toc234278703"/>
      <w:bookmarkEnd w:id="54"/>
      <w:r>
        <w:rPr>
          <w:rFonts w:ascii="Arial" w:hAnsi="Arial" w:cs="Arial"/>
          <w:sz w:val="22"/>
        </w:rPr>
        <w:t>2.3.4 Build</w:t>
      </w:r>
      <w:r>
        <w:rPr>
          <w:rFonts w:ascii="Arial" w:hAnsi="Arial" w:cs="Arial"/>
          <w:sz w:val="22"/>
          <w:lang w:val="en-US"/>
        </w:rPr>
        <w:t xml:space="preserve">ing </w:t>
      </w:r>
      <w:r>
        <w:rPr>
          <w:rFonts w:ascii="Arial" w:hAnsi="Arial" w:cs="Arial"/>
          <w:sz w:val="22"/>
        </w:rPr>
        <w:t>on and strengthening existing knowledge with new data</w:t>
      </w:r>
      <w:bookmarkEnd w:id="55"/>
    </w:p>
    <w:p w14:paraId="1E3C2561" w14:textId="77777777" w:rsidR="00874A36" w:rsidRDefault="00000000">
      <w:pPr>
        <w:spacing w:before="240" w:after="240" w:line="360" w:lineRule="auto"/>
        <w:jc w:val="both"/>
        <w:rPr>
          <w:rFonts w:ascii="Arial" w:hAnsi="Arial"/>
        </w:rPr>
      </w:pPr>
      <w:r>
        <w:rPr>
          <w:rFonts w:ascii="Arial" w:hAnsi="Arial"/>
        </w:rPr>
        <w:t xml:space="preserve">The increased abundance of evidence after the mass adoption of technologies dedicated to diabetes into the range of NHS services is a chance to reconsider previous assumptions </w:t>
      </w:r>
      <w:r>
        <w:rPr>
          <w:rFonts w:ascii="Arial" w:hAnsi="Arial"/>
        </w:rPr>
        <w:lastRenderedPageBreak/>
        <w:t xml:space="preserve">concerning what was considered to be an efficient way of treating the disease. The purpose of the previous research was usually conducted before advances in the area of continuous glucose monitoring, as well as in hybrid closed-loop systems, and this is why they are not applicable in modern practice contexts. Therefore, Holt </w:t>
      </w:r>
      <w:r>
        <w:rPr>
          <w:rFonts w:ascii="Arial" w:hAnsi="Arial"/>
          <w:i/>
          <w:iCs/>
        </w:rPr>
        <w:t>et al.</w:t>
      </w:r>
      <w:r>
        <w:rPr>
          <w:rFonts w:ascii="Arial" w:hAnsi="Arial"/>
        </w:rPr>
        <w:t xml:space="preserve"> (2021) state that management approaches should be rethought based on more contemporary evidence outlining the current trends of treatment directions and changing patient expectations.</w:t>
      </w:r>
    </w:p>
    <w:p w14:paraId="0472C565" w14:textId="77777777" w:rsidR="00874A36" w:rsidRDefault="00000000">
      <w:pPr>
        <w:spacing w:before="240" w:after="240" w:line="360" w:lineRule="auto"/>
        <w:jc w:val="both"/>
        <w:rPr>
          <w:rFonts w:ascii="Arial" w:hAnsi="Arial"/>
        </w:rPr>
      </w:pPr>
      <w:r>
        <w:rPr>
          <w:rFonts w:ascii="Arial" w:hAnsi="Arial"/>
        </w:rPr>
        <w:t xml:space="preserve">The systematic review enriches the already known information as it includes more recent studies, which describe the experiences of adults who use newer technologies and support services within the UK healthcare system. The comparison of these emerging findings with the previous findings in the review shows that there are some continuities and changes in the practice of diabetes management. This summarisation will result in more evidence-based accuracy to inform healthcare policy, clinical guidelines, and future intervention design in Type 1 Diabetes services. </w:t>
      </w:r>
    </w:p>
    <w:p w14:paraId="420B6E49" w14:textId="77777777" w:rsidR="00874A36" w:rsidRDefault="00000000">
      <w:pPr>
        <w:pStyle w:val="Heading3"/>
        <w:spacing w:after="0" w:line="360" w:lineRule="auto"/>
        <w:jc w:val="both"/>
        <w:rPr>
          <w:rFonts w:ascii="Arial" w:hAnsi="Arial" w:cs="Arial"/>
          <w:sz w:val="22"/>
        </w:rPr>
      </w:pPr>
      <w:bookmarkStart w:id="56" w:name="_yrul7n5z8d78" w:colFirst="0" w:colLast="0"/>
      <w:bookmarkStart w:id="57" w:name="_Toc234278704"/>
      <w:bookmarkEnd w:id="56"/>
      <w:r>
        <w:rPr>
          <w:rFonts w:ascii="Arial" w:hAnsi="Arial" w:cs="Arial"/>
          <w:sz w:val="22"/>
        </w:rPr>
        <w:t>2.3.5 Advanc</w:t>
      </w:r>
      <w:r>
        <w:rPr>
          <w:rFonts w:ascii="Arial" w:hAnsi="Arial" w:cs="Arial"/>
          <w:sz w:val="22"/>
          <w:lang w:val="en-US"/>
        </w:rPr>
        <w:t xml:space="preserve">ing </w:t>
      </w:r>
      <w:r>
        <w:rPr>
          <w:rFonts w:ascii="Arial" w:hAnsi="Arial" w:cs="Arial"/>
          <w:sz w:val="22"/>
        </w:rPr>
        <w:t>a theoretical debate</w:t>
      </w:r>
      <w:bookmarkEnd w:id="57"/>
    </w:p>
    <w:p w14:paraId="4B92C202" w14:textId="77777777" w:rsidR="00874A36" w:rsidRDefault="00000000">
      <w:pPr>
        <w:spacing w:before="240" w:after="240" w:line="360" w:lineRule="auto"/>
        <w:jc w:val="both"/>
        <w:rPr>
          <w:rFonts w:ascii="Arial" w:hAnsi="Arial"/>
        </w:rPr>
      </w:pPr>
      <w:r>
        <w:rPr>
          <w:rFonts w:ascii="Arial" w:hAnsi="Arial"/>
        </w:rPr>
        <w:t>One of the existing theoretical debates within the practice of chronic illnesses is on whether medical care plays a principal role in determining the outcome of the disease, or whether it is the broader social and behavioural determinants and factors that combine to influence the disease outcomes. Li</w:t>
      </w:r>
      <w:r>
        <w:rPr>
          <w:rFonts w:ascii="Arial" w:hAnsi="Arial"/>
          <w:i/>
          <w:iCs/>
        </w:rPr>
        <w:t xml:space="preserve"> et al</w:t>
      </w:r>
      <w:r>
        <w:rPr>
          <w:rFonts w:ascii="Arial" w:hAnsi="Arial"/>
        </w:rPr>
        <w:t>. (2023) highlighted that the traditional method in biomedicine presupposes a particular interest in the field of pharmacological intervention and control of physiological conditions, whereas Hill-Briggs (2020) argues that the other approaches are preoccupied with self-efficacy, patient empowerment and social determinants of health. This discussion on Type 1 Diabetes is still in its infancy, as both sides of the discussion provide good, but incomplete explanations of the disease outcomes.</w:t>
      </w:r>
    </w:p>
    <w:p w14:paraId="5829983F" w14:textId="77777777" w:rsidR="00874A36" w:rsidRDefault="00000000">
      <w:pPr>
        <w:spacing w:before="240" w:after="240" w:line="360" w:lineRule="auto"/>
        <w:jc w:val="both"/>
        <w:rPr>
          <w:rFonts w:ascii="Arial" w:hAnsi="Arial"/>
        </w:rPr>
      </w:pPr>
      <w:r>
        <w:rPr>
          <w:rFonts w:ascii="Arial" w:hAnsi="Arial"/>
        </w:rPr>
        <w:t xml:space="preserve">This systematic review moves this debate a step forward by critically appraising the evidence on both perspectives and investigating how far the success of management hinges on how clinical interventions and psychosocial resources interact. As opposed to the challenges of contradicting biomedical and behavioural approaches to explain a phenomenon, the review considers the existence of the possibility of utilising the approaches as complementary mechanisms to ascertain the quality of life. The strategy will contribute to the development of the theory in the sphere of chronic disease care, as it will assist in conceptualising health and wellbeing in more detail in Type 1 Diabetes adult patients. </w:t>
      </w:r>
    </w:p>
    <w:p w14:paraId="4EC29AB4" w14:textId="77777777" w:rsidR="00874A36" w:rsidRDefault="00000000">
      <w:pPr>
        <w:spacing w:before="240" w:after="240" w:line="360" w:lineRule="auto"/>
        <w:jc w:val="both"/>
        <w:rPr>
          <w:rFonts w:ascii="Arial" w:hAnsi="Arial"/>
        </w:rPr>
      </w:pPr>
      <w:r>
        <w:rPr>
          <w:rFonts w:ascii="Arial" w:hAnsi="Arial"/>
        </w:rPr>
        <w:t xml:space="preserve">Another aspect of this theoretical discussion is how much health care systems should focus on person-centred outcomes, as opposed to disease-centred outcomes, in determining the </w:t>
      </w:r>
      <w:r>
        <w:rPr>
          <w:rFonts w:ascii="Arial" w:hAnsi="Arial"/>
        </w:rPr>
        <w:lastRenderedPageBreak/>
        <w:t>success of diabetes care. Kalra</w:t>
      </w:r>
      <w:r>
        <w:rPr>
          <w:rFonts w:ascii="Arial" w:hAnsi="Arial"/>
          <w:i/>
          <w:iCs/>
        </w:rPr>
        <w:t xml:space="preserve"> et al</w:t>
      </w:r>
      <w:r>
        <w:rPr>
          <w:rFonts w:ascii="Arial" w:hAnsi="Arial"/>
        </w:rPr>
        <w:t xml:space="preserve">. (2020) observed that the treatment success according to biomedical theories is usually determined by objective clinical outcomes, and the behavioural and social theories state that patient satisfaction, treatment compliance, emotional resilience and social engagement are also significant predictors of long-term health. </w:t>
      </w:r>
    </w:p>
    <w:p w14:paraId="1AB5C1DC" w14:textId="77777777" w:rsidR="00874A36" w:rsidRDefault="00000000">
      <w:pPr>
        <w:spacing w:before="240" w:after="240" w:line="360" w:lineRule="auto"/>
        <w:jc w:val="both"/>
        <w:rPr>
          <w:rFonts w:ascii="Arial" w:hAnsi="Arial"/>
        </w:rPr>
      </w:pPr>
      <w:r>
        <w:rPr>
          <w:rFonts w:ascii="Arial" w:hAnsi="Arial"/>
        </w:rPr>
        <w:t xml:space="preserve">There is growing evidence to support that physiological outcomes may not be sustained without addressing psychological distress, financial constraints/limited social support. On the other hand, Winkley </w:t>
      </w:r>
      <w:r>
        <w:rPr>
          <w:rFonts w:ascii="Arial" w:hAnsi="Arial"/>
          <w:i/>
          <w:iCs/>
        </w:rPr>
        <w:t>et al.</w:t>
      </w:r>
      <w:r>
        <w:rPr>
          <w:rFonts w:ascii="Arial" w:hAnsi="Arial"/>
        </w:rPr>
        <w:t xml:space="preserve"> (2020) argue that psychosocial interventions that lack clinical managerial skills might not be able to prevent long-term complications of diabetes either. This brings out the fact that neither of the two approaches is adequate in its own right in explaining the complexity of living with Type 1 Diabetes. The current systematic review is part of the current movement in the direction of holistic management frameworks of chronic diseases, recognising the interdependence between biological functioning, individual actions and social environments. This integrated view can facilitate the development of improved theoretical frameworks in the future and guide the creation of more comprehensive healthcare policies and interventions to address the needs of adults with Type 1 Diabetes in the UK healthcare system.</w:t>
      </w:r>
    </w:p>
    <w:p w14:paraId="49DADFED" w14:textId="77777777" w:rsidR="00874A36" w:rsidRDefault="00000000">
      <w:pPr>
        <w:pStyle w:val="Heading2"/>
      </w:pPr>
      <w:bookmarkStart w:id="58" w:name="_Toc234322950"/>
      <w:r>
        <w:t>2.4 Theoretical framework</w:t>
      </w:r>
      <w:bookmarkEnd w:id="58"/>
      <w:r>
        <w:t xml:space="preserve"> </w:t>
      </w:r>
    </w:p>
    <w:p w14:paraId="6CCD5A1E" w14:textId="77777777" w:rsidR="00874A36" w:rsidRDefault="00000000">
      <w:pPr>
        <w:pStyle w:val="Heading3"/>
        <w:keepNext w:val="0"/>
        <w:keepLines w:val="0"/>
        <w:shd w:val="clear" w:color="auto" w:fill="FFFFFF"/>
        <w:spacing w:after="0" w:line="360" w:lineRule="auto"/>
        <w:jc w:val="both"/>
        <w:rPr>
          <w:rFonts w:ascii="Arial" w:hAnsi="Arial" w:cs="Arial"/>
          <w:b/>
          <w:bCs/>
          <w:color w:val="auto"/>
          <w:sz w:val="22"/>
        </w:rPr>
      </w:pPr>
      <w:bookmarkStart w:id="59" w:name="_dtnc7xdl858t" w:colFirst="0" w:colLast="0"/>
      <w:bookmarkStart w:id="60" w:name="_Toc234322951"/>
      <w:bookmarkEnd w:id="59"/>
      <w:r>
        <w:rPr>
          <w:rFonts w:ascii="Arial" w:hAnsi="Arial" w:cs="Arial"/>
          <w:b/>
          <w:bCs/>
          <w:color w:val="auto"/>
          <w:sz w:val="22"/>
        </w:rPr>
        <w:t>2.4.1 Theor</w:t>
      </w:r>
      <w:bookmarkEnd w:id="60"/>
      <w:r>
        <w:rPr>
          <w:rFonts w:ascii="Arial" w:hAnsi="Arial" w:cs="Arial"/>
          <w:b/>
          <w:bCs/>
          <w:color w:val="auto"/>
          <w:sz w:val="22"/>
          <w:lang w:val="en-US"/>
        </w:rPr>
        <w:t>ies suppo</w:t>
      </w:r>
      <w:r>
        <w:rPr>
          <w:rFonts w:ascii="Arial" w:hAnsi="Arial" w:cs="Arial"/>
          <w:b/>
          <w:bCs/>
          <w:color w:val="auto"/>
          <w:sz w:val="22"/>
        </w:rPr>
        <w:t xml:space="preserve">rting </w:t>
      </w:r>
      <w:r>
        <w:rPr>
          <w:rFonts w:ascii="Arial" w:hAnsi="Arial" w:cs="Arial"/>
          <w:b/>
          <w:bCs/>
          <w:color w:val="auto"/>
          <w:sz w:val="22"/>
          <w:lang w:val="en-US"/>
        </w:rPr>
        <w:t xml:space="preserve">the research </w:t>
      </w:r>
    </w:p>
    <w:p w14:paraId="1D0714A1" w14:textId="77777777" w:rsidR="00874A36" w:rsidRDefault="00000000">
      <w:pPr>
        <w:pStyle w:val="Normal1"/>
        <w:spacing w:line="360" w:lineRule="auto"/>
        <w:jc w:val="both"/>
        <w:rPr>
          <w:b/>
          <w:bCs/>
          <w:i/>
          <w:iCs/>
          <w:lang w:val="en-GB"/>
        </w:rPr>
      </w:pPr>
      <w:r>
        <w:rPr>
          <w:b/>
          <w:bCs/>
          <w:i/>
          <w:iCs/>
          <w:lang w:val="en-GB"/>
        </w:rPr>
        <w:t>Theory of self-management</w:t>
      </w:r>
    </w:p>
    <w:p w14:paraId="33AF3556" w14:textId="77777777" w:rsidR="00874A36" w:rsidRDefault="00000000">
      <w:pPr>
        <w:pStyle w:val="Normal1"/>
        <w:spacing w:line="360" w:lineRule="auto"/>
        <w:jc w:val="both"/>
        <w:rPr>
          <w:lang w:val="en-GB"/>
        </w:rPr>
      </w:pPr>
      <w:r>
        <w:rPr>
          <w:lang w:val="en-GB"/>
        </w:rPr>
        <w:t xml:space="preserve">This particular systematic research is primarily informed by “Self-Management Theory (SMT)”. This theory helps to understand the perspective on how individuals manage a lifelong condition with T1D through self-care behaviour and broadens the perspective of health outcome with psychological well-being, as well as social interaction (Puzhakkal </w:t>
      </w:r>
      <w:r>
        <w:rPr>
          <w:i/>
          <w:iCs/>
          <w:lang w:val="en-GB"/>
        </w:rPr>
        <w:t xml:space="preserve">et al., </w:t>
      </w:r>
      <w:r>
        <w:rPr>
          <w:lang w:val="en-GB"/>
        </w:rPr>
        <w:t>2025). Hence, the theory is a suitable one for this research to highlight that self-care monitoring, maintenance and management are interrelated for effective quality of life spending despite the T1D condition.</w:t>
      </w:r>
      <w:r>
        <w:rPr>
          <w:rFonts w:ascii="Calibri" w:eastAsia="DengXian" w:hAnsi="Calibri"/>
          <w:kern w:val="2"/>
          <w:lang w:val="en-GB" w:eastAsia="zh-CN"/>
        </w:rPr>
        <w:t xml:space="preserve"> </w:t>
      </w:r>
      <w:r>
        <w:rPr>
          <w:color w:val="FF0000"/>
          <w:lang w:val="en-GB"/>
        </w:rPr>
        <w:t>Therefore, SMT supports the research purpose of examining how different management strategies influence</w:t>
      </w:r>
      <w:r>
        <w:rPr>
          <w:lang w:val="en-GB"/>
        </w:rPr>
        <w:t xml:space="preserve">. In contrast, Socea </w:t>
      </w:r>
      <w:r>
        <w:rPr>
          <w:i/>
          <w:iCs/>
          <w:lang w:val="en-GB"/>
        </w:rPr>
        <w:t xml:space="preserve">et al., </w:t>
      </w:r>
      <w:r>
        <w:rPr>
          <w:lang w:val="en-GB"/>
        </w:rPr>
        <w:t>(2023) argued the capabilities of SMT as a variation in patient condition and experience, which occurs due to different psychological factors in diabetes management as well as differences in environmental support. The limitation is recognised by diabetic stress, depression and financial constraints to manage the healthcare routine. However, this theory provides a comprehensive theoretical foundation to improve the quality of life with not only clinical management but also education technology and multi-disciplinary care integration in the plan, alongside glycaemic control.</w:t>
      </w:r>
      <w:r>
        <w:rPr>
          <w:rFonts w:ascii="Calibri" w:eastAsia="DengXian" w:hAnsi="Calibri"/>
          <w:kern w:val="2"/>
          <w:lang w:val="en-GB" w:eastAsia="zh-CN"/>
        </w:rPr>
        <w:t xml:space="preserve"> </w:t>
      </w:r>
      <w:r>
        <w:rPr>
          <w:color w:val="FF0000"/>
          <w:lang w:val="en-GB"/>
        </w:rPr>
        <w:t xml:space="preserve">The theory is highly relevant to the research problem as </w:t>
      </w:r>
      <w:r>
        <w:rPr>
          <w:color w:val="FF0000"/>
          <w:lang w:val="en-GB"/>
        </w:rPr>
        <w:lastRenderedPageBreak/>
        <w:t xml:space="preserve">T1D management is extendable beyond glycaemic control that impact overall psychological wellbeing and quality of life. </w:t>
      </w:r>
    </w:p>
    <w:p w14:paraId="639DFDB4" w14:textId="77777777" w:rsidR="00874A36" w:rsidRDefault="00000000">
      <w:pPr>
        <w:pStyle w:val="Normal1"/>
        <w:spacing w:line="360" w:lineRule="auto"/>
        <w:jc w:val="both"/>
        <w:rPr>
          <w:b/>
          <w:bCs/>
          <w:i/>
          <w:iCs/>
          <w:lang w:val="en-GB"/>
        </w:rPr>
      </w:pPr>
      <w:r>
        <w:rPr>
          <w:b/>
          <w:bCs/>
          <w:i/>
          <w:iCs/>
          <w:lang w:val="en-GB"/>
        </w:rPr>
        <w:t xml:space="preserve">Health Belief Model </w:t>
      </w:r>
    </w:p>
    <w:p w14:paraId="3F1ADDF3" w14:textId="77777777" w:rsidR="00874A36" w:rsidRDefault="00000000">
      <w:pPr>
        <w:pStyle w:val="Normal1"/>
        <w:spacing w:line="360" w:lineRule="auto"/>
        <w:jc w:val="center"/>
        <w:rPr>
          <w:lang w:val="en-GB"/>
        </w:rPr>
      </w:pPr>
      <w:r>
        <w:rPr>
          <w:noProof/>
          <w:lang w:bidi="hi-IN"/>
        </w:rPr>
        <w:drawing>
          <wp:inline distT="0" distB="0" distL="0" distR="0" wp14:anchorId="240A8AC6" wp14:editId="437A865A">
            <wp:extent cx="4395788" cy="2636012"/>
            <wp:effectExtent l="0" t="0" r="0" b="0"/>
            <wp:docPr id="1037"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23" cstate="print"/>
                    <a:srcRect/>
                    <a:stretch/>
                  </pic:blipFill>
                  <pic:spPr>
                    <a:xfrm>
                      <a:off x="0" y="0"/>
                      <a:ext cx="4395788" cy="2636012"/>
                    </a:xfrm>
                    <a:prstGeom prst="rect">
                      <a:avLst/>
                    </a:prstGeom>
                    <a:ln w="9525" cap="flat" cmpd="sng">
                      <a:solidFill>
                        <a:srgbClr val="000000"/>
                      </a:solidFill>
                      <a:prstDash val="solid"/>
                      <a:round/>
                      <a:headEnd type="none" w="med" len="med"/>
                      <a:tailEnd type="none" w="med" len="med"/>
                    </a:ln>
                  </pic:spPr>
                </pic:pic>
              </a:graphicData>
            </a:graphic>
          </wp:inline>
        </w:drawing>
      </w:r>
    </w:p>
    <w:p w14:paraId="04C17AEA" w14:textId="77777777" w:rsidR="00874A36" w:rsidRDefault="00000000">
      <w:pPr>
        <w:pStyle w:val="Heading4"/>
      </w:pPr>
      <w:bookmarkStart w:id="61" w:name="_Toc234322989"/>
      <w:bookmarkStart w:id="62" w:name="_Toc235897042"/>
      <w:r>
        <w:t>Figure 2.4: Health Belief Model</w:t>
      </w:r>
      <w:bookmarkEnd w:id="61"/>
      <w:bookmarkEnd w:id="62"/>
    </w:p>
    <w:p w14:paraId="0D950900" w14:textId="77777777" w:rsidR="00874A36" w:rsidRDefault="00000000">
      <w:pPr>
        <w:pStyle w:val="Normal1"/>
        <w:spacing w:line="360" w:lineRule="auto"/>
        <w:jc w:val="center"/>
        <w:rPr>
          <w:lang w:val="en-GB"/>
        </w:rPr>
      </w:pPr>
      <w:r>
        <w:rPr>
          <w:lang w:val="en-GB"/>
        </w:rPr>
        <w:t>(Source: Psu.pb.unizin, 2022)</w:t>
      </w:r>
    </w:p>
    <w:p w14:paraId="2986FC00" w14:textId="77777777" w:rsidR="00874A36" w:rsidRDefault="00000000">
      <w:pPr>
        <w:pStyle w:val="Normal1"/>
        <w:spacing w:line="360" w:lineRule="auto"/>
        <w:jc w:val="both"/>
        <w:rPr>
          <w:lang w:val="en-GB"/>
        </w:rPr>
      </w:pPr>
      <w:r>
        <w:rPr>
          <w:lang w:val="en-GB"/>
        </w:rPr>
        <w:t xml:space="preserve">This model also complements SMT by explaining why individuals choose particular health behaviour. According to Alissa and Al Zahrani (2025) the model also sheds light on the fact that perceived susceptibility, benefits, and severity influence self-efficacy. Adults who can recognise the diabetic risk are generally more likely to adopt continuous glucose monitoring, insulin therapy and other lifestyle modification processes. In contrast Conway </w:t>
      </w:r>
      <w:r>
        <w:rPr>
          <w:i/>
          <w:iCs/>
          <w:lang w:val="en-GB"/>
        </w:rPr>
        <w:t xml:space="preserve">et al., </w:t>
      </w:r>
      <w:r>
        <w:rPr>
          <w:lang w:val="en-GB"/>
        </w:rPr>
        <w:t xml:space="preserve">(2025) stated that device cost, diabetes stigma, and technological complexity might affect their strategic incorporation, despite knowledge and literacy. </w:t>
      </w:r>
      <w:r>
        <w:rPr>
          <w:color w:val="FF0000"/>
          <w:lang w:val="en-GB"/>
        </w:rPr>
        <w:t xml:space="preserve">However, this is important to the research problem because awareness of appropriate management does not necessarily result. </w:t>
      </w:r>
      <w:r>
        <w:rPr>
          <w:lang w:val="en-GB"/>
        </w:rPr>
        <w:t>Therefore, integrating both theories is significant to examine type 1 diabetes management from behavioural perspectives, blending with self-care while acknowledging the multidimensional influences among adults</w:t>
      </w:r>
      <w:r>
        <w:rPr>
          <w:color w:val="FF0000"/>
          <w:lang w:val="en-GB"/>
        </w:rPr>
        <w:t>.  Hence, together, SMT and HBM provide a multidimensional theoretical foundation for this research, where SMT is focused on T1D management, while HBM emphasised why they adopt, or avoid particular management.</w:t>
      </w:r>
    </w:p>
    <w:p w14:paraId="3A7E4BEA" w14:textId="77777777" w:rsidR="00874A36" w:rsidRDefault="00000000">
      <w:pPr>
        <w:pStyle w:val="Heading3"/>
        <w:keepNext w:val="0"/>
        <w:keepLines w:val="0"/>
        <w:shd w:val="clear" w:color="auto" w:fill="FFFFFF"/>
        <w:spacing w:after="0" w:line="360" w:lineRule="auto"/>
        <w:jc w:val="both"/>
        <w:rPr>
          <w:rFonts w:ascii="Arial" w:hAnsi="Arial" w:cs="Arial"/>
          <w:b/>
          <w:bCs/>
          <w:color w:val="auto"/>
          <w:sz w:val="22"/>
        </w:rPr>
      </w:pPr>
      <w:bookmarkStart w:id="63" w:name="_q4dwwb2fu787" w:colFirst="0" w:colLast="0"/>
      <w:bookmarkStart w:id="64" w:name="_Toc234322952"/>
      <w:bookmarkEnd w:id="63"/>
      <w:r>
        <w:rPr>
          <w:rFonts w:ascii="Arial" w:hAnsi="Arial" w:cs="Arial"/>
          <w:b/>
          <w:bCs/>
          <w:color w:val="auto"/>
          <w:sz w:val="22"/>
        </w:rPr>
        <w:t xml:space="preserve">2.4.2 </w:t>
      </w:r>
      <w:r>
        <w:rPr>
          <w:rFonts w:ascii="Arial" w:hAnsi="Arial" w:cs="Arial"/>
          <w:b/>
          <w:bCs/>
          <w:color w:val="auto"/>
          <w:sz w:val="22"/>
          <w:lang w:val="en-US"/>
        </w:rPr>
        <w:t>K</w:t>
      </w:r>
      <w:r>
        <w:rPr>
          <w:rFonts w:ascii="Arial" w:hAnsi="Arial" w:cs="Arial"/>
          <w:b/>
          <w:bCs/>
          <w:color w:val="auto"/>
          <w:sz w:val="22"/>
        </w:rPr>
        <w:t>ey terms and concepts</w:t>
      </w:r>
      <w:bookmarkEnd w:id="64"/>
      <w:r>
        <w:rPr>
          <w:rFonts w:ascii="Arial" w:hAnsi="Arial" w:cs="Arial"/>
          <w:b/>
          <w:bCs/>
          <w:color w:val="auto"/>
          <w:sz w:val="22"/>
        </w:rPr>
        <w:t xml:space="preserve"> </w:t>
      </w:r>
      <w:r>
        <w:rPr>
          <w:rFonts w:ascii="Arial" w:hAnsi="Arial" w:cs="Arial"/>
          <w:b/>
          <w:bCs/>
          <w:color w:val="auto"/>
          <w:sz w:val="22"/>
          <w:lang w:val="en-US"/>
        </w:rPr>
        <w:t xml:space="preserve">relevant to the research </w:t>
      </w:r>
    </w:p>
    <w:p w14:paraId="1A332787" w14:textId="77777777" w:rsidR="00874A36" w:rsidRDefault="00000000">
      <w:pPr>
        <w:pStyle w:val="Normal1"/>
        <w:spacing w:line="360" w:lineRule="auto"/>
        <w:jc w:val="both"/>
        <w:rPr>
          <w:lang w:val="en-GB"/>
        </w:rPr>
      </w:pPr>
      <w:r>
        <w:rPr>
          <w:b/>
          <w:bCs/>
          <w:i/>
          <w:iCs/>
          <w:lang w:val="en-GB"/>
        </w:rPr>
        <w:t>Type 1 Diabetes:</w:t>
      </w:r>
      <w:r>
        <w:rPr>
          <w:lang w:val="en-GB"/>
        </w:rPr>
        <w:t xml:space="preserve">  This is a chronic autoimmune disorder due to immune-mediated destruction of pancreatic β-cells. As a consequence, insulin deficiency is observed, leading to lifelong dependency on exogenous insulin therapy (Atkinson and Mirmira , 2023).  T1D is not directly related to insulin resistance or obesity like T2D. It needs intensive glucose monitoring and tracking of the administration of insulin from diagnosis. As an example, </w:t>
      </w:r>
      <w:r>
        <w:rPr>
          <w:lang w:val="en-GB"/>
        </w:rPr>
        <w:lastRenderedPageBreak/>
        <w:t>nearly 8% of the 5.8 million people in the UK have T1D, of whom the majority are adults, who require self-care competence for physical and social wellbeing.</w:t>
      </w:r>
    </w:p>
    <w:p w14:paraId="37801F84" w14:textId="77777777" w:rsidR="00874A36" w:rsidRDefault="00000000">
      <w:pPr>
        <w:pStyle w:val="Normal1"/>
        <w:spacing w:line="360" w:lineRule="auto"/>
        <w:jc w:val="both"/>
        <w:rPr>
          <w:b/>
          <w:bCs/>
          <w:i/>
          <w:iCs/>
          <w:lang w:val="en-GB"/>
        </w:rPr>
      </w:pPr>
      <w:r>
        <w:rPr>
          <w:b/>
          <w:bCs/>
          <w:i/>
          <w:iCs/>
          <w:lang w:val="en-GB"/>
        </w:rPr>
        <w:t>Management strategies:</w:t>
      </w:r>
    </w:p>
    <w:p w14:paraId="4945CAA4" w14:textId="77777777" w:rsidR="00874A36" w:rsidRDefault="00000000">
      <w:pPr>
        <w:pStyle w:val="Normal1"/>
        <w:spacing w:line="360" w:lineRule="auto"/>
        <w:jc w:val="both"/>
        <w:rPr>
          <w:lang w:val="en-GB"/>
        </w:rPr>
      </w:pPr>
      <w:r>
        <w:rPr>
          <w:lang w:val="en-GB"/>
        </w:rPr>
        <w:t xml:space="preserve">The self-management strategy indicates daily activities that should be performed by a patient suffering from type-1 diabetes to track regular blood pressure and glucose levels, insulin requirements, healthy dietary and physical activity to deal with the chronic complication. According to Korytkowski </w:t>
      </w:r>
      <w:r>
        <w:rPr>
          <w:i/>
          <w:iCs/>
          <w:lang w:val="en-GB"/>
        </w:rPr>
        <w:t xml:space="preserve">et al., </w:t>
      </w:r>
      <w:r>
        <w:rPr>
          <w:lang w:val="en-GB"/>
        </w:rPr>
        <w:t xml:space="preserve">(2022), adults spend 99% of their time managing diabetes, independently as a healthcare professional influence of very small proportion to manage with clinical consultation. Nevertheless, this research demonstrates self-management might also result in treatment pardon, suggesting greater self-management does not translate into a quality life (Puzhakkal  </w:t>
      </w:r>
      <w:r>
        <w:rPr>
          <w:i/>
          <w:iCs/>
          <w:lang w:val="en-GB"/>
        </w:rPr>
        <w:t xml:space="preserve">et al., </w:t>
      </w:r>
      <w:r>
        <w:rPr>
          <w:lang w:val="en-GB"/>
        </w:rPr>
        <w:t xml:space="preserve">2025). That is why a monthly consultation with a healthcare professional is necessary. </w:t>
      </w:r>
    </w:p>
    <w:p w14:paraId="157BDE8E" w14:textId="77777777" w:rsidR="00874A36" w:rsidRDefault="00000000">
      <w:pPr>
        <w:pStyle w:val="Normal1"/>
        <w:spacing w:line="360" w:lineRule="auto"/>
        <w:jc w:val="both"/>
        <w:rPr>
          <w:b/>
          <w:bCs/>
          <w:i/>
          <w:iCs/>
          <w:lang w:val="en-GB"/>
        </w:rPr>
      </w:pPr>
      <w:r>
        <w:rPr>
          <w:b/>
          <w:bCs/>
          <w:i/>
          <w:iCs/>
          <w:lang w:val="en-GB"/>
        </w:rPr>
        <w:t>Tech-based management:</w:t>
      </w:r>
    </w:p>
    <w:p w14:paraId="4C15B36B" w14:textId="77777777" w:rsidR="00874A36" w:rsidRDefault="00000000">
      <w:pPr>
        <w:pStyle w:val="Normal1"/>
        <w:spacing w:line="360" w:lineRule="auto"/>
        <w:jc w:val="both"/>
        <w:rPr>
          <w:lang w:val="en-GB"/>
        </w:rPr>
      </w:pPr>
      <w:r>
        <w:rPr>
          <w:lang w:val="en-GB"/>
        </w:rPr>
        <w:t xml:space="preserve">Technology-assisted tools usage is effective for Continuous Glucose Monitoring (CGM), hybrid closed-loop systems and Insulin Infusion. Clinical evidence demonstrates that hybrid technologies can increase Time in Range within the target glucose range (Avari </w:t>
      </w:r>
      <w:r>
        <w:rPr>
          <w:i/>
          <w:iCs/>
          <w:lang w:val="en-GB"/>
        </w:rPr>
        <w:t xml:space="preserve">et al., </w:t>
      </w:r>
      <w:r>
        <w:rPr>
          <w:lang w:val="en-GB"/>
        </w:rPr>
        <w:t xml:space="preserve">2023). However, disparities in technology accessibility and lower digital literacy might create barriers in adoption across NHS services.  </w:t>
      </w:r>
    </w:p>
    <w:p w14:paraId="7790F4CC" w14:textId="77777777" w:rsidR="00874A36" w:rsidRDefault="00000000">
      <w:pPr>
        <w:pStyle w:val="Normal1"/>
        <w:spacing w:line="360" w:lineRule="auto"/>
        <w:jc w:val="both"/>
        <w:rPr>
          <w:b/>
          <w:bCs/>
          <w:i/>
          <w:iCs/>
          <w:lang w:val="en-GB"/>
        </w:rPr>
      </w:pPr>
      <w:r>
        <w:rPr>
          <w:b/>
          <w:bCs/>
          <w:i/>
          <w:iCs/>
          <w:lang w:val="en-GB"/>
        </w:rPr>
        <w:t>Quality of life (QoL):</w:t>
      </w:r>
    </w:p>
    <w:p w14:paraId="0F0C29A7" w14:textId="77777777" w:rsidR="00874A36" w:rsidRDefault="00000000">
      <w:pPr>
        <w:pStyle w:val="Normal1"/>
        <w:spacing w:line="360" w:lineRule="auto"/>
        <w:jc w:val="both"/>
        <w:rPr>
          <w:lang w:val="en-GB"/>
        </w:rPr>
      </w:pPr>
      <w:r>
        <w:rPr>
          <w:lang w:val="en-GB"/>
        </w:rPr>
        <w:t xml:space="preserve">Quality of life refers to a perception regarding one's emotional, physical, psychological, and social well-being in dealing with T1D like a chronic disease (Hao </w:t>
      </w:r>
      <w:r>
        <w:rPr>
          <w:i/>
          <w:iCs/>
          <w:lang w:val="en-GB"/>
        </w:rPr>
        <w:t xml:space="preserve">et al., </w:t>
      </w:r>
      <w:r>
        <w:rPr>
          <w:lang w:val="en-GB"/>
        </w:rPr>
        <w:t xml:space="preserve">2025). Here, the QoL extends beyond clinical indicators based on work productivity, social activities and emotional satisfaction. With patient-centred intervention and glycaemic control, it ensures positive life outcomes. </w:t>
      </w:r>
    </w:p>
    <w:p w14:paraId="60A6A2BD" w14:textId="77777777" w:rsidR="00874A36" w:rsidRDefault="00000000">
      <w:pPr>
        <w:pStyle w:val="Heading3"/>
        <w:spacing w:line="360" w:lineRule="auto"/>
        <w:rPr>
          <w:rFonts w:ascii="Arial" w:hAnsi="Arial" w:cs="Arial"/>
          <w:b/>
          <w:bCs/>
          <w:sz w:val="22"/>
        </w:rPr>
      </w:pPr>
      <w:bookmarkStart w:id="65" w:name="_Toc234322953"/>
      <w:r>
        <w:rPr>
          <w:rFonts w:ascii="Arial" w:hAnsi="Arial" w:cs="Arial"/>
          <w:b/>
          <w:bCs/>
          <w:sz w:val="22"/>
        </w:rPr>
        <w:t xml:space="preserve">2.4.3 Relevant models </w:t>
      </w:r>
      <w:r>
        <w:rPr>
          <w:rFonts w:ascii="Arial" w:hAnsi="Arial" w:cs="Arial"/>
          <w:b/>
          <w:bCs/>
          <w:sz w:val="22"/>
          <w:lang w:val="en-US"/>
        </w:rPr>
        <w:t>helping to</w:t>
      </w:r>
      <w:r>
        <w:rPr>
          <w:rFonts w:ascii="Arial" w:hAnsi="Arial" w:cs="Arial"/>
          <w:b/>
          <w:bCs/>
          <w:sz w:val="22"/>
        </w:rPr>
        <w:t xml:space="preserve"> interpret findings</w:t>
      </w:r>
      <w:bookmarkEnd w:id="65"/>
      <w:r>
        <w:rPr>
          <w:rFonts w:ascii="Arial" w:hAnsi="Arial" w:cs="Arial"/>
          <w:b/>
          <w:bCs/>
          <w:sz w:val="22"/>
        </w:rPr>
        <w:t xml:space="preserve"> </w:t>
      </w:r>
    </w:p>
    <w:p w14:paraId="73BE19E7" w14:textId="77777777" w:rsidR="00874A36" w:rsidRDefault="00000000">
      <w:pPr>
        <w:pStyle w:val="Normal1"/>
        <w:spacing w:line="360" w:lineRule="auto"/>
        <w:jc w:val="both"/>
        <w:rPr>
          <w:b/>
          <w:bCs/>
          <w:i/>
          <w:iCs/>
          <w:lang w:val="en-GB"/>
        </w:rPr>
      </w:pPr>
      <w:r>
        <w:rPr>
          <w:b/>
          <w:bCs/>
          <w:i/>
          <w:iCs/>
          <w:lang w:val="en-GB"/>
        </w:rPr>
        <w:t>Corbin and Strauss Chronic Illness Trajectory Model</w:t>
      </w:r>
    </w:p>
    <w:p w14:paraId="5EF4ACAD" w14:textId="77777777" w:rsidR="00874A36" w:rsidRDefault="00000000">
      <w:pPr>
        <w:pStyle w:val="Normal1"/>
        <w:spacing w:line="360" w:lineRule="auto"/>
        <w:jc w:val="both"/>
        <w:rPr>
          <w:lang w:val="en-GB"/>
        </w:rPr>
      </w:pPr>
      <w:r>
        <w:rPr>
          <w:lang w:val="en-GB"/>
        </w:rPr>
        <w:t xml:space="preserve">This model conceptualises chronic disease management rather than a series of separate clinical events.  According to Li </w:t>
      </w:r>
      <w:r>
        <w:rPr>
          <w:i/>
          <w:iCs/>
          <w:lang w:val="en-GB"/>
        </w:rPr>
        <w:t xml:space="preserve">et al., </w:t>
      </w:r>
      <w:r>
        <w:rPr>
          <w:lang w:val="en-GB"/>
        </w:rPr>
        <w:t xml:space="preserve">(2025), complex health trajectories demand nuanced management within the periods of stability, instability, acute episodes, crisis and recovery.  Adults with T1D undergo transition within these phases due to hyperglycaemia, illness, or psychological stress. In this case, the concept of self-management has emerged as the most critical component for maintaining stability. According to Li </w:t>
      </w:r>
      <w:r>
        <w:rPr>
          <w:i/>
          <w:iCs/>
          <w:lang w:val="en-GB"/>
        </w:rPr>
        <w:t xml:space="preserve">et al., </w:t>
      </w:r>
      <w:r>
        <w:rPr>
          <w:lang w:val="en-GB"/>
        </w:rPr>
        <w:t>(2025), it also helps in preventing complications in the patients, and the “Chronic Illness Trajectory Framework” can guide effective self-management at each illness stage.  The existing studies highlighted that nearly 20 to 40% of adults expressed significant diabetes distress, while severe hypoglycaemia affects 12% of adults annually (</w:t>
      </w:r>
      <w:r>
        <w:rPr>
          <w:highlight w:val="white"/>
          <w:lang w:val="en-GB"/>
        </w:rPr>
        <w:t xml:space="preserve">Matlock </w:t>
      </w:r>
      <w:r>
        <w:rPr>
          <w:i/>
          <w:iCs/>
          <w:highlight w:val="white"/>
          <w:lang w:val="en-GB"/>
        </w:rPr>
        <w:t xml:space="preserve">et al., </w:t>
      </w:r>
      <w:r>
        <w:rPr>
          <w:highlight w:val="white"/>
          <w:lang w:val="en-GB"/>
        </w:rPr>
        <w:t>2022</w:t>
      </w:r>
      <w:r>
        <w:rPr>
          <w:lang w:val="en-GB"/>
        </w:rPr>
        <w:t xml:space="preserve">). These factors captured </w:t>
      </w:r>
      <w:r>
        <w:rPr>
          <w:lang w:val="en-GB"/>
        </w:rPr>
        <w:lastRenderedPageBreak/>
        <w:t xml:space="preserve">diabetes management requirements and effective intervention by this framework, suggesting technological innovations, educational interventions and multidisciplinary care to improve the quality of life. </w:t>
      </w:r>
    </w:p>
    <w:p w14:paraId="6B914921" w14:textId="77777777" w:rsidR="00874A36" w:rsidRDefault="00000000">
      <w:pPr>
        <w:pStyle w:val="Normal1"/>
        <w:spacing w:line="360" w:lineRule="auto"/>
        <w:rPr>
          <w:b/>
          <w:bCs/>
          <w:i/>
          <w:lang w:val="en-GB"/>
        </w:rPr>
      </w:pPr>
      <w:r>
        <w:rPr>
          <w:b/>
          <w:bCs/>
          <w:i/>
          <w:lang w:val="en-GB"/>
        </w:rPr>
        <w:t xml:space="preserve">Biopsychosocial Model </w:t>
      </w:r>
    </w:p>
    <w:p w14:paraId="3FAF607D" w14:textId="77777777" w:rsidR="00874A36" w:rsidRDefault="00000000">
      <w:pPr>
        <w:pStyle w:val="Normal1"/>
        <w:spacing w:line="360" w:lineRule="auto"/>
        <w:jc w:val="both"/>
        <w:rPr>
          <w:lang w:val="en-GB"/>
        </w:rPr>
      </w:pPr>
      <w:r>
        <w:rPr>
          <w:lang w:val="en-GB"/>
        </w:rPr>
        <w:t>The “</w:t>
      </w:r>
      <w:r>
        <w:rPr>
          <w:b/>
          <w:bCs/>
          <w:lang w:val="en-GB"/>
        </w:rPr>
        <w:t>Biopsychosocial Model</w:t>
      </w:r>
      <w:r>
        <w:rPr>
          <w:lang w:val="en-GB"/>
        </w:rPr>
        <w:t xml:space="preserve">” largely complements health outcomes proposed by the result from interaction among his psychological, social and biological determinants rather than only one biomedical factor (Europeanpainfederation, 2026). This mentioned that biological variables such as insulin glycemic control and diabetes complications impact psychological depression, self-efficacy, and resilience to handle the critical condition of type 2 diabetes while going through this condition. Evidence indicates that adults might experience depression or anxiety due to poor treatment outcomes or clinical procedures, which implies that the models cannot guarantee positive health outcomes (Reynolds </w:t>
      </w:r>
      <w:r>
        <w:rPr>
          <w:i/>
          <w:iCs/>
          <w:lang w:val="en-GB"/>
        </w:rPr>
        <w:t xml:space="preserve">et al., </w:t>
      </w:r>
      <w:r>
        <w:rPr>
          <w:lang w:val="en-GB"/>
        </w:rPr>
        <w:t>2022).</w:t>
      </w:r>
    </w:p>
    <w:p w14:paraId="46156BA9" w14:textId="77777777" w:rsidR="00874A36" w:rsidRDefault="00000000">
      <w:pPr>
        <w:pStyle w:val="Normal1"/>
        <w:spacing w:line="360" w:lineRule="auto"/>
        <w:jc w:val="both"/>
        <w:rPr>
          <w:b/>
          <w:bCs/>
          <w:lang w:val="en-GB"/>
        </w:rPr>
      </w:pPr>
      <w:r>
        <w:rPr>
          <w:lang w:val="en-GB"/>
        </w:rPr>
        <w:t xml:space="preserve">Hence, a blending approach of these two frameworks would provide a robust interpretive knowledge about diabetes management, preventing the negative impact of T1D patients within the UK context. </w:t>
      </w:r>
    </w:p>
    <w:p w14:paraId="3ECFFA7A" w14:textId="77777777" w:rsidR="00874A36" w:rsidRDefault="00000000">
      <w:pPr>
        <w:pStyle w:val="Heading2"/>
      </w:pPr>
      <w:bookmarkStart w:id="66" w:name="_vnwu10gowjz8" w:colFirst="0" w:colLast="0"/>
      <w:bookmarkStart w:id="67" w:name="_Toc234322954"/>
      <w:bookmarkEnd w:id="66"/>
      <w:r>
        <w:t>2.5 Summary</w:t>
      </w:r>
      <w:bookmarkEnd w:id="67"/>
    </w:p>
    <w:p w14:paraId="4BC8EA1E" w14:textId="77777777" w:rsidR="00874A36" w:rsidRDefault="00000000">
      <w:pPr>
        <w:pStyle w:val="Normal1"/>
        <w:spacing w:line="360" w:lineRule="auto"/>
        <w:jc w:val="both"/>
        <w:rPr>
          <w:lang w:val="en-GB"/>
        </w:rPr>
      </w:pPr>
      <w:r>
        <w:rPr>
          <w:lang w:val="en-GB"/>
        </w:rPr>
        <w:t>This is a significant chapter of the research that represents existing knowledge and concepts about the topic based on available journals and articles. It also presents the types and amount of research conducted on this topic with graphical representation and justification. Incorporation of self-management theory with the Health Belief Model provided a conceptual foundation for understanding effective diabetes management for T1D patients in the UK context. Other than theories, some more models have been used to highlight both positive and negative health outcome chances and their mitigation with improved patient-centred intervention, enhancing quality of life. Therefore this review is significant and reliable with evidence rich subjective incorporation.</w:t>
      </w:r>
    </w:p>
    <w:p w14:paraId="75CA6BE5" w14:textId="77777777" w:rsidR="00874A36" w:rsidRDefault="00000000">
      <w:pPr>
        <w:spacing w:before="240" w:after="240" w:line="360" w:lineRule="auto"/>
        <w:jc w:val="both"/>
        <w:rPr>
          <w:rFonts w:ascii="Arial" w:hAnsi="Arial"/>
        </w:rPr>
      </w:pPr>
      <w:r>
        <w:rPr>
          <w:rFonts w:ascii="Arial" w:hAnsi="Arial"/>
        </w:rPr>
        <w:br w:type="page"/>
      </w:r>
    </w:p>
    <w:p w14:paraId="719A18B7" w14:textId="77777777" w:rsidR="00874A36" w:rsidRDefault="00000000">
      <w:pPr>
        <w:pStyle w:val="Heading1"/>
      </w:pPr>
      <w:bookmarkStart w:id="68" w:name="_Toc239687645"/>
      <w:r>
        <w:lastRenderedPageBreak/>
        <w:t>Chapter 3: Research Methodology</w:t>
      </w:r>
      <w:bookmarkEnd w:id="68"/>
      <w:r>
        <w:t xml:space="preserve"> </w:t>
      </w:r>
      <w:r>
        <w:rPr>
          <w:lang w:val="en-US"/>
        </w:rPr>
        <w:t xml:space="preserve"> </w:t>
      </w:r>
    </w:p>
    <w:p w14:paraId="3FB30D4E" w14:textId="77777777" w:rsidR="00874A36" w:rsidRDefault="00000000">
      <w:pPr>
        <w:pStyle w:val="Heading2"/>
      </w:pPr>
      <w:r>
        <w:t>3.1 Introduction</w:t>
      </w:r>
    </w:p>
    <w:p w14:paraId="531247AB"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This chapter is a presentation of the research design undertaken to research the application of management strategies and the quality of life of patients with Type 1 Diabetes (T1D) in the United Kingdom. To collect, evaluate and integrate evidence in the form of published peer-reviewed studies, a Systematic Literature Review (SLR) was carried out. The chapter includes the description of the philosophy of research, research approach, research design, the review protocol, the search strategy, inclusion and exclusion criteria, the selection of the study, quality appraisal, data extraction, thematic analysis, trustworthiness, ethical considerations and methodological limitations. </w:t>
      </w:r>
    </w:p>
    <w:p w14:paraId="7F545F42" w14:textId="77777777" w:rsidR="00874A36" w:rsidRDefault="00000000">
      <w:pPr>
        <w:pStyle w:val="Heading2"/>
      </w:pPr>
      <w:r>
        <w:t>3.2 Research Philosophy</w:t>
      </w:r>
    </w:p>
    <w:p w14:paraId="62D755A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research philosophy used in this study is an interpretivist philosophy since the research focuses on comprehending how disease management and quality of life in adults with T1D are affected by clinical, behavioural and socioeconomic factors. Interpretivism similarly acknowledges that the interpretation of the health experience is not simply decided by the clinical outcomes but rather by subjective meanings, health care arrangements and socialisation, and many more. The philosophical stance enables the amalgamation of qualitative as well as quantitative evidence, hence providing the capacity to derive an exhaustive conceptualisation of experienced lives and measurable health effects (Frost, 2021). It thus helps in enhancing a greater comprehension of the interplay involving healthcare access, self-management behaviours and psychosocial factors to determine the success of diabetes management. </w:t>
      </w:r>
    </w:p>
    <w:p w14:paraId="79FD7FB7" w14:textId="77777777" w:rsidR="00874A36" w:rsidRDefault="00000000">
      <w:pPr>
        <w:pStyle w:val="Heading2"/>
      </w:pPr>
      <w:r>
        <w:t>3.3 Research Approach</w:t>
      </w:r>
    </w:p>
    <w:p w14:paraId="0D199B7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An inductive research approach was used since the review was not intended to test any previous hypotheses but rather form the themes out of the evidence at hand. By critically analysing published research findings, common concepts in the area of healthcare access, diabetes technologies, self-management, psychological wellbeing and quality of life were pointed out and generalised into general themes. It was a correct approach because this review was aimed at exploring any complicated relationships in a wide variety of studies and not quantifying the cause and effect relationships. The inductive approach has enabled the discovery of the findings directly from the literature such that thematic synthesis is completely aligned with the evidence and research objectives (Naeem </w:t>
      </w:r>
      <w:r>
        <w:rPr>
          <w:rFonts w:ascii="Arial" w:eastAsia="Times New Roman" w:hAnsi="Arial"/>
          <w:bCs/>
          <w:i/>
          <w:iCs/>
          <w:color w:val="000000"/>
          <w:lang w:val="en-IN"/>
        </w:rPr>
        <w:t>et al</w:t>
      </w:r>
      <w:r>
        <w:rPr>
          <w:rFonts w:ascii="Arial" w:eastAsia="Times New Roman" w:hAnsi="Arial"/>
          <w:bCs/>
          <w:color w:val="000000"/>
          <w:lang w:val="en-IN"/>
        </w:rPr>
        <w:t>., 2023). </w:t>
      </w:r>
    </w:p>
    <w:p w14:paraId="2A6D49F2" w14:textId="77777777" w:rsidR="00874A36" w:rsidRDefault="00000000">
      <w:pPr>
        <w:pStyle w:val="Heading2"/>
      </w:pPr>
      <w:r>
        <w:t>3.4 Research Design: SLR</w:t>
      </w:r>
    </w:p>
    <w:p w14:paraId="3DBA811C"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A Systematic Literature Review (SLR) was chosen as it offers an evidence-based approach that is transparent in synthesising the existing knowledge. As opposed to narrative reviews, </w:t>
      </w:r>
      <w:r>
        <w:rPr>
          <w:rFonts w:ascii="Arial" w:eastAsia="Times New Roman" w:hAnsi="Arial"/>
          <w:bCs/>
          <w:color w:val="000000"/>
          <w:lang w:val="en-IN"/>
        </w:rPr>
        <w:lastRenderedPageBreak/>
        <w:t xml:space="preserve">an SLR implements defined procedures that minimise selection bias and enhance methodological consistency (Amjad </w:t>
      </w:r>
      <w:r>
        <w:rPr>
          <w:rFonts w:ascii="Arial" w:eastAsia="Times New Roman" w:hAnsi="Arial"/>
          <w:bCs/>
          <w:i/>
          <w:iCs/>
          <w:color w:val="000000"/>
          <w:lang w:val="en-IN"/>
        </w:rPr>
        <w:t>et al.</w:t>
      </w:r>
      <w:r>
        <w:rPr>
          <w:rFonts w:ascii="Arial" w:eastAsia="Times New Roman" w:hAnsi="Arial"/>
          <w:bCs/>
          <w:color w:val="000000"/>
          <w:lang w:val="en-IN"/>
        </w:rPr>
        <w:t>, 2023). A systematic search of peer-reviewed articles published in the last several years was screened and critically reviewed to examine the management strategies and quality of life in adults with T1DM. The architecture allowed merging the findings of other healthcare settings and establishing the similarities, discrepancies and gaps in the studies. The SLR thus offered a comprehensive insight into available evidence on its applicability to adults with Type 1 Diabetes in the UK. </w:t>
      </w:r>
    </w:p>
    <w:p w14:paraId="36F7F1DA" w14:textId="77777777" w:rsidR="00874A36" w:rsidRDefault="00000000">
      <w:pPr>
        <w:pStyle w:val="Heading2"/>
      </w:pPr>
      <w:r>
        <w:t>3.5 Review Protocol and Reporting Guideline (PRISMA)</w:t>
      </w:r>
    </w:p>
    <w:p w14:paraId="61061A80" w14:textId="77777777" w:rsidR="00874A36" w:rsidRDefault="00000000">
      <w:pPr>
        <w:pStyle w:val="NormalWeb"/>
        <w:spacing w:line="360" w:lineRule="auto"/>
        <w:jc w:val="center"/>
      </w:pPr>
      <w:r>
        <w:rPr>
          <w:noProof/>
        </w:rPr>
        <w:drawing>
          <wp:inline distT="0" distB="0" distL="0" distR="0" wp14:anchorId="4E80FBEB" wp14:editId="454D3C50">
            <wp:extent cx="4124343" cy="4817660"/>
            <wp:effectExtent l="0" t="0" r="0" b="0"/>
            <wp:docPr id="1038" name="Picture 1" descr="G:\Job FL\Aug\17th\Pdkashyap kansara dissCH 1&amp;2_5100\ChatGPT Image Aug 17, 2026, 05_22_21 PM.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Picture 1"/>
                    <pic:cNvPicPr/>
                  </pic:nvPicPr>
                  <pic:blipFill>
                    <a:blip r:embed="rId24" cstate="print"/>
                    <a:srcRect/>
                    <a:stretch/>
                  </pic:blipFill>
                  <pic:spPr>
                    <a:xfrm>
                      <a:off x="0" y="0"/>
                      <a:ext cx="4124343" cy="4817660"/>
                    </a:xfrm>
                    <a:prstGeom prst="rect">
                      <a:avLst/>
                    </a:prstGeom>
                    <a:ln>
                      <a:noFill/>
                    </a:ln>
                  </pic:spPr>
                </pic:pic>
              </a:graphicData>
            </a:graphic>
          </wp:inline>
        </w:drawing>
      </w:r>
    </w:p>
    <w:p w14:paraId="42338654" w14:textId="77777777" w:rsidR="00874A36" w:rsidRDefault="00000000">
      <w:pPr>
        <w:pStyle w:val="Heading4"/>
      </w:pPr>
      <w:bookmarkStart w:id="69" w:name="_Toc235897043"/>
      <w:r>
        <w:t>Figure 4.1: PRISMA Diagram</w:t>
      </w:r>
      <w:bookmarkEnd w:id="69"/>
    </w:p>
    <w:p w14:paraId="4DB51896" w14:textId="77777777" w:rsidR="00874A36" w:rsidRDefault="00000000">
      <w:pPr>
        <w:spacing w:line="360" w:lineRule="auto"/>
        <w:jc w:val="center"/>
        <w:rPr>
          <w:rFonts w:ascii="Arial" w:eastAsia="Times New Roman" w:hAnsi="Arial"/>
          <w:bCs/>
          <w:color w:val="000000"/>
          <w:lang w:val="en-IN"/>
        </w:rPr>
      </w:pPr>
      <w:r>
        <w:rPr>
          <w:rFonts w:ascii="Arial" w:eastAsia="Times New Roman" w:hAnsi="Arial"/>
          <w:bCs/>
          <w:color w:val="000000"/>
          <w:lang w:val="en-IN"/>
        </w:rPr>
        <w:t>(Source: Self-created)</w:t>
      </w:r>
    </w:p>
    <w:p w14:paraId="377D04B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PRISMA (Preferred Reporting Items of Systematic Reviews and Meta-Analyses) is an internationally established reporting guideline which offers a well-organised and clear system of identification, screening, assessment and selection of studies to be included in a systematic review (Takawira and Pooe, 2025). Figure 4.1 below shows how the study was </w:t>
      </w:r>
      <w:r>
        <w:rPr>
          <w:rFonts w:ascii="Arial" w:eastAsia="Times New Roman" w:hAnsi="Arial"/>
          <w:bCs/>
          <w:color w:val="000000"/>
          <w:lang w:val="en-IN"/>
        </w:rPr>
        <w:lastRenderedPageBreak/>
        <w:t>selected in PRISMA used in this system of a literature review. Five electronic databases were identified to have 681 records. A total of 592 screened studies (having removed 89 duplicates) were found to be irrelevant (n=454). Whole articles of 138 studies were identified, of which 16 were inaccessible. The remaining 122 articles were considered for eligibility; in this way, 40 articles were dropped for failing to fulfil the eligibility criteria. In this way, the inclusion of 15 peer-reviewed studies in the final systematic review and thematic synthesis took place. </w:t>
      </w:r>
    </w:p>
    <w:p w14:paraId="5229B7BE" w14:textId="77777777" w:rsidR="00874A36" w:rsidRDefault="00000000">
      <w:pPr>
        <w:pStyle w:val="Heading2"/>
      </w:pPr>
      <w:r>
        <w:t>3.6 Search Strategy</w:t>
      </w:r>
    </w:p>
    <w:p w14:paraId="257ACBC4"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keywords and Boolean operators generated a search strategy that was thoroughly elaborated to locate pertinent studies. The electronic databases (PubMed, MDPI, Web of Science, ScienceDirect and Google Scholar) were recruited, as they include a broad scope of information regarding diabetes-related and healthcare-related studies. Search terms were the broad concepts regarding the review, like Type 1 Diabetes, disease management, health outcomes, quality of life, socioeconomic factors and UK healthcare. The Boolean operators (AND/OR) were used to join the alternative keywords to have the maximum number of retrieved results and yet remain relevant. The whole Boolean search strategy is given in Table 4.1 so that it can be transparent and reproducible. </w:t>
      </w:r>
    </w:p>
    <w:tbl>
      <w:tblPr>
        <w:tblW w:w="0" w:type="auto"/>
        <w:tblCellMar>
          <w:top w:w="15" w:type="dxa"/>
          <w:left w:w="15" w:type="dxa"/>
          <w:bottom w:w="15" w:type="dxa"/>
          <w:right w:w="15" w:type="dxa"/>
        </w:tblCellMar>
        <w:tblLook w:val="04A0" w:firstRow="1" w:lastRow="0" w:firstColumn="1" w:lastColumn="0" w:noHBand="0" w:noVBand="1"/>
      </w:tblPr>
      <w:tblGrid>
        <w:gridCol w:w="1920"/>
        <w:gridCol w:w="7186"/>
      </w:tblGrid>
      <w:tr w:rsidR="00874A36" w14:paraId="2F362351" w14:textId="77777777">
        <w:trPr>
          <w:trHeight w:val="31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72E7EC9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Concept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66BC374"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Search Terms</w:t>
            </w:r>
          </w:p>
        </w:tc>
      </w:tr>
      <w:tr w:rsidR="00874A36" w14:paraId="38ECFEB5" w14:textId="77777777">
        <w:trPr>
          <w:trHeight w:val="58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AF59CA9"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Type 1 Diabetes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B87EF1D"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"Type 1 Diabetes" OR "T1D" OR "insulin-dependent diabetes"</w:t>
            </w:r>
          </w:p>
        </w:tc>
      </w:tr>
      <w:tr w:rsidR="00874A36" w14:paraId="6799746D" w14:textId="77777777">
        <w:trPr>
          <w:trHeight w:val="58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76F4310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Disease Management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10AD4FC"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"disease management" OR "diabetes management" OR "self-management" OR "self-care" OR "glycaemic control"</w:t>
            </w:r>
          </w:p>
        </w:tc>
      </w:tr>
      <w:tr w:rsidR="00874A36" w14:paraId="4FFFC0E0" w14:textId="77777777">
        <w:trPr>
          <w:trHeight w:val="28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0514723C"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Quality of Life</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7C6F2C34"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"quality of life" OR "health-related quality of life" OR "HRQoL" OR "well-being"</w:t>
            </w:r>
          </w:p>
        </w:tc>
      </w:tr>
      <w:tr w:rsidR="00874A36" w14:paraId="60C0DE3D" w14:textId="77777777">
        <w:trPr>
          <w:trHeight w:val="63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2197202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Clinical Management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3DB841CB"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"clinical support" OR "diabetes education" OR "psychological support" OR "integrated care" OR "multidisciplinary care"</w:t>
            </w:r>
          </w:p>
        </w:tc>
      </w:tr>
      <w:tr w:rsidR="00874A36" w14:paraId="754EACC4" w14:textId="77777777">
        <w:trPr>
          <w:trHeight w:val="61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621AADA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Diabetes Technologies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348534FD"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"continuous glucose monitoring" OR "CGM" OR "insulin pump" OR "automated insulin delivery" OR "hybrid closed-loop" OR "artificial intelligence"</w:t>
            </w:r>
          </w:p>
        </w:tc>
      </w:tr>
      <w:tr w:rsidR="00874A36" w14:paraId="34005FCF" w14:textId="77777777">
        <w:trPr>
          <w:trHeight w:val="57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6646D9C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Socioeconomic Factors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71CB96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"health inequalities" OR "health disparity" OR "socioeconomic status" OR "deprivation" OR "healthcare access"</w:t>
            </w:r>
          </w:p>
        </w:tc>
      </w:tr>
      <w:tr w:rsidR="00874A36" w14:paraId="6C9C8BB6" w14:textId="77777777">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0D684A1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lastRenderedPageBreak/>
              <w:t>UK Context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74EE14B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"United Kingdom" OR "UK" OR "England" OR "Scotland" OR "Wales" OR "Northern Ireland"</w:t>
            </w:r>
          </w:p>
        </w:tc>
      </w:tr>
    </w:tbl>
    <w:p w14:paraId="4CA8B4FC" w14:textId="77777777" w:rsidR="00874A36" w:rsidRDefault="00000000">
      <w:pPr>
        <w:pStyle w:val="Heading5"/>
      </w:pPr>
      <w:bookmarkStart w:id="70" w:name="_Toc235896187"/>
      <w:r>
        <w:t>Table 4.1: Boolean search strategy</w:t>
      </w:r>
      <w:bookmarkEnd w:id="70"/>
    </w:p>
    <w:p w14:paraId="7F3408BA" w14:textId="77777777" w:rsidR="00874A36" w:rsidRDefault="00000000">
      <w:pPr>
        <w:spacing w:line="360" w:lineRule="auto"/>
        <w:jc w:val="center"/>
        <w:rPr>
          <w:rFonts w:ascii="Arial" w:eastAsia="Times New Roman" w:hAnsi="Arial"/>
          <w:bCs/>
          <w:color w:val="000000"/>
          <w:lang w:val="en-IN"/>
        </w:rPr>
      </w:pPr>
      <w:r>
        <w:rPr>
          <w:rFonts w:ascii="Arial" w:eastAsia="Times New Roman" w:hAnsi="Arial"/>
          <w:bCs/>
          <w:color w:val="000000"/>
          <w:lang w:val="en-IN"/>
        </w:rPr>
        <w:t>(Source: Self-created)</w:t>
      </w:r>
    </w:p>
    <w:p w14:paraId="0A3FB7F7" w14:textId="77777777" w:rsidR="00874A36" w:rsidRDefault="00000000">
      <w:pPr>
        <w:pStyle w:val="Heading2"/>
      </w:pPr>
      <w:r>
        <w:t>3.7 Inclusion and Exclusion Criteria</w:t>
      </w:r>
    </w:p>
    <w:tbl>
      <w:tblPr>
        <w:tblW w:w="0" w:type="auto"/>
        <w:tblCellMar>
          <w:top w:w="15" w:type="dxa"/>
          <w:left w:w="15" w:type="dxa"/>
          <w:bottom w:w="15" w:type="dxa"/>
          <w:right w:w="15" w:type="dxa"/>
        </w:tblCellMar>
        <w:tblLook w:val="04A0" w:firstRow="1" w:lastRow="0" w:firstColumn="1" w:lastColumn="0" w:noHBand="0" w:noVBand="1"/>
      </w:tblPr>
      <w:tblGrid>
        <w:gridCol w:w="1267"/>
        <w:gridCol w:w="4931"/>
        <w:gridCol w:w="2908"/>
      </w:tblGrid>
      <w:tr w:rsidR="00874A36" w14:paraId="1CF58E91" w14:textId="77777777">
        <w:trPr>
          <w:trHeight w:val="555"/>
        </w:trPr>
        <w:tc>
          <w:tcPr>
            <w:tcW w:w="0" w:type="auto"/>
            <w:tcBorders>
              <w:top w:val="single" w:sz="4" w:space="0" w:color="CCCCCC"/>
              <w:left w:val="single" w:sz="4" w:space="0" w:color="CCCCCC"/>
              <w:bottom w:val="single" w:sz="4" w:space="0" w:color="CCCCCC"/>
              <w:right w:val="single" w:sz="4" w:space="0" w:color="CCCCCC"/>
            </w:tcBorders>
            <w:shd w:val="clear" w:color="auto" w:fill="3C3E43"/>
            <w:tcMar>
              <w:top w:w="40" w:type="dxa"/>
              <w:left w:w="40" w:type="dxa"/>
              <w:bottom w:w="40" w:type="dxa"/>
              <w:right w:w="40" w:type="dxa"/>
            </w:tcMar>
            <w:hideMark/>
          </w:tcPr>
          <w:p w14:paraId="498143E4" w14:textId="77777777" w:rsidR="00874A36" w:rsidRDefault="00000000">
            <w:pPr>
              <w:spacing w:line="360" w:lineRule="auto"/>
              <w:jc w:val="center"/>
              <w:rPr>
                <w:rFonts w:ascii="Arial" w:eastAsia="Times New Roman" w:hAnsi="Arial"/>
                <w:bCs/>
                <w:color w:val="FFFFFF"/>
                <w:lang w:val="en-IN"/>
              </w:rPr>
            </w:pPr>
            <w:r>
              <w:rPr>
                <w:rFonts w:ascii="Arial" w:eastAsia="Times New Roman" w:hAnsi="Arial"/>
                <w:b/>
                <w:bCs/>
                <w:color w:val="FFFFFF"/>
                <w:lang w:val="en-IN"/>
              </w:rPr>
              <w:t>PICO</w:t>
            </w:r>
          </w:p>
        </w:tc>
        <w:tc>
          <w:tcPr>
            <w:tcW w:w="0" w:type="auto"/>
            <w:tcBorders>
              <w:top w:val="single" w:sz="4" w:space="0" w:color="CCCCCC"/>
              <w:left w:val="single" w:sz="4" w:space="0" w:color="CCCCCC"/>
              <w:bottom w:val="single" w:sz="4" w:space="0" w:color="CCCCCC"/>
              <w:right w:val="single" w:sz="4" w:space="0" w:color="CCCCCC"/>
            </w:tcBorders>
            <w:shd w:val="clear" w:color="auto" w:fill="3C3E43"/>
            <w:tcMar>
              <w:top w:w="40" w:type="dxa"/>
              <w:left w:w="40" w:type="dxa"/>
              <w:bottom w:w="40" w:type="dxa"/>
              <w:right w:w="40" w:type="dxa"/>
            </w:tcMar>
            <w:hideMark/>
          </w:tcPr>
          <w:p w14:paraId="7F164E67" w14:textId="77777777" w:rsidR="00874A36" w:rsidRDefault="00000000">
            <w:pPr>
              <w:spacing w:line="360" w:lineRule="auto"/>
              <w:jc w:val="center"/>
              <w:rPr>
                <w:rFonts w:ascii="Arial" w:eastAsia="Times New Roman" w:hAnsi="Arial"/>
                <w:bCs/>
                <w:color w:val="FFFFFF"/>
                <w:lang w:val="en-IN"/>
              </w:rPr>
            </w:pPr>
            <w:r>
              <w:rPr>
                <w:rFonts w:ascii="Arial" w:eastAsia="Times New Roman" w:hAnsi="Arial"/>
                <w:b/>
                <w:bCs/>
                <w:color w:val="FFFFFF"/>
                <w:lang w:val="en-IN"/>
              </w:rPr>
              <w:t>Inclusion Criteria</w:t>
            </w:r>
          </w:p>
        </w:tc>
        <w:tc>
          <w:tcPr>
            <w:tcW w:w="0" w:type="auto"/>
            <w:tcBorders>
              <w:top w:val="single" w:sz="4" w:space="0" w:color="CCCCCC"/>
              <w:left w:val="single" w:sz="4" w:space="0" w:color="CCCCCC"/>
              <w:bottom w:val="single" w:sz="4" w:space="0" w:color="CCCCCC"/>
              <w:right w:val="single" w:sz="4" w:space="0" w:color="CCCCCC"/>
            </w:tcBorders>
            <w:shd w:val="clear" w:color="auto" w:fill="3C3E43"/>
            <w:tcMar>
              <w:top w:w="40" w:type="dxa"/>
              <w:left w:w="40" w:type="dxa"/>
              <w:bottom w:w="40" w:type="dxa"/>
              <w:right w:w="40" w:type="dxa"/>
            </w:tcMar>
            <w:hideMark/>
          </w:tcPr>
          <w:p w14:paraId="15CAB7B0" w14:textId="77777777" w:rsidR="00874A36" w:rsidRDefault="00000000">
            <w:pPr>
              <w:spacing w:line="360" w:lineRule="auto"/>
              <w:jc w:val="center"/>
              <w:rPr>
                <w:rFonts w:ascii="Arial" w:eastAsia="Times New Roman" w:hAnsi="Arial"/>
                <w:bCs/>
                <w:color w:val="FFFFFF"/>
                <w:lang w:val="en-IN"/>
              </w:rPr>
            </w:pPr>
            <w:r>
              <w:rPr>
                <w:rFonts w:ascii="Arial" w:eastAsia="Times New Roman" w:hAnsi="Arial"/>
                <w:b/>
                <w:bCs/>
                <w:color w:val="FFFFFF"/>
                <w:lang w:val="en-IN"/>
              </w:rPr>
              <w:t>Exclusion Criteria</w:t>
            </w:r>
          </w:p>
        </w:tc>
      </w:tr>
      <w:tr w:rsidR="00874A36" w14:paraId="109BE7FA" w14:textId="77777777">
        <w:trPr>
          <w:trHeight w:val="555"/>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36B09ED"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Population</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0C6873E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Adults (18+) with Type Diabetes living in the UK</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E327414"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Children and adolescents (&lt;18 years)</w:t>
            </w:r>
          </w:p>
        </w:tc>
      </w:tr>
      <w:tr w:rsidR="00874A36" w14:paraId="5E3690D5" w14:textId="77777777">
        <w:trPr>
          <w:trHeight w:val="108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81F2AF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Intervention</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6EBF90E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Clinical support, diabetes education, self-management behaviours, technology use, psychosocial support, socioeconomic support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626EBF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Interventions unrelated to disease management</w:t>
            </w:r>
          </w:p>
        </w:tc>
      </w:tr>
      <w:tr w:rsidR="00874A36" w14:paraId="78062606" w14:textId="77777777">
        <w:trPr>
          <w:trHeight w:val="87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6E5F272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Comparison</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536CD81B"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Lower levels of support, poorer self-management, absence of educational/clinical support</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1AB69C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No comparison group where relevant</w:t>
            </w:r>
          </w:p>
        </w:tc>
      </w:tr>
      <w:tr w:rsidR="00874A36" w14:paraId="1D98506C" w14:textId="77777777">
        <w:trPr>
          <w:trHeight w:val="720"/>
        </w:trPr>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EEDA48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Outcomes</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1DCC80C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HbA1c/glycaemic control, quality of life, self-management outcomes, hospital admissions, complications, mortality</w:t>
            </w:r>
          </w:p>
        </w:tc>
        <w:tc>
          <w:tcPr>
            <w:tcW w:w="0" w:type="auto"/>
            <w:tcBorders>
              <w:top w:val="single" w:sz="4" w:space="0" w:color="CCCCCC"/>
              <w:left w:val="single" w:sz="4" w:space="0" w:color="CCCCCC"/>
              <w:bottom w:val="single" w:sz="4" w:space="0" w:color="CCCCCC"/>
              <w:right w:val="single" w:sz="4" w:space="0" w:color="CCCCCC"/>
            </w:tcBorders>
            <w:tcMar>
              <w:top w:w="40" w:type="dxa"/>
              <w:left w:w="40" w:type="dxa"/>
              <w:bottom w:w="40" w:type="dxa"/>
              <w:right w:w="40" w:type="dxa"/>
            </w:tcMar>
            <w:hideMark/>
          </w:tcPr>
          <w:p w14:paraId="4974B6D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Outcomes not related to disease management or health outcomes</w:t>
            </w:r>
          </w:p>
        </w:tc>
      </w:tr>
    </w:tbl>
    <w:p w14:paraId="7751F6AE" w14:textId="77777777" w:rsidR="00874A36" w:rsidRDefault="00000000">
      <w:pPr>
        <w:pStyle w:val="Heading5"/>
      </w:pPr>
      <w:bookmarkStart w:id="71" w:name="_Toc235896188"/>
      <w:r>
        <w:t>Table 4.2: Inclusion and Exclusion Criteria</w:t>
      </w:r>
      <w:bookmarkEnd w:id="71"/>
    </w:p>
    <w:p w14:paraId="1E715AF0" w14:textId="77777777" w:rsidR="00874A36" w:rsidRDefault="00000000">
      <w:pPr>
        <w:spacing w:line="360" w:lineRule="auto"/>
        <w:jc w:val="center"/>
        <w:rPr>
          <w:rFonts w:ascii="Arial" w:eastAsia="Times New Roman" w:hAnsi="Arial"/>
          <w:bCs/>
          <w:color w:val="000000"/>
          <w:lang w:val="en-IN"/>
        </w:rPr>
      </w:pPr>
      <w:r>
        <w:rPr>
          <w:rFonts w:ascii="Arial" w:eastAsia="Times New Roman" w:hAnsi="Arial"/>
          <w:bCs/>
          <w:color w:val="000000"/>
          <w:lang w:val="en-IN"/>
        </w:rPr>
        <w:t>(Source: Self-Created)</w:t>
      </w:r>
    </w:p>
    <w:p w14:paraId="7DBA680D" w14:textId="77777777" w:rsidR="00874A36" w:rsidRDefault="00000000">
      <w:pPr>
        <w:pStyle w:val="Heading2"/>
      </w:pPr>
      <w:r>
        <w:t>3.8 Study Selection Process</w:t>
      </w:r>
    </w:p>
    <w:p w14:paraId="7336A3C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study selection process followed the PRISMA framework. The articles that were found in the electronic databases were exported, and duplicates were removed and only screened after. The appropriateness of titles and abstracts was initially reviewed by the inclusion and exclusion criteria, and the potentially relevant ones were evaluated with the assistance of full-text. The inclusion of studies which failed to satisfy the eligibility criteria was done away with, giving justifiable reasons. The remaining articles were tracked down as the last data that were to be critically appraised and bring thematic synthesis. After a systematic screening process, enhanced transparency, decreased selection bias and made sure that only the quality and relevant evidence was included in the review results (Martinez </w:t>
      </w:r>
      <w:r>
        <w:rPr>
          <w:rFonts w:ascii="Arial" w:eastAsia="Times New Roman" w:hAnsi="Arial"/>
          <w:bCs/>
          <w:i/>
          <w:iCs/>
          <w:color w:val="000000"/>
          <w:lang w:val="en-IN"/>
        </w:rPr>
        <w:t>et al</w:t>
      </w:r>
      <w:r>
        <w:rPr>
          <w:rFonts w:ascii="Arial" w:eastAsia="Times New Roman" w:hAnsi="Arial"/>
          <w:bCs/>
          <w:color w:val="000000"/>
          <w:lang w:val="en-IN"/>
        </w:rPr>
        <w:t>., 2023). </w:t>
      </w:r>
    </w:p>
    <w:p w14:paraId="1235AFE2" w14:textId="77777777" w:rsidR="00874A36" w:rsidRDefault="00000000">
      <w:pPr>
        <w:pStyle w:val="Heading2"/>
      </w:pPr>
      <w:r>
        <w:lastRenderedPageBreak/>
        <w:t>3.9 Quality Assessment of Included Studies</w:t>
      </w:r>
    </w:p>
    <w:p w14:paraId="30A9398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Critical evaluation of the quality of included studies was done with the assistance of recognised appraisal tools. Qualitative research was then reviewed against the Critical Appraisal Skills Programme (CASP) checklist, and quantitative research was reviewed with the assistance of required Joanna Briggs Institute (JBI) appraisal tools. The methodological rigour, validity, reliability, sampling strategy, data collection, risks of bias and relevance to the research question were applied in the evaluation of the studies. The results of the appraisal were keyed in systematically in a quality assessment table as illustrated in Appendix 1. This procedure made sure that solid and valid evidence informed the drawing of conclusions. </w:t>
      </w:r>
    </w:p>
    <w:p w14:paraId="6711EF39" w14:textId="77777777" w:rsidR="00874A36" w:rsidRDefault="00000000">
      <w:pPr>
        <w:pStyle w:val="Heading2"/>
      </w:pPr>
      <w:r>
        <w:t>3.10 Data Extraction Process</w:t>
      </w:r>
    </w:p>
    <w:p w14:paraId="36135A7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A standardised data extraction framework was used to extract relevant information by systematically extracting data in the included studies. A few of the variables extracted were author, publication year, purpose of the study, methodology, characteristics of the sample, principal results, limitations and implications for study objectives. A uniform extraction procedure reduced reporting mistakes and enhanced comparisons across studies of diverse research designs. The combination of themes was founded on the entire data extraction matrix in Appendix 2. The extraction was made standard, and this contributed to the transparency and guaranteed the capture of the most critical information that would be reported and interpreted during the review process. </w:t>
      </w:r>
    </w:p>
    <w:p w14:paraId="1F824B45" w14:textId="77777777" w:rsidR="00874A36" w:rsidRDefault="00000000">
      <w:pPr>
        <w:pStyle w:val="Heading2"/>
      </w:pPr>
      <w:r>
        <w:t>3.11 Data Analysis Method</w:t>
      </w:r>
    </w:p>
    <w:p w14:paraId="648E46D8"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A thematic analysis approach was used to synthesise the findings of the included studies. Having extracted the data, the researcher was able to come up with common themes and patterns after reading the evidence more than once (Naeem </w:t>
      </w:r>
      <w:r>
        <w:rPr>
          <w:rFonts w:ascii="Arial" w:eastAsia="Times New Roman" w:hAnsi="Arial"/>
          <w:bCs/>
          <w:i/>
          <w:iCs/>
          <w:color w:val="000000"/>
          <w:lang w:val="en-IN"/>
        </w:rPr>
        <w:t>et al</w:t>
      </w:r>
      <w:r>
        <w:rPr>
          <w:rFonts w:ascii="Arial" w:eastAsia="Times New Roman" w:hAnsi="Arial"/>
          <w:bCs/>
          <w:color w:val="000000"/>
          <w:lang w:val="en-IN"/>
        </w:rPr>
        <w:t>., 2023). Repeat findings were combined into broad topics, and then five overarching themes relating to the main determinants of Type 1 Diabetes management and quality of life were developed. This strategy enabled the incorporation of both qualitative and quantitative information and identification of some similarities, differences and contradictions between the studies. The thematic analysis fit the purpose since it allowed critical analysis of multifaceted evidence instead of mere numerical summarisation of the research results. </w:t>
      </w:r>
    </w:p>
    <w:p w14:paraId="4140AFD3" w14:textId="77777777" w:rsidR="00874A36" w:rsidRDefault="00000000">
      <w:pPr>
        <w:pStyle w:val="Heading2"/>
      </w:pPr>
      <w:r>
        <w:t>3.12 Reliability and Validity (Trustworthiness)</w:t>
      </w:r>
    </w:p>
    <w:p w14:paraId="69A605F2"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Structured and transparent review process boosted credibility. The data that were extracted using defined eligibility criteria, database search (structured search), preset data extraction processes and known quality assessment instruments articulated the credibility and reliability of the results. Employing several databases minimised publication bias and enhanced the extent of the evidence base. The use of the review protocol over time ensured that there was </w:t>
      </w:r>
      <w:r>
        <w:rPr>
          <w:rFonts w:ascii="Arial" w:eastAsia="Times New Roman" w:hAnsi="Arial"/>
          <w:bCs/>
          <w:color w:val="000000"/>
          <w:lang w:val="en-IN"/>
        </w:rPr>
        <w:lastRenderedPageBreak/>
        <w:t>confirmability and reduced the subjectivity of the researcher during the selection and synthesis process of the research. </w:t>
      </w:r>
    </w:p>
    <w:p w14:paraId="213EFC05" w14:textId="77777777" w:rsidR="00874A36" w:rsidRDefault="00000000">
      <w:pPr>
        <w:pStyle w:val="Heading2"/>
      </w:pPr>
      <w:r>
        <w:t>3.13 Ethical Considerations</w:t>
      </w:r>
    </w:p>
    <w:p w14:paraId="0856FCE6"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systematic and transparent review process enhanced trustworthiness. Eligibility criteria, database searching protocols, data extraction and recognised quality measurement tools were elaborated, thus enhancing the precision of the findings and dependability. The outcomes were reduced to publication bias through multiple databases and had a more extensive evidence base. The use of the review protocol consistently guaranteed that there was confirmability and minimised researcher subjectivity when it comes to selecting and synthesising studies. A blend of these methodological procedures boosted the reliability, validity and overall credibility of the systematic review findings. </w:t>
      </w:r>
    </w:p>
    <w:p w14:paraId="0C30B60F" w14:textId="77777777" w:rsidR="00874A36" w:rsidRDefault="00000000">
      <w:pPr>
        <w:pStyle w:val="Heading2"/>
      </w:pPr>
      <w:r>
        <w:t>3.14 Limitations of the Methodology</w:t>
      </w:r>
    </w:p>
    <w:p w14:paraId="43C52142"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limitations of English-language publications only might have left out international evidence that is relevant. Personal empirical conclusions and clear identification of the inconsistencies existing in published works were impossible to draw due to the use of only secondary data. The difference in study design, outcome measures, sample features and healthcare also contributed to the heterogeneity, limiting direct comparison across the studies. Despite these shortcomings, the methodological approach, which was of high quality and involved a strong evidence review assessment and evidence synthesis in the end, facilitated reinforcing and enhancing the usefulness of the review conclusion. </w:t>
      </w:r>
    </w:p>
    <w:p w14:paraId="7C99C993" w14:textId="77777777" w:rsidR="00874A36" w:rsidRDefault="00000000">
      <w:pPr>
        <w:pStyle w:val="Heading2"/>
      </w:pPr>
      <w:r>
        <w:t>3.15 Chapter Summary</w:t>
      </w:r>
    </w:p>
    <w:p w14:paraId="32D6FC1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This chapter has provided the methodological framework taken in undertaking the systematic review. It outlined the philosophical approach of interpretivism, methodology of inductive research, PRISMA reporting guideline, search strategy, criteria of selection, selection process, quality assessment, data retrieval, themed analysis, trustworthiness, ethical issues and methodological limitations. </w:t>
      </w:r>
    </w:p>
    <w:p w14:paraId="7C930481" w14:textId="77777777" w:rsidR="00874A36" w:rsidRDefault="00000000">
      <w:pPr>
        <w:spacing w:line="360" w:lineRule="auto"/>
        <w:rPr>
          <w:rFonts w:ascii="Arial" w:eastAsia="Times New Roman" w:hAnsi="Arial"/>
          <w:b/>
          <w:bCs/>
          <w:color w:val="000000"/>
          <w:lang w:val="en-IN"/>
        </w:rPr>
      </w:pPr>
      <w:r>
        <w:rPr>
          <w:rFonts w:ascii="Arial" w:eastAsia="Times New Roman" w:hAnsi="Arial"/>
          <w:b/>
          <w:bCs/>
          <w:color w:val="000000"/>
          <w:lang w:val="en-IN"/>
        </w:rPr>
        <w:br w:type="page"/>
      </w:r>
    </w:p>
    <w:p w14:paraId="2F20C180" w14:textId="77777777" w:rsidR="00874A36" w:rsidRDefault="00000000">
      <w:pPr>
        <w:pStyle w:val="Heading1"/>
      </w:pPr>
      <w:bookmarkStart w:id="72" w:name="_Toc239687646"/>
      <w:r>
        <w:lastRenderedPageBreak/>
        <w:t>Chapter 4: Results</w:t>
      </w:r>
      <w:bookmarkEnd w:id="72"/>
      <w:r>
        <w:t xml:space="preserve"> </w:t>
      </w:r>
    </w:p>
    <w:p w14:paraId="16AC1010" w14:textId="77777777" w:rsidR="00874A36" w:rsidRDefault="00000000">
      <w:pPr>
        <w:pStyle w:val="Heading2"/>
      </w:pPr>
      <w:r>
        <w:t>4.1 Introduction</w:t>
      </w:r>
    </w:p>
    <w:p w14:paraId="61F0F10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This chapter presents the findings of the systematic literature review through thematic analysis of the selected studies. Five thematic areas are used to explore the clinical management concepts, behavioural, technological and psychosocial concepts that influence the management of Type 1 Diabetes in adult patients. Results give a critical overview of evidence in line with the objectives of the study. </w:t>
      </w:r>
    </w:p>
    <w:p w14:paraId="735AA03B" w14:textId="77777777" w:rsidR="00874A36" w:rsidRDefault="00000000">
      <w:pPr>
        <w:pStyle w:val="Heading2"/>
      </w:pPr>
      <w:r>
        <w:t>4.2 Thematic analysis</w:t>
      </w:r>
    </w:p>
    <w:p w14:paraId="76C1F4B6" w14:textId="77777777" w:rsidR="00874A36" w:rsidRDefault="00000000">
      <w:pPr>
        <w:pStyle w:val="Heading3"/>
        <w:spacing w:line="360" w:lineRule="auto"/>
        <w:rPr>
          <w:lang w:val="en-IN"/>
        </w:rPr>
      </w:pPr>
      <w:r>
        <w:rPr>
          <w:lang w:val="en-IN"/>
        </w:rPr>
        <w:t>4.2.1 Socioeconomic Inequalities, Health Disparities and Unequal Access to Care </w:t>
      </w:r>
    </w:p>
    <w:p w14:paraId="09D5DEE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Scott </w:t>
      </w:r>
      <w:r>
        <w:rPr>
          <w:rFonts w:ascii="Arial" w:eastAsia="Times New Roman" w:hAnsi="Arial"/>
          <w:bCs/>
          <w:i/>
          <w:iCs/>
          <w:color w:val="000000"/>
          <w:lang w:val="en-IN"/>
        </w:rPr>
        <w:t>et al.</w:t>
      </w:r>
      <w:r>
        <w:rPr>
          <w:rFonts w:ascii="Arial" w:eastAsia="Times New Roman" w:hAnsi="Arial"/>
          <w:bCs/>
          <w:color w:val="000000"/>
          <w:lang w:val="en-IN"/>
        </w:rPr>
        <w:t xml:space="preserve"> (2017) concluded that individuals with worse socioeconomic status always had higher mortality rates, complications, and worse glycaemic control, and Höhn </w:t>
      </w:r>
      <w:r>
        <w:rPr>
          <w:rFonts w:ascii="Arial" w:eastAsia="Times New Roman" w:hAnsi="Arial"/>
          <w:bCs/>
          <w:i/>
          <w:iCs/>
          <w:color w:val="000000"/>
          <w:lang w:val="en-IN"/>
        </w:rPr>
        <w:t>et al.</w:t>
      </w:r>
      <w:r>
        <w:rPr>
          <w:rFonts w:ascii="Arial" w:eastAsia="Times New Roman" w:hAnsi="Arial"/>
          <w:bCs/>
          <w:color w:val="000000"/>
          <w:lang w:val="en-IN"/>
        </w:rPr>
        <w:t xml:space="preserve"> (2022) further demonstrated that deprivation hurt the life and the time during which the patient had the complication with diabetes. Similarly, the research by Lindner </w:t>
      </w:r>
      <w:r>
        <w:rPr>
          <w:rFonts w:ascii="Arial" w:eastAsia="Times New Roman" w:hAnsi="Arial"/>
          <w:bCs/>
          <w:i/>
          <w:iCs/>
          <w:color w:val="000000"/>
          <w:lang w:val="en-IN"/>
        </w:rPr>
        <w:t>et al.</w:t>
      </w:r>
      <w:r>
        <w:rPr>
          <w:rFonts w:ascii="Arial" w:eastAsia="Times New Roman" w:hAnsi="Arial"/>
          <w:bCs/>
          <w:color w:val="000000"/>
          <w:lang w:val="en-IN"/>
        </w:rPr>
        <w:t xml:space="preserve"> (2017) revealed significantly higher rates of diabetic ketoacidosis among the socioeconomically disadvantaged groups, which, once again, proves the contribution of social inequalities to the development of a disease. However, Hill-Briggs (2020) assumed on a grander scale by assuming that the differences are not only income-based, but manifest themselves in numerous other social aspects as well, such as food insecurity, access to healthcare and living conditions, meaning that the barriers to diabetes management are structural inequalities, rather than individual behaviour.</w:t>
      </w:r>
    </w:p>
    <w:p w14:paraId="6CD63131" w14:textId="77777777" w:rsidR="00874A36" w:rsidRDefault="00000000">
      <w:pPr>
        <w:spacing w:line="360" w:lineRule="auto"/>
        <w:jc w:val="both"/>
        <w:rPr>
          <w:rFonts w:ascii="Arial" w:eastAsia="Times New Roman" w:hAnsi="Arial"/>
          <w:bCs/>
          <w:color w:val="FF0000"/>
          <w:lang w:val="en-IN"/>
        </w:rPr>
      </w:pPr>
      <w:r>
        <w:rPr>
          <w:rFonts w:ascii="Arial" w:eastAsia="Times New Roman" w:hAnsi="Arial"/>
          <w:bCs/>
          <w:color w:val="000000"/>
          <w:lang w:val="en-IN"/>
        </w:rPr>
        <w:t xml:space="preserve">Another key cause of inequality was access to technology. Fallon </w:t>
      </w:r>
      <w:r>
        <w:rPr>
          <w:rFonts w:ascii="Arial" w:eastAsia="Times New Roman" w:hAnsi="Arial"/>
          <w:bCs/>
          <w:i/>
          <w:iCs/>
          <w:color w:val="000000"/>
          <w:lang w:val="en-IN"/>
        </w:rPr>
        <w:t>et al.</w:t>
      </w:r>
      <w:r>
        <w:rPr>
          <w:rFonts w:ascii="Arial" w:eastAsia="Times New Roman" w:hAnsi="Arial"/>
          <w:bCs/>
          <w:color w:val="000000"/>
          <w:lang w:val="en-IN"/>
        </w:rPr>
        <w:t xml:space="preserve"> (2022) found that there was a significant negative correlation between adults living in deprived UK communities and the utilisation of diabetes technologies, yet they showed the same reaction to the change in glycaemia following their usage. A different study by Auzanneau</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(2023) has also shown that older age, migration, and deprivation history are good predictors of lower technology adoption. Ebekozien </w:t>
      </w:r>
      <w:r>
        <w:rPr>
          <w:rFonts w:ascii="Arial" w:eastAsia="Times New Roman" w:hAnsi="Arial"/>
          <w:bCs/>
          <w:i/>
          <w:iCs/>
          <w:color w:val="000000"/>
          <w:lang w:val="en-IN"/>
        </w:rPr>
        <w:t>et al.</w:t>
      </w:r>
      <w:r>
        <w:rPr>
          <w:rFonts w:ascii="Arial" w:eastAsia="Times New Roman" w:hAnsi="Arial"/>
          <w:bCs/>
          <w:color w:val="000000"/>
          <w:lang w:val="en-IN"/>
        </w:rPr>
        <w:t xml:space="preserve"> (2024) make the argument that, due to the nature of financial, technological, and infrastructural barriers to disadvantaged segments of the population in most instances, digital exclusion will build on the existing health inequities. </w:t>
      </w:r>
      <w:r>
        <w:rPr>
          <w:rFonts w:ascii="Arial" w:eastAsia="Times New Roman" w:hAnsi="Arial"/>
          <w:bCs/>
          <w:color w:val="FF0000"/>
          <w:lang w:val="en-IN"/>
        </w:rPr>
        <w:t xml:space="preserve">In contrast, Charleer </w:t>
      </w:r>
      <w:r>
        <w:rPr>
          <w:rFonts w:ascii="Arial" w:eastAsia="Times New Roman" w:hAnsi="Arial"/>
          <w:bCs/>
          <w:i/>
          <w:iCs/>
          <w:color w:val="FF0000"/>
          <w:lang w:val="en-IN"/>
        </w:rPr>
        <w:t xml:space="preserve">et al. </w:t>
      </w:r>
      <w:r>
        <w:rPr>
          <w:rFonts w:ascii="Arial" w:eastAsia="Times New Roman" w:hAnsi="Arial"/>
          <w:bCs/>
          <w:color w:val="FF0000"/>
          <w:lang w:val="en-IN"/>
        </w:rPr>
        <w:t>(2019) studies revealed that the removal of a financial barrier by reimbursement policies results in a better treatment satisfaction level, as well as a reduced number of cases of severe hypoglycaemia.</w:t>
      </w:r>
    </w:p>
    <w:p w14:paraId="702A11B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Harris </w:t>
      </w:r>
      <w:r>
        <w:rPr>
          <w:rFonts w:ascii="Arial" w:eastAsia="Times New Roman" w:hAnsi="Arial"/>
          <w:bCs/>
          <w:i/>
          <w:iCs/>
          <w:color w:val="000000"/>
          <w:lang w:val="en-IN"/>
        </w:rPr>
        <w:t>et al</w:t>
      </w:r>
      <w:r>
        <w:rPr>
          <w:rFonts w:ascii="Arial" w:eastAsia="Times New Roman" w:hAnsi="Arial"/>
          <w:bCs/>
          <w:color w:val="000000"/>
          <w:lang w:val="en-IN"/>
        </w:rPr>
        <w:t xml:space="preserve">. (2018) have found that attendance of the structured diabetes education was often hampered by work commitments, but Spencer </w:t>
      </w:r>
      <w:r>
        <w:rPr>
          <w:rFonts w:ascii="Arial" w:eastAsia="Times New Roman" w:hAnsi="Arial"/>
          <w:bCs/>
          <w:i/>
          <w:iCs/>
          <w:color w:val="000000"/>
          <w:lang w:val="en-IN"/>
        </w:rPr>
        <w:t>et al.</w:t>
      </w:r>
      <w:r>
        <w:rPr>
          <w:rFonts w:ascii="Arial" w:eastAsia="Times New Roman" w:hAnsi="Arial"/>
          <w:bCs/>
          <w:color w:val="000000"/>
          <w:lang w:val="en-IN"/>
        </w:rPr>
        <w:t xml:space="preserve"> (2021) highlighted adverse provider relations, financial constraints, and insurance restrictions as entry barriers to </w:t>
      </w:r>
      <w:r>
        <w:rPr>
          <w:rFonts w:ascii="Arial" w:eastAsia="Times New Roman" w:hAnsi="Arial"/>
          <w:bCs/>
          <w:color w:val="000000"/>
          <w:lang w:val="en-IN"/>
        </w:rPr>
        <w:lastRenderedPageBreak/>
        <w:t xml:space="preserve">specialist diabetes care. As in Grigorian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(2022), financial hardship and difficulty with insurance were critical obstacles to effective self-management; however, Joish </w:t>
      </w:r>
      <w:r>
        <w:rPr>
          <w:rFonts w:ascii="Arial" w:eastAsia="Times New Roman" w:hAnsi="Arial"/>
          <w:bCs/>
          <w:i/>
          <w:iCs/>
          <w:color w:val="000000"/>
          <w:lang w:val="en-IN"/>
        </w:rPr>
        <w:t>et al.</w:t>
      </w:r>
      <w:r>
        <w:rPr>
          <w:rFonts w:ascii="Arial" w:eastAsia="Times New Roman" w:hAnsi="Arial"/>
          <w:bCs/>
          <w:color w:val="000000"/>
          <w:lang w:val="en-IN"/>
        </w:rPr>
        <w:t xml:space="preserve"> (2020) and Stedman </w:t>
      </w:r>
      <w:r>
        <w:rPr>
          <w:rFonts w:ascii="Arial" w:eastAsia="Times New Roman" w:hAnsi="Arial"/>
          <w:bCs/>
          <w:i/>
          <w:iCs/>
          <w:color w:val="000000"/>
          <w:lang w:val="en-IN"/>
        </w:rPr>
        <w:t>et al.</w:t>
      </w:r>
      <w:r>
        <w:rPr>
          <w:rFonts w:ascii="Arial" w:eastAsia="Times New Roman" w:hAnsi="Arial"/>
          <w:bCs/>
          <w:color w:val="000000"/>
          <w:lang w:val="en-IN"/>
        </w:rPr>
        <w:t xml:space="preserve"> (2020) demonstrated that the challenge of inadequate disease management is already leading to much more healthcare utilisation and higher financial expenditures. </w:t>
      </w:r>
      <w:r>
        <w:rPr>
          <w:rFonts w:ascii="Arial" w:eastAsia="Times New Roman" w:hAnsi="Arial"/>
          <w:bCs/>
          <w:color w:val="FF0000"/>
          <w:lang w:val="en-IN"/>
        </w:rPr>
        <w:t>Both Janez</w:t>
      </w:r>
      <w:r>
        <w:rPr>
          <w:rFonts w:ascii="Arial" w:eastAsia="Times New Roman" w:hAnsi="Arial"/>
          <w:bCs/>
          <w:i/>
          <w:iCs/>
          <w:color w:val="FF0000"/>
          <w:lang w:val="en-IN"/>
        </w:rPr>
        <w:t xml:space="preserve"> et al.</w:t>
      </w:r>
      <w:r>
        <w:rPr>
          <w:rFonts w:ascii="Arial" w:eastAsia="Times New Roman" w:hAnsi="Arial"/>
          <w:bCs/>
          <w:color w:val="FF0000"/>
          <w:lang w:val="en-IN"/>
        </w:rPr>
        <w:t xml:space="preserve"> (2021) and Sathyanarayan et al. (2022) admitted that the opportunities of hybrid closed-loop systems and virtual diabetes services might be successful in obtaining better outcomes. </w:t>
      </w:r>
      <w:r>
        <w:rPr>
          <w:rFonts w:ascii="Arial" w:eastAsia="Times New Roman" w:hAnsi="Arial"/>
          <w:bCs/>
          <w:color w:val="000000"/>
          <w:lang w:val="en-IN"/>
        </w:rPr>
        <w:t xml:space="preserve">The multiproactive policy changes need to be interrelated and consist not just of financial resources but also encompass equal access to technological resources, culturally-appropriate healthcare, education programmes individual-focused and outcome-oriented to ensure that the institution of diabetes care benefits all of the adults equally rather than increases the existing disparities (Almabadi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2025; Porth </w:t>
      </w:r>
      <w:r>
        <w:rPr>
          <w:rFonts w:ascii="Arial" w:eastAsia="Times New Roman" w:hAnsi="Arial"/>
          <w:bCs/>
          <w:i/>
          <w:iCs/>
          <w:color w:val="000000"/>
          <w:lang w:val="en-IN"/>
        </w:rPr>
        <w:t>et al.</w:t>
      </w:r>
      <w:r>
        <w:rPr>
          <w:rFonts w:ascii="Arial" w:eastAsia="Times New Roman" w:hAnsi="Arial"/>
          <w:bCs/>
          <w:color w:val="000000"/>
          <w:lang w:val="en-IN"/>
        </w:rPr>
        <w:t>, 2024). </w:t>
      </w:r>
      <w:r>
        <w:rPr>
          <w:rFonts w:ascii="Arial" w:eastAsia="Times New Roman" w:hAnsi="Arial"/>
          <w:bCs/>
          <w:color w:val="FF0000"/>
        </w:rPr>
        <w:t>This theme met the aim by identifying socioeconomic conditions that influence successful Type 1 Diabetes management. The evidence showed that deprivation, financial hardship, migration background, digital exclusion and unequal access to technology affect glycaemic outcomes, complications and service use, demonstrating that health outcomes are shaped by structural as well as clinical factors.</w:t>
      </w:r>
    </w:p>
    <w:p w14:paraId="18F7AA6D" w14:textId="77777777" w:rsidR="00874A36" w:rsidRDefault="00000000">
      <w:pPr>
        <w:pStyle w:val="Heading3"/>
        <w:spacing w:line="360" w:lineRule="auto"/>
        <w:rPr>
          <w:lang w:val="en-IN"/>
        </w:rPr>
      </w:pPr>
      <w:r>
        <w:rPr>
          <w:lang w:val="en-IN"/>
        </w:rPr>
        <w:t>4.2.2 Everyday Self-Management Challenges across the Adult Life Course </w:t>
      </w:r>
    </w:p>
    <w:p w14:paraId="7051C992"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Vallis</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(2018) also noted that, even with a perceived greater amount of social support, emerging adults reported greater levels of diabetes distress. Similarly, Nunciado </w:t>
      </w:r>
      <w:r>
        <w:rPr>
          <w:rFonts w:ascii="Arial" w:eastAsia="Times New Roman" w:hAnsi="Arial"/>
          <w:bCs/>
          <w:i/>
          <w:iCs/>
          <w:color w:val="000000"/>
          <w:lang w:val="en-IN"/>
        </w:rPr>
        <w:t>et al</w:t>
      </w:r>
      <w:r>
        <w:rPr>
          <w:rFonts w:ascii="Arial" w:eastAsia="Times New Roman" w:hAnsi="Arial"/>
          <w:bCs/>
          <w:color w:val="000000"/>
          <w:lang w:val="en-IN"/>
        </w:rPr>
        <w:t>. (2024) found that movement into university, work and living alone usually disrupted healthy routines, and Shiel</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(2023) observed that competing priorities, concealment of treatment, and mental illness and emotional distress were factors of cyclic adherence. These findings align with those of O’Hara e</w:t>
      </w:r>
      <w:r>
        <w:rPr>
          <w:rFonts w:ascii="Arial" w:eastAsia="Times New Roman" w:hAnsi="Arial"/>
          <w:bCs/>
          <w:i/>
          <w:iCs/>
          <w:color w:val="000000"/>
          <w:lang w:val="en-IN"/>
        </w:rPr>
        <w:t>t al</w:t>
      </w:r>
      <w:r>
        <w:rPr>
          <w:rFonts w:ascii="Arial" w:eastAsia="Times New Roman" w:hAnsi="Arial"/>
          <w:bCs/>
          <w:color w:val="000000"/>
          <w:lang w:val="en-IN"/>
        </w:rPr>
        <w:t>. (2016), who reported that standard transition methods are likely to be inadequate in their capacity to address multidimensional psychosocial demands of young adults, but Pyatak</w:t>
      </w:r>
      <w:r>
        <w:rPr>
          <w:rFonts w:ascii="Arial" w:eastAsia="Times New Roman" w:hAnsi="Arial"/>
          <w:bCs/>
          <w:i/>
          <w:iCs/>
          <w:color w:val="000000"/>
          <w:lang w:val="en-IN"/>
        </w:rPr>
        <w:t xml:space="preserve"> et al</w:t>
      </w:r>
      <w:r>
        <w:rPr>
          <w:rFonts w:ascii="Arial" w:eastAsia="Times New Roman" w:hAnsi="Arial"/>
          <w:bCs/>
          <w:color w:val="000000"/>
          <w:lang w:val="en-IN"/>
        </w:rPr>
        <w:t>. (2017) revealed that structured transition programmes are capable of improving attendance at clinics and glucose levels. </w:t>
      </w:r>
    </w:p>
    <w:p w14:paraId="0CAEEC2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Harris </w:t>
      </w:r>
      <w:r>
        <w:rPr>
          <w:rFonts w:ascii="Arial" w:eastAsia="Times New Roman" w:hAnsi="Arial"/>
          <w:bCs/>
          <w:i/>
          <w:iCs/>
          <w:color w:val="000000"/>
          <w:lang w:val="en-IN"/>
        </w:rPr>
        <w:t>et al</w:t>
      </w:r>
      <w:r>
        <w:rPr>
          <w:rFonts w:ascii="Arial" w:eastAsia="Times New Roman" w:hAnsi="Arial"/>
          <w:bCs/>
          <w:color w:val="000000"/>
          <w:lang w:val="en-IN"/>
        </w:rPr>
        <w:t>. (2018) observed that more employment interactions decreased and participation in official education programmes, but Walker</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(2021) and Grigorian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(2022) reported that financial pressures, perceived difficulties in getting and staying and experienced misunderstandings regarding insurance, as well as motivation to keep on involving themselves in diabetic care. On the same note, Tanenbaum </w:t>
      </w:r>
      <w:r>
        <w:rPr>
          <w:rFonts w:ascii="Arial" w:eastAsia="Times New Roman" w:hAnsi="Arial"/>
          <w:bCs/>
          <w:i/>
          <w:iCs/>
          <w:color w:val="000000"/>
          <w:lang w:val="en-IN"/>
        </w:rPr>
        <w:t>et al</w:t>
      </w:r>
      <w:r>
        <w:rPr>
          <w:rFonts w:ascii="Arial" w:eastAsia="Times New Roman" w:hAnsi="Arial"/>
          <w:bCs/>
          <w:color w:val="000000"/>
          <w:lang w:val="en-IN"/>
        </w:rPr>
        <w:t xml:space="preserve">. (2017) found that the fear of body image, inconvenience, and treatment burden, depending on the technology, reduced use of technology when positive clinical results are noted. On the other hand, both Heller </w:t>
      </w:r>
      <w:r>
        <w:rPr>
          <w:rFonts w:ascii="Arial" w:eastAsia="Times New Roman" w:hAnsi="Arial"/>
          <w:bCs/>
          <w:i/>
          <w:iCs/>
          <w:color w:val="000000"/>
          <w:lang w:val="en-IN"/>
        </w:rPr>
        <w:t>et al</w:t>
      </w:r>
      <w:r>
        <w:rPr>
          <w:rFonts w:ascii="Arial" w:eastAsia="Times New Roman" w:hAnsi="Arial"/>
          <w:bCs/>
          <w:color w:val="000000"/>
          <w:lang w:val="en-IN"/>
        </w:rPr>
        <w:t xml:space="preserve">. (2020) and Kubiak </w:t>
      </w:r>
      <w:r>
        <w:rPr>
          <w:rFonts w:ascii="Arial" w:eastAsia="Times New Roman" w:hAnsi="Arial"/>
          <w:bCs/>
          <w:i/>
          <w:iCs/>
          <w:color w:val="000000"/>
          <w:lang w:val="en-IN"/>
        </w:rPr>
        <w:t>et al.</w:t>
      </w:r>
      <w:r>
        <w:rPr>
          <w:rFonts w:ascii="Arial" w:eastAsia="Times New Roman" w:hAnsi="Arial"/>
          <w:bCs/>
          <w:color w:val="000000"/>
          <w:lang w:val="en-IN"/>
        </w:rPr>
        <w:t xml:space="preserve"> (2020) hypothesised that a positive outcome of </w:t>
      </w:r>
      <w:r>
        <w:rPr>
          <w:rFonts w:ascii="Arial" w:eastAsia="Times New Roman" w:hAnsi="Arial"/>
          <w:bCs/>
          <w:color w:val="000000"/>
          <w:lang w:val="en-IN"/>
        </w:rPr>
        <w:lastRenderedPageBreak/>
        <w:t>structured education with psychosocial support, in terms of the long-term pledges, is that the individual will improve self-management.</w:t>
      </w:r>
    </w:p>
    <w:p w14:paraId="2DA6C02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Salas-Muriel </w:t>
      </w:r>
      <w:r>
        <w:rPr>
          <w:rFonts w:ascii="Arial" w:eastAsia="Times New Roman" w:hAnsi="Arial"/>
          <w:bCs/>
          <w:i/>
          <w:iCs/>
          <w:color w:val="000000"/>
          <w:lang w:val="en-IN"/>
        </w:rPr>
        <w:t>et al.</w:t>
      </w:r>
      <w:r>
        <w:rPr>
          <w:rFonts w:ascii="Arial" w:eastAsia="Times New Roman" w:hAnsi="Arial"/>
          <w:bCs/>
          <w:color w:val="000000"/>
          <w:lang w:val="en-IN"/>
        </w:rPr>
        <w:t xml:space="preserve"> (2025) proved that the negative impact of stress on the quality of life was partially dependent on social support and adherence to treatment, and Cho and Kim (2021) concluded that self-efficacy and acceptance of the disease were important factors that led to effective management of diabetes. The family-centred interventions to empowerment also produced superior outcomes of adherence and glycaemic control (Alzawahreh and Ozturk, 2024), and peer support programmes resulted in confidence and engagement in behaviours (Salis et al., 2022). In addition, behavioural interventions like Acceptance and Commitment Therapy also increased the levels of psychological flexibility but did not improve HbA1c (Wijk </w:t>
      </w:r>
      <w:r>
        <w:rPr>
          <w:rFonts w:ascii="Arial" w:eastAsia="Times New Roman" w:hAnsi="Arial"/>
          <w:bCs/>
          <w:i/>
          <w:iCs/>
          <w:color w:val="000000"/>
          <w:lang w:val="en-IN"/>
        </w:rPr>
        <w:t>et al.</w:t>
      </w:r>
      <w:r>
        <w:rPr>
          <w:rFonts w:ascii="Arial" w:eastAsia="Times New Roman" w:hAnsi="Arial"/>
          <w:bCs/>
          <w:color w:val="000000"/>
          <w:lang w:val="en-IN"/>
        </w:rPr>
        <w:t xml:space="preserve">, 2023), which makes us believe that the process of improving mental well-being and medical results does not necessarily go hand in hand. </w:t>
      </w:r>
      <w:r>
        <w:rPr>
          <w:rFonts w:ascii="Arial" w:eastAsia="Times New Roman" w:hAnsi="Arial"/>
          <w:bCs/>
          <w:color w:val="FF0000"/>
          <w:lang w:val="en-IN"/>
        </w:rPr>
        <w:t>Alarcón-Gomez</w:t>
      </w:r>
      <w:r>
        <w:rPr>
          <w:rFonts w:ascii="Arial" w:eastAsia="Times New Roman" w:hAnsi="Arial"/>
          <w:bCs/>
          <w:i/>
          <w:iCs/>
          <w:color w:val="FF0000"/>
          <w:lang w:val="en-IN"/>
        </w:rPr>
        <w:t xml:space="preserve"> et al.</w:t>
      </w:r>
      <w:r>
        <w:rPr>
          <w:rFonts w:ascii="Arial" w:eastAsia="Times New Roman" w:hAnsi="Arial"/>
          <w:bCs/>
          <w:color w:val="FF0000"/>
          <w:lang w:val="en-IN"/>
        </w:rPr>
        <w:t xml:space="preserve"> (2021); Turton </w:t>
      </w:r>
      <w:r>
        <w:rPr>
          <w:rFonts w:ascii="Arial" w:eastAsia="Times New Roman" w:hAnsi="Arial"/>
          <w:bCs/>
          <w:i/>
          <w:iCs/>
          <w:color w:val="FF0000"/>
          <w:lang w:val="en-IN"/>
        </w:rPr>
        <w:t>et al</w:t>
      </w:r>
      <w:r>
        <w:rPr>
          <w:rFonts w:ascii="Arial" w:eastAsia="Times New Roman" w:hAnsi="Arial"/>
          <w:bCs/>
          <w:color w:val="FF0000"/>
          <w:lang w:val="en-IN"/>
        </w:rPr>
        <w:t>. (2023); Martyn-Nemeth</w:t>
      </w:r>
      <w:r>
        <w:rPr>
          <w:rFonts w:ascii="Arial" w:eastAsia="Times New Roman" w:hAnsi="Arial"/>
          <w:bCs/>
          <w:i/>
          <w:iCs/>
          <w:color w:val="FF0000"/>
          <w:lang w:val="en-IN"/>
        </w:rPr>
        <w:t xml:space="preserve"> et al.</w:t>
      </w:r>
      <w:r>
        <w:rPr>
          <w:rFonts w:ascii="Arial" w:eastAsia="Times New Roman" w:hAnsi="Arial"/>
          <w:bCs/>
          <w:color w:val="FF0000"/>
          <w:lang w:val="en-IN"/>
        </w:rPr>
        <w:t xml:space="preserve"> (2022) argue that lifestyle interventions, including exercise, diet change and sleep optimisation</w:t>
      </w:r>
      <w:r>
        <w:rPr>
          <w:rFonts w:ascii="Arial" w:eastAsia="Times New Roman" w:hAnsi="Arial"/>
          <w:bCs/>
          <w:color w:val="000000"/>
          <w:lang w:val="en-IN"/>
        </w:rPr>
        <w:t xml:space="preserve">. Moreover, the results of the study by Bota </w:t>
      </w:r>
      <w:r>
        <w:rPr>
          <w:rFonts w:ascii="Arial" w:eastAsia="Times New Roman" w:hAnsi="Arial"/>
          <w:bCs/>
          <w:i/>
          <w:iCs/>
          <w:color w:val="000000"/>
          <w:lang w:val="en-IN"/>
        </w:rPr>
        <w:t>et al</w:t>
      </w:r>
      <w:r>
        <w:rPr>
          <w:rFonts w:ascii="Arial" w:eastAsia="Times New Roman" w:hAnsi="Arial"/>
          <w:bCs/>
          <w:color w:val="000000"/>
          <w:lang w:val="en-IN"/>
        </w:rPr>
        <w:t xml:space="preserve">. (2021) demonstrated the possibility to use CGM to safely engage in physical activity. </w:t>
      </w:r>
      <w:r>
        <w:rPr>
          <w:rFonts w:ascii="Arial" w:eastAsia="Times New Roman" w:hAnsi="Arial"/>
          <w:bCs/>
          <w:color w:val="FF0000"/>
          <w:lang w:val="en-IN"/>
        </w:rPr>
        <w:t>Alliston</w:t>
      </w:r>
      <w:r>
        <w:rPr>
          <w:rFonts w:ascii="Arial" w:eastAsia="Times New Roman" w:hAnsi="Arial"/>
          <w:bCs/>
          <w:i/>
          <w:iCs/>
          <w:color w:val="FF0000"/>
          <w:lang w:val="en-IN"/>
        </w:rPr>
        <w:t xml:space="preserve"> et al</w:t>
      </w:r>
      <w:r>
        <w:rPr>
          <w:rFonts w:ascii="Arial" w:eastAsia="Times New Roman" w:hAnsi="Arial"/>
          <w:bCs/>
          <w:color w:val="FF0000"/>
          <w:lang w:val="en-IN"/>
        </w:rPr>
        <w:t xml:space="preserve">. (2024), Puzhakkal </w:t>
      </w:r>
      <w:r>
        <w:rPr>
          <w:rFonts w:ascii="Arial" w:eastAsia="Times New Roman" w:hAnsi="Arial"/>
          <w:bCs/>
          <w:i/>
          <w:iCs/>
          <w:color w:val="FF0000"/>
          <w:lang w:val="en-IN"/>
        </w:rPr>
        <w:t>et al.</w:t>
      </w:r>
      <w:r>
        <w:rPr>
          <w:rFonts w:ascii="Arial" w:eastAsia="Times New Roman" w:hAnsi="Arial"/>
          <w:bCs/>
          <w:color w:val="FF0000"/>
          <w:lang w:val="en-IN"/>
        </w:rPr>
        <w:t xml:space="preserve"> (2025), An </w:t>
      </w:r>
      <w:r>
        <w:rPr>
          <w:rFonts w:ascii="Arial" w:eastAsia="Times New Roman" w:hAnsi="Arial"/>
          <w:bCs/>
          <w:i/>
          <w:iCs/>
          <w:color w:val="FF0000"/>
          <w:lang w:val="en-IN"/>
        </w:rPr>
        <w:t xml:space="preserve">et al. </w:t>
      </w:r>
      <w:r>
        <w:rPr>
          <w:rFonts w:ascii="Arial" w:eastAsia="Times New Roman" w:hAnsi="Arial"/>
          <w:bCs/>
          <w:color w:val="FF0000"/>
          <w:lang w:val="en-IN"/>
        </w:rPr>
        <w:t xml:space="preserve">(2023) and Sawyer </w:t>
      </w:r>
      <w:r>
        <w:rPr>
          <w:rFonts w:ascii="Arial" w:eastAsia="Times New Roman" w:hAnsi="Arial"/>
          <w:bCs/>
          <w:i/>
          <w:iCs/>
          <w:color w:val="FF0000"/>
          <w:lang w:val="en-IN"/>
        </w:rPr>
        <w:t>et al</w:t>
      </w:r>
      <w:r>
        <w:rPr>
          <w:rFonts w:ascii="Arial" w:eastAsia="Times New Roman" w:hAnsi="Arial"/>
          <w:bCs/>
          <w:color w:val="FF0000"/>
          <w:lang w:val="en-IN"/>
        </w:rPr>
        <w:t>. (2022) all posit that the use of personalised education, technology and cognitive support, and continuous behavioural reinforcements are superior to the use of standardised techniques to obtain effective self-management. </w:t>
      </w:r>
      <w:r>
        <w:rPr>
          <w:rFonts w:ascii="Arial" w:eastAsia="Times New Roman" w:hAnsi="Arial"/>
          <w:bCs/>
          <w:color w:val="FF0000"/>
        </w:rPr>
        <w:t>The aim was addressed by showing how behavioural and life-course factors influence daily diabetes management. Evidence identified treatment burden, employment, education, independent living, stress, motivation, adherence, exercise and social support as important determinants. These findings demonstrate that successful management depends heavily on sustained behavioural adaptation within changing adult circumstances.</w:t>
      </w:r>
    </w:p>
    <w:p w14:paraId="712586A8" w14:textId="77777777" w:rsidR="00874A36" w:rsidRDefault="00000000">
      <w:pPr>
        <w:pStyle w:val="Heading3"/>
        <w:spacing w:line="360" w:lineRule="auto"/>
        <w:rPr>
          <w:lang w:val="en-IN"/>
        </w:rPr>
      </w:pPr>
      <w:r>
        <w:rPr>
          <w:lang w:val="en-IN"/>
        </w:rPr>
        <w:t>4.2.3 Effectiveness, Accessibility and Burden of Diabetes Technologies and Clinical Treatments </w:t>
      </w:r>
    </w:p>
    <w:p w14:paraId="47ABBE9C"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Alfadli </w:t>
      </w:r>
      <w:r>
        <w:rPr>
          <w:rFonts w:ascii="Arial" w:eastAsia="Times New Roman" w:hAnsi="Arial"/>
          <w:bCs/>
          <w:i/>
          <w:iCs/>
          <w:color w:val="000000"/>
          <w:lang w:val="en-IN"/>
        </w:rPr>
        <w:t>et al.</w:t>
      </w:r>
      <w:r>
        <w:rPr>
          <w:rFonts w:ascii="Arial" w:eastAsia="Times New Roman" w:hAnsi="Arial"/>
          <w:bCs/>
          <w:color w:val="000000"/>
          <w:lang w:val="en-IN"/>
        </w:rPr>
        <w:t xml:space="preserve"> (2025) established that CGM had a strong advantage in relation to HbA1c, time-in-range, and hypoglycaemia reduction compared to traditional monitoring, and Pease et al. (2020) observed integrated pump-CGM systems to be the most efficient technology compared to numerous available forms of treatment. Similarly, Eldib </w:t>
      </w:r>
      <w:r>
        <w:rPr>
          <w:rFonts w:ascii="Arial" w:eastAsia="Times New Roman" w:hAnsi="Arial"/>
          <w:bCs/>
          <w:i/>
          <w:iCs/>
          <w:color w:val="000000"/>
          <w:lang w:val="en-IN"/>
        </w:rPr>
        <w:t>et al.</w:t>
      </w:r>
      <w:r>
        <w:rPr>
          <w:rFonts w:ascii="Arial" w:eastAsia="Times New Roman" w:hAnsi="Arial"/>
          <w:bCs/>
          <w:color w:val="000000"/>
          <w:lang w:val="en-IN"/>
        </w:rPr>
        <w:t xml:space="preserve"> (2024), Kessler </w:t>
      </w:r>
      <w:r>
        <w:rPr>
          <w:rFonts w:ascii="Arial" w:eastAsia="Times New Roman" w:hAnsi="Arial"/>
          <w:bCs/>
          <w:i/>
          <w:iCs/>
          <w:color w:val="000000"/>
          <w:lang w:val="en-IN"/>
        </w:rPr>
        <w:t>et al.</w:t>
      </w:r>
      <w:r>
        <w:rPr>
          <w:rFonts w:ascii="Arial" w:eastAsia="Times New Roman" w:hAnsi="Arial"/>
          <w:bCs/>
          <w:color w:val="000000"/>
          <w:lang w:val="en-IN"/>
        </w:rPr>
        <w:t xml:space="preserve"> (2025), and Jeyam </w:t>
      </w:r>
      <w:r>
        <w:rPr>
          <w:rFonts w:ascii="Arial" w:eastAsia="Times New Roman" w:hAnsi="Arial"/>
          <w:bCs/>
          <w:i/>
          <w:iCs/>
          <w:color w:val="000000"/>
          <w:lang w:val="en-IN"/>
        </w:rPr>
        <w:t>et al.</w:t>
      </w:r>
      <w:r>
        <w:rPr>
          <w:rFonts w:ascii="Arial" w:eastAsia="Times New Roman" w:hAnsi="Arial"/>
          <w:bCs/>
          <w:color w:val="000000"/>
          <w:lang w:val="en-IN"/>
        </w:rPr>
        <w:t xml:space="preserve"> (2021) have shown that hybrid closed-loop systems and insulin pump therapy have enhanced glycaemic regulation and lowered diabetic ketoacidosis and severe episodes of hypoglycaemia. Boughton and Hovorka (2021) had a second point where the use of computers to control insulin delivery puts an individual at a lower cognitive load in decision-making about insulin administration since it automates the decision on insulin </w:t>
      </w:r>
      <w:r>
        <w:rPr>
          <w:rFonts w:ascii="Arial" w:eastAsia="Times New Roman" w:hAnsi="Arial"/>
          <w:bCs/>
          <w:color w:val="000000"/>
          <w:lang w:val="en-IN"/>
        </w:rPr>
        <w:lastRenderedPageBreak/>
        <w:t>dosage. The only differences that Rosner and Roman-Urrestarazu (2019) found, though, were minor in terms of quality of life improvement in insulin pump versus multiple daily injections.</w:t>
      </w:r>
    </w:p>
    <w:p w14:paraId="22BC4FF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Polonsky </w:t>
      </w:r>
      <w:r>
        <w:rPr>
          <w:rFonts w:ascii="Arial" w:eastAsia="Times New Roman" w:hAnsi="Arial"/>
          <w:bCs/>
          <w:i/>
          <w:iCs/>
          <w:color w:val="000000"/>
          <w:lang w:val="en-IN"/>
        </w:rPr>
        <w:t>et al.</w:t>
      </w:r>
      <w:r>
        <w:rPr>
          <w:rFonts w:ascii="Arial" w:eastAsia="Times New Roman" w:hAnsi="Arial"/>
          <w:bCs/>
          <w:color w:val="000000"/>
          <w:lang w:val="en-IN"/>
        </w:rPr>
        <w:t xml:space="preserve"> (2017) found that CGM alleviated diabetes distress and confidence in how to address hypoglycaemia, and Lakshman</w:t>
      </w:r>
      <w:r>
        <w:rPr>
          <w:rFonts w:ascii="Arial" w:eastAsia="Times New Roman" w:hAnsi="Arial"/>
          <w:bCs/>
          <w:i/>
          <w:iCs/>
          <w:color w:val="000000"/>
          <w:lang w:val="en-IN"/>
        </w:rPr>
        <w:t xml:space="preserve"> et al. </w:t>
      </w:r>
      <w:r>
        <w:rPr>
          <w:rFonts w:ascii="Arial" w:eastAsia="Times New Roman" w:hAnsi="Arial"/>
          <w:bCs/>
          <w:color w:val="000000"/>
          <w:lang w:val="en-IN"/>
        </w:rPr>
        <w:t xml:space="preserve">(2024) estimated higher quality of sleep, emotional wellbeing, and less burden of diabetes among adults using fully closed-loop systems. Nefs (2022), Talbo </w:t>
      </w:r>
      <w:r>
        <w:rPr>
          <w:rFonts w:ascii="Arial" w:eastAsia="Times New Roman" w:hAnsi="Arial"/>
          <w:bCs/>
          <w:i/>
          <w:iCs/>
          <w:color w:val="000000"/>
          <w:lang w:val="en-IN"/>
        </w:rPr>
        <w:t>et al</w:t>
      </w:r>
      <w:r>
        <w:rPr>
          <w:rFonts w:ascii="Arial" w:eastAsia="Times New Roman" w:hAnsi="Arial"/>
          <w:bCs/>
          <w:color w:val="000000"/>
          <w:lang w:val="en-IN"/>
        </w:rPr>
        <w:t>. (2023), and Reznik</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(2024) also found that automated insulin delivery, associated with fear of hypoglycaemia and focused on diabetes-specific quality of life, was consistently reported. </w:t>
      </w:r>
      <w:r>
        <w:rPr>
          <w:rFonts w:ascii="Arial" w:eastAsia="Times New Roman" w:hAnsi="Arial"/>
          <w:bCs/>
          <w:color w:val="FF0000"/>
          <w:lang w:val="en-IN"/>
        </w:rPr>
        <w:t>However, in Cobry</w:t>
      </w:r>
      <w:r>
        <w:rPr>
          <w:rFonts w:ascii="Arial" w:eastAsia="Times New Roman" w:hAnsi="Arial"/>
          <w:bCs/>
          <w:i/>
          <w:iCs/>
          <w:color w:val="FF0000"/>
          <w:lang w:val="en-IN"/>
        </w:rPr>
        <w:t xml:space="preserve"> et al.</w:t>
      </w:r>
      <w:r>
        <w:rPr>
          <w:rFonts w:ascii="Arial" w:eastAsia="Times New Roman" w:hAnsi="Arial"/>
          <w:bCs/>
          <w:color w:val="FF0000"/>
          <w:lang w:val="en-IN"/>
        </w:rPr>
        <w:t xml:space="preserve"> (2020), findings there have shown only slight improvements in sleep even in the cases of increased treatment satisfaction; therefore, psychosocial benefits are not always homogeneous</w:t>
      </w:r>
      <w:r>
        <w:rPr>
          <w:rFonts w:ascii="Arial" w:eastAsia="Times New Roman" w:hAnsi="Arial"/>
          <w:bCs/>
          <w:color w:val="000000"/>
          <w:lang w:val="en-IN"/>
        </w:rPr>
        <w:t xml:space="preserve">. Similarly, the study of Foster </w:t>
      </w:r>
      <w:r>
        <w:rPr>
          <w:rFonts w:ascii="Arial" w:eastAsia="Times New Roman" w:hAnsi="Arial"/>
          <w:bCs/>
          <w:i/>
          <w:iCs/>
          <w:color w:val="000000"/>
          <w:lang w:val="en-IN"/>
        </w:rPr>
        <w:t>et al.</w:t>
      </w:r>
      <w:r>
        <w:rPr>
          <w:rFonts w:ascii="Arial" w:eastAsia="Times New Roman" w:hAnsi="Arial"/>
          <w:bCs/>
          <w:color w:val="000000"/>
          <w:lang w:val="en-IN"/>
        </w:rPr>
        <w:t xml:space="preserve"> (2018) revealed imposrtant changes following the conclusion of the transplantation of the islets.</w:t>
      </w:r>
    </w:p>
    <w:p w14:paraId="2D53D89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Fallon </w:t>
      </w:r>
      <w:r>
        <w:rPr>
          <w:rFonts w:ascii="Arial" w:eastAsia="Times New Roman" w:hAnsi="Arial"/>
          <w:bCs/>
          <w:i/>
          <w:iCs/>
          <w:color w:val="000000"/>
          <w:lang w:val="en-IN"/>
        </w:rPr>
        <w:t>et al.</w:t>
      </w:r>
      <w:r>
        <w:rPr>
          <w:rFonts w:ascii="Arial" w:eastAsia="Times New Roman" w:hAnsi="Arial"/>
          <w:bCs/>
          <w:color w:val="000000"/>
          <w:lang w:val="en-IN"/>
        </w:rPr>
        <w:t xml:space="preserve"> (2022), Auzanneau </w:t>
      </w:r>
      <w:r>
        <w:rPr>
          <w:rFonts w:ascii="Arial" w:eastAsia="Times New Roman" w:hAnsi="Arial"/>
          <w:bCs/>
          <w:i/>
          <w:iCs/>
          <w:color w:val="000000"/>
          <w:lang w:val="en-IN"/>
        </w:rPr>
        <w:t>et al</w:t>
      </w:r>
      <w:r>
        <w:rPr>
          <w:rFonts w:ascii="Arial" w:eastAsia="Times New Roman" w:hAnsi="Arial"/>
          <w:bCs/>
          <w:color w:val="000000"/>
          <w:lang w:val="en-IN"/>
        </w:rPr>
        <w:t xml:space="preserve">. (2023), Conway </w:t>
      </w:r>
      <w:r>
        <w:rPr>
          <w:rFonts w:ascii="Arial" w:eastAsia="Times New Roman" w:hAnsi="Arial"/>
          <w:bCs/>
          <w:i/>
          <w:iCs/>
          <w:color w:val="000000"/>
          <w:lang w:val="en-IN"/>
        </w:rPr>
        <w:t>et al.</w:t>
      </w:r>
      <w:r>
        <w:rPr>
          <w:rFonts w:ascii="Arial" w:eastAsia="Times New Roman" w:hAnsi="Arial"/>
          <w:bCs/>
          <w:color w:val="000000"/>
          <w:lang w:val="en-IN"/>
        </w:rPr>
        <w:t xml:space="preserve"> (2023) and Ebekozien </w:t>
      </w:r>
      <w:r>
        <w:rPr>
          <w:rFonts w:ascii="Arial" w:eastAsia="Times New Roman" w:hAnsi="Arial"/>
          <w:bCs/>
          <w:i/>
          <w:iCs/>
          <w:color w:val="000000"/>
          <w:lang w:val="en-IN"/>
        </w:rPr>
        <w:t>et al</w:t>
      </w:r>
      <w:r>
        <w:rPr>
          <w:rFonts w:ascii="Arial" w:eastAsia="Times New Roman" w:hAnsi="Arial"/>
          <w:bCs/>
          <w:color w:val="000000"/>
          <w:lang w:val="en-IN"/>
        </w:rPr>
        <w:t xml:space="preserve">. (2024) all found that socioeconomic deprivation, ethnicity and digital exclusion reduced the adoption of more progressive technologies in diabetes despite an equivalent clinical benefit. Similarly, Tanenbaum </w:t>
      </w:r>
      <w:r>
        <w:rPr>
          <w:rFonts w:ascii="Arial" w:eastAsia="Times New Roman" w:hAnsi="Arial"/>
          <w:bCs/>
          <w:i/>
          <w:iCs/>
          <w:color w:val="000000"/>
          <w:lang w:val="en-IN"/>
        </w:rPr>
        <w:t>et al.</w:t>
      </w:r>
      <w:r>
        <w:rPr>
          <w:rFonts w:ascii="Arial" w:eastAsia="Times New Roman" w:hAnsi="Arial"/>
          <w:bCs/>
          <w:color w:val="000000"/>
          <w:lang w:val="en-IN"/>
        </w:rPr>
        <w:t xml:space="preserve"> (2017) found that the additional inconvenience of the device and concerns about body image discouraged uptake, yet Sathyanarayan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(2022) found issues with digital inequalities during the COVID-19 pandemic that impeded the seamless adoption of virtual diabetes services. Charleer </w:t>
      </w:r>
      <w:r>
        <w:rPr>
          <w:rFonts w:ascii="Arial" w:eastAsia="Times New Roman" w:hAnsi="Arial"/>
          <w:bCs/>
          <w:i/>
          <w:iCs/>
          <w:color w:val="000000"/>
          <w:lang w:val="en-IN"/>
        </w:rPr>
        <w:t>et al.</w:t>
      </w:r>
      <w:r>
        <w:rPr>
          <w:rFonts w:ascii="Arial" w:eastAsia="Times New Roman" w:hAnsi="Arial"/>
          <w:bCs/>
          <w:color w:val="000000"/>
          <w:lang w:val="en-IN"/>
        </w:rPr>
        <w:t xml:space="preserve"> (2019) demonstrated that under the policy that was reimbursement-friendly, there was a strong increase in treatment satisfaction and technological utilisation, which confirmed the importance of favourable healthcare funding. This was echoed by similar findings by Janez </w:t>
      </w:r>
      <w:r>
        <w:rPr>
          <w:rFonts w:ascii="Arial" w:eastAsia="Times New Roman" w:hAnsi="Arial"/>
          <w:bCs/>
          <w:i/>
          <w:iCs/>
          <w:color w:val="000000"/>
          <w:lang w:val="en-IN"/>
        </w:rPr>
        <w:t>et al.</w:t>
      </w:r>
      <w:r>
        <w:rPr>
          <w:rFonts w:ascii="Arial" w:eastAsia="Times New Roman" w:hAnsi="Arial"/>
          <w:bCs/>
          <w:color w:val="000000"/>
          <w:lang w:val="en-IN"/>
        </w:rPr>
        <w:t xml:space="preserve"> (2021), who additionally conjectured that although it is no secret that it is the hybrid closed-loop systems that will have a future in managing diabetes, funding is one of the largest challenges to implementing the systems.</w:t>
      </w:r>
    </w:p>
    <w:p w14:paraId="04AA2036"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According to Vettoretti </w:t>
      </w:r>
      <w:r>
        <w:rPr>
          <w:rFonts w:ascii="Arial" w:eastAsia="Times New Roman" w:hAnsi="Arial"/>
          <w:bCs/>
          <w:i/>
          <w:iCs/>
          <w:color w:val="000000"/>
          <w:lang w:val="en-IN"/>
        </w:rPr>
        <w:t>et al.</w:t>
      </w:r>
      <w:r>
        <w:rPr>
          <w:rFonts w:ascii="Arial" w:eastAsia="Times New Roman" w:hAnsi="Arial"/>
          <w:bCs/>
          <w:color w:val="000000"/>
          <w:lang w:val="en-IN"/>
        </w:rPr>
        <w:t xml:space="preserve"> (2020) the AI-assisted glucose prediction was one of the potential solutions to insulin dosage optimisation. </w:t>
      </w:r>
      <w:r>
        <w:rPr>
          <w:rFonts w:ascii="Arial" w:eastAsia="Times New Roman" w:hAnsi="Arial"/>
          <w:bCs/>
          <w:color w:val="FF0000"/>
          <w:lang w:val="en-IN"/>
        </w:rPr>
        <w:t xml:space="preserve">In contrast, Atkinson and Mirmira (2023), Boscari and Avogaro (2021), Avari </w:t>
      </w:r>
      <w:r>
        <w:rPr>
          <w:rFonts w:ascii="Arial" w:eastAsia="Times New Roman" w:hAnsi="Arial"/>
          <w:bCs/>
          <w:i/>
          <w:iCs/>
          <w:color w:val="FF0000"/>
          <w:lang w:val="en-IN"/>
        </w:rPr>
        <w:t>et al.</w:t>
      </w:r>
      <w:r>
        <w:rPr>
          <w:rFonts w:ascii="Arial" w:eastAsia="Times New Roman" w:hAnsi="Arial"/>
          <w:bCs/>
          <w:color w:val="FF0000"/>
          <w:lang w:val="en-IN"/>
        </w:rPr>
        <w:t xml:space="preserve"> (2023) and Ziegler </w:t>
      </w:r>
      <w:r>
        <w:rPr>
          <w:rFonts w:ascii="Arial" w:eastAsia="Times New Roman" w:hAnsi="Arial"/>
          <w:bCs/>
          <w:i/>
          <w:iCs/>
          <w:color w:val="FF0000"/>
          <w:lang w:val="en-IN"/>
        </w:rPr>
        <w:t>et al.</w:t>
      </w:r>
      <w:r>
        <w:rPr>
          <w:rFonts w:ascii="Arial" w:eastAsia="Times New Roman" w:hAnsi="Arial"/>
          <w:bCs/>
          <w:color w:val="FF0000"/>
          <w:lang w:val="en-IN"/>
        </w:rPr>
        <w:t xml:space="preserve"> (2025) noted that in the future the potential of precision therapeutics, the combination of the technologies in the hospitals, stem-cell therapies and novel automated systems could be expanded. </w:t>
      </w:r>
      <w:r>
        <w:rPr>
          <w:rFonts w:ascii="Arial" w:eastAsia="Times New Roman" w:hAnsi="Arial"/>
          <w:bCs/>
          <w:color w:val="FF0000"/>
        </w:rPr>
        <w:t xml:space="preserve">This theme met the aim by evaluating major clinical and technological influences on health outcomes. CGM, insulin pumps, automated insulin delivery and hybrid closed-loop systems generally improved glycaemic control and reduced hypoglycaemia. However, affordability, digital </w:t>
      </w:r>
      <w:r>
        <w:rPr>
          <w:rFonts w:ascii="Arial" w:eastAsia="Times New Roman" w:hAnsi="Arial"/>
          <w:bCs/>
          <w:color w:val="FF0000"/>
        </w:rPr>
        <w:lastRenderedPageBreak/>
        <w:t>inequality, treatment burden and acceptability influenced uptake, showing that clinical effectiveness alone does not ensure successful management.</w:t>
      </w:r>
    </w:p>
    <w:p w14:paraId="0DA25FEF" w14:textId="77777777" w:rsidR="00874A36" w:rsidRDefault="00000000">
      <w:pPr>
        <w:pStyle w:val="Heading3"/>
        <w:spacing w:line="360" w:lineRule="auto"/>
        <w:rPr>
          <w:lang w:val="en-IN"/>
        </w:rPr>
      </w:pPr>
      <w:r>
        <w:rPr>
          <w:lang w:val="en-IN"/>
        </w:rPr>
        <w:t>4.2.4 Effectiveness, Accessibility and Burden of Diabetes Technologies and Clinical Treatments </w:t>
      </w:r>
    </w:p>
    <w:p w14:paraId="2946FCA9"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Meta-analyses by Alfadli </w:t>
      </w:r>
      <w:r>
        <w:rPr>
          <w:rFonts w:ascii="Arial" w:eastAsia="Times New Roman" w:hAnsi="Arial"/>
          <w:bCs/>
          <w:i/>
          <w:iCs/>
          <w:color w:val="000000"/>
          <w:lang w:val="en-IN"/>
        </w:rPr>
        <w:t>et al</w:t>
      </w:r>
      <w:r>
        <w:rPr>
          <w:rFonts w:ascii="Arial" w:eastAsia="Times New Roman" w:hAnsi="Arial"/>
          <w:bCs/>
          <w:color w:val="000000"/>
          <w:lang w:val="en-IN"/>
        </w:rPr>
        <w:t xml:space="preserve">. (2025) and Pease </w:t>
      </w:r>
      <w:r>
        <w:rPr>
          <w:rFonts w:ascii="Arial" w:eastAsia="Times New Roman" w:hAnsi="Arial"/>
          <w:bCs/>
          <w:i/>
          <w:iCs/>
          <w:color w:val="000000"/>
          <w:lang w:val="en-IN"/>
        </w:rPr>
        <w:t>et al.</w:t>
      </w:r>
      <w:r>
        <w:rPr>
          <w:rFonts w:ascii="Arial" w:eastAsia="Times New Roman" w:hAnsi="Arial"/>
          <w:bCs/>
          <w:color w:val="000000"/>
          <w:lang w:val="en-IN"/>
        </w:rPr>
        <w:t xml:space="preserve"> (2020) determined that advanced CGM and glucose-monitored pumps demonstrated more effect on HbA1c, time-in-range and reduced severe hypoglycaemia compared to traditional forms of monitoring. Similar findings could be reported by Eldib </w:t>
      </w:r>
      <w:r>
        <w:rPr>
          <w:rFonts w:ascii="Arial" w:eastAsia="Times New Roman" w:hAnsi="Arial"/>
          <w:bCs/>
          <w:i/>
          <w:iCs/>
          <w:color w:val="000000"/>
          <w:lang w:val="en-IN"/>
        </w:rPr>
        <w:t>et al</w:t>
      </w:r>
      <w:r>
        <w:rPr>
          <w:rFonts w:ascii="Arial" w:eastAsia="Times New Roman" w:hAnsi="Arial"/>
          <w:bCs/>
          <w:color w:val="000000"/>
          <w:lang w:val="en-IN"/>
        </w:rPr>
        <w:t xml:space="preserve">. (2024), Kessler </w:t>
      </w:r>
      <w:r>
        <w:rPr>
          <w:rFonts w:ascii="Arial" w:eastAsia="Times New Roman" w:hAnsi="Arial"/>
          <w:bCs/>
          <w:i/>
          <w:iCs/>
          <w:color w:val="000000"/>
          <w:lang w:val="en-IN"/>
        </w:rPr>
        <w:t>et al.</w:t>
      </w:r>
      <w:r>
        <w:rPr>
          <w:rFonts w:ascii="Arial" w:eastAsia="Times New Roman" w:hAnsi="Arial"/>
          <w:bCs/>
          <w:color w:val="000000"/>
          <w:lang w:val="en-IN"/>
        </w:rPr>
        <w:t xml:space="preserve"> (2025) and Jeyam </w:t>
      </w:r>
      <w:r>
        <w:rPr>
          <w:rFonts w:ascii="Arial" w:eastAsia="Times New Roman" w:hAnsi="Arial"/>
          <w:bCs/>
          <w:i/>
          <w:iCs/>
          <w:color w:val="000000"/>
          <w:lang w:val="en-IN"/>
        </w:rPr>
        <w:t>et al.</w:t>
      </w:r>
      <w:r>
        <w:rPr>
          <w:rFonts w:ascii="Arial" w:eastAsia="Times New Roman" w:hAnsi="Arial"/>
          <w:bCs/>
          <w:color w:val="000000"/>
          <w:lang w:val="en-IN"/>
        </w:rPr>
        <w:t xml:space="preserve"> (2021), who demonstrated the long-term glycaemic control improvements and diabetic ketoacidosis Reduction following hybrid insulin-pump and closed-loop. </w:t>
      </w:r>
      <w:r>
        <w:rPr>
          <w:rFonts w:ascii="Arial" w:eastAsia="Times New Roman" w:hAnsi="Arial"/>
          <w:bCs/>
          <w:color w:val="FF0000"/>
          <w:lang w:val="en-IN"/>
        </w:rPr>
        <w:t xml:space="preserve">Likewise, Boughton and Hovorka (2021), Elian </w:t>
      </w:r>
      <w:r>
        <w:rPr>
          <w:rFonts w:ascii="Arial" w:eastAsia="Times New Roman" w:hAnsi="Arial"/>
          <w:bCs/>
          <w:i/>
          <w:iCs/>
          <w:color w:val="FF0000"/>
          <w:lang w:val="en-IN"/>
        </w:rPr>
        <w:t>et al.</w:t>
      </w:r>
      <w:r>
        <w:rPr>
          <w:rFonts w:ascii="Arial" w:eastAsia="Times New Roman" w:hAnsi="Arial"/>
          <w:bCs/>
          <w:color w:val="FF0000"/>
          <w:lang w:val="en-IN"/>
        </w:rPr>
        <w:t xml:space="preserve"> (2023) and Boscari and Avogaro (2021) reported that insulin delivery systems, when automated, resulted in a decrease in the insulin treatment day due to the automation of insulin maintenance changes in addition to improving quality of life.</w:t>
      </w:r>
      <w:r>
        <w:rPr>
          <w:rFonts w:ascii="Arial" w:eastAsia="Times New Roman" w:hAnsi="Arial"/>
          <w:bCs/>
          <w:color w:val="000000"/>
          <w:lang w:val="en-IN"/>
        </w:rPr>
        <w:t xml:space="preserve"> Nevertheless, Rosner and Roman-Urrestarazu (2019) achieved small quality of life changes compared to pump therapy and multiple daily injections, indicating that better clinical outcomes do not necessarily correlate with patient satisfaction of similar magnitude. Similarly, Foster </w:t>
      </w:r>
      <w:r>
        <w:rPr>
          <w:rFonts w:ascii="Arial" w:eastAsia="Times New Roman" w:hAnsi="Arial"/>
          <w:bCs/>
          <w:i/>
          <w:iCs/>
          <w:color w:val="000000"/>
          <w:lang w:val="en-IN"/>
        </w:rPr>
        <w:t>et al.</w:t>
      </w:r>
      <w:r>
        <w:rPr>
          <w:rFonts w:ascii="Arial" w:eastAsia="Times New Roman" w:hAnsi="Arial"/>
          <w:bCs/>
          <w:color w:val="000000"/>
          <w:lang w:val="en-IN"/>
        </w:rPr>
        <w:t xml:space="preserve"> (2018) also found substantial improvement following the transplantation of islets, but the availability of this approach is limited due to rigorous selection criteria and resource availability.</w:t>
      </w:r>
    </w:p>
    <w:p w14:paraId="2357B90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Besides glycaemic control, technological interventions appear to reduce the psychological burden of diabetes. CGM led to reduced diabetes distress and higher confidence in their hypoglycaemia self-management, Polonsky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(2017) found, but Lakshman </w:t>
      </w:r>
      <w:r>
        <w:rPr>
          <w:rFonts w:ascii="Arial" w:eastAsia="Times New Roman" w:hAnsi="Arial"/>
          <w:bCs/>
          <w:i/>
          <w:iCs/>
          <w:color w:val="000000"/>
          <w:lang w:val="en-IN"/>
        </w:rPr>
        <w:t>et al.</w:t>
      </w:r>
      <w:r>
        <w:rPr>
          <w:rFonts w:ascii="Arial" w:eastAsia="Times New Roman" w:hAnsi="Arial"/>
          <w:bCs/>
          <w:color w:val="000000"/>
          <w:lang w:val="en-IN"/>
        </w:rPr>
        <w:t xml:space="preserve"> (2024) found that adults with fully closed-loop systems could sleep better, experience better emotional vitality, and have less treatment burden. Similarly, Reznik </w:t>
      </w:r>
      <w:r>
        <w:rPr>
          <w:rFonts w:ascii="Arial" w:eastAsia="Times New Roman" w:hAnsi="Arial"/>
          <w:bCs/>
          <w:i/>
          <w:iCs/>
          <w:color w:val="000000"/>
          <w:lang w:val="en-IN"/>
        </w:rPr>
        <w:t>et al.</w:t>
      </w:r>
      <w:r>
        <w:rPr>
          <w:rFonts w:ascii="Arial" w:eastAsia="Times New Roman" w:hAnsi="Arial"/>
          <w:bCs/>
          <w:color w:val="000000"/>
          <w:lang w:val="en-IN"/>
        </w:rPr>
        <w:t xml:space="preserve"> (2024), Talbo </w:t>
      </w:r>
      <w:r>
        <w:rPr>
          <w:rFonts w:ascii="Arial" w:eastAsia="Times New Roman" w:hAnsi="Arial"/>
          <w:bCs/>
          <w:i/>
          <w:iCs/>
          <w:color w:val="000000"/>
          <w:lang w:val="en-IN"/>
        </w:rPr>
        <w:t>et al.</w:t>
      </w:r>
      <w:r>
        <w:rPr>
          <w:rFonts w:ascii="Arial" w:eastAsia="Times New Roman" w:hAnsi="Arial"/>
          <w:bCs/>
          <w:color w:val="000000"/>
          <w:lang w:val="en-IN"/>
        </w:rPr>
        <w:t xml:space="preserve"> (2023) and Nefs (2022) constantly show a decrease in the fear of hypoglycaemia and enhancement of diabetes-specific quality of life after automated insulin delivery. </w:t>
      </w:r>
    </w:p>
    <w:p w14:paraId="776164DB"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Despite the great extent of evidence on the positive aspects of technology, the availability has remained a significant weakness. Fallon </w:t>
      </w:r>
      <w:r>
        <w:rPr>
          <w:rFonts w:ascii="Arial" w:eastAsia="Times New Roman" w:hAnsi="Arial"/>
          <w:bCs/>
          <w:i/>
          <w:iCs/>
          <w:color w:val="000000"/>
          <w:lang w:val="en-IN"/>
        </w:rPr>
        <w:t>et al.</w:t>
      </w:r>
      <w:r>
        <w:rPr>
          <w:rFonts w:ascii="Arial" w:eastAsia="Times New Roman" w:hAnsi="Arial"/>
          <w:bCs/>
          <w:color w:val="000000"/>
          <w:lang w:val="en-IN"/>
        </w:rPr>
        <w:t xml:space="preserve"> (2022), Auzanneau </w:t>
      </w:r>
      <w:r>
        <w:rPr>
          <w:rFonts w:ascii="Arial" w:eastAsia="Times New Roman" w:hAnsi="Arial"/>
          <w:bCs/>
          <w:i/>
          <w:iCs/>
          <w:color w:val="000000"/>
          <w:lang w:val="en-IN"/>
        </w:rPr>
        <w:t>et al</w:t>
      </w:r>
      <w:r>
        <w:rPr>
          <w:rFonts w:ascii="Arial" w:eastAsia="Times New Roman" w:hAnsi="Arial"/>
          <w:bCs/>
          <w:color w:val="000000"/>
          <w:lang w:val="en-IN"/>
        </w:rPr>
        <w:t xml:space="preserve">. (2023), Conway </w:t>
      </w:r>
      <w:r>
        <w:rPr>
          <w:rFonts w:ascii="Arial" w:eastAsia="Times New Roman" w:hAnsi="Arial"/>
          <w:bCs/>
          <w:i/>
          <w:iCs/>
          <w:color w:val="000000"/>
          <w:lang w:val="en-IN"/>
        </w:rPr>
        <w:t xml:space="preserve">et al. </w:t>
      </w:r>
      <w:r>
        <w:rPr>
          <w:rFonts w:ascii="Arial" w:eastAsia="Times New Roman" w:hAnsi="Arial"/>
          <w:bCs/>
          <w:color w:val="000000"/>
          <w:lang w:val="en-IN"/>
        </w:rPr>
        <w:t xml:space="preserve">(2023) and Ebekozien </w:t>
      </w:r>
      <w:r>
        <w:rPr>
          <w:rFonts w:ascii="Arial" w:eastAsia="Times New Roman" w:hAnsi="Arial"/>
          <w:bCs/>
          <w:i/>
          <w:iCs/>
          <w:color w:val="000000"/>
          <w:lang w:val="en-IN"/>
        </w:rPr>
        <w:t>et al.</w:t>
      </w:r>
      <w:r>
        <w:rPr>
          <w:rFonts w:ascii="Arial" w:eastAsia="Times New Roman" w:hAnsi="Arial"/>
          <w:bCs/>
          <w:color w:val="000000"/>
          <w:lang w:val="en-IN"/>
        </w:rPr>
        <w:t xml:space="preserve"> (2024) all noted similar findings of restricting access to CGM and insulin pump technology due to socioeconomic deprivation, migration background, ethnicity and digital exclusion, even with similar clinical benefit. Equally, Tanenbaum</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(2017) pinpointed that body-image issues, inconvenience and preferences with devices were significant obstacles to technology use, but Sathyanarayan</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(2022) established that despite the proliferation of virtual diabetes services during the COVID-19 pandemic, there were digital inequalities that precluded equitable adoption. Charleer </w:t>
      </w:r>
      <w:r>
        <w:rPr>
          <w:rFonts w:ascii="Arial" w:eastAsia="Times New Roman" w:hAnsi="Arial"/>
          <w:bCs/>
          <w:i/>
          <w:iCs/>
          <w:color w:val="000000"/>
          <w:lang w:val="en-IN"/>
        </w:rPr>
        <w:t>et al.</w:t>
      </w:r>
      <w:r>
        <w:rPr>
          <w:rFonts w:ascii="Arial" w:eastAsia="Times New Roman" w:hAnsi="Arial"/>
          <w:bCs/>
          <w:color w:val="000000"/>
          <w:lang w:val="en-IN"/>
        </w:rPr>
        <w:t xml:space="preserve"> (2019), in their turn, </w:t>
      </w:r>
      <w:r>
        <w:rPr>
          <w:rFonts w:ascii="Arial" w:eastAsia="Times New Roman" w:hAnsi="Arial"/>
          <w:bCs/>
          <w:color w:val="000000"/>
          <w:lang w:val="en-IN"/>
        </w:rPr>
        <w:lastRenderedPageBreak/>
        <w:t xml:space="preserve">proved that the use of technology and satisfaction with its use were fostered much by reimbursement policies and stress on the importance of healthcare financing. Another argument that Janez </w:t>
      </w:r>
      <w:r>
        <w:rPr>
          <w:rFonts w:ascii="Arial" w:eastAsia="Times New Roman" w:hAnsi="Arial"/>
          <w:bCs/>
          <w:i/>
          <w:iCs/>
          <w:color w:val="000000"/>
          <w:lang w:val="en-IN"/>
        </w:rPr>
        <w:t>et al</w:t>
      </w:r>
      <w:r>
        <w:rPr>
          <w:rFonts w:ascii="Arial" w:eastAsia="Times New Roman" w:hAnsi="Arial"/>
          <w:bCs/>
          <w:color w:val="000000"/>
          <w:lang w:val="en-IN"/>
        </w:rPr>
        <w:t>. (2021) present concerns the fact that hybrid closed-loop systems are the future of diabetes care, but the lack of funds and inequalities in healthcare delivery inhibit the development of this solution.</w:t>
      </w:r>
    </w:p>
    <w:p w14:paraId="6E670B4F" w14:textId="77777777" w:rsidR="00874A36" w:rsidRDefault="00000000">
      <w:pPr>
        <w:spacing w:line="360" w:lineRule="auto"/>
        <w:jc w:val="both"/>
        <w:rPr>
          <w:rFonts w:ascii="Arial" w:eastAsia="Times New Roman" w:hAnsi="Arial"/>
          <w:bCs/>
          <w:color w:val="FF0000"/>
          <w:lang w:val="en-IN"/>
        </w:rPr>
      </w:pPr>
      <w:r>
        <w:rPr>
          <w:rFonts w:ascii="Arial" w:eastAsia="Times New Roman" w:hAnsi="Arial"/>
          <w:bCs/>
          <w:color w:val="000000"/>
          <w:lang w:val="en-IN"/>
        </w:rPr>
        <w:t xml:space="preserve">Emerging technologies are prone to further personalisation of the management of diabetes. Vettoretti </w:t>
      </w:r>
      <w:r>
        <w:rPr>
          <w:rFonts w:ascii="Arial" w:eastAsia="Times New Roman" w:hAnsi="Arial"/>
          <w:bCs/>
          <w:i/>
          <w:iCs/>
          <w:color w:val="000000"/>
          <w:lang w:val="en-IN"/>
        </w:rPr>
        <w:t>et al</w:t>
      </w:r>
      <w:r>
        <w:rPr>
          <w:rFonts w:ascii="Arial" w:eastAsia="Times New Roman" w:hAnsi="Arial"/>
          <w:bCs/>
          <w:color w:val="000000"/>
          <w:lang w:val="en-IN"/>
        </w:rPr>
        <w:t xml:space="preserve">. (2020) identified glucose prediction based on AI as a significant step towards personalised insulin dosing, and Atkinson and Mirmira (2023), Avari </w:t>
      </w:r>
      <w:r>
        <w:rPr>
          <w:rFonts w:ascii="Arial" w:eastAsia="Times New Roman" w:hAnsi="Arial"/>
          <w:bCs/>
          <w:i/>
          <w:iCs/>
          <w:color w:val="000000"/>
          <w:lang w:val="en-IN"/>
        </w:rPr>
        <w:t>et al</w:t>
      </w:r>
      <w:r>
        <w:rPr>
          <w:rFonts w:ascii="Arial" w:eastAsia="Times New Roman" w:hAnsi="Arial"/>
          <w:bCs/>
          <w:color w:val="000000"/>
          <w:lang w:val="en-IN"/>
        </w:rPr>
        <w:t xml:space="preserve">. (2023) and Ziegler </w:t>
      </w:r>
      <w:r>
        <w:rPr>
          <w:rFonts w:ascii="Arial" w:eastAsia="Times New Roman" w:hAnsi="Arial"/>
          <w:bCs/>
          <w:i/>
          <w:iCs/>
          <w:color w:val="000000"/>
          <w:lang w:val="en-IN"/>
        </w:rPr>
        <w:t>et al.</w:t>
      </w:r>
      <w:r>
        <w:rPr>
          <w:rFonts w:ascii="Arial" w:eastAsia="Times New Roman" w:hAnsi="Arial"/>
          <w:bCs/>
          <w:color w:val="000000"/>
          <w:lang w:val="en-IN"/>
        </w:rPr>
        <w:t xml:space="preserve"> (2025) enumerated such concepts as precision medicine, integration of technology in hospitals, immunotherapy, stem-cell replacement and next-generation automated systems as the future of T1D. </w:t>
      </w:r>
      <w:r>
        <w:rPr>
          <w:rFonts w:ascii="Arial" w:eastAsia="Times New Roman" w:hAnsi="Arial"/>
          <w:bCs/>
          <w:color w:val="FF0000"/>
        </w:rPr>
        <w:t>The aim was further achieved by examining the balance between treatment effectiveness and accessibility. Advanced diabetes technologies were associated with improved HbA1c, time-in-range and quality-of-life outcomes, but benefits varied according to funding, socioeconomic position and user preferences. This demonstrates interaction between clinical effectiveness, behavioural acceptance and socioeconomic access.</w:t>
      </w:r>
    </w:p>
    <w:p w14:paraId="0229C951" w14:textId="77777777" w:rsidR="00874A36" w:rsidRDefault="00000000">
      <w:pPr>
        <w:pStyle w:val="Heading3"/>
        <w:spacing w:line="360" w:lineRule="auto"/>
        <w:rPr>
          <w:lang w:val="en-IN"/>
        </w:rPr>
      </w:pPr>
      <w:r>
        <w:rPr>
          <w:lang w:val="en-IN"/>
        </w:rPr>
        <w:t>4.2.5 Education, Psychological Care and Integrated Support Services </w:t>
      </w:r>
    </w:p>
    <w:p w14:paraId="181CE66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Heller et al. (2020) determined that structured education programmes enhanced glycaemic control, quality of life and self-management confidence, whereas education was one of the main elements of holistic management of adult T1D (Holt </w:t>
      </w:r>
      <w:r>
        <w:rPr>
          <w:rFonts w:ascii="Arial" w:eastAsia="Times New Roman" w:hAnsi="Arial"/>
          <w:bCs/>
          <w:i/>
          <w:iCs/>
          <w:color w:val="000000"/>
          <w:lang w:val="en-IN"/>
        </w:rPr>
        <w:t xml:space="preserve">et al., </w:t>
      </w:r>
      <w:r>
        <w:rPr>
          <w:rFonts w:ascii="Arial" w:eastAsia="Times New Roman" w:hAnsi="Arial"/>
          <w:bCs/>
          <w:color w:val="000000"/>
          <w:lang w:val="en-IN"/>
        </w:rPr>
        <w:t>2021). Equally, Abualula</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(2016) determined that behavioural education programmes that comprised hands-on skills development led to greater gains in enhancing the quality of life than traditional education alone. Harris </w:t>
      </w:r>
      <w:r>
        <w:rPr>
          <w:rFonts w:ascii="Arial" w:eastAsia="Times New Roman" w:hAnsi="Arial"/>
          <w:bCs/>
          <w:i/>
          <w:iCs/>
          <w:color w:val="000000"/>
          <w:lang w:val="en-IN"/>
        </w:rPr>
        <w:t>et al.</w:t>
      </w:r>
      <w:r>
        <w:rPr>
          <w:rFonts w:ascii="Arial" w:eastAsia="Times New Roman" w:hAnsi="Arial"/>
          <w:bCs/>
          <w:color w:val="000000"/>
          <w:lang w:val="en-IN"/>
        </w:rPr>
        <w:t xml:space="preserve"> (2018), though, pointed out that attendance was curtailed by work commitments despite good promotion by healthcare professionals. On the same note, the study by O'Hara </w:t>
      </w:r>
      <w:r>
        <w:rPr>
          <w:rFonts w:ascii="Arial" w:eastAsia="Times New Roman" w:hAnsi="Arial"/>
          <w:bCs/>
          <w:i/>
          <w:iCs/>
          <w:color w:val="000000"/>
          <w:lang w:val="en-IN"/>
        </w:rPr>
        <w:t>et al</w:t>
      </w:r>
      <w:r>
        <w:rPr>
          <w:rFonts w:ascii="Arial" w:eastAsia="Times New Roman" w:hAnsi="Arial"/>
          <w:bCs/>
          <w:color w:val="000000"/>
          <w:lang w:val="en-IN"/>
        </w:rPr>
        <w:t xml:space="preserve">. (2016), as well as by Pyatak </w:t>
      </w:r>
      <w:r>
        <w:rPr>
          <w:rFonts w:ascii="Arial" w:eastAsia="Times New Roman" w:hAnsi="Arial"/>
          <w:bCs/>
          <w:i/>
          <w:iCs/>
          <w:color w:val="000000"/>
          <w:lang w:val="en-IN"/>
        </w:rPr>
        <w:t>et al.</w:t>
      </w:r>
      <w:r>
        <w:rPr>
          <w:rFonts w:ascii="Arial" w:eastAsia="Times New Roman" w:hAnsi="Arial"/>
          <w:bCs/>
          <w:color w:val="000000"/>
          <w:lang w:val="en-IN"/>
        </w:rPr>
        <w:t xml:space="preserve"> (2017), has also revealed that structured transition support is able to promote healthcare engagement (in young adults).</w:t>
      </w:r>
    </w:p>
    <w:p w14:paraId="27BF6C7D"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Diribe </w:t>
      </w:r>
      <w:r>
        <w:rPr>
          <w:rFonts w:ascii="Arial" w:eastAsia="Times New Roman" w:hAnsi="Arial"/>
          <w:bCs/>
          <w:i/>
          <w:iCs/>
          <w:color w:val="000000"/>
          <w:lang w:val="en-IN"/>
        </w:rPr>
        <w:t>et al</w:t>
      </w:r>
      <w:r>
        <w:rPr>
          <w:rFonts w:ascii="Arial" w:eastAsia="Times New Roman" w:hAnsi="Arial"/>
          <w:bCs/>
          <w:color w:val="000000"/>
          <w:lang w:val="en-IN"/>
        </w:rPr>
        <w:t>. (2024) inferred that psychological interventions greatly decreased diabetes distress and better wellbeing even though the effect on HbA1c change was only significant beyond the measurable level. This was also supported in a study by Fisher</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(2019), who proposed that diabetes distress, despite perhaps lacking biomedical evidence focused on it, should be screened routinely as part of routine clinical care. Wijk </w:t>
      </w:r>
      <w:r>
        <w:rPr>
          <w:rFonts w:ascii="Arial" w:eastAsia="Times New Roman" w:hAnsi="Arial"/>
          <w:bCs/>
          <w:i/>
          <w:iCs/>
          <w:color w:val="000000"/>
          <w:lang w:val="en-IN"/>
        </w:rPr>
        <w:t>et al.</w:t>
      </w:r>
      <w:r>
        <w:rPr>
          <w:rFonts w:ascii="Arial" w:eastAsia="Times New Roman" w:hAnsi="Arial"/>
          <w:bCs/>
          <w:color w:val="000000"/>
          <w:lang w:val="en-IN"/>
        </w:rPr>
        <w:t xml:space="preserve"> (2023) also confirmed that Acceptance and Commitment Therapy had only a positive effect on psychological flexibility but no significant effect on glycaemic control, which is an additional indication of the difference between emotional adaptation (and improvement) and metabolic result. The same effects were noted by Peter </w:t>
      </w:r>
      <w:r>
        <w:rPr>
          <w:rFonts w:ascii="Arial" w:eastAsia="Times New Roman" w:hAnsi="Arial"/>
          <w:bCs/>
          <w:i/>
          <w:iCs/>
          <w:color w:val="000000"/>
          <w:lang w:val="en-IN"/>
        </w:rPr>
        <w:t>et al.</w:t>
      </w:r>
      <w:r>
        <w:rPr>
          <w:rFonts w:ascii="Arial" w:eastAsia="Times New Roman" w:hAnsi="Arial"/>
          <w:bCs/>
          <w:color w:val="000000"/>
          <w:lang w:val="en-IN"/>
        </w:rPr>
        <w:t xml:space="preserve"> (2023) and Jacob</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(2022), who </w:t>
      </w:r>
      <w:r>
        <w:rPr>
          <w:rFonts w:ascii="Arial" w:eastAsia="Times New Roman" w:hAnsi="Arial"/>
          <w:bCs/>
          <w:color w:val="000000"/>
          <w:lang w:val="en-IN"/>
        </w:rPr>
        <w:lastRenderedPageBreak/>
        <w:t>highlighted fear of hypoglycaemia, anxiety, and maladaptive beliefs as psychological barriers, which required targeted behavioural interventions, and not the augmented insulin therapy.</w:t>
      </w:r>
    </w:p>
    <w:p w14:paraId="75B1BFF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Bellass</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(2021) and Cooper </w:t>
      </w:r>
      <w:r>
        <w:rPr>
          <w:rFonts w:ascii="Arial" w:eastAsia="Times New Roman" w:hAnsi="Arial"/>
          <w:bCs/>
          <w:i/>
          <w:iCs/>
          <w:color w:val="000000"/>
          <w:lang w:val="en-IN"/>
        </w:rPr>
        <w:t>et al.</w:t>
      </w:r>
      <w:r>
        <w:rPr>
          <w:rFonts w:ascii="Arial" w:eastAsia="Times New Roman" w:hAnsi="Arial"/>
          <w:bCs/>
          <w:color w:val="000000"/>
          <w:lang w:val="en-IN"/>
        </w:rPr>
        <w:t xml:space="preserve"> (2026) found that severe mental illness had an impact on the routine of diabetes self-management and confirmed the assumptions of Ashraf </w:t>
      </w:r>
      <w:r>
        <w:rPr>
          <w:rFonts w:ascii="Arial" w:eastAsia="Times New Roman" w:hAnsi="Arial"/>
          <w:bCs/>
          <w:i/>
          <w:iCs/>
          <w:color w:val="000000"/>
          <w:lang w:val="en-IN"/>
        </w:rPr>
        <w:t>et al.</w:t>
      </w:r>
      <w:r>
        <w:rPr>
          <w:rFonts w:ascii="Arial" w:eastAsia="Times New Roman" w:hAnsi="Arial"/>
          <w:bCs/>
          <w:color w:val="000000"/>
          <w:lang w:val="en-IN"/>
        </w:rPr>
        <w:t xml:space="preserve"> (2024) and Mangoulia </w:t>
      </w:r>
      <w:r>
        <w:rPr>
          <w:rFonts w:ascii="Arial" w:eastAsia="Times New Roman" w:hAnsi="Arial"/>
          <w:bCs/>
          <w:i/>
          <w:iCs/>
          <w:color w:val="000000"/>
          <w:lang w:val="en-IN"/>
        </w:rPr>
        <w:t>et al.</w:t>
      </w:r>
      <w:r>
        <w:rPr>
          <w:rFonts w:ascii="Arial" w:eastAsia="Times New Roman" w:hAnsi="Arial"/>
          <w:bCs/>
          <w:color w:val="000000"/>
          <w:lang w:val="en-IN"/>
        </w:rPr>
        <w:t xml:space="preserve"> (2024) that the provision of comprehensive psychology to patients should be an inseparable element of diabetes management. Conversely, Nano </w:t>
      </w:r>
      <w:r>
        <w:rPr>
          <w:rFonts w:ascii="Arial" w:eastAsia="Times New Roman" w:hAnsi="Arial"/>
          <w:bCs/>
          <w:i/>
          <w:iCs/>
          <w:color w:val="000000"/>
          <w:lang w:val="en-IN"/>
        </w:rPr>
        <w:t>et al</w:t>
      </w:r>
      <w:r>
        <w:rPr>
          <w:rFonts w:ascii="Arial" w:eastAsia="Times New Roman" w:hAnsi="Arial"/>
          <w:bCs/>
          <w:color w:val="000000"/>
          <w:lang w:val="en-IN"/>
        </w:rPr>
        <w:t xml:space="preserve">. (2020) recommended the internally standardised person-centred outcome measures to prompt more thorough assessment of HbA1c only, whereas Socea </w:t>
      </w:r>
      <w:r>
        <w:rPr>
          <w:rFonts w:ascii="Arial" w:eastAsia="Times New Roman" w:hAnsi="Arial"/>
          <w:bCs/>
          <w:i/>
          <w:iCs/>
          <w:color w:val="000000"/>
          <w:lang w:val="en-IN"/>
        </w:rPr>
        <w:t>et al.</w:t>
      </w:r>
      <w:r>
        <w:rPr>
          <w:rFonts w:ascii="Arial" w:eastAsia="Times New Roman" w:hAnsi="Arial"/>
          <w:bCs/>
          <w:color w:val="000000"/>
          <w:lang w:val="en-IN"/>
        </w:rPr>
        <w:t xml:space="preserve"> (2023) suggested the most efficient method of enhancing the long-term outcomes by coordinated medical, lifestyle and psychological interventions.</w:t>
      </w:r>
    </w:p>
    <w:p w14:paraId="3F1D53CC" w14:textId="77777777" w:rsidR="00874A36" w:rsidRDefault="00000000">
      <w:pPr>
        <w:spacing w:line="360" w:lineRule="auto"/>
        <w:jc w:val="both"/>
        <w:rPr>
          <w:rFonts w:ascii="Arial" w:eastAsia="Times New Roman" w:hAnsi="Arial"/>
          <w:bCs/>
          <w:color w:val="FF0000"/>
          <w:lang w:val="en-IN"/>
        </w:rPr>
      </w:pPr>
      <w:r>
        <w:rPr>
          <w:rFonts w:ascii="Arial" w:eastAsia="Times New Roman" w:hAnsi="Arial"/>
          <w:bCs/>
          <w:color w:val="000000"/>
          <w:lang w:val="en-IN"/>
        </w:rPr>
        <w:t xml:space="preserve">Alzawahreh and Ozturk (2024) have also reported family-centred empowerment to be a strong predictor of adherence, self-efficacy and glycaemic control and Salis </w:t>
      </w:r>
      <w:r>
        <w:rPr>
          <w:rFonts w:ascii="Arial" w:eastAsia="Times New Roman" w:hAnsi="Arial"/>
          <w:bCs/>
          <w:i/>
          <w:iCs/>
          <w:color w:val="000000"/>
          <w:lang w:val="en-IN"/>
        </w:rPr>
        <w:t>et al</w:t>
      </w:r>
      <w:r>
        <w:rPr>
          <w:rFonts w:ascii="Arial" w:eastAsia="Times New Roman" w:hAnsi="Arial"/>
          <w:bCs/>
          <w:color w:val="000000"/>
          <w:lang w:val="en-IN"/>
        </w:rPr>
        <w:t xml:space="preserve">. (2022) found that peer support boosted emotional wellbeing and self-management confidence. Similarly, Sawyer et al. (2022) prioritised social support as a considerable degree of facilitation of sustainable management of diabetes. </w:t>
      </w:r>
      <w:r>
        <w:rPr>
          <w:rFonts w:ascii="Arial" w:eastAsia="Times New Roman" w:hAnsi="Arial"/>
          <w:bCs/>
          <w:color w:val="FF0000"/>
          <w:lang w:val="en-IN"/>
        </w:rPr>
        <w:t xml:space="preserve">On the other hand, Alliston et al. (2024) and Almabadi </w:t>
      </w:r>
      <w:r>
        <w:rPr>
          <w:rFonts w:ascii="Arial" w:eastAsia="Times New Roman" w:hAnsi="Arial"/>
          <w:bCs/>
          <w:i/>
          <w:iCs/>
          <w:color w:val="FF0000"/>
          <w:lang w:val="en-IN"/>
        </w:rPr>
        <w:t>et al</w:t>
      </w:r>
      <w:r>
        <w:rPr>
          <w:rFonts w:ascii="Arial" w:eastAsia="Times New Roman" w:hAnsi="Arial"/>
          <w:bCs/>
          <w:color w:val="FF0000"/>
          <w:lang w:val="en-IN"/>
        </w:rPr>
        <w:t>. (2025) prioritised the worth of education, technology and behavioural support among different age groups</w:t>
      </w:r>
      <w:r>
        <w:rPr>
          <w:rFonts w:ascii="Arial" w:eastAsia="Times New Roman" w:hAnsi="Arial"/>
          <w:bCs/>
          <w:color w:val="000000"/>
          <w:lang w:val="en-IN"/>
        </w:rPr>
        <w:t>. The other beneficial invention of the service was that of telemedicine; Eberle and Stichling (2021) reported significant improvements in HbA1c when telemedicine be adopted, and Sathyanarayan</w:t>
      </w:r>
      <w:r>
        <w:rPr>
          <w:rFonts w:ascii="Arial" w:eastAsia="Times New Roman" w:hAnsi="Arial"/>
          <w:bCs/>
          <w:i/>
          <w:iCs/>
          <w:color w:val="000000"/>
          <w:lang w:val="en-IN"/>
        </w:rPr>
        <w:t xml:space="preserve"> et al. </w:t>
      </w:r>
      <w:r>
        <w:rPr>
          <w:rFonts w:ascii="Arial" w:eastAsia="Times New Roman" w:hAnsi="Arial"/>
          <w:bCs/>
          <w:color w:val="000000"/>
          <w:lang w:val="en-IN"/>
        </w:rPr>
        <w:t>(2022) also cautioned that digital disparities continue to undermine equal access. Similarly, An</w:t>
      </w:r>
      <w:r>
        <w:rPr>
          <w:rFonts w:ascii="Arial" w:eastAsia="Times New Roman" w:hAnsi="Arial"/>
          <w:bCs/>
          <w:i/>
          <w:iCs/>
          <w:color w:val="000000"/>
          <w:lang w:val="en-IN"/>
        </w:rPr>
        <w:t xml:space="preserve"> et al</w:t>
      </w:r>
      <w:r>
        <w:rPr>
          <w:rFonts w:ascii="Arial" w:eastAsia="Times New Roman" w:hAnsi="Arial"/>
          <w:bCs/>
          <w:color w:val="000000"/>
          <w:lang w:val="en-IN"/>
        </w:rPr>
        <w:t>. (2023) were able to show that self-management behaviours were positively impacted by online education, but its effectiveness over a long period was unclear. </w:t>
      </w:r>
      <w:r>
        <w:rPr>
          <w:rFonts w:ascii="Arial" w:eastAsia="Times New Roman" w:hAnsi="Arial"/>
          <w:bCs/>
          <w:color w:val="FF0000"/>
        </w:rPr>
        <w:t>This theme addressed the aim by demonstrating that disease management extends beyond insulin treatment. Structured education, psychological interventions, peer support, family involvement and multidisciplinary care influenced confidence, adherence, distress and self-management. The findings therefore establish behavioural and service-related support as important contributors to improved health and quality-of-life outcomes among adults with T1D.</w:t>
      </w:r>
    </w:p>
    <w:p w14:paraId="63248B74" w14:textId="77777777" w:rsidR="00874A36" w:rsidRDefault="00000000">
      <w:pPr>
        <w:pStyle w:val="Heading3"/>
        <w:spacing w:line="360" w:lineRule="auto"/>
        <w:rPr>
          <w:lang w:val="en-IN"/>
        </w:rPr>
      </w:pPr>
      <w:r>
        <w:rPr>
          <w:lang w:val="en-IN"/>
        </w:rPr>
        <w:t>4.2.6 Physical, Psychological and Social Consequences and Quality-of-Life Improvement</w:t>
      </w:r>
    </w:p>
    <w:p w14:paraId="0C06D2E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Hohen</w:t>
      </w:r>
      <w:r>
        <w:rPr>
          <w:rFonts w:ascii="Arial" w:eastAsia="Times New Roman" w:hAnsi="Arial"/>
          <w:bCs/>
          <w:i/>
          <w:iCs/>
          <w:color w:val="000000"/>
          <w:lang w:val="en-IN"/>
        </w:rPr>
        <w:t xml:space="preserve"> et al</w:t>
      </w:r>
      <w:r>
        <w:rPr>
          <w:rFonts w:ascii="Arial" w:eastAsia="Times New Roman" w:hAnsi="Arial"/>
          <w:bCs/>
          <w:color w:val="000000"/>
          <w:lang w:val="en-IN"/>
        </w:rPr>
        <w:t>. (2022), Lindner</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(2017), Joish </w:t>
      </w:r>
      <w:r>
        <w:rPr>
          <w:rFonts w:ascii="Arial" w:eastAsia="Times New Roman" w:hAnsi="Arial"/>
          <w:bCs/>
          <w:i/>
          <w:iCs/>
          <w:color w:val="000000"/>
          <w:lang w:val="en-IN"/>
        </w:rPr>
        <w:t>et al.</w:t>
      </w:r>
      <w:r>
        <w:rPr>
          <w:rFonts w:ascii="Arial" w:eastAsia="Times New Roman" w:hAnsi="Arial"/>
          <w:bCs/>
          <w:color w:val="000000"/>
          <w:lang w:val="en-IN"/>
        </w:rPr>
        <w:t xml:space="preserve"> (2020), and Stedman </w:t>
      </w:r>
      <w:r>
        <w:rPr>
          <w:rFonts w:ascii="Arial" w:eastAsia="Times New Roman" w:hAnsi="Arial"/>
          <w:bCs/>
          <w:i/>
          <w:iCs/>
          <w:color w:val="000000"/>
          <w:lang w:val="en-IN"/>
        </w:rPr>
        <w:t>et al</w:t>
      </w:r>
      <w:r>
        <w:rPr>
          <w:rFonts w:ascii="Arial" w:eastAsia="Times New Roman" w:hAnsi="Arial"/>
          <w:bCs/>
          <w:color w:val="000000"/>
          <w:lang w:val="en-IN"/>
        </w:rPr>
        <w:t xml:space="preserve">. (2020) found that severe hypoglycaemia, diabetic ketoacidosis, cardiovascular disease and chronic microvascular complications had a significant impact on healthcare utilisation and lower long-term wellbeing. Likewise, Smith-Palmer </w:t>
      </w:r>
      <w:r>
        <w:rPr>
          <w:rFonts w:ascii="Arial" w:eastAsia="Times New Roman" w:hAnsi="Arial"/>
          <w:bCs/>
          <w:i/>
          <w:iCs/>
          <w:color w:val="000000"/>
          <w:lang w:val="en-IN"/>
        </w:rPr>
        <w:t>et al.</w:t>
      </w:r>
      <w:r>
        <w:rPr>
          <w:rFonts w:ascii="Arial" w:eastAsia="Times New Roman" w:hAnsi="Arial"/>
          <w:bCs/>
          <w:color w:val="000000"/>
          <w:lang w:val="en-IN"/>
        </w:rPr>
        <w:t xml:space="preserve"> (2016) showed that acute and chronic complications greatly deteriorate the health-related quality of life, whereas Grajek</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(2026) related long disease duration with progressing physical limitations and multimorbidity. However, Elian</w:t>
      </w:r>
      <w:r>
        <w:rPr>
          <w:rFonts w:ascii="Arial" w:eastAsia="Times New Roman" w:hAnsi="Arial"/>
          <w:bCs/>
          <w:i/>
          <w:iCs/>
          <w:color w:val="000000"/>
          <w:lang w:val="en-IN"/>
        </w:rPr>
        <w:t xml:space="preserve"> et al. </w:t>
      </w:r>
      <w:r>
        <w:rPr>
          <w:rFonts w:ascii="Arial" w:eastAsia="Times New Roman" w:hAnsi="Arial"/>
          <w:bCs/>
          <w:color w:val="000000"/>
          <w:lang w:val="en-IN"/>
        </w:rPr>
        <w:t xml:space="preserve">(2023), Eldib </w:t>
      </w:r>
      <w:r>
        <w:rPr>
          <w:rFonts w:ascii="Arial" w:eastAsia="Times New Roman" w:hAnsi="Arial"/>
          <w:bCs/>
          <w:i/>
          <w:iCs/>
          <w:color w:val="000000"/>
          <w:lang w:val="en-IN"/>
        </w:rPr>
        <w:t>et al.</w:t>
      </w:r>
      <w:r>
        <w:rPr>
          <w:rFonts w:ascii="Arial" w:eastAsia="Times New Roman" w:hAnsi="Arial"/>
          <w:bCs/>
          <w:color w:val="000000"/>
          <w:lang w:val="en-IN"/>
        </w:rPr>
        <w:t xml:space="preserve"> (2024), Lakshman et al. (2024) and Kessler</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w:t>
      </w:r>
      <w:r>
        <w:rPr>
          <w:rFonts w:ascii="Arial" w:eastAsia="Times New Roman" w:hAnsi="Arial"/>
          <w:bCs/>
          <w:color w:val="000000"/>
          <w:lang w:val="en-IN"/>
        </w:rPr>
        <w:lastRenderedPageBreak/>
        <w:t xml:space="preserve">(2025) concluded that insulin delivery technologies, which are automated and hybrid closed-loop technologies, led to a positive effect on glycaemic stability and the reduction of hypoglycaemia, even though only relatively small improvements in sleep quality were observed in the study by Cobry </w:t>
      </w:r>
      <w:r>
        <w:rPr>
          <w:rFonts w:ascii="Arial" w:eastAsia="Times New Roman" w:hAnsi="Arial"/>
          <w:bCs/>
          <w:i/>
          <w:iCs/>
          <w:color w:val="000000"/>
          <w:lang w:val="en-IN"/>
        </w:rPr>
        <w:t xml:space="preserve">et al. </w:t>
      </w:r>
      <w:r>
        <w:rPr>
          <w:rFonts w:ascii="Arial" w:eastAsia="Times New Roman" w:hAnsi="Arial"/>
          <w:bCs/>
          <w:color w:val="000000"/>
          <w:lang w:val="en-IN"/>
        </w:rPr>
        <w:t>(2020). </w:t>
      </w:r>
    </w:p>
    <w:p w14:paraId="7CD4F799"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Similarly, Vallis </w:t>
      </w:r>
      <w:r>
        <w:rPr>
          <w:rFonts w:ascii="Arial" w:eastAsia="Times New Roman" w:hAnsi="Arial"/>
          <w:bCs/>
          <w:i/>
          <w:iCs/>
          <w:color w:val="000000"/>
          <w:lang w:val="en-IN"/>
        </w:rPr>
        <w:t>et al.</w:t>
      </w:r>
      <w:r>
        <w:rPr>
          <w:rFonts w:ascii="Arial" w:eastAsia="Times New Roman" w:hAnsi="Arial"/>
          <w:bCs/>
          <w:color w:val="000000"/>
          <w:lang w:val="en-IN"/>
        </w:rPr>
        <w:t xml:space="preserve"> (2018) have reported more emotional distress in emerging adults, compared with Peter </w:t>
      </w:r>
      <w:r>
        <w:rPr>
          <w:rFonts w:ascii="Arial" w:eastAsia="Times New Roman" w:hAnsi="Arial"/>
          <w:bCs/>
          <w:i/>
          <w:iCs/>
          <w:color w:val="000000"/>
          <w:lang w:val="en-IN"/>
        </w:rPr>
        <w:t>et al.</w:t>
      </w:r>
      <w:r>
        <w:rPr>
          <w:rFonts w:ascii="Arial" w:eastAsia="Times New Roman" w:hAnsi="Arial"/>
          <w:bCs/>
          <w:color w:val="000000"/>
          <w:lang w:val="en-IN"/>
        </w:rPr>
        <w:t xml:space="preserve"> (2023), who identified fear of hypoglycaemia as a chronic psychological burden, which constrains confidence and everyday operations. Salas-Muriel </w:t>
      </w:r>
      <w:r>
        <w:rPr>
          <w:rFonts w:ascii="Arial" w:eastAsia="Times New Roman" w:hAnsi="Arial"/>
          <w:bCs/>
          <w:i/>
          <w:iCs/>
          <w:color w:val="000000"/>
          <w:lang w:val="en-IN"/>
        </w:rPr>
        <w:t>et al.</w:t>
      </w:r>
      <w:r>
        <w:rPr>
          <w:rFonts w:ascii="Arial" w:eastAsia="Times New Roman" w:hAnsi="Arial"/>
          <w:bCs/>
          <w:color w:val="000000"/>
          <w:lang w:val="en-IN"/>
        </w:rPr>
        <w:t xml:space="preserve"> (2025) proved that stress is a negative factor in the quality of life as it affects treatment adherence, and Cho and Kim (2021) demonstrated that an increase in self-efficacy and disease acceptance leads to a better psychological adjustment. Besides, Alarcón-Gomez </w:t>
      </w:r>
      <w:r>
        <w:rPr>
          <w:rFonts w:ascii="Arial" w:eastAsia="Times New Roman" w:hAnsi="Arial"/>
          <w:bCs/>
          <w:i/>
          <w:iCs/>
          <w:color w:val="000000"/>
          <w:lang w:val="en-IN"/>
        </w:rPr>
        <w:t>et al.</w:t>
      </w:r>
      <w:r>
        <w:rPr>
          <w:rFonts w:ascii="Arial" w:eastAsia="Times New Roman" w:hAnsi="Arial"/>
          <w:bCs/>
          <w:color w:val="000000"/>
          <w:lang w:val="en-IN"/>
        </w:rPr>
        <w:t xml:space="preserve"> (2021) and Turton</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(2023) also found that physical activity has a positive impact on mental wellbeing or diabetes care; Martyn-Nemeth</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(2022) also highlighted the importance of sleep quality in fighting psychological burden. These results are opposite to those of Rosner and Roman-Urrestarazu (2019), which implied that technological enhancements would not have a significant positive impact on emotional wellbeing without psychological support.</w:t>
      </w:r>
    </w:p>
    <w:p w14:paraId="112B9E13" w14:textId="77777777" w:rsidR="00874A36" w:rsidRDefault="00000000">
      <w:pPr>
        <w:spacing w:line="360" w:lineRule="auto"/>
        <w:jc w:val="both"/>
        <w:rPr>
          <w:rFonts w:ascii="Arial" w:eastAsia="Times New Roman" w:hAnsi="Arial"/>
          <w:bCs/>
          <w:color w:val="FF0000"/>
          <w:lang w:val="en-IN"/>
        </w:rPr>
      </w:pPr>
      <w:r>
        <w:rPr>
          <w:rFonts w:ascii="Arial" w:eastAsia="Times New Roman" w:hAnsi="Arial"/>
          <w:bCs/>
          <w:color w:val="000000"/>
          <w:lang w:val="en-IN"/>
        </w:rPr>
        <w:t xml:space="preserve">Another aspect of T1D is social effects; it details the significance of social effects of a patient with this disease. </w:t>
      </w:r>
      <w:r>
        <w:rPr>
          <w:rFonts w:ascii="Arial" w:eastAsia="Times New Roman" w:hAnsi="Arial"/>
          <w:bCs/>
          <w:color w:val="FF0000"/>
          <w:lang w:val="en-IN"/>
        </w:rPr>
        <w:t xml:space="preserve">In the context of the impact of T1D on the economy and society, Peasgood </w:t>
      </w:r>
      <w:r>
        <w:rPr>
          <w:rFonts w:ascii="Arial" w:eastAsia="Times New Roman" w:hAnsi="Arial"/>
          <w:bCs/>
          <w:i/>
          <w:iCs/>
          <w:color w:val="FF0000"/>
          <w:lang w:val="en-IN"/>
        </w:rPr>
        <w:t xml:space="preserve">et al. </w:t>
      </w:r>
      <w:r>
        <w:rPr>
          <w:rFonts w:ascii="Arial" w:eastAsia="Times New Roman" w:hAnsi="Arial"/>
          <w:bCs/>
          <w:color w:val="FF0000"/>
          <w:lang w:val="en-IN"/>
        </w:rPr>
        <w:t xml:space="preserve">(2016) found that T1D is linked to both productivity and absenteeism, and Aguayo </w:t>
      </w:r>
      <w:r>
        <w:rPr>
          <w:rFonts w:ascii="Arial" w:eastAsia="Times New Roman" w:hAnsi="Arial"/>
          <w:bCs/>
          <w:i/>
          <w:iCs/>
          <w:color w:val="FF0000"/>
          <w:lang w:val="en-IN"/>
        </w:rPr>
        <w:t>et al.</w:t>
      </w:r>
      <w:r>
        <w:rPr>
          <w:rFonts w:ascii="Arial" w:eastAsia="Times New Roman" w:hAnsi="Arial"/>
          <w:bCs/>
          <w:color w:val="FF0000"/>
          <w:lang w:val="en-IN"/>
        </w:rPr>
        <w:t xml:space="preserve"> (2026) found a worse outcome of T1D. Cooper </w:t>
      </w:r>
      <w:r>
        <w:rPr>
          <w:rFonts w:ascii="Arial" w:eastAsia="Times New Roman" w:hAnsi="Arial"/>
          <w:bCs/>
          <w:i/>
          <w:iCs/>
          <w:color w:val="FF0000"/>
          <w:lang w:val="en-IN"/>
        </w:rPr>
        <w:t>et al.</w:t>
      </w:r>
      <w:r>
        <w:rPr>
          <w:rFonts w:ascii="Arial" w:eastAsia="Times New Roman" w:hAnsi="Arial"/>
          <w:bCs/>
          <w:color w:val="FF0000"/>
          <w:lang w:val="en-IN"/>
        </w:rPr>
        <w:t xml:space="preserve"> (2026), Bellass et al. (2021), Ashraf </w:t>
      </w:r>
      <w:r>
        <w:rPr>
          <w:rFonts w:ascii="Arial" w:eastAsia="Times New Roman" w:hAnsi="Arial"/>
          <w:bCs/>
          <w:i/>
          <w:iCs/>
          <w:color w:val="FF0000"/>
          <w:lang w:val="en-IN"/>
        </w:rPr>
        <w:t>et al</w:t>
      </w:r>
      <w:r>
        <w:rPr>
          <w:rFonts w:ascii="Arial" w:eastAsia="Times New Roman" w:hAnsi="Arial"/>
          <w:bCs/>
          <w:color w:val="FF0000"/>
          <w:lang w:val="en-IN"/>
        </w:rPr>
        <w:t>. (2024) and Mangoulia et al. (2024) further documented that discontinuous healthcare, poorer management of diabetes, and being more socially marginalised characterise the situation with severely mentally ill adults. T</w:t>
      </w:r>
      <w:r>
        <w:rPr>
          <w:rFonts w:ascii="Arial" w:eastAsia="Times New Roman" w:hAnsi="Arial"/>
          <w:bCs/>
          <w:color w:val="000000"/>
          <w:lang w:val="en-IN"/>
        </w:rPr>
        <w:t>hat is why Socea</w:t>
      </w:r>
      <w:r>
        <w:rPr>
          <w:rFonts w:ascii="Arial" w:eastAsia="Times New Roman" w:hAnsi="Arial"/>
          <w:bCs/>
          <w:i/>
          <w:iCs/>
          <w:color w:val="000000"/>
          <w:lang w:val="en-IN"/>
        </w:rPr>
        <w:t xml:space="preserve"> et al.</w:t>
      </w:r>
      <w:r>
        <w:rPr>
          <w:rFonts w:ascii="Arial" w:eastAsia="Times New Roman" w:hAnsi="Arial"/>
          <w:bCs/>
          <w:color w:val="000000"/>
          <w:lang w:val="en-IN"/>
        </w:rPr>
        <w:t xml:space="preserve"> (2023) proposed to use more integrated multidisciplinary care. Similarly, Yazidi </w:t>
      </w:r>
      <w:r>
        <w:rPr>
          <w:rFonts w:ascii="Arial" w:eastAsia="Times New Roman" w:hAnsi="Arial"/>
          <w:bCs/>
          <w:i/>
          <w:iCs/>
          <w:color w:val="000000"/>
          <w:lang w:val="en-IN"/>
        </w:rPr>
        <w:t>et al.</w:t>
      </w:r>
      <w:r>
        <w:rPr>
          <w:rFonts w:ascii="Arial" w:eastAsia="Times New Roman" w:hAnsi="Arial"/>
          <w:bCs/>
          <w:color w:val="000000"/>
          <w:lang w:val="en-IN"/>
        </w:rPr>
        <w:t xml:space="preserve"> (2020), Hilliard </w:t>
      </w:r>
      <w:r>
        <w:rPr>
          <w:rFonts w:ascii="Arial" w:eastAsia="Times New Roman" w:hAnsi="Arial"/>
          <w:bCs/>
          <w:i/>
          <w:iCs/>
          <w:color w:val="000000"/>
          <w:lang w:val="en-IN"/>
        </w:rPr>
        <w:t>et al.</w:t>
      </w:r>
      <w:r>
        <w:rPr>
          <w:rFonts w:ascii="Arial" w:eastAsia="Times New Roman" w:hAnsi="Arial"/>
          <w:bCs/>
          <w:color w:val="000000"/>
          <w:lang w:val="en-IN"/>
        </w:rPr>
        <w:t xml:space="preserve"> (2021), Porth</w:t>
      </w:r>
      <w:r>
        <w:rPr>
          <w:rFonts w:ascii="Arial" w:eastAsia="Times New Roman" w:hAnsi="Arial"/>
          <w:bCs/>
          <w:i/>
          <w:iCs/>
          <w:color w:val="000000"/>
          <w:lang w:val="en-IN"/>
        </w:rPr>
        <w:t xml:space="preserve"> et al</w:t>
      </w:r>
      <w:r>
        <w:rPr>
          <w:rFonts w:ascii="Arial" w:eastAsia="Times New Roman" w:hAnsi="Arial"/>
          <w:bCs/>
          <w:color w:val="000000"/>
          <w:lang w:val="en-IN"/>
        </w:rPr>
        <w:t>. (2024) and Nano et al. (2020) also emphasised the role of family support, social relationships as well as person-centred care as tools to improve resilience and increase the quality of life in the long term. </w:t>
      </w:r>
      <w:r>
        <w:rPr>
          <w:rFonts w:ascii="Arial" w:eastAsia="Times New Roman" w:hAnsi="Arial"/>
          <w:bCs/>
          <w:color w:val="FF0000"/>
          <w:lang w:val="en-IN"/>
        </w:rPr>
        <w:t>The aim was met by examining how clinical complications, psychological distress and social consequences influence overall health outcomes. Severe hypoglycaemia, ketoacidosis, anxiety, fear, reduced productivity and social marginalisation negatively affected quality of life, while technology, exercise, social support and integrated care offered pathways for improving both physical and psychosocial wellbeing.</w:t>
      </w:r>
    </w:p>
    <w:p w14:paraId="515BEB2F" w14:textId="77777777" w:rsidR="00874A36" w:rsidRDefault="00000000">
      <w:pPr>
        <w:pStyle w:val="Heading3"/>
        <w:spacing w:line="360" w:lineRule="auto"/>
        <w:rPr>
          <w:rFonts w:ascii="Arial" w:hAnsi="Arial"/>
          <w:bCs/>
          <w:lang w:val="en-IN"/>
        </w:rPr>
      </w:pPr>
      <w:r>
        <w:t>4.2.7 Personalised and Person-Centred Diabetes Management</w:t>
      </w:r>
    </w:p>
    <w:p w14:paraId="4E5A515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results demonstrate that the management of Type 1 Diabetes (T1D) is not easily achieved by mere standardisation of the interventions, as T1D management treatment and its outcomes are diverse among adults and are affected by a range of clinical, psychological, </w:t>
      </w:r>
      <w:r>
        <w:rPr>
          <w:rFonts w:ascii="Arial" w:eastAsia="Times New Roman" w:hAnsi="Arial"/>
          <w:bCs/>
          <w:color w:val="000000"/>
          <w:lang w:val="en-IN"/>
        </w:rPr>
        <w:lastRenderedPageBreak/>
        <w:t xml:space="preserve">life-style, technological and self-management variables. Across the studies included, evidence therefore suggests a need for personalised and person-centred diabetes management that changes the way the healthcare system approaches diabetes management to meet the needs of the individual rather than the other way round. Together, Alliston et al. (2024), Puzhakkal et al. (2025), An et al. (2023) and Sawyer et al. (2022) posit that personal education, technical support, mental support in the form of cognition, and ongoing behavioural support, might prove more effective in the self-management domain than standardised approaches. </w:t>
      </w:r>
    </w:p>
    <w:p w14:paraId="79EEC28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It also shows that the evidence that personalisation is emerging as an important aspect of technology-enabled diabetes management. While the benefits of CGM, insulin pumps and hybrid closed loop systems (HCLS) on glycaemic control, hypoglycaemia, and diabetes-related outcomes were reported by Alfadli et al. (2025), Eldib et al. (2024), Kessler et al. (2025), and Jeyam et al. (2021), these achievements do not automatically transfer to all adults. </w:t>
      </w:r>
      <w:r>
        <w:rPr>
          <w:rFonts w:ascii="Arial" w:eastAsia="Times New Roman" w:hAnsi="Arial"/>
          <w:bCs/>
          <w:color w:val="FF0000"/>
          <w:lang w:val="en-IN"/>
        </w:rPr>
        <w:t>In contrast, Fallon et al. (2022), Auzanneau et al. (2023), Conway et al.(2023) and Ebekozien et al.(2024) found deprivation and migration background, ethnicity and digital exclusion were all important factors in access to advanced technologies.</w:t>
      </w:r>
      <w:r>
        <w:rPr>
          <w:rFonts w:ascii="Arial" w:eastAsia="Times New Roman" w:hAnsi="Arial"/>
          <w:bCs/>
          <w:color w:val="000000"/>
          <w:lang w:val="en-IN"/>
        </w:rPr>
        <w:t xml:space="preserve"> Moreover, Tanenbaum et al. (2017) found that participants might reject or opt out of technological use due to body-image issues and inconvenience/treatment burden. So personalisation is not just about feeding the very latest in technology, but is also about ensuring these technologies are affordable, culturally appropriate, feasible and acceptable to the patient.</w:t>
      </w:r>
    </w:p>
    <w:p w14:paraId="57A9AC0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It is important to include the psychological and behavioural characteristics of the person into the concept of person centred management. Self-efficacy and acceptance of diabetes were identified as factors to effective management by Cho and Kim (2021) and Salas-Muriel et al. (2025) showed that stress had a negative relationship with quality of life, related to adherence and social support. Likewise, Peter et al. (2023) and Jacob et al. (2022) emphasised upon fear of hypoglycaemia, anxiety and maladaptive beliefs that must be addressed with targeted psychological strategies beyond mere increase in insulin. There was also evidence that family-centred empowerment had a positive effect on glycaemic control, self-efficacy and adherence (Alzawahreh and Ozturk, 2024), and peer support on emotional wellbeing and confidence in self-management (Salis *et al*, 2022). The results indicated that the personalisation must go beyond bio-indicators and needs to be emotionally, socially and behaviourally driven.</w:t>
      </w:r>
    </w:p>
    <w:p w14:paraId="23397378"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Wijk et al., 2023, showed that psychological flexibility did not directly translate to a significant change in metabolic outcomes (HbA1c), indicating some disconnect between psychological wellbeing and metabolic outcomes. Likewise, Rosner et Roman-Urrestarazu (2019) found </w:t>
      </w:r>
      <w:r>
        <w:rPr>
          <w:rFonts w:ascii="Arial" w:eastAsia="Times New Roman" w:hAnsi="Arial"/>
          <w:bCs/>
          <w:color w:val="000000"/>
          <w:lang w:val="en-IN"/>
        </w:rPr>
        <w:lastRenderedPageBreak/>
        <w:t xml:space="preserve">very little difference in quality of life between insulin pump and multiple daily injections. So, don't assume that because care is ‘individualised' it is necessarily good; person-centred care does not always equal individualised care. Indeed, the success of its implementation is dependent of implementing interventions on an individual patient basis while ensuring clinically relevant results. </w:t>
      </w:r>
      <w:r>
        <w:rPr>
          <w:rFonts w:ascii="Arial" w:eastAsia="Times New Roman" w:hAnsi="Arial"/>
          <w:bCs/>
          <w:color w:val="FF0000"/>
        </w:rPr>
        <w:t>This theme met the aim by demonstrating that successful T1D management depends on matching interventions to individual clinical, behavioural and socioeconomic circumstances. Personalised education, technology, psychological support and family involvement may improve management, but effectiveness varies between individuals. Thus, person-centred care emerged as a key mechanism for improving sustainable health outcomes.</w:t>
      </w:r>
    </w:p>
    <w:p w14:paraId="6E0F7DC9" w14:textId="77777777" w:rsidR="00874A36" w:rsidRDefault="00000000">
      <w:pPr>
        <w:pStyle w:val="Heading3"/>
        <w:spacing w:line="360" w:lineRule="auto"/>
        <w:rPr>
          <w:rFonts w:ascii="Arial" w:hAnsi="Arial"/>
          <w:bCs/>
          <w:lang w:val="en-IN"/>
        </w:rPr>
      </w:pPr>
      <w:r>
        <w:t>4.2.8 Continuity of Care, Multidisciplinary Integration and Long-Term Disease Management</w:t>
      </w:r>
    </w:p>
    <w:p w14:paraId="635974E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results also show that good T1D care relies on seamless care and integration of clinical, psychological, educational and social support. Because of the chronic nature of T1D, treating the insulin-dependent condition cannot be limited to episodic clinical evaluations or insulin dose adjustments; adults need long-term support throughout various phases of life and changing circumstances throughout their lifespan. On one hand, O'Hara et al (2016) and Pyatak et al (2017) demonstrated that structured transition programmes have the potential to enhance engagement with healthcare services among young adults, and on the other, Vallis et al (2018) found that although the young adults felt supported they still faced more diabetes distress during emerging adulthood. Nunciado et al. (2024) also illustrated how transition to university and independent living and/or employment may have the potential to interfere with traditional routines. The results show that continuity is crucial when transition occurs because the usual care trajectories might not meet the evolving social, emotional and practical needs.</w:t>
      </w:r>
    </w:p>
    <w:p w14:paraId="79E625D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There is some evidence that suggests that the impact of segmented care can go beyond glycaemic results. Bellass et al. (2021), Cooper et al. (2026), Ashraf et al. (2024) and Mangoulia et al. (2024) linked poor diabetes self-management and challenges in diabetes routine care with severe mental illness. Socea et al. (2023) therefore suggested a coordinated intervention involving medical, lifestyle and psychological support to enhance long-term outcomes. Keeping with the theme of treating psychological difficulties as a part of diabetes care, Fisher et al. (2019) also recommended that diabetes distress be screened routinely.</w:t>
      </w:r>
    </w:p>
    <w:p w14:paraId="0D45BEB6"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Evidence around family, peer and social support also exists in the context of multi-disciplinary integration. Alzawahreh and Ozturk (2024) observed a link between family-centred empowerment and adherence, self-efficacy and glycaemic control, and Salis et al. </w:t>
      </w:r>
      <w:r>
        <w:rPr>
          <w:rFonts w:ascii="Arial" w:eastAsia="Times New Roman" w:hAnsi="Arial"/>
          <w:bCs/>
          <w:color w:val="000000"/>
          <w:lang w:val="en-IN"/>
        </w:rPr>
        <w:lastRenderedPageBreak/>
        <w:t xml:space="preserve">(2022) confirmed that adherence was associated with increased emotional wellbeing and self-management confidence through peer support. Social support for sustainable diabetes management was also highlighted by Sawyer et al. (2022). </w:t>
      </w:r>
    </w:p>
    <w:p w14:paraId="47B2024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Another modality to enhance the continuity may be through telemedicine and digital services. Eberle and Stichling (2021) also reported improved glycated haemoglobin levels after telemedicine interventions and an online education could positively influence self-management behaviours was reported by An et al. (2023). However, the Sathyanarayan et al (2022) pointed out the challenges of digital disparities, which may limit equitable access to virtual services. This is an important paradox as technology developed to help sustain continuity can also exacerbate inequalities if digital access and resources are not available to patients. Thus, there is a need for accessible face-to-face care for all patients, and digital integration cannot do this.</w:t>
      </w:r>
    </w:p>
    <w:p w14:paraId="130EB73D" w14:textId="77777777" w:rsidR="00874A36" w:rsidRDefault="00000000">
      <w:pPr>
        <w:spacing w:line="360" w:lineRule="auto"/>
        <w:jc w:val="both"/>
        <w:rPr>
          <w:rFonts w:ascii="Arial" w:eastAsia="Times New Roman" w:hAnsi="Arial"/>
          <w:bCs/>
          <w:color w:val="FF0000"/>
          <w:lang w:val="en-IN"/>
        </w:rPr>
      </w:pPr>
      <w:r>
        <w:rPr>
          <w:rFonts w:ascii="Arial" w:eastAsia="Times New Roman" w:hAnsi="Arial"/>
          <w:bCs/>
          <w:color w:val="000000"/>
          <w:lang w:val="en-IN"/>
        </w:rPr>
        <w:t xml:space="preserve">In summary, the data supports the idea that there is a need for an integrated diabetes care approach that focuses on diabetes specialists, psychological care, educator, families, peers, and technology in order to successfully manage long-term T1D. Coordinated care is reinforced by existing evidence that complicating factors such as mental health issues, costs, and life stage transitions have the potential to interact and threaten self-management. </w:t>
      </w:r>
      <w:r>
        <w:rPr>
          <w:rFonts w:ascii="Arial" w:eastAsia="Times New Roman" w:hAnsi="Arial"/>
          <w:bCs/>
          <w:color w:val="FF0000"/>
          <w:lang w:val="en-IN"/>
        </w:rPr>
        <w:t xml:space="preserve">On the other hand, Joish and colleagues (2020) and Stedman and colleagues (2020) linked suboptimal diabetes management to higher healthcare costs and utilization, indicating that there may be potential consequences of fragmented or inadequate diabetes support for patients and healthcare systems. </w:t>
      </w:r>
      <w:r>
        <w:rPr>
          <w:rFonts w:ascii="Arial" w:eastAsia="Times New Roman" w:hAnsi="Arial"/>
          <w:bCs/>
          <w:color w:val="FF0000"/>
        </w:rPr>
        <w:t>The aim was achieved by showing that long-term outcomes depend on continuity and coordination across clinical, psychological, educational and social services. Transition difficulties, mental health problems and fragmented care can undermine self-management, whereas multidisciplinary support, telemedicine, family involvement and regular monitoring can strengthen sustained disease management throughout different stages of adult life</w:t>
      </w:r>
      <w:r>
        <w:rPr>
          <w:rFonts w:ascii="Arial" w:eastAsia="Times New Roman" w:hAnsi="Arial"/>
          <w:bCs/>
          <w:color w:val="FF0000"/>
          <w:lang w:val="en-IN"/>
        </w:rPr>
        <w:t>.</w:t>
      </w:r>
    </w:p>
    <w:p w14:paraId="36985748" w14:textId="77777777" w:rsidR="00874A36" w:rsidRDefault="00000000">
      <w:pPr>
        <w:pStyle w:val="Heading2"/>
      </w:pPr>
      <w:r>
        <w:t>4.3 Summary</w:t>
      </w:r>
    </w:p>
    <w:p w14:paraId="0D5940D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Overall, the findings suggest that the efficient management of Type 1 Diabetes requires the integration of equal rights to healthcare, lifelong self-management, innovative technologies, health education, psychological and multidisciplinary interventions and support. </w:t>
      </w:r>
    </w:p>
    <w:p w14:paraId="341A6B14" w14:textId="77777777" w:rsidR="00874A36" w:rsidRDefault="00000000">
      <w:pPr>
        <w:spacing w:line="360" w:lineRule="auto"/>
        <w:rPr>
          <w:rFonts w:ascii="Arial" w:eastAsia="Times New Roman" w:hAnsi="Arial"/>
          <w:b/>
          <w:color w:val="000000"/>
        </w:rPr>
      </w:pPr>
      <w:r>
        <w:br w:type="page"/>
      </w:r>
    </w:p>
    <w:p w14:paraId="748A9D5A" w14:textId="77777777" w:rsidR="00874A36" w:rsidRDefault="00000000">
      <w:pPr>
        <w:pStyle w:val="Heading1"/>
        <w:rPr>
          <w:lang w:val="en-US"/>
        </w:rPr>
      </w:pPr>
      <w:bookmarkStart w:id="73" w:name="_Toc239687647"/>
      <w:r>
        <w:lastRenderedPageBreak/>
        <w:t>Chapter 5: Discussion</w:t>
      </w:r>
      <w:bookmarkEnd w:id="73"/>
      <w:r>
        <w:t xml:space="preserve"> </w:t>
      </w:r>
      <w:r>
        <w:rPr>
          <w:lang w:val="en-US"/>
        </w:rPr>
        <w:t xml:space="preserve"> </w:t>
      </w:r>
    </w:p>
    <w:p w14:paraId="04C383A7" w14:textId="77777777" w:rsidR="00874A36" w:rsidRDefault="00000000">
      <w:pPr>
        <w:spacing w:line="360" w:lineRule="auto"/>
        <w:jc w:val="both"/>
        <w:rPr>
          <w:rFonts w:ascii="Arial" w:hAnsi="Arial"/>
          <w:lang w:val="en-IN"/>
        </w:rPr>
      </w:pPr>
      <w:r>
        <w:rPr>
          <w:rFonts w:ascii="Arial" w:hAnsi="Arial"/>
          <w:b/>
          <w:bCs/>
          <w:lang w:val="en-IN"/>
        </w:rPr>
        <w:t>5.1 Interpret your results</w:t>
      </w:r>
      <w:r>
        <w:rPr>
          <w:rFonts w:ascii="Arial" w:hAnsi="Arial"/>
          <w:lang w:val="en-IN"/>
        </w:rPr>
        <w:t>  </w:t>
      </w:r>
    </w:p>
    <w:p w14:paraId="5B9E5E2E" w14:textId="77777777" w:rsidR="00874A36" w:rsidRDefault="00000000">
      <w:pPr>
        <w:spacing w:line="360" w:lineRule="auto"/>
        <w:jc w:val="both"/>
        <w:rPr>
          <w:rFonts w:ascii="Arial" w:hAnsi="Arial"/>
          <w:b/>
          <w:bCs/>
          <w:lang w:val="en-IN"/>
        </w:rPr>
      </w:pPr>
      <w:r>
        <w:rPr>
          <w:rFonts w:ascii="Arial" w:hAnsi="Arial"/>
          <w:b/>
          <w:bCs/>
          <w:lang w:val="en-IN"/>
        </w:rPr>
        <w:t>Results: </w:t>
      </w:r>
    </w:p>
    <w:p w14:paraId="658FF39C" w14:textId="77777777" w:rsidR="00874A36" w:rsidRDefault="00000000">
      <w:pPr>
        <w:spacing w:line="360" w:lineRule="auto"/>
        <w:jc w:val="both"/>
        <w:rPr>
          <w:rFonts w:ascii="Arial" w:hAnsi="Arial"/>
          <w:lang w:val="en-IN"/>
        </w:rPr>
      </w:pPr>
      <w:r>
        <w:rPr>
          <w:rFonts w:ascii="Arial" w:hAnsi="Arial"/>
          <w:lang w:val="en-IN"/>
        </w:rPr>
        <w:t>The findings of this systematic review demonstrate that quality of life (QoL) among adults in the UK with Type 1 Diabetes (T1D) cannot be achieved by only controlling glycaemia. In this case, the results suggest that a “self-management” approach is a foundation of effective T1D management. According to Auzanneau et al. (2023), most of the adults have undertaken diabetes-related decisions outside direct clinical encounters. In this case, Self-management involves administering insulin, monitoring glucose levels, engaging in physical activity, and maintaining a healthy diet. However, the findings also highlighted that responsibility for self-management cannot automatically deliver better QoL. Moreover, excessive treatment demands might influence psychological pressure and decreased satisfaction, rather than contributing to treatment adherence (Harris et al., 2018). Therefore, it can be stated that the findings of this research are important, which established a concept regarding challenges to the assumption that increased patient involvement could be universally beneficial. The application of Self-Management Theory also has assisted to interpret the research findings from the undertaken journals appropriately, recognising patients’ capabilities, environmental support and confidence during such chronic illness of T1D. </w:t>
      </w:r>
    </w:p>
    <w:p w14:paraId="5E818CE6" w14:textId="77777777" w:rsidR="00874A36" w:rsidRDefault="00000000">
      <w:pPr>
        <w:spacing w:line="360" w:lineRule="auto"/>
        <w:jc w:val="both"/>
        <w:rPr>
          <w:rFonts w:ascii="Arial" w:hAnsi="Arial"/>
          <w:lang w:val="en-IN"/>
        </w:rPr>
      </w:pPr>
      <w:r>
        <w:rPr>
          <w:rFonts w:ascii="Arial" w:hAnsi="Arial"/>
          <w:lang w:val="en-IN"/>
        </w:rPr>
        <w:t>This result, on the other hand, indicated that technology-assisted management is capable of improving clinical control besides producing a complex effect on QoL. Continuous monitoring of glucose levels, insulin pumps and closed-loop hybrid systems might provide the opportunity of personalized insulin management or effective glucose monitoring. Different previous literature-based evidence identified that all these technology outcomes reduce the impact of hypoglycemic events. According to Jeyam et al. (2021), improvements in glycemic outcomes followed insulin pump initiation among people who were suffering from type 1 diabetes. However, the effectiveness of technology does not depend only on </w:t>
      </w:r>
    </w:p>
    <w:p w14:paraId="2B073C9B" w14:textId="77777777" w:rsidR="00874A36" w:rsidRDefault="00000000">
      <w:pPr>
        <w:spacing w:line="360" w:lineRule="auto"/>
        <w:jc w:val="both"/>
        <w:rPr>
          <w:rFonts w:ascii="Arial" w:hAnsi="Arial"/>
          <w:lang w:val="en-IN"/>
        </w:rPr>
      </w:pPr>
      <w:r>
        <w:rPr>
          <w:rFonts w:ascii="Arial" w:hAnsi="Arial"/>
          <w:lang w:val="en-IN"/>
        </w:rPr>
        <w:t>HbA1c or time-in-range. Hence, alarm fatigue, device burden and digital confidence concerns towards reliance might influence clinical benefits translating into everyday improved well-being for the patients.</w:t>
      </w:r>
    </w:p>
    <w:p w14:paraId="4FACD31C" w14:textId="77777777" w:rsidR="00874A36" w:rsidRDefault="00000000">
      <w:pPr>
        <w:spacing w:line="360" w:lineRule="auto"/>
        <w:jc w:val="both"/>
        <w:rPr>
          <w:rFonts w:ascii="Arial" w:hAnsi="Arial"/>
          <w:lang w:val="en-IN"/>
        </w:rPr>
      </w:pPr>
      <w:r>
        <w:rPr>
          <w:rFonts w:ascii="Arial" w:hAnsi="Arial"/>
          <w:lang w:val="en-IN"/>
        </w:rPr>
        <w:t xml:space="preserve">Again, the interpretation of the results highlighted that psychological well-being is not a secondary outcome, and its significance is important for successful diabetes management. Here, the reviews of the articles have addressed how diabetes creates distress or is associated with hyperglycemia and anxiety as essential threatening factors to well-being. In this case, Ashraf et al., (2024) mentioned the psychological, emotional, as well as social </w:t>
      </w:r>
      <w:r>
        <w:rPr>
          <w:rFonts w:ascii="Arial" w:hAnsi="Arial"/>
          <w:lang w:val="en-IN"/>
        </w:rPr>
        <w:lastRenderedPageBreak/>
        <w:t>dimensions of the people living with this type1 diabetes. Coping skills training, psychological intervention and motivational approaches are therefore important as complementary clinical management, which should support bio psychological perspective adopted in the review and interact with successful health outcomes. </w:t>
      </w:r>
    </w:p>
    <w:p w14:paraId="342BB9FB" w14:textId="77777777" w:rsidR="00874A36" w:rsidRDefault="00000000">
      <w:pPr>
        <w:spacing w:line="360" w:lineRule="auto"/>
        <w:jc w:val="both"/>
        <w:rPr>
          <w:rFonts w:ascii="Arial" w:hAnsi="Arial"/>
          <w:lang w:val="en-IN"/>
        </w:rPr>
      </w:pPr>
      <w:r>
        <w:rPr>
          <w:rFonts w:ascii="Arial" w:hAnsi="Arial"/>
          <w:lang w:val="en-IN"/>
        </w:rPr>
        <w:t>The review of the articles has also found health inequalities as a negative factor for the research, which might influence the effectiveness of management strategies. Access to technology and specialist support differs across various psycho-economic circumstances services available at digital literacy. As a result, Fallon et al. (2022) showed that the existence of technology support is not necessarily a meaningful approach for every adult to get equal benefit from it. In this regard, Hill-Briggs (2020) established an argument that determined how social determinants contribute toward diabetes management rather than considering individual patients and their behaviour for distinct outcomes.</w:t>
      </w:r>
    </w:p>
    <w:p w14:paraId="0C8A9FBD" w14:textId="77777777" w:rsidR="00874A36" w:rsidRDefault="00000000">
      <w:pPr>
        <w:spacing w:line="360" w:lineRule="auto"/>
        <w:jc w:val="both"/>
        <w:rPr>
          <w:rFonts w:ascii="Arial" w:hAnsi="Arial"/>
          <w:lang w:val="en-IN"/>
        </w:rPr>
      </w:pPr>
      <w:r>
        <w:rPr>
          <w:rFonts w:ascii="Arial" w:hAnsi="Arial"/>
          <w:lang w:val="en-IN"/>
        </w:rPr>
        <w:t> </w:t>
      </w:r>
      <w:r>
        <w:rPr>
          <w:rFonts w:ascii="Arial" w:hAnsi="Arial"/>
          <w:b/>
          <w:bCs/>
          <w:lang w:val="en-IN"/>
        </w:rPr>
        <w:t>Whether they meet expectations or not:</w:t>
      </w:r>
    </w:p>
    <w:p w14:paraId="3D1EC910" w14:textId="77777777" w:rsidR="00874A36" w:rsidRDefault="00000000">
      <w:pPr>
        <w:spacing w:line="360" w:lineRule="auto"/>
        <w:jc w:val="both"/>
        <w:rPr>
          <w:rFonts w:ascii="Arial" w:hAnsi="Arial"/>
          <w:lang w:val="en-IN"/>
        </w:rPr>
      </w:pPr>
      <w:r>
        <w:rPr>
          <w:rFonts w:ascii="Arial" w:hAnsi="Arial"/>
          <w:lang w:val="en-IN"/>
        </w:rPr>
        <w:t>After reviewing all the literature and interpreting the findings from the study, it can be stated that the result largely meets the expectation of this research topic or aim of the research that established literature review. It was expected to explore modern management approaches for diabetic patients so that we could benefit from glycemic control and QoL management. Existing literature supported the finding of the expectation, demonstrating glucose monitoring, health literacy development, insulin balance and psychological support. Similarly, it also identified self-management capacity, glycemic control and psychological well-being as the most important criteria to improve the overall patient outcome (Agarwal et al., 2020).</w:t>
      </w:r>
    </w:p>
    <w:p w14:paraId="61143584" w14:textId="77777777" w:rsidR="00874A36" w:rsidRDefault="00000000">
      <w:pPr>
        <w:spacing w:line="360" w:lineRule="auto"/>
        <w:jc w:val="both"/>
        <w:rPr>
          <w:rFonts w:ascii="Arial" w:hAnsi="Arial"/>
          <w:lang w:val="en-IN"/>
        </w:rPr>
      </w:pPr>
      <w:r>
        <w:rPr>
          <w:rFonts w:ascii="Arial" w:hAnsi="Arial"/>
          <w:lang w:val="en-IN"/>
        </w:rPr>
        <w:t>However, some of the articles delivered less straightforward information to make the expectation properly and focused on better clinical control. This particular review identified a persistent distinction between biomedical improvement and patient experience. It has been observed that technology can contribute to enhancing confidence as well as treatment flexibility, creating devices for others. In this case, the research of Grigorian et al. (2022) has been undertaken to show a direct relationship between reduced diabetic stress and the association between the insulin delivery process and quality of life. </w:t>
      </w:r>
    </w:p>
    <w:p w14:paraId="5F55E676" w14:textId="77777777" w:rsidR="00874A36" w:rsidRDefault="00000000">
      <w:pPr>
        <w:spacing w:line="360" w:lineRule="auto"/>
        <w:jc w:val="both"/>
        <w:rPr>
          <w:rFonts w:ascii="Arial" w:hAnsi="Arial"/>
          <w:lang w:val="en-IN"/>
        </w:rPr>
      </w:pPr>
      <w:r>
        <w:rPr>
          <w:rFonts w:ascii="Arial" w:hAnsi="Arial"/>
          <w:b/>
          <w:bCs/>
          <w:lang w:val="en-IN"/>
        </w:rPr>
        <w:t>Alternative explanations for findings:</w:t>
      </w:r>
    </w:p>
    <w:p w14:paraId="7D773114" w14:textId="77777777" w:rsidR="00874A36" w:rsidRDefault="00000000">
      <w:pPr>
        <w:spacing w:line="360" w:lineRule="auto"/>
        <w:jc w:val="both"/>
        <w:rPr>
          <w:rFonts w:ascii="Arial" w:hAnsi="Arial"/>
          <w:lang w:val="en-IN"/>
        </w:rPr>
      </w:pPr>
      <w:r>
        <w:rPr>
          <w:rFonts w:ascii="Arial" w:hAnsi="Arial"/>
          <w:lang w:val="en-IN"/>
        </w:rPr>
        <w:t xml:space="preserve">First, an alternative explanation could be that differences in QoL evaluation contributed to the variation of outcomes among the selected studies. The literature review addressed differences in intervention process, duration, QoL instruments and characteristics of the individuals, making the comparisons complicated. Therefore, inconsistent outcomes might have been presented partly due to the methodological differences. Now, the second, </w:t>
      </w:r>
      <w:r>
        <w:rPr>
          <w:rFonts w:ascii="Arial" w:hAnsi="Arial"/>
          <w:lang w:val="en-IN"/>
        </w:rPr>
        <w:lastRenderedPageBreak/>
        <w:t>alternative explanation has been recognised as short duration, as a shorter duration might present improvements in clinical outcomes with positive justification, but the results may differ hugely with long-term QoL benefits. Despite the lack of long-term evidence, the overall research showed that dynamic outcomes were sustained, and the positive outcome has been translated into effective management behaviour.</w:t>
      </w:r>
    </w:p>
    <w:p w14:paraId="60A2C1E7" w14:textId="77777777" w:rsidR="00874A36" w:rsidRDefault="00874A36">
      <w:pPr>
        <w:spacing w:line="360" w:lineRule="auto"/>
        <w:jc w:val="both"/>
        <w:rPr>
          <w:rFonts w:ascii="Arial" w:hAnsi="Arial"/>
          <w:lang w:val="en-US"/>
        </w:rPr>
      </w:pPr>
    </w:p>
    <w:p w14:paraId="5EF59BA6" w14:textId="77777777" w:rsidR="00874A36" w:rsidRDefault="00000000">
      <w:pPr>
        <w:pStyle w:val="Heading2"/>
      </w:pPr>
      <w:r>
        <w:t>5.2 Implications </w:t>
      </w:r>
    </w:p>
    <w:p w14:paraId="0F611C41" w14:textId="77777777" w:rsidR="00874A36" w:rsidRDefault="00000000">
      <w:pPr>
        <w:spacing w:line="360" w:lineRule="auto"/>
        <w:jc w:val="both"/>
        <w:rPr>
          <w:rFonts w:ascii="Arial" w:hAnsi="Arial"/>
          <w:lang w:val="en-IN"/>
        </w:rPr>
      </w:pPr>
      <w:r>
        <w:rPr>
          <w:rFonts w:ascii="Arial" w:hAnsi="Arial"/>
          <w:b/>
          <w:bCs/>
          <w:lang w:val="en-IN"/>
        </w:rPr>
        <w:t>Are the results consistent with previous studies?</w:t>
      </w:r>
    </w:p>
    <w:p w14:paraId="1B85A123" w14:textId="77777777" w:rsidR="00874A36" w:rsidRDefault="00000000">
      <w:pPr>
        <w:spacing w:line="360" w:lineRule="auto"/>
        <w:jc w:val="both"/>
        <w:rPr>
          <w:rFonts w:ascii="Arial" w:hAnsi="Arial"/>
          <w:lang w:val="en-IN"/>
        </w:rPr>
      </w:pPr>
      <w:r>
        <w:rPr>
          <w:rFonts w:ascii="Arial" w:hAnsi="Arial"/>
          <w:lang w:val="en-IN"/>
        </w:rPr>
        <w:t>The results of the research are consistent with previous studies; hence, the undertaken articles are relevant, supportive and data-rich evidence. These findings correspond with Alfadli et al. (2025), Auzanneau et al. (2023) and Grigorian et al. (2022), who effectively addressed clinical and psychosocial benefits from advanced technologies. However, limited access to quality of life due to variation in social and economic environment and conventional treatment sometimes failed to improve equal outcomes. The findings also highlighted different disadvantages that adults have experienced, has been identified within the study of (Hill-Briggs, 2020). As a result, this suggests management of outcomes should require structural as well as financial influence for opportunities of self-management instead of individual adherence to technology or other barriers.</w:t>
      </w:r>
    </w:p>
    <w:p w14:paraId="7083860B" w14:textId="77777777" w:rsidR="00874A36" w:rsidRDefault="00000000">
      <w:pPr>
        <w:spacing w:line="360" w:lineRule="auto"/>
        <w:jc w:val="both"/>
        <w:rPr>
          <w:rFonts w:ascii="Arial" w:hAnsi="Arial"/>
          <w:lang w:val="en-IN"/>
        </w:rPr>
      </w:pPr>
      <w:r>
        <w:rPr>
          <w:rFonts w:ascii="Arial" w:hAnsi="Arial"/>
          <w:b/>
          <w:bCs/>
          <w:lang w:val="en-IN"/>
        </w:rPr>
        <w:t>Do the results support or challenge an existing theory?</w:t>
      </w:r>
    </w:p>
    <w:p w14:paraId="00BA3508" w14:textId="77777777" w:rsidR="00874A36" w:rsidRDefault="00000000">
      <w:pPr>
        <w:spacing w:line="360" w:lineRule="auto"/>
        <w:jc w:val="both"/>
        <w:rPr>
          <w:rFonts w:ascii="Arial" w:hAnsi="Arial"/>
          <w:lang w:val="en-IN"/>
        </w:rPr>
      </w:pPr>
      <w:r>
        <w:rPr>
          <w:rFonts w:ascii="Arial" w:hAnsi="Arial"/>
          <w:lang w:val="en-IN"/>
        </w:rPr>
        <w:t>The findings and overall research broadly support both the Health Belief Model as well as the Self-Management Theoretical frameworks. Moreover, self-efficacy, literacy development, peer support and psychological interventions have helped improve engagement along with coping strategies. These factors have supported the overall significance of individual beliefs and capabilities. Nevertheless, the findings also challenged a biomedical interpretation, as psychological improvements have not established any consistent correspondence with HbA1c. As a consequence, the strongest implication was that UK T1D care should be followed by integrated clinical technology and personalised education to create greater psychological support and equitable access. </w:t>
      </w:r>
    </w:p>
    <w:p w14:paraId="02913014" w14:textId="77777777" w:rsidR="00874A36" w:rsidRDefault="00874A36">
      <w:pPr>
        <w:spacing w:line="360" w:lineRule="auto"/>
        <w:rPr>
          <w:lang w:val="en-US"/>
        </w:rPr>
      </w:pPr>
    </w:p>
    <w:p w14:paraId="16EE1D4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Why Do These Results Matter</w:t>
      </w:r>
    </w:p>
    <w:p w14:paraId="47E5D9A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research results are important as they prove that the successful management of Type 1 Diabetes cannot be attributed to clinical treatment. Although advanced technologies have a positive impact on HbA1c, time-in-range and hypoglycaemia, the results of Alfadli et al. </w:t>
      </w:r>
      <w:r>
        <w:rPr>
          <w:rFonts w:ascii="Arial" w:eastAsia="Times New Roman" w:hAnsi="Arial"/>
          <w:bCs/>
          <w:color w:val="000000"/>
          <w:lang w:val="en-IN"/>
        </w:rPr>
        <w:lastRenderedPageBreak/>
        <w:t>(2025) and Jeyam et al. (2021) show that both post-outcomes are maximised when the patients have the opportunity to access and continue to use the technology. Conversely, Fallon et al. (2022) discovered that deprivation diminished the technology uptake, despite glycaemic benefit being similar after the use of technology. This demonstrates that outcome disparities could partially be due to unequal access but not clinical ineffectiveness.</w:t>
      </w:r>
    </w:p>
    <w:p w14:paraId="57DB0D2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This also does not align with a strictly biomedical definition of success. Wijk et al. (2023) found that the HbA1c did not significantly change with the change in psychological flexibility, whereas Rosner and Roman-Urrestarazu (2019) did not report a significant change in the quality-of-life intervention in the pump therapy as compared to using multiple daily injections. This implies that improved metabolic control may not necessarily translate into improved wellbeing and thus the multidimensional strategy of effective disease management. </w:t>
      </w:r>
    </w:p>
    <w:p w14:paraId="09958078"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Practical Implications</w:t>
      </w:r>
    </w:p>
    <w:p w14:paraId="476E3E8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Practically, a more tightly knuckled and person-focused model of diabetes care in the UK is warranted by the evidence. Services cannot stand on their own based on technology, but should be combined with clinical supervision and organised education, psychological assistance and social intervention. According to Heller et al. (2020), self-management can be enhanced with the help of structured education, and Jacob et al. (2022) show that despite optimised treatment, maladaptive beliefs, anxiety, and fear of hypoglycaemia can remain. This means that psychological assessment should be incorporated into the normal diabetes pathways as opposed to a supplement.</w:t>
      </w:r>
    </w:p>
    <w:p w14:paraId="6B60BC9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results also suggest that the digital and socioeconomic disparities should be included in the policy of the NHS as well as the expansion of technology. There can be equality in reimbursement, online education, flexibility in learning and special consideration for deprived groups, which can improve access and success. On balance, the coordinated, person-centred approach to care seems to be the best option, since the isolated interventions based on either clinical or psychosocial approaches do not seem sufficient in isolation. </w:t>
      </w:r>
    </w:p>
    <w:p w14:paraId="792F017B" w14:textId="77777777" w:rsidR="00874A36" w:rsidRDefault="00000000">
      <w:pPr>
        <w:pStyle w:val="Heading2"/>
      </w:pPr>
      <w:r>
        <w:t>5.3 Limitations </w:t>
      </w:r>
    </w:p>
    <w:p w14:paraId="1B58C0CD"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What the Results Cannot Tell Us</w:t>
      </w:r>
    </w:p>
    <w:p w14:paraId="36E9285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findings acknowledge recurring relationships between clinical, behaviour, socioeconomic and psychosocial factors, but cannot ascertain high causality. The evidence synthesis of the review, based on the fact that the studies possessed different designs, populations and outcome measures,s cannot prove that one specific factor contributed to the effects, positive or negative, on the Type 1 Diabetes outcomes. In illustration, higher wellbeing and the utilisation of technology may as well signify higher involvement, improved </w:t>
      </w:r>
      <w:r>
        <w:rPr>
          <w:rFonts w:ascii="Arial" w:eastAsia="Times New Roman" w:hAnsi="Arial"/>
          <w:bCs/>
          <w:color w:val="000000"/>
          <w:lang w:val="en-IN"/>
        </w:rPr>
        <w:lastRenderedPageBreak/>
        <w:t>health care or socioeconomic advantage. The methodology in itself acknowledges this as a limitation to make direct comparisons because of heterogeneity and dissimilarity within as well as between study designs and outcome measures. </w:t>
      </w:r>
    </w:p>
    <w:p w14:paraId="29BDE129"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Limited Generalisability</w:t>
      </w:r>
    </w:p>
    <w:p w14:paraId="74739AE9"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review design and evidence base also limit generalisability. The evidence used in the study in question was limited to that of adults with Type 1 Diabetes, with a preference for those that are relevant to the UK healthcare context, which implies that such results are unlikely to be generalisable to children, adolescents and healthcare services with a different framework of provision and service design. Additionally, only English-language publications were included, which may have omitted any potential international evidence. The review has also been based on secondary data, and the sampling, data quality and measurement have not been under control.</w:t>
      </w:r>
    </w:p>
    <w:p w14:paraId="120AE59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Another weakness is that different measures of HbA1c, quality of life, distress, adherence and technology use were included in the literature used. As a result, the findings were capable of being compared thematically as opposed to quantitatively and with varying levels of confidence across studies. This discredits the prospects of appraising the potency of impacts. </w:t>
      </w:r>
    </w:p>
    <w:p w14:paraId="4717935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Potentially Relevant Variables Not Fully Accounted For</w:t>
      </w:r>
    </w:p>
    <w:p w14:paraId="6E7D8D7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There are a number of potentially notable variables that were not always taken into account in the review studies. They are ethnicity, years living with diabetes, comorbidities, years of variation in NHS services among the regions, health literacy, trust in digital technology, work pattern and family circumstances. Granted that certain researches studied them independently, no examination was carried out on them with enough consistency to determine their independent impact.</w:t>
      </w:r>
    </w:p>
    <w:p w14:paraId="61A8BB8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Likewise, not the entirety of the psychological resilience and exhaustion of the devices and adjustments of treatment choices were always being reported in the long-term. It has already been proven in the literature that there is a confluence of socioeconomic status, behavioural adaptation and psychosocial wellbeing in clinical management, but they have largely been tackled independently of one another in the literature. </w:t>
      </w:r>
    </w:p>
    <w:p w14:paraId="2130591C" w14:textId="77777777" w:rsidR="00874A36" w:rsidRDefault="00000000">
      <w:pPr>
        <w:spacing w:line="360" w:lineRule="auto"/>
        <w:rPr>
          <w:rFonts w:ascii="Arial" w:eastAsia="Times New Roman" w:hAnsi="Arial"/>
          <w:b/>
          <w:color w:val="000000"/>
        </w:rPr>
      </w:pPr>
      <w:r>
        <w:br w:type="page"/>
      </w:r>
    </w:p>
    <w:p w14:paraId="56D739D3" w14:textId="77777777" w:rsidR="00874A36" w:rsidRDefault="00000000">
      <w:pPr>
        <w:pStyle w:val="Heading1"/>
      </w:pPr>
      <w:bookmarkStart w:id="74" w:name="_Toc239687648"/>
      <w:r>
        <w:lastRenderedPageBreak/>
        <w:t>Chapter 6: Conclusion</w:t>
      </w:r>
      <w:bookmarkEnd w:id="74"/>
      <w:r>
        <w:t>   </w:t>
      </w:r>
    </w:p>
    <w:p w14:paraId="19D22567" w14:textId="77777777" w:rsidR="00874A36" w:rsidRDefault="00000000">
      <w:pPr>
        <w:pStyle w:val="Heading2"/>
      </w:pPr>
      <w:r>
        <w:t>6.1 Answering the main research question </w:t>
      </w:r>
    </w:p>
    <w:p w14:paraId="2DF19A6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overall conclusion of this systematic review is that the clinical effectiveness, self-management behaviour, psychological wellbeing, socioeconomic circumstances and access to healthcare are those that can dictate whether Type 1 Diabetes can be controlled effectively among adults in the UK rather than any single intervention. This directly answers the purpose of the study, which is to critically assess the different determinants of disease management and improved health outcomes.</w:t>
      </w:r>
    </w:p>
    <w:p w14:paraId="28BD9E9D"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Frequent glucose monitoring, insulin pumps and hybrid closed-loop devices, along with clinical and technological improvements, provide considerable improvements in glycaemic control, and they can suppress the effects of hypoglycaemia and the burden of treatments. The results, however, have shown that clinical efficacy does not necessarily lead to equal quality of life improvements. Obstacles to access and persistent usage might include deprivation, digital exclusion, financial situations and personal acceptance. As reflected in the review, access to effective technology, as well as the ability to utilise it, varies; there may be worse access among susceptible adults who are disadvantaged but may be disadvantaged with respect to clinical benefits.</w:t>
      </w:r>
    </w:p>
    <w:p w14:paraId="0D7AB92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results are further altered by behavioural and psychological factors. Treatment adherence, self-efficacy, diabetes acceptance and social support can help in self-management, and hampered by the occurrence of distress, fear of hypoglycaemia, competing life responsibilities and treatment burden can help in self-management and hamper it respectively. It is important to note that psychological improvement is not necessarily accompanied by similar changes in HbA1c, which evidences the lack of comprehensiveness of clinical indicators.</w:t>
      </w:r>
    </w:p>
    <w:p w14:paraId="381E48B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Consequently, it was the evidence of the person-centred and integrated approach and not a personal reliance on technology or on insulin management per se. The sustainable improvement includes the fusion of clinical therapy and planning, teaching, psychological support, and behavioural therapy, equal access to technology and multidisciplinary care sustainability. </w:t>
      </w:r>
    </w:p>
    <w:p w14:paraId="7CD860C1" w14:textId="77777777" w:rsidR="00874A36" w:rsidRDefault="00000000">
      <w:pPr>
        <w:pStyle w:val="Heading2"/>
      </w:pPr>
      <w:r>
        <w:t>6.2 Reflect on the research </w:t>
      </w:r>
    </w:p>
    <w:p w14:paraId="1404C8D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Effectiveness of the Research Approach</w:t>
      </w:r>
    </w:p>
    <w:p w14:paraId="169AD72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The systematic literature review proved to be quite useful in addressing the research questions since it has allowed comparing the evidence of various study designs across socioeconomic disparities, self-management, treatment effectiveness and physical, </w:t>
      </w:r>
      <w:r>
        <w:rPr>
          <w:rFonts w:ascii="Arial" w:eastAsia="Times New Roman" w:hAnsi="Arial"/>
          <w:bCs/>
          <w:color w:val="000000"/>
          <w:lang w:val="en-IN"/>
        </w:rPr>
        <w:lastRenderedPageBreak/>
        <w:t>psychological and social outcomes. Several databases, pre-formatted eligibility criteria, PRISMA and quality-appraisal tools that are recognised ensured greater transparency and reduced selection bias. The thematic analysis was particularly appropriate as it gave the opportunity to synthesise the qualitative and quantitative findings and expose some similarities, contradictions and regular tendencies. Nonetheless, the lack of heterogeneity in the study designs, populations and outcome measures inhibited the effectiveness since direct comparisons and causal inferences could not be made.</w:t>
      </w:r>
    </w:p>
    <w:p w14:paraId="4D3B9E5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New Questions and Unexpected Insights</w:t>
      </w:r>
    </w:p>
    <w:p w14:paraId="033781C0"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One of the areas that I learned during the review was that enhanced quality of life does not necessarily lead to enhanced clinical outcomes. It casts doubt on a more biomedical view of a successful approach to the management of diabetes and raises the issue of whether HbA1c and time in range measures should be prioritised over interpretation of the psychological and patient-reported outcomes by NHS services.</w:t>
      </w:r>
    </w:p>
    <w:p w14:paraId="0379510F"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other unanticipated issue was the diabetes technology paradox. Even though some technologies may be used to enhance clinical outcomes, socioeconomic deprivation and digital exclusion may eventually limit their use; hence, technological innovation may further increase instead of reducing the inequality. This raises new doubts as to whether growth in technologies in itself is a fair standpoint amongst the UK population. </w:t>
      </w:r>
    </w:p>
    <w:p w14:paraId="602769AB" w14:textId="77777777" w:rsidR="00874A36" w:rsidRDefault="00000000">
      <w:pPr>
        <w:pStyle w:val="Heading2"/>
      </w:pPr>
      <w:r>
        <w:t>6.3 Recommendations </w:t>
      </w:r>
    </w:p>
    <w:p w14:paraId="630D9EF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Recommendations for Clinical Practice</w:t>
      </w:r>
    </w:p>
    <w:p w14:paraId="1C97B908"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findings suggest that it may be useful to better relocate the UK services on diabetes towards a closer association with person-centred and integrated management rather than the measurement of successful care through HbA1c and other biomedical outcomes. Structured diabetes education can be used more in conjunction with the use of psychological assessment, behavioural support and individualised clinical management. This approach would consider the fact that diabetes distress, fear of hypoglycaemia, self-efficacy and treatment burden can affect patients in dissimilar regards to the sustainability of self-management. The review demonstrates that clinical outcomes and psychological wellbeing might not improve equally, which advocates the wide use of ways of measuring the success of the treatment. </w:t>
      </w:r>
    </w:p>
    <w:p w14:paraId="03A218D7"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Improving Equitable Access to Diabetes Technology</w:t>
      </w:r>
    </w:p>
    <w:p w14:paraId="7C9F94AB"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NHS services and policymakers can consider focusing more on strengthening policies with the aim of reducing socioeconomic and digital inequalities when it comes to CGM, Insulin pumps and hybrid closed-loop access. The findings reveal that deprivation is correlated with </w:t>
      </w:r>
      <w:r>
        <w:rPr>
          <w:rFonts w:ascii="Arial" w:eastAsia="Times New Roman" w:hAnsi="Arial"/>
          <w:bCs/>
          <w:color w:val="000000"/>
          <w:lang w:val="en-IN"/>
        </w:rPr>
        <w:lastRenderedPageBreak/>
        <w:t>decreased usage of technology even though the needy patients are likely to achieve similar glycaemic benefits from the use of technologies. Some examples of things that could be included in the category of support include digital-skills support, available technology education, and support for underserved groups. It is worth noting that the range of support in technology use should be enhanced with a consideration of individual preferences, capacity and the weight of treatment, should it make use of devices in an environmentally friendly way. </w:t>
      </w:r>
    </w:p>
    <w:p w14:paraId="1117568A"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Strengthening Continuity and Multidisciplinary Support</w:t>
      </w:r>
    </w:p>
    <w:p w14:paraId="475FADB2"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NHS services and policymakers can consider focusing more on strengthening policies with the aim of reducing socioeconomic and digital inequalities when it comes to CGM, Insulin pumps and hybrid closed-loop access. The findings reveal that deprivation is correlated with decreased usage of technology even though needy patients are likely to achieve similar glycaemic benefits from the focused technologies. Some examples of things that could be included in the category of support include digital-skills support, available technology education, and support of underserved groups. It is worth noting that the range of summation in technology years should be enhanced with a consideration of individual preferences, capacity and the weight of treatment should it make use of devices in an environmentally friendly way. </w:t>
      </w:r>
    </w:p>
    <w:p w14:paraId="3C975D08"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
          <w:bCs/>
          <w:color w:val="000000"/>
          <w:lang w:val="en-IN"/>
        </w:rPr>
        <w:t>Recommendations for Future Research</w:t>
      </w:r>
    </w:p>
    <w:p w14:paraId="15D8CDC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Future studies should focus on how to integrate clinical, behavioural, psychological and socioeconomic interventions with the expectation of achieving the best long-term effects. The available literature tends to investigate these dimensions independently, hence limiting an understanding of how these dimensions interact in diabetes management in real-life situations. Future longitudinal studies in the UK can focus on adults selecting different mixes of technology, lecture classes and psychological intervention and determine whether their glycaemic control can be maintained and what the benefits of such changes are on their quality of life.</w:t>
      </w:r>
    </w:p>
    <w:p w14:paraId="395C1FC5"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Research could also engage in a specific recruitment of people with socioeconomic status, ethnicity, and regionality in the UK, age and level of digital literacy to see whether the interventions can have a similar impact on the different populations. Finally, consistent patient-reported outcomes should be added to the list of HbA1c, time-in-range and hypoglycaemia to be used in future studies. This would help to establish such evidence gaps as to whether clinically effective interventions improve emotional wellbeing, treatment satisfaction, social functioning and everyday life, one of the key evidence gaps that were identified by this review. </w:t>
      </w:r>
    </w:p>
    <w:p w14:paraId="1E3B8A6E" w14:textId="77777777" w:rsidR="00874A36" w:rsidRDefault="00000000">
      <w:pPr>
        <w:pStyle w:val="Heading2"/>
      </w:pPr>
      <w:r>
        <w:lastRenderedPageBreak/>
        <w:t>6.4 Contribution </w:t>
      </w:r>
    </w:p>
    <w:p w14:paraId="6D3A6AD6" w14:textId="77777777" w:rsidR="00874A36" w:rsidRDefault="00000000">
      <w:pPr>
        <w:spacing w:line="360" w:lineRule="auto"/>
        <w:jc w:val="both"/>
        <w:rPr>
          <w:rFonts w:ascii="Arial" w:eastAsia="Times New Roman" w:hAnsi="Arial"/>
          <w:b/>
          <w:bCs/>
          <w:color w:val="000000"/>
          <w:lang w:val="en-IN"/>
        </w:rPr>
      </w:pPr>
      <w:r>
        <w:rPr>
          <w:rFonts w:ascii="Arial" w:eastAsia="Times New Roman" w:hAnsi="Arial"/>
          <w:b/>
          <w:bCs/>
          <w:color w:val="000000"/>
          <w:lang w:val="en-IN"/>
        </w:rPr>
        <w:t>Contribution to Knowledge</w:t>
      </w:r>
    </w:p>
    <w:p w14:paraId="75217B84"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The research on the topic is important nowadays because the systematic review includes clinical, behavioural, psychological and socioeconomic findings as opposed to addressing these aspects of Type 1 Diabetes management independently. In contemporary research, technologies and education, psychosocial intervention or inequalities are frequently studied separately, with little contribution made to the interactions among these two and the effect of relationships between them on the process of disease management in everyday life. The amalgamation of these perspectives can help the review demonstrate that glycaemic results cannot determine effective management. Instead, the durability of results depends on the combination of successful treatment, working abilities and mental health, societal status and the ability to receive adequate medical care.</w:t>
      </w:r>
    </w:p>
    <w:p w14:paraId="208C66D3"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Among the contributions made that are particularly vital, one can mention the definition of the difference between clinical effectiveness and real accessibility, among others. Although diabetes technologies may provide great clinical benefit, it has been demonstrated that socioeconomic deprivation and digital exclusion may restrict their usage. The research therefore further expands information about the question of whether an intervention is effective, to whom it is effective, under what circumstances, and whether the benefits available are equally distributed.</w:t>
      </w:r>
    </w:p>
    <w:p w14:paraId="45516779" w14:textId="77777777" w:rsidR="00874A36" w:rsidRDefault="00000000">
      <w:pPr>
        <w:spacing w:line="360" w:lineRule="auto"/>
        <w:jc w:val="both"/>
        <w:rPr>
          <w:rFonts w:ascii="Arial" w:eastAsia="Times New Roman" w:hAnsi="Arial"/>
          <w:b/>
          <w:bCs/>
          <w:color w:val="000000"/>
          <w:lang w:val="en-IN"/>
        </w:rPr>
      </w:pPr>
      <w:r>
        <w:rPr>
          <w:rFonts w:ascii="Arial" w:eastAsia="Times New Roman" w:hAnsi="Arial"/>
          <w:b/>
          <w:bCs/>
          <w:color w:val="000000"/>
          <w:lang w:val="en-IN"/>
        </w:rPr>
        <w:t>Significance of the Research</w:t>
      </w:r>
    </w:p>
    <w:p w14:paraId="5EFB56FC"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This research is significant as it has established an internalised basis of quality of life as an effective method towards determining clinical intervention in the management of diabetes and also HbA1c, hypoglycaemia, among other clinical signs. This addresses a gap, which was present in previous research where patient-centred outcomes, such as emotional wellbeing, treatment satisfaction and social participation, have received less concerted attention.</w:t>
      </w:r>
    </w:p>
    <w:p w14:paraId="6B44ED11"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Overall, the review presents an additional point in favour of the presence of person-centred, multidisciplinary and equitable T1D care in the UK. The key contribution is to demonstrate that technological advancements cannot serve as an adequate prescription without clinical innovation that needs to be sustainable and perform its duties with behavioural assistance, psychological care, teaching, continuity of treatment and consideration of socioeconomic disparity. </w:t>
      </w:r>
    </w:p>
    <w:p w14:paraId="4E47981E" w14:textId="77777777" w:rsidR="00874A36" w:rsidRDefault="00000000">
      <w:pPr>
        <w:spacing w:line="360" w:lineRule="auto"/>
        <w:jc w:val="both"/>
        <w:rPr>
          <w:rFonts w:ascii="Arial" w:hAnsi="Arial"/>
        </w:rPr>
      </w:pPr>
      <w:r>
        <w:rPr>
          <w:rFonts w:ascii="Arial" w:eastAsia="Times New Roman" w:hAnsi="Arial"/>
          <w:bCs/>
          <w:color w:val="000000"/>
          <w:lang w:val="en-IN"/>
        </w:rPr>
        <w:br/>
      </w:r>
      <w:r>
        <w:rPr>
          <w:rFonts w:ascii="Arial" w:eastAsia="Times New Roman" w:hAnsi="Arial"/>
          <w:bCs/>
          <w:color w:val="000000"/>
          <w:lang w:val="en-IN"/>
        </w:rPr>
        <w:br/>
      </w:r>
      <w:r>
        <w:rPr>
          <w:rFonts w:ascii="Arial" w:eastAsia="Times New Roman" w:hAnsi="Arial"/>
          <w:bCs/>
          <w:color w:val="000000"/>
          <w:lang w:val="en-IN"/>
        </w:rPr>
        <w:lastRenderedPageBreak/>
        <w:br/>
      </w:r>
    </w:p>
    <w:p w14:paraId="2BA382F4" w14:textId="77777777" w:rsidR="00874A36" w:rsidRDefault="00000000">
      <w:pPr>
        <w:pStyle w:val="Heading1"/>
      </w:pPr>
      <w:bookmarkStart w:id="75" w:name="_Toc239687649"/>
      <w:r>
        <w:t>Reference list</w:t>
      </w:r>
      <w:bookmarkEnd w:id="75"/>
      <w:r>
        <w:t xml:space="preserve"> </w:t>
      </w:r>
    </w:p>
    <w:p w14:paraId="3AE38C21" w14:textId="77777777" w:rsidR="00874A36" w:rsidRDefault="00000000">
      <w:pPr>
        <w:pStyle w:val="Normal1"/>
        <w:spacing w:line="360" w:lineRule="auto"/>
        <w:jc w:val="both"/>
      </w:pPr>
      <w:r>
        <w:rPr>
          <w:rFonts w:eastAsia="Times New Roman"/>
          <w:highlight w:val="white"/>
          <w:lang w:val="en-GB"/>
        </w:rPr>
        <w:t xml:space="preserve">Alissa, N. and Al Zahrani, S., (2025). Psychological predictors of diabetic ketoacidosis in children: Health belief model-based case-control study. </w:t>
      </w:r>
      <w:r>
        <w:rPr>
          <w:rFonts w:eastAsia="Times New Roman"/>
          <w:i/>
          <w:iCs/>
          <w:highlight w:val="white"/>
          <w:lang w:val="en-GB"/>
        </w:rPr>
        <w:t>World Journal of Diabetes</w:t>
      </w:r>
      <w:r>
        <w:rPr>
          <w:rFonts w:eastAsia="Times New Roman"/>
          <w:highlight w:val="white"/>
          <w:lang w:val="en-GB"/>
        </w:rPr>
        <w:t xml:space="preserve">, </w:t>
      </w:r>
      <w:r>
        <w:rPr>
          <w:rFonts w:eastAsia="Times New Roman"/>
          <w:i/>
          <w:iCs/>
          <w:highlight w:val="white"/>
          <w:lang w:val="en-GB"/>
        </w:rPr>
        <w:t>16</w:t>
      </w:r>
      <w:r>
        <w:rPr>
          <w:rFonts w:eastAsia="Times New Roman"/>
          <w:highlight w:val="white"/>
          <w:lang w:val="en-GB"/>
        </w:rPr>
        <w:t xml:space="preserve">(8), p.110088. </w:t>
      </w:r>
      <w:hyperlink r:id="rId25" w:history="1">
        <w:r w:rsidR="00874A36">
          <w:rPr>
            <w:rFonts w:eastAsia="Times New Roman"/>
            <w:highlight w:val="white"/>
            <w:u w:val="single"/>
            <w:lang w:val="en-GB"/>
          </w:rPr>
          <w:t>10.4239/wjd.v16.i8.110088</w:t>
        </w:r>
      </w:hyperlink>
    </w:p>
    <w:p w14:paraId="46839E63"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Alliston, P., Jovkovic, M., Khalid, S., Fitzpatrick-Lewis, D., Ali, M.U. and Sherifali, D., (2024). The effects of diabetes self-management programs on clinical and patient reported outcomes in older adults: a systematic review and meta-analysis. </w:t>
      </w:r>
      <w:r>
        <w:rPr>
          <w:rFonts w:eastAsia="Times New Roman"/>
          <w:i/>
          <w:iCs/>
          <w:highlight w:val="white"/>
          <w:lang w:val="en-GB"/>
        </w:rPr>
        <w:t>Frontiers in Clinical Diabetes and Healthcare</w:t>
      </w:r>
      <w:r>
        <w:rPr>
          <w:rFonts w:eastAsia="Times New Roman"/>
          <w:highlight w:val="white"/>
          <w:lang w:val="en-GB"/>
        </w:rPr>
        <w:t xml:space="preserve">, </w:t>
      </w:r>
      <w:r>
        <w:rPr>
          <w:rFonts w:eastAsia="Times New Roman"/>
          <w:i/>
          <w:iCs/>
          <w:highlight w:val="white"/>
          <w:lang w:val="en-GB"/>
        </w:rPr>
        <w:t>5</w:t>
      </w:r>
      <w:r>
        <w:rPr>
          <w:rFonts w:eastAsia="Times New Roman"/>
          <w:highlight w:val="white"/>
          <w:lang w:val="en-GB"/>
        </w:rPr>
        <w:t>, p.1348104. h</w:t>
      </w:r>
      <w:hyperlink r:id="rId26" w:history="1">
        <w:r w:rsidR="00874A36">
          <w:rPr>
            <w:rFonts w:eastAsia="Times New Roman"/>
            <w:highlight w:val="white"/>
            <w:u w:val="single"/>
            <w:lang w:val="en-GB"/>
          </w:rPr>
          <w:t>ttps://doi.org/10.3389/fcdhc.2024.1348104</w:t>
        </w:r>
      </w:hyperlink>
    </w:p>
    <w:p w14:paraId="426011FC" w14:textId="77777777" w:rsidR="00874A36" w:rsidRDefault="00000000">
      <w:pPr>
        <w:spacing w:line="360" w:lineRule="auto"/>
        <w:rPr>
          <w:rFonts w:ascii="Arial" w:hAnsi="Arial"/>
          <w:highlight w:val="white"/>
        </w:rPr>
      </w:pPr>
      <w:r>
        <w:rPr>
          <w:rFonts w:ascii="Arial" w:hAnsi="Arial"/>
          <w:highlight w:val="white"/>
        </w:rPr>
        <w:t>Almabadi, R., Doi, L., Chandler, C. and Alamri, H. (2025). Self</w:t>
      </w:r>
      <w:r>
        <w:rPr>
          <w:rFonts w:ascii="Cambria Math" w:hAnsi="Cambria Math"/>
          <w:highlight w:val="white"/>
        </w:rPr>
        <w:t>‐</w:t>
      </w:r>
      <w:r>
        <w:rPr>
          <w:rFonts w:ascii="Arial" w:hAnsi="Arial"/>
          <w:highlight w:val="white"/>
        </w:rPr>
        <w:t xml:space="preserve">Management Interventions in Young Adults (18–30 Years) With Type 1 Diabetes, Sickle Cell Disease, and Inflammatory Bowel Disease: A Scoping Review. </w:t>
      </w:r>
      <w:r>
        <w:rPr>
          <w:rFonts w:ascii="Arial" w:hAnsi="Arial"/>
          <w:i/>
          <w:iCs/>
          <w:highlight w:val="white"/>
        </w:rPr>
        <w:t>Chronic Diseases and Translational Medicine</w:t>
      </w:r>
      <w:r>
        <w:rPr>
          <w:rFonts w:ascii="Arial" w:hAnsi="Arial"/>
          <w:highlight w:val="white"/>
        </w:rPr>
        <w:t>, 12(1). doi:10.1002/cdt3.70032.</w:t>
      </w:r>
    </w:p>
    <w:p w14:paraId="7A9EB81A" w14:textId="77777777" w:rsidR="00874A36" w:rsidRDefault="00000000">
      <w:pPr>
        <w:spacing w:line="360" w:lineRule="auto"/>
        <w:rPr>
          <w:rFonts w:ascii="Arial" w:hAnsi="Arial"/>
          <w:highlight w:val="white"/>
          <w:lang w:val="en-IN"/>
        </w:rPr>
      </w:pPr>
      <w:r>
        <w:rPr>
          <w:rFonts w:ascii="Arial" w:hAnsi="Arial"/>
          <w:highlight w:val="white"/>
          <w:lang w:val="en-IN"/>
        </w:rPr>
        <w:t xml:space="preserve">Amjad, A., Kordel, P. and Fernandes, G., (2023). The systematic review in the field of management sciences. </w:t>
      </w:r>
      <w:r>
        <w:rPr>
          <w:rFonts w:ascii="Arial" w:hAnsi="Arial"/>
          <w:i/>
          <w:iCs/>
          <w:highlight w:val="white"/>
          <w:lang w:val="en-IN"/>
        </w:rPr>
        <w:t>Zeszyty Naukowe. Organizacja i Zarządzanie/Politechnika Śląska</w:t>
      </w:r>
      <w:r>
        <w:rPr>
          <w:rFonts w:ascii="Arial" w:hAnsi="Arial"/>
          <w:highlight w:val="white"/>
          <w:lang w:val="en-IN"/>
        </w:rPr>
        <w:t xml:space="preserve">. </w:t>
      </w:r>
      <w:hyperlink r:id="rId27" w:history="1">
        <w:r w:rsidR="00874A36">
          <w:rPr>
            <w:rStyle w:val="Hyperlink"/>
            <w:rFonts w:ascii="Arial" w:hAnsi="Arial"/>
            <w:highlight w:val="white"/>
            <w:lang w:val="en-IN"/>
          </w:rPr>
          <w:t>https://yadda.icm.edu.pl/baztech/element/bwmeta1.element.baztech-12a05f97-6339-4215-a0a7-cb6e0963c108</w:t>
        </w:r>
      </w:hyperlink>
      <w:r>
        <w:rPr>
          <w:rFonts w:ascii="Arial" w:hAnsi="Arial"/>
          <w:highlight w:val="white"/>
          <w:lang w:val="en-IN"/>
        </w:rPr>
        <w:t> </w:t>
      </w:r>
    </w:p>
    <w:p w14:paraId="3609A931"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Ashraf, M.N., Cheng, A.Y. and Robinson, D.J., (2024). Emotional, psychological, and social well-being experience of long-term living with type 1 diabetes mellitus: a patient–psychiatrist–endocrinologist perspective. </w:t>
      </w:r>
      <w:r>
        <w:rPr>
          <w:rFonts w:eastAsia="Times New Roman"/>
          <w:i/>
          <w:iCs/>
          <w:highlight w:val="white"/>
          <w:lang w:val="en-GB"/>
        </w:rPr>
        <w:t>Diabetes Therapy</w:t>
      </w:r>
      <w:r>
        <w:rPr>
          <w:rFonts w:eastAsia="Times New Roman"/>
          <w:highlight w:val="white"/>
          <w:lang w:val="en-GB"/>
        </w:rPr>
        <w:t xml:space="preserve">, </w:t>
      </w:r>
      <w:r>
        <w:rPr>
          <w:rFonts w:eastAsia="Times New Roman"/>
          <w:i/>
          <w:iCs/>
          <w:highlight w:val="white"/>
          <w:lang w:val="en-GB"/>
        </w:rPr>
        <w:t>15</w:t>
      </w:r>
      <w:r>
        <w:rPr>
          <w:rFonts w:eastAsia="Times New Roman"/>
          <w:highlight w:val="white"/>
          <w:lang w:val="en-GB"/>
        </w:rPr>
        <w:t>(2), pp.317-323.</w:t>
      </w:r>
      <w:hyperlink r:id="rId28" w:history="1">
        <w:r w:rsidR="00874A36">
          <w:rPr>
            <w:rFonts w:eastAsia="Times New Roman"/>
            <w:highlight w:val="white"/>
            <w:lang w:val="en-GB"/>
          </w:rPr>
          <w:t xml:space="preserve"> </w:t>
        </w:r>
      </w:hyperlink>
      <w:hyperlink r:id="rId29" w:history="1">
        <w:r w:rsidR="00874A36">
          <w:rPr>
            <w:rFonts w:eastAsia="Times New Roman"/>
            <w:highlight w:val="white"/>
            <w:u w:val="single"/>
            <w:lang w:val="en-GB"/>
          </w:rPr>
          <w:t>https://doi.org/10.1007/s13300-023-01527-w</w:t>
        </w:r>
      </w:hyperlink>
    </w:p>
    <w:p w14:paraId="2BAC9E6F"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Atkinson, M.A. and Mirmira, R.G., (2023). The pathogenic “symphony” in type 1 diabetes: a disorder of the immune system, β cells, and exocrine pancreas. </w:t>
      </w:r>
      <w:r>
        <w:rPr>
          <w:rFonts w:eastAsia="Times New Roman"/>
          <w:i/>
          <w:iCs/>
          <w:highlight w:val="white"/>
          <w:lang w:val="en-GB"/>
        </w:rPr>
        <w:t>Cell metabolism</w:t>
      </w:r>
      <w:r>
        <w:rPr>
          <w:rFonts w:eastAsia="Times New Roman"/>
          <w:highlight w:val="white"/>
          <w:lang w:val="en-GB"/>
        </w:rPr>
        <w:t xml:space="preserve">, </w:t>
      </w:r>
      <w:r>
        <w:rPr>
          <w:rFonts w:eastAsia="Times New Roman"/>
          <w:i/>
          <w:iCs/>
          <w:highlight w:val="white"/>
          <w:lang w:val="en-GB"/>
        </w:rPr>
        <w:t>35</w:t>
      </w:r>
      <w:r>
        <w:rPr>
          <w:rFonts w:eastAsia="Times New Roman"/>
          <w:highlight w:val="white"/>
          <w:lang w:val="en-GB"/>
        </w:rPr>
        <w:t xml:space="preserve">(9), pp.1500-1518. DOI: </w:t>
      </w:r>
      <w:hyperlink r:id="rId30" w:history="1">
        <w:r w:rsidR="00874A36">
          <w:rPr>
            <w:rFonts w:eastAsia="Times New Roman"/>
            <w:highlight w:val="white"/>
            <w:u w:val="single"/>
            <w:lang w:val="en-GB"/>
          </w:rPr>
          <w:t xml:space="preserve">10.1016/j.cmet.2023.06.018 </w:t>
        </w:r>
      </w:hyperlink>
    </w:p>
    <w:p w14:paraId="1846D5CE" w14:textId="77777777" w:rsidR="00874A36" w:rsidRDefault="00000000">
      <w:pPr>
        <w:pStyle w:val="Normal1"/>
        <w:spacing w:line="360" w:lineRule="auto"/>
        <w:jc w:val="both"/>
        <w:rPr>
          <w:rFonts w:eastAsia="Times New Roman"/>
          <w:highlight w:val="white"/>
          <w:lang w:val="en-GB"/>
        </w:rPr>
      </w:pPr>
      <w:r>
        <w:rPr>
          <w:rFonts w:eastAsia="Times New Roman"/>
          <w:highlight w:val="white"/>
          <w:lang w:val="en-GB"/>
        </w:rPr>
        <w:t xml:space="preserve">Avari, P., Lumb, A., Flanagan, D., Rayman, G., Misra, S., Choudhary, P. and Dhatariya, K., (2023). Insulin pumps and hybrid close loop systems within hospital: a scoping review and practical guidance from the Joint British Diabetes Societies for Inpatient Care. </w:t>
      </w:r>
      <w:r>
        <w:rPr>
          <w:rFonts w:eastAsia="Times New Roman"/>
          <w:i/>
          <w:iCs/>
          <w:highlight w:val="white"/>
          <w:lang w:val="en-GB"/>
        </w:rPr>
        <w:t>Journal of Diabetes Science and Technology</w:t>
      </w:r>
      <w:r>
        <w:rPr>
          <w:rFonts w:eastAsia="Times New Roman"/>
          <w:highlight w:val="white"/>
          <w:lang w:val="en-GB"/>
        </w:rPr>
        <w:t xml:space="preserve">, </w:t>
      </w:r>
      <w:r>
        <w:rPr>
          <w:rFonts w:eastAsia="Times New Roman"/>
          <w:i/>
          <w:iCs/>
          <w:highlight w:val="white"/>
          <w:lang w:val="en-GB"/>
        </w:rPr>
        <w:t>17</w:t>
      </w:r>
      <w:r>
        <w:rPr>
          <w:rFonts w:eastAsia="Times New Roman"/>
          <w:highlight w:val="white"/>
          <w:lang w:val="en-GB"/>
        </w:rPr>
        <w:t>(3), pp.625-634.</w:t>
      </w:r>
      <w:r>
        <w:rPr>
          <w:highlight w:val="white"/>
          <w:lang w:val="en-GB"/>
        </w:rPr>
        <w:t xml:space="preserve"> </w:t>
      </w:r>
      <w:r>
        <w:rPr>
          <w:rFonts w:eastAsia="Times New Roman"/>
          <w:highlight w:val="white"/>
          <w:lang w:val="en-GB"/>
        </w:rPr>
        <w:t>DOI: 10.1177/19322968221137335</w:t>
      </w:r>
    </w:p>
    <w:p w14:paraId="7084EC44" w14:textId="77777777" w:rsidR="00874A36" w:rsidRDefault="00000000">
      <w:pPr>
        <w:spacing w:line="360" w:lineRule="auto"/>
        <w:rPr>
          <w:rFonts w:ascii="Arial" w:hAnsi="Arial"/>
        </w:rPr>
      </w:pPr>
      <w:r>
        <w:rPr>
          <w:rFonts w:ascii="Arial" w:hAnsi="Arial"/>
        </w:rPr>
        <w:t xml:space="preserve">Baretić, M. and Bralić Lang, V. (2020). Hypoglycemia in patients with type 2 diabetes treated with oral antihyperglycemic agents detected by continuous glucose monitoring: A multi-center prospective observational study in Croatia. </w:t>
      </w:r>
      <w:r>
        <w:rPr>
          <w:rFonts w:ascii="Arial" w:hAnsi="Arial"/>
          <w:i/>
          <w:iCs/>
        </w:rPr>
        <w:t>BMC Endocrine Disorders</w:t>
      </w:r>
      <w:r>
        <w:rPr>
          <w:rFonts w:ascii="Arial" w:hAnsi="Arial"/>
        </w:rPr>
        <w:t>, 20(1). doi:10.1186/s12902-020-0518-5.</w:t>
      </w:r>
    </w:p>
    <w:p w14:paraId="3668E1E4" w14:textId="77777777" w:rsidR="00874A36" w:rsidRDefault="00000000">
      <w:pPr>
        <w:spacing w:line="360" w:lineRule="auto"/>
        <w:rPr>
          <w:rFonts w:ascii="Arial" w:hAnsi="Arial"/>
          <w:highlight w:val="white"/>
        </w:rPr>
      </w:pPr>
      <w:r>
        <w:rPr>
          <w:rFonts w:ascii="Arial" w:hAnsi="Arial"/>
          <w:highlight w:val="white"/>
        </w:rPr>
        <w:t xml:space="preserve">Bellass, S., Lister, J., Kitchen, C., Kramer, L., Alderson, S., Doran, T., Gilbody, S., Han, L., Hewitt, C., Holt, R., Jacobs, R., Prady, S., Shiers, D., Siddiqi, N. and Taylor, J. (2021). Living </w:t>
      </w:r>
      <w:r>
        <w:rPr>
          <w:rFonts w:ascii="Arial" w:hAnsi="Arial"/>
          <w:highlight w:val="white"/>
        </w:rPr>
        <w:lastRenderedPageBreak/>
        <w:t xml:space="preserve">with diabetes alongside a severe mental illness: A qualitative exploration with people with severe mental illness, family members and healthcare staff. </w:t>
      </w:r>
      <w:r>
        <w:rPr>
          <w:rFonts w:ascii="Arial" w:hAnsi="Arial"/>
          <w:i/>
          <w:iCs/>
          <w:highlight w:val="white"/>
        </w:rPr>
        <w:t>Diabetic Medicine</w:t>
      </w:r>
      <w:r>
        <w:rPr>
          <w:rFonts w:ascii="Arial" w:hAnsi="Arial"/>
          <w:highlight w:val="white"/>
        </w:rPr>
        <w:t>, 38(7). doi:10.1111/dme.14562.</w:t>
      </w:r>
    </w:p>
    <w:p w14:paraId="70AEC4F6" w14:textId="77777777" w:rsidR="00874A36" w:rsidRDefault="00000000">
      <w:pPr>
        <w:spacing w:line="360" w:lineRule="auto"/>
        <w:rPr>
          <w:rFonts w:ascii="Arial" w:hAnsi="Arial"/>
          <w:highlight w:val="white"/>
        </w:rPr>
      </w:pPr>
      <w:r>
        <w:rPr>
          <w:rFonts w:ascii="Arial" w:hAnsi="Arial"/>
          <w:highlight w:val="white"/>
        </w:rPr>
        <w:t xml:space="preserve">Bode, B., King, A., Russell-Jones, D. and Billings, L.K. (2021). Leveraging advances in diabetes technologies in primary care: A narrative review. </w:t>
      </w:r>
      <w:r>
        <w:rPr>
          <w:rFonts w:ascii="Arial" w:hAnsi="Arial"/>
          <w:i/>
          <w:iCs/>
          <w:highlight w:val="white"/>
        </w:rPr>
        <w:t>Annals of Medicine</w:t>
      </w:r>
      <w:r>
        <w:rPr>
          <w:rFonts w:ascii="Arial" w:hAnsi="Arial"/>
          <w:highlight w:val="white"/>
        </w:rPr>
        <w:t>, 53(1), pp.805–816. doi:10.1080/07853890.2021.1931427.</w:t>
      </w:r>
    </w:p>
    <w:p w14:paraId="7BC70919" w14:textId="77777777" w:rsidR="00874A36" w:rsidRDefault="00000000">
      <w:pPr>
        <w:spacing w:line="360" w:lineRule="auto"/>
        <w:rPr>
          <w:rFonts w:ascii="Arial" w:hAnsi="Arial"/>
          <w:highlight w:val="white"/>
        </w:rPr>
      </w:pPr>
      <w:r>
        <w:rPr>
          <w:rFonts w:ascii="Arial" w:hAnsi="Arial"/>
          <w:highlight w:val="white"/>
        </w:rPr>
        <w:t xml:space="preserve">Boscari, F. and Avogaro, A. (2021). Current treatment options and challenges in patients with Type 1 diabetes: Pharmacological, technical advances and future perspectives. </w:t>
      </w:r>
      <w:r>
        <w:rPr>
          <w:rFonts w:ascii="Arial" w:hAnsi="Arial"/>
          <w:i/>
          <w:iCs/>
          <w:highlight w:val="white"/>
        </w:rPr>
        <w:t>Reviews in Endocrine and Metabolic Disorders</w:t>
      </w:r>
      <w:r>
        <w:rPr>
          <w:rFonts w:ascii="Arial" w:hAnsi="Arial"/>
          <w:highlight w:val="white"/>
        </w:rPr>
        <w:t>, 22(2), pp.217–240. doi:10.1007/s11154-021-09635-3.</w:t>
      </w:r>
    </w:p>
    <w:p w14:paraId="1DB50E7A" w14:textId="77777777" w:rsidR="00874A36" w:rsidRDefault="00000000">
      <w:pPr>
        <w:pStyle w:val="Normal1"/>
        <w:spacing w:line="360" w:lineRule="auto"/>
        <w:jc w:val="both"/>
      </w:pPr>
      <w:r>
        <w:t xml:space="preserve">Breakthrought1d.org.uk (2021). </w:t>
      </w:r>
      <w:r>
        <w:rPr>
          <w:i/>
        </w:rPr>
        <w:t>Type 1 Diabetes Research Roadmap.</w:t>
      </w:r>
      <w:r>
        <w:t xml:space="preserve"> Available at: </w:t>
      </w:r>
      <w:hyperlink r:id="rId31" w:history="1">
        <w:r w:rsidR="00874A36">
          <w:rPr>
            <w:rStyle w:val="Hyperlink"/>
            <w:color w:val="auto"/>
          </w:rPr>
          <w:t>https://breakthrought1d.org.uk/wp-content/uploads/2023/06/bt1d-Type-1-Diabetes-Research-Roadmap_report.pdf</w:t>
        </w:r>
      </w:hyperlink>
      <w:r>
        <w:t xml:space="preserve"> [Accessed: 7 July, 2026]</w:t>
      </w:r>
    </w:p>
    <w:p w14:paraId="45F924AE" w14:textId="77777777" w:rsidR="00874A36" w:rsidRDefault="00000000">
      <w:pPr>
        <w:spacing w:line="360" w:lineRule="auto"/>
        <w:rPr>
          <w:rFonts w:ascii="Arial" w:hAnsi="Arial"/>
          <w:lang w:val="en-IN"/>
        </w:rPr>
      </w:pPr>
      <w:r>
        <w:rPr>
          <w:rFonts w:ascii="Arial" w:hAnsi="Arial"/>
          <w:lang w:val="en-IN"/>
        </w:rPr>
        <w:t xml:space="preserve">Brookbush Institute (2025). </w:t>
      </w:r>
      <w:r>
        <w:rPr>
          <w:rFonts w:ascii="Arial" w:hAnsi="Arial"/>
          <w:i/>
          <w:iCs/>
          <w:lang w:val="en-IN"/>
        </w:rPr>
        <w:t>Biopsychosocial (BPS) Model</w:t>
      </w:r>
      <w:r>
        <w:rPr>
          <w:rFonts w:ascii="Arial" w:hAnsi="Arial"/>
          <w:lang w:val="en-IN"/>
        </w:rPr>
        <w:t>. [online] Brookbush Institute. Available at: https://brookbushinstitute.com/glossary/biopsychosocial-bps-model [Accessed 7 July 2026].</w:t>
      </w:r>
    </w:p>
    <w:p w14:paraId="0200F032"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Conway, R.B., Snell-Bergeon, J., Honda-Kohmo, K., Peddi, A.K., Isa, S.B., Sulong, S., Sibomana, L., Gerard Gonzalez, A., Song, J., Lomax, K.E. and Lo, C.N., (2025). Disparities in diabetes technology uptake in youth and young adults with type 1 diabetes: a global perspective. </w:t>
      </w:r>
      <w:r>
        <w:rPr>
          <w:rFonts w:eastAsia="Times New Roman"/>
          <w:i/>
          <w:iCs/>
          <w:highlight w:val="white"/>
          <w:lang w:val="en-GB"/>
        </w:rPr>
        <w:t>Journal of the Endocrine Society</w:t>
      </w:r>
      <w:r>
        <w:rPr>
          <w:rFonts w:eastAsia="Times New Roman"/>
          <w:highlight w:val="white"/>
          <w:lang w:val="en-GB"/>
        </w:rPr>
        <w:t xml:space="preserve">, </w:t>
      </w:r>
      <w:r>
        <w:rPr>
          <w:rFonts w:eastAsia="Times New Roman"/>
          <w:i/>
          <w:iCs/>
          <w:highlight w:val="white"/>
          <w:lang w:val="en-GB"/>
        </w:rPr>
        <w:t>9</w:t>
      </w:r>
      <w:r>
        <w:rPr>
          <w:rFonts w:eastAsia="Times New Roman"/>
          <w:highlight w:val="white"/>
          <w:lang w:val="en-GB"/>
        </w:rPr>
        <w:t>(1), p.bvae210.</w:t>
      </w:r>
      <w:hyperlink r:id="rId32" w:history="1">
        <w:r w:rsidR="00874A36">
          <w:rPr>
            <w:rFonts w:eastAsia="Times New Roman"/>
            <w:highlight w:val="white"/>
            <w:lang w:val="en-GB"/>
          </w:rPr>
          <w:t xml:space="preserve"> </w:t>
        </w:r>
      </w:hyperlink>
      <w:hyperlink r:id="rId33" w:history="1">
        <w:r w:rsidR="00874A36">
          <w:rPr>
            <w:rFonts w:eastAsia="Times New Roman"/>
            <w:highlight w:val="white"/>
            <w:u w:val="single"/>
            <w:lang w:val="en-GB"/>
          </w:rPr>
          <w:t>https://doi.org/10.1210/jendso/bvae210</w:t>
        </w:r>
      </w:hyperlink>
    </w:p>
    <w:p w14:paraId="790B5E7D" w14:textId="77777777" w:rsidR="00874A36" w:rsidRDefault="00000000">
      <w:pPr>
        <w:pStyle w:val="Normal1"/>
        <w:spacing w:line="360" w:lineRule="auto"/>
        <w:jc w:val="both"/>
        <w:rPr>
          <w:lang w:val="en-GB"/>
        </w:rPr>
      </w:pPr>
      <w:r>
        <w:t xml:space="preserve">Europeanpainfederation (2026). </w:t>
      </w:r>
      <w:r>
        <w:rPr>
          <w:i/>
        </w:rPr>
        <w:t>What is the biopsychosocial model of pain?.</w:t>
      </w:r>
      <w:r>
        <w:t xml:space="preserve"> Available at: </w:t>
      </w:r>
      <w:hyperlink r:id="rId34" w:history="1">
        <w:r w:rsidR="00874A36">
          <w:rPr>
            <w:rStyle w:val="Hyperlink"/>
            <w:color w:val="auto"/>
          </w:rPr>
          <w:t>https://europeanpainfederation.eu/what-is-the-bio-psycho-social-model-of-pain/</w:t>
        </w:r>
      </w:hyperlink>
      <w:r>
        <w:t xml:space="preserve">  [Accessed: 7 July, 2026]</w:t>
      </w:r>
    </w:p>
    <w:p w14:paraId="4434E7AF"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Fontaine, G., Vinette, B., Weight, C., Maheu-Cadotte, M.A., Lavallée, A., Deschênes, M.F., Lapierre, A., Castiglione, S.A., Chicoine, G., Rouleau, G. and Argiropoulos, N., (2024). Effects of implementation strategies on nursing practice and patient outcomes: a comprehensive systematic review and meta-analysis. </w:t>
      </w:r>
      <w:r>
        <w:rPr>
          <w:rFonts w:eastAsia="Times New Roman"/>
          <w:i/>
          <w:iCs/>
          <w:highlight w:val="white"/>
          <w:lang w:val="en-GB"/>
        </w:rPr>
        <w:t>Implementation Science</w:t>
      </w:r>
      <w:r>
        <w:rPr>
          <w:rFonts w:eastAsia="Times New Roman"/>
          <w:highlight w:val="white"/>
          <w:lang w:val="en-GB"/>
        </w:rPr>
        <w:t xml:space="preserve">, </w:t>
      </w:r>
      <w:r>
        <w:rPr>
          <w:rFonts w:eastAsia="Times New Roman"/>
          <w:i/>
          <w:iCs/>
          <w:highlight w:val="white"/>
          <w:lang w:val="en-GB"/>
        </w:rPr>
        <w:t>19</w:t>
      </w:r>
      <w:r>
        <w:rPr>
          <w:rFonts w:eastAsia="Times New Roman"/>
          <w:highlight w:val="white"/>
          <w:lang w:val="en-GB"/>
        </w:rPr>
        <w:t>(1), p.68.</w:t>
      </w:r>
      <w:hyperlink r:id="rId35" w:history="1">
        <w:r w:rsidR="00874A36">
          <w:rPr>
            <w:rFonts w:eastAsia="Times New Roman"/>
            <w:highlight w:val="white"/>
            <w:lang w:val="en-GB"/>
          </w:rPr>
          <w:t xml:space="preserve"> </w:t>
        </w:r>
      </w:hyperlink>
      <w:hyperlink r:id="rId36" w:history="1">
        <w:r w:rsidR="00874A36">
          <w:rPr>
            <w:rFonts w:eastAsia="Times New Roman"/>
            <w:highlight w:val="white"/>
            <w:u w:val="single"/>
            <w:lang w:val="en-GB"/>
          </w:rPr>
          <w:t>https://doi.org/10.1186/s13012-024-01398-0</w:t>
        </w:r>
      </w:hyperlink>
    </w:p>
    <w:p w14:paraId="3CA9024F" w14:textId="77777777" w:rsidR="00874A36" w:rsidRDefault="00000000">
      <w:pPr>
        <w:spacing w:line="360" w:lineRule="auto"/>
        <w:rPr>
          <w:rFonts w:ascii="Arial" w:hAnsi="Arial"/>
          <w:highlight w:val="white"/>
          <w:lang w:val="en-IN"/>
        </w:rPr>
      </w:pPr>
      <w:r>
        <w:rPr>
          <w:rFonts w:ascii="Arial" w:hAnsi="Arial"/>
          <w:highlight w:val="white"/>
          <w:lang w:val="en-IN"/>
        </w:rPr>
        <w:t xml:space="preserve">Frost, N., (2021). </w:t>
      </w:r>
      <w:r>
        <w:rPr>
          <w:rFonts w:ascii="Arial" w:hAnsi="Arial"/>
          <w:i/>
          <w:iCs/>
          <w:highlight w:val="white"/>
          <w:lang w:val="en-IN"/>
        </w:rPr>
        <w:t>Qualitative research methods in psychology: Combining core approaches 2e</w:t>
      </w:r>
      <w:r>
        <w:rPr>
          <w:rFonts w:ascii="Arial" w:hAnsi="Arial"/>
          <w:highlight w:val="white"/>
          <w:lang w:val="en-IN"/>
        </w:rPr>
        <w:t xml:space="preserve">. McGraw-Hill Education (UK).  </w:t>
      </w:r>
      <w:hyperlink r:id="rId37" w:history="1">
        <w:r w:rsidR="00874A36">
          <w:rPr>
            <w:rStyle w:val="Hyperlink"/>
            <w:rFonts w:ascii="Arial" w:hAnsi="Arial"/>
            <w:highlight w:val="white"/>
            <w:lang w:val="en-IN"/>
          </w:rPr>
          <w:t>https://books.google.com/books?hl=en&amp;lr=&amp;id=_4UxEAAAQBAJ&amp;oi=fnd&amp;pg=PA42&amp;dq=interpretivist+philosophy+enables+the+amalgamation+of+qualitative+as+well+as+quantitative+evidence,+hence+providing+the+capacity+to+derive+an+exhaustive+conceptualisation+of+experienced+lives&amp;ots=av3t4z2gV9&amp;sig=iCe6XyaiAu7WWLrmcxu0piTFkbs</w:t>
        </w:r>
      </w:hyperlink>
      <w:r>
        <w:rPr>
          <w:rFonts w:ascii="Arial" w:hAnsi="Arial"/>
          <w:highlight w:val="white"/>
          <w:lang w:val="en-IN"/>
        </w:rPr>
        <w:t> </w:t>
      </w:r>
    </w:p>
    <w:p w14:paraId="3ACA7375" w14:textId="77777777" w:rsidR="00874A36" w:rsidRDefault="00000000">
      <w:pPr>
        <w:spacing w:line="360" w:lineRule="auto"/>
        <w:rPr>
          <w:rFonts w:ascii="Arial" w:hAnsi="Arial"/>
          <w:highlight w:val="white"/>
        </w:rPr>
      </w:pPr>
      <w:r>
        <w:rPr>
          <w:rFonts w:ascii="Arial" w:hAnsi="Arial"/>
          <w:highlight w:val="white"/>
        </w:rPr>
        <w:lastRenderedPageBreak/>
        <w:t xml:space="preserve">Goldberg, S.B., Riordan, K.M., Sun, S. and Davidson, R.J. (2021). The Empirical Status of Mindfulness-Based Interventions: A Systematic Review of 44 Meta-Analyses of Randomized Controlled Trials. </w:t>
      </w:r>
      <w:r>
        <w:rPr>
          <w:rFonts w:ascii="Arial" w:hAnsi="Arial"/>
          <w:i/>
          <w:iCs/>
          <w:highlight w:val="white"/>
        </w:rPr>
        <w:t>Perspectives on Psychological Science</w:t>
      </w:r>
      <w:r>
        <w:rPr>
          <w:rFonts w:ascii="Arial" w:hAnsi="Arial"/>
          <w:highlight w:val="white"/>
        </w:rPr>
        <w:t>, 17(1), p.174569162096877. doi:10.1177/1745691620968771.</w:t>
      </w:r>
    </w:p>
    <w:p w14:paraId="03BC126B" w14:textId="77777777" w:rsidR="00874A36" w:rsidRDefault="00000000">
      <w:pPr>
        <w:spacing w:line="360" w:lineRule="auto"/>
        <w:rPr>
          <w:rFonts w:ascii="Arial" w:hAnsi="Arial"/>
          <w:highlight w:val="white"/>
        </w:rPr>
      </w:pPr>
      <w:r>
        <w:rPr>
          <w:rFonts w:ascii="Arial" w:hAnsi="Arial"/>
          <w:highlight w:val="white"/>
        </w:rPr>
        <w:t xml:space="preserve">Hao, L., Ma, X., Kang, L., Wang, Y. and Shi, H. (2025). Beyond glycemic control: A holistic perspective on psychosocial support in outpatient diabetes management. </w:t>
      </w:r>
      <w:r>
        <w:rPr>
          <w:rFonts w:ascii="Arial" w:hAnsi="Arial"/>
          <w:i/>
          <w:iCs/>
          <w:highlight w:val="white"/>
        </w:rPr>
        <w:t>Frontiers in Endocrinology</w:t>
      </w:r>
      <w:r>
        <w:rPr>
          <w:rFonts w:ascii="Arial" w:hAnsi="Arial"/>
          <w:highlight w:val="white"/>
        </w:rPr>
        <w:t>, 16. doi:10.3389/fendo.2025.1708620.</w:t>
      </w:r>
    </w:p>
    <w:p w14:paraId="611B4E36" w14:textId="77777777" w:rsidR="00874A36" w:rsidRDefault="00000000">
      <w:pPr>
        <w:spacing w:line="360" w:lineRule="auto"/>
        <w:rPr>
          <w:rFonts w:ascii="Arial" w:hAnsi="Arial"/>
          <w:highlight w:val="white"/>
        </w:rPr>
      </w:pPr>
      <w:r>
        <w:rPr>
          <w:rFonts w:ascii="Arial" w:hAnsi="Arial"/>
          <w:highlight w:val="white"/>
        </w:rPr>
        <w:t xml:space="preserve">Hill-Briggs, F. (2020). Social determinants of health and diabetes: A scientific review. </w:t>
      </w:r>
      <w:r>
        <w:rPr>
          <w:rFonts w:ascii="Arial" w:hAnsi="Arial"/>
          <w:i/>
          <w:iCs/>
          <w:highlight w:val="white"/>
        </w:rPr>
        <w:t>Diabetes Care</w:t>
      </w:r>
      <w:r>
        <w:rPr>
          <w:rFonts w:ascii="Arial" w:hAnsi="Arial"/>
          <w:highlight w:val="white"/>
        </w:rPr>
        <w:t>, [online] 44(1), pp.258–279. doi:10.2337/dci20-0053.</w:t>
      </w:r>
    </w:p>
    <w:p w14:paraId="6F94686C" w14:textId="77777777" w:rsidR="00874A36" w:rsidRDefault="00000000">
      <w:pPr>
        <w:spacing w:line="360" w:lineRule="auto"/>
        <w:rPr>
          <w:rFonts w:ascii="Arial" w:hAnsi="Arial"/>
          <w:highlight w:val="white"/>
        </w:rPr>
      </w:pPr>
      <w:r>
        <w:rPr>
          <w:rFonts w:ascii="Arial" w:hAnsi="Arial"/>
          <w:highlight w:val="white"/>
        </w:rPr>
        <w:t xml:space="preserve">Holt, R.I.G., DeVries, J.H., Hess-Fischl, A., Hirsch, I.B., Kirkman, M.S., Klupa, T., Ludwig, B., Nørgaard, K., Pettus, J., Renard, E., Skyler, J.S., Snoek, F.J., Weinstock, R.S. and Peters, A.L. (2021). The management of type 1 diabetes in adults. A consensus report by the american diabetes association (ADA) and the european association for the study of diabetes (EASD). </w:t>
      </w:r>
      <w:r>
        <w:rPr>
          <w:rFonts w:ascii="Arial" w:hAnsi="Arial"/>
          <w:i/>
          <w:iCs/>
          <w:highlight w:val="white"/>
        </w:rPr>
        <w:t>Diabetes Care</w:t>
      </w:r>
      <w:r>
        <w:rPr>
          <w:rFonts w:ascii="Arial" w:hAnsi="Arial"/>
          <w:highlight w:val="white"/>
        </w:rPr>
        <w:t>, [online] 44(11), pp.2589–2625. doi:10.2337/dci21-0043.</w:t>
      </w:r>
    </w:p>
    <w:p w14:paraId="2B76EC46" w14:textId="77777777" w:rsidR="00874A36" w:rsidRDefault="00000000">
      <w:pPr>
        <w:spacing w:line="360" w:lineRule="auto"/>
        <w:rPr>
          <w:rFonts w:ascii="Arial" w:hAnsi="Arial"/>
          <w:highlight w:val="white"/>
        </w:rPr>
      </w:pPr>
      <w:r>
        <w:rPr>
          <w:rFonts w:ascii="Arial" w:hAnsi="Arial"/>
          <w:highlight w:val="white"/>
        </w:rPr>
        <w:t xml:space="preserve">Jeyam, A., Gibb, F.W., McKnight, J.A., Kennon, B., O’Reilly, J.E., Caparrotta, T.M., Höhn, A., McGurnaghan, S.J., Blackbourn, L.A.K., Hatam, S., McCrimmon, R.J., Leese, G., Lindsay, R.S., Petrie, J., Chalmers, J., Philip, S., Wild, S.H., Sattar, N., McKeigue, P.M. and Colhoun, H.M. (2021). Marked Improvements in Glycaemic Outcomes following Insulin Pump Therapy Initiation in People with Type 1 diabetes: A Nationwide Observational Study in Scotland. </w:t>
      </w:r>
      <w:r>
        <w:rPr>
          <w:rFonts w:ascii="Arial" w:hAnsi="Arial"/>
          <w:i/>
          <w:iCs/>
          <w:highlight w:val="white"/>
        </w:rPr>
        <w:t>Diabetologia</w:t>
      </w:r>
      <w:r>
        <w:rPr>
          <w:rFonts w:ascii="Arial" w:hAnsi="Arial"/>
          <w:highlight w:val="white"/>
        </w:rPr>
        <w:t>, 64(6). doi:10.1007/s00125-021-05413-7.</w:t>
      </w:r>
    </w:p>
    <w:p w14:paraId="0C5308C8" w14:textId="77777777" w:rsidR="00874A36" w:rsidRDefault="00000000">
      <w:pPr>
        <w:spacing w:line="360" w:lineRule="auto"/>
        <w:rPr>
          <w:rFonts w:ascii="Arial" w:hAnsi="Arial"/>
          <w:highlight w:val="white"/>
        </w:rPr>
      </w:pPr>
      <w:r>
        <w:rPr>
          <w:rFonts w:ascii="Arial" w:hAnsi="Arial"/>
          <w:highlight w:val="white"/>
        </w:rPr>
        <w:t xml:space="preserve">Khanani, M.I., Khan, M.R., Farooqi, M.F., Fazal, J., Aabideen, Z. and Alkuwaiti, N.S. (2025). Digital Media Use and Screen Time Exposure Among Youths: A Lifestyle-Based Public Health Concern. </w:t>
      </w:r>
      <w:r>
        <w:rPr>
          <w:rFonts w:ascii="Arial" w:hAnsi="Arial"/>
          <w:i/>
          <w:iCs/>
          <w:highlight w:val="white"/>
        </w:rPr>
        <w:t>Cureus</w:t>
      </w:r>
      <w:r>
        <w:rPr>
          <w:rFonts w:ascii="Arial" w:hAnsi="Arial"/>
          <w:highlight w:val="white"/>
        </w:rPr>
        <w:t>. [online] doi:10.7759/cureus.88373.</w:t>
      </w:r>
    </w:p>
    <w:p w14:paraId="6884A1D7"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Korytkowski, M.T., Muniyappa, R., Antinori-Lent, K., Donihi, A.C., Drincic, A.T., Hirsch, I.B., Luger, A., McDonnell, M.E., Murad, M.H., Nielsen, C. and Pegg, C., (2022). Management of hyperglycemia in hospitalized adult patients in non-critical care settings: an Endocrine Society clinical practice guideline. </w:t>
      </w:r>
      <w:r>
        <w:rPr>
          <w:rFonts w:eastAsia="Times New Roman"/>
          <w:i/>
          <w:iCs/>
          <w:highlight w:val="white"/>
          <w:lang w:val="en-GB"/>
        </w:rPr>
        <w:t>The Journal of Clinical Endocrinology &amp; Metabolism</w:t>
      </w:r>
      <w:r>
        <w:rPr>
          <w:rFonts w:eastAsia="Times New Roman"/>
          <w:highlight w:val="white"/>
          <w:lang w:val="en-GB"/>
        </w:rPr>
        <w:t xml:space="preserve">, </w:t>
      </w:r>
      <w:r>
        <w:rPr>
          <w:rFonts w:eastAsia="Times New Roman"/>
          <w:i/>
          <w:iCs/>
          <w:highlight w:val="white"/>
          <w:lang w:val="en-GB"/>
        </w:rPr>
        <w:t>107</w:t>
      </w:r>
      <w:r>
        <w:rPr>
          <w:rFonts w:eastAsia="Times New Roman"/>
          <w:highlight w:val="white"/>
          <w:lang w:val="en-GB"/>
        </w:rPr>
        <w:t>(8), pp.2101-2128.</w:t>
      </w:r>
      <w:hyperlink r:id="rId38" w:history="1">
        <w:r w:rsidR="00874A36">
          <w:rPr>
            <w:rFonts w:eastAsia="Times New Roman"/>
            <w:highlight w:val="white"/>
            <w:lang w:val="en-GB"/>
          </w:rPr>
          <w:t xml:space="preserve"> </w:t>
        </w:r>
      </w:hyperlink>
      <w:hyperlink r:id="rId39" w:history="1">
        <w:r w:rsidR="00874A36">
          <w:rPr>
            <w:rFonts w:eastAsia="Times New Roman"/>
            <w:highlight w:val="white"/>
            <w:u w:val="single"/>
            <w:lang w:val="en-GB"/>
          </w:rPr>
          <w:t>https://doi.org/10.1210/clinem/dgac278</w:t>
        </w:r>
      </w:hyperlink>
    </w:p>
    <w:p w14:paraId="4341B65B" w14:textId="77777777" w:rsidR="00874A36" w:rsidRDefault="00000000">
      <w:pPr>
        <w:spacing w:line="360" w:lineRule="auto"/>
        <w:rPr>
          <w:rFonts w:ascii="Arial" w:hAnsi="Arial"/>
          <w:highlight w:val="white"/>
        </w:rPr>
      </w:pPr>
      <w:r>
        <w:rPr>
          <w:rFonts w:ascii="Arial" w:hAnsi="Arial"/>
          <w:highlight w:val="white"/>
        </w:rPr>
        <w:t xml:space="preserve">Kueh, M.T.W., Chew, N.W.S., Al-Ozairi, E. and le Roux, C.W. (2023). The emergence of obesity in type 1 diabetes. </w:t>
      </w:r>
      <w:r>
        <w:rPr>
          <w:rFonts w:ascii="Arial" w:hAnsi="Arial"/>
          <w:i/>
          <w:iCs/>
          <w:highlight w:val="white"/>
        </w:rPr>
        <w:t>International Journal of Obesity</w:t>
      </w:r>
      <w:r>
        <w:rPr>
          <w:rFonts w:ascii="Arial" w:hAnsi="Arial"/>
          <w:highlight w:val="white"/>
        </w:rPr>
        <w:t>, [online] 48, pp.1–13. doi:10.1038/s41366-023-01429-8.</w:t>
      </w:r>
    </w:p>
    <w:p w14:paraId="4AFDA78F" w14:textId="77777777" w:rsidR="00874A36" w:rsidRDefault="00000000">
      <w:pPr>
        <w:spacing w:line="360" w:lineRule="auto"/>
        <w:rPr>
          <w:rFonts w:ascii="Arial" w:hAnsi="Arial"/>
          <w:highlight w:val="white"/>
        </w:rPr>
      </w:pPr>
      <w:r>
        <w:rPr>
          <w:rFonts w:ascii="Arial" w:hAnsi="Arial"/>
          <w:highlight w:val="white"/>
        </w:rPr>
        <w:t xml:space="preserve">Li, L., Yang, L., Yang, L., He, C., He, Y., Chen, L., Dong, Q., Zhang, H., Chen, S. and Li, P. (2023). Network pharmacology: A bright guiding light on the way to explore the personalized </w:t>
      </w:r>
      <w:r>
        <w:rPr>
          <w:rFonts w:ascii="Arial" w:hAnsi="Arial"/>
          <w:highlight w:val="white"/>
        </w:rPr>
        <w:lastRenderedPageBreak/>
        <w:t xml:space="preserve">precise medication of traditional Chinese medicine. </w:t>
      </w:r>
      <w:r>
        <w:rPr>
          <w:rFonts w:ascii="Arial" w:hAnsi="Arial"/>
          <w:i/>
          <w:iCs/>
          <w:highlight w:val="white"/>
        </w:rPr>
        <w:t>Chinese Medicine</w:t>
      </w:r>
      <w:r>
        <w:rPr>
          <w:rFonts w:ascii="Arial" w:hAnsi="Arial"/>
          <w:highlight w:val="white"/>
        </w:rPr>
        <w:t>, 18(1). doi:10.1186/s13020-023-00853-2.</w:t>
      </w:r>
    </w:p>
    <w:p w14:paraId="00120560" w14:textId="77777777" w:rsidR="00874A36" w:rsidRDefault="00000000">
      <w:pPr>
        <w:pStyle w:val="Normal1"/>
        <w:spacing w:line="360" w:lineRule="auto"/>
        <w:jc w:val="both"/>
        <w:rPr>
          <w:rFonts w:eastAsia="Times New Roman"/>
          <w:highlight w:val="white"/>
          <w:lang w:val="en-GB"/>
        </w:rPr>
      </w:pPr>
      <w:r>
        <w:rPr>
          <w:highlight w:val="white"/>
          <w:lang w:val="en-GB"/>
        </w:rPr>
        <w:t xml:space="preserve">Li, Q., Lu, Y., Hao, Y., Zhao, Y., Qi, X.X. and Qiao, J., (2025). Adaptive digital and non-digital self-management in permanent enterostomy patients: A qualitative study based on the Chronic Illness Trajectory framework. </w:t>
      </w:r>
      <w:r>
        <w:rPr>
          <w:i/>
          <w:iCs/>
          <w:highlight w:val="white"/>
          <w:lang w:val="en-GB"/>
        </w:rPr>
        <w:t>European Journal of Oncology Nursing</w:t>
      </w:r>
      <w:r>
        <w:rPr>
          <w:highlight w:val="white"/>
          <w:lang w:val="en-GB"/>
        </w:rPr>
        <w:t xml:space="preserve">, </w:t>
      </w:r>
      <w:r>
        <w:rPr>
          <w:i/>
          <w:iCs/>
          <w:highlight w:val="white"/>
          <w:lang w:val="en-GB"/>
        </w:rPr>
        <w:t>74</w:t>
      </w:r>
      <w:r>
        <w:rPr>
          <w:highlight w:val="white"/>
          <w:lang w:val="en-GB"/>
        </w:rPr>
        <w:t>, p.</w:t>
      </w:r>
      <w:r>
        <w:rPr>
          <w:rFonts w:eastAsia="Times New Roman"/>
          <w:highlight w:val="white"/>
          <w:lang w:val="en-GB"/>
        </w:rPr>
        <w:t>102733.</w:t>
      </w:r>
      <w:hyperlink r:id="rId40" w:history="1">
        <w:r w:rsidR="00874A36">
          <w:rPr>
            <w:rFonts w:eastAsia="Times New Roman"/>
            <w:highlight w:val="white"/>
            <w:lang w:val="en-GB"/>
          </w:rPr>
          <w:t xml:space="preserve"> https://doi.org/10.1016/j.ejon.2024.102733</w:t>
        </w:r>
      </w:hyperlink>
      <w:r>
        <w:rPr>
          <w:rFonts w:eastAsia="Times New Roman"/>
          <w:highlight w:val="white"/>
          <w:lang w:val="en-GB"/>
        </w:rPr>
        <w:t xml:space="preserve"> </w:t>
      </w:r>
    </w:p>
    <w:p w14:paraId="4E64E0FB" w14:textId="77777777" w:rsidR="00874A36" w:rsidRDefault="00000000">
      <w:pPr>
        <w:spacing w:line="360" w:lineRule="auto"/>
        <w:rPr>
          <w:rFonts w:ascii="Arial" w:eastAsia="Arial" w:hAnsi="Arial"/>
          <w:highlight w:val="white"/>
        </w:rPr>
      </w:pPr>
      <w:r>
        <w:rPr>
          <w:rFonts w:ascii="Arial" w:eastAsia="Arial" w:hAnsi="Arial"/>
          <w:highlight w:val="white"/>
        </w:rPr>
        <w:t xml:space="preserve">Mangoulia, P., Milionis, C., Vlachou, E. and Ilias, I., (2024), July. The interrelationship between diabetes mellitus and emotional well-being: Current concepts and future prospects. In </w:t>
      </w:r>
      <w:r>
        <w:rPr>
          <w:rFonts w:ascii="Arial" w:eastAsia="Arial" w:hAnsi="Arial"/>
          <w:i/>
          <w:iCs/>
          <w:highlight w:val="white"/>
        </w:rPr>
        <w:t>Healthcare</w:t>
      </w:r>
      <w:r>
        <w:rPr>
          <w:rFonts w:ascii="Arial" w:eastAsia="Arial" w:hAnsi="Arial"/>
          <w:highlight w:val="white"/>
        </w:rPr>
        <w:t xml:space="preserve"> (Vol. 12, No. 14, p. 1457). MDPI. </w:t>
      </w:r>
      <w:hyperlink r:id="rId41" w:history="1">
        <w:r w:rsidR="00874A36">
          <w:rPr>
            <w:rFonts w:ascii="Arial" w:eastAsia="Arial" w:hAnsi="Arial"/>
            <w:highlight w:val="white"/>
            <w:u w:val="single"/>
          </w:rPr>
          <w:t>https://www.mdpi.com/2227-9032/12/14/1457</w:t>
        </w:r>
      </w:hyperlink>
    </w:p>
    <w:p w14:paraId="0F17E45D" w14:textId="77777777" w:rsidR="00874A36" w:rsidRDefault="00000000">
      <w:pPr>
        <w:spacing w:line="360" w:lineRule="auto"/>
        <w:rPr>
          <w:rFonts w:ascii="Arial" w:hAnsi="Arial"/>
          <w:highlight w:val="white"/>
          <w:lang w:val="en-IN"/>
        </w:rPr>
      </w:pPr>
      <w:r>
        <w:rPr>
          <w:rFonts w:ascii="Arial" w:hAnsi="Arial"/>
          <w:highlight w:val="white"/>
          <w:lang w:val="en-IN"/>
        </w:rPr>
        <w:t xml:space="preserve">Martinez, E.C., Valdés, J.H., Cuenca, J., Murube, J., Blanco, R.M., Jiménez, J., Escamilla, D. and Diarte, E. (2023). 10 Steps to conduct a systematic review. </w:t>
      </w:r>
      <w:r>
        <w:rPr>
          <w:rFonts w:ascii="Arial" w:hAnsi="Arial"/>
          <w:i/>
          <w:iCs/>
          <w:highlight w:val="white"/>
          <w:lang w:val="en-IN"/>
        </w:rPr>
        <w:t>Cureus</w:t>
      </w:r>
      <w:r>
        <w:rPr>
          <w:rFonts w:ascii="Arial" w:hAnsi="Arial"/>
          <w:highlight w:val="white"/>
          <w:lang w:val="en-IN"/>
        </w:rPr>
        <w:t>, [online] 15(12). doi:10.7759/cureus.51422.</w:t>
      </w:r>
    </w:p>
    <w:p w14:paraId="22A08978"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Matlock, K.A., Broadley, M., Hendrieckx, C., Clowes, M., Sutton, A., Heller, S.R., de Galan, B.E., Pouwer, F., Speight, J. and Hypo</w:t>
      </w:r>
      <w:r>
        <w:rPr>
          <w:rFonts w:ascii="Times New Roman" w:eastAsia="Times New Roman" w:hAnsi="Times New Roman"/>
          <w:highlight w:val="white"/>
          <w:lang w:val="en-GB"/>
        </w:rPr>
        <w:t>‐</w:t>
      </w:r>
      <w:r>
        <w:rPr>
          <w:rFonts w:eastAsia="Times New Roman"/>
          <w:highlight w:val="white"/>
          <w:lang w:val="en-GB"/>
        </w:rPr>
        <w:t xml:space="preserve">RESOLVE consortium, (2022). Changes in quality of life following hypoglycaemia in adults with type 2 diabetes: a systematic review of longitudinal studies. </w:t>
      </w:r>
      <w:r>
        <w:rPr>
          <w:rFonts w:eastAsia="Times New Roman"/>
          <w:i/>
          <w:iCs/>
          <w:highlight w:val="white"/>
          <w:lang w:val="en-GB"/>
        </w:rPr>
        <w:t>Diabetic Medicine</w:t>
      </w:r>
      <w:r>
        <w:rPr>
          <w:rFonts w:eastAsia="Times New Roman"/>
          <w:highlight w:val="white"/>
          <w:lang w:val="en-GB"/>
        </w:rPr>
        <w:t xml:space="preserve">, </w:t>
      </w:r>
      <w:r>
        <w:rPr>
          <w:rFonts w:eastAsia="Times New Roman"/>
          <w:i/>
          <w:iCs/>
          <w:highlight w:val="white"/>
          <w:lang w:val="en-GB"/>
        </w:rPr>
        <w:t>39</w:t>
      </w:r>
      <w:r>
        <w:rPr>
          <w:rFonts w:eastAsia="Times New Roman"/>
          <w:highlight w:val="white"/>
          <w:lang w:val="en-GB"/>
        </w:rPr>
        <w:t>(1), p.e14706.</w:t>
      </w:r>
      <w:hyperlink r:id="rId42" w:history="1">
        <w:r w:rsidR="00874A36">
          <w:rPr>
            <w:rFonts w:eastAsia="Times New Roman"/>
            <w:highlight w:val="white"/>
            <w:u w:val="single"/>
            <w:lang w:val="en-GB"/>
          </w:rPr>
          <w:t xml:space="preserve"> 10.1111/dme.14706</w:t>
        </w:r>
      </w:hyperlink>
    </w:p>
    <w:p w14:paraId="03C69797" w14:textId="77777777" w:rsidR="00874A36" w:rsidRDefault="00000000">
      <w:pPr>
        <w:spacing w:line="360" w:lineRule="auto"/>
        <w:rPr>
          <w:rFonts w:ascii="Arial" w:hAnsi="Arial"/>
          <w:highlight w:val="white"/>
          <w:lang w:val="en-IN"/>
        </w:rPr>
      </w:pPr>
      <w:r>
        <w:rPr>
          <w:rFonts w:ascii="Arial" w:hAnsi="Arial"/>
          <w:highlight w:val="white"/>
          <w:lang w:val="en-IN"/>
        </w:rPr>
        <w:t xml:space="preserve">Naeem, M., Ozuem, W., Howell, K. and Ranfagni, S. (2023). A step-by-step process of Thematic analysis to develop a conceptual model in Qualitative research. </w:t>
      </w:r>
      <w:r>
        <w:rPr>
          <w:rFonts w:ascii="Arial" w:hAnsi="Arial"/>
          <w:i/>
          <w:iCs/>
          <w:highlight w:val="white"/>
          <w:lang w:val="en-IN"/>
        </w:rPr>
        <w:t>International journal of Qualitative methods</w:t>
      </w:r>
      <w:r>
        <w:rPr>
          <w:rFonts w:ascii="Arial" w:hAnsi="Arial"/>
          <w:highlight w:val="white"/>
          <w:lang w:val="en-IN"/>
        </w:rPr>
        <w:t>, 22(1), pp.1–18. doi:10.1177/16094069231205789.</w:t>
      </w:r>
    </w:p>
    <w:p w14:paraId="74B22AE8" w14:textId="77777777" w:rsidR="00874A36" w:rsidRDefault="00000000">
      <w:pPr>
        <w:spacing w:line="360" w:lineRule="auto"/>
        <w:rPr>
          <w:rFonts w:ascii="Arial" w:hAnsi="Arial"/>
        </w:rPr>
      </w:pPr>
      <w:r>
        <w:rPr>
          <w:rFonts w:ascii="Arial" w:hAnsi="Arial"/>
        </w:rPr>
        <w:t>Nano, J., Carinci, F., Okunade, O., Whittaker, S., Walbaum, M., Barnard</w:t>
      </w:r>
      <w:r>
        <w:rPr>
          <w:rFonts w:ascii="Cambria Math" w:hAnsi="Cambria Math"/>
        </w:rPr>
        <w:t>‐</w:t>
      </w:r>
      <w:r>
        <w:rPr>
          <w:rFonts w:ascii="Arial" w:hAnsi="Arial"/>
        </w:rPr>
        <w:t>Kelly, K., Barthelmes, D., Benson, T., Calderon</w:t>
      </w:r>
      <w:r>
        <w:rPr>
          <w:rFonts w:ascii="Cambria Math" w:hAnsi="Cambria Math"/>
        </w:rPr>
        <w:t>‐</w:t>
      </w:r>
      <w:r>
        <w:rPr>
          <w:rFonts w:ascii="Arial" w:hAnsi="Arial"/>
        </w:rPr>
        <w:t>Margalit, R., Dennaoui, J., Fraser, S., Haig, R., Hernández</w:t>
      </w:r>
      <w:r>
        <w:rPr>
          <w:rFonts w:ascii="Cambria Math" w:hAnsi="Cambria Math"/>
        </w:rPr>
        <w:t>‐</w:t>
      </w:r>
      <w:r>
        <w:rPr>
          <w:rFonts w:ascii="Arial" w:hAnsi="Arial"/>
        </w:rPr>
        <w:t>Jimenéz, S., Levitt, N., Mbanya, J.C., Naqvi, S., Peters, A.L., Peyrot, M., Prabhaharan, M., Pumerantz, A., Raposo, J., Santana, M., Schmitt, A., Skovlund, S.E., Garcia</w:t>
      </w:r>
      <w:r>
        <w:rPr>
          <w:rFonts w:ascii="Cambria Math" w:hAnsi="Cambria Math"/>
        </w:rPr>
        <w:t>‐</w:t>
      </w:r>
      <w:r>
        <w:rPr>
          <w:rFonts w:ascii="Arial" w:hAnsi="Arial"/>
        </w:rPr>
        <w:t>Ulloa, A.C., Wee, H.L., Zaletel, J. and Massi</w:t>
      </w:r>
      <w:r>
        <w:rPr>
          <w:rFonts w:ascii="Cambria Math" w:hAnsi="Cambria Math"/>
        </w:rPr>
        <w:t>‐</w:t>
      </w:r>
      <w:r>
        <w:rPr>
          <w:rFonts w:ascii="Arial" w:hAnsi="Arial"/>
        </w:rPr>
        <w:t>Benedetti, M. (2020). A standard set of person</w:t>
      </w:r>
      <w:r>
        <w:rPr>
          <w:rFonts w:ascii="Cambria Math" w:hAnsi="Cambria Math"/>
        </w:rPr>
        <w:t>‐</w:t>
      </w:r>
      <w:r>
        <w:rPr>
          <w:rFonts w:ascii="Arial" w:hAnsi="Arial"/>
        </w:rPr>
        <w:t xml:space="preserve">centred outcomes for diabetes mellitus: Results of an international and unified approach. </w:t>
      </w:r>
      <w:r>
        <w:rPr>
          <w:rFonts w:ascii="Arial" w:hAnsi="Arial"/>
          <w:i/>
          <w:iCs/>
        </w:rPr>
        <w:t>Diabetic Medicine</w:t>
      </w:r>
      <w:r>
        <w:rPr>
          <w:rFonts w:ascii="Arial" w:hAnsi="Arial"/>
        </w:rPr>
        <w:t>, 37(12), pp.2009–2018. doi:10.1111/dme.14286.</w:t>
      </w:r>
    </w:p>
    <w:p w14:paraId="7225092E" w14:textId="77777777" w:rsidR="00874A36" w:rsidRDefault="00000000">
      <w:pPr>
        <w:spacing w:line="360" w:lineRule="auto"/>
        <w:jc w:val="both"/>
        <w:rPr>
          <w:rFonts w:ascii="Arial" w:eastAsia="Times New Roman" w:hAnsi="Arial"/>
          <w:bCs/>
          <w:color w:val="000000"/>
          <w:lang w:val="en-IN"/>
        </w:rPr>
      </w:pPr>
      <w:r>
        <w:rPr>
          <w:rFonts w:ascii="Arial" w:eastAsia="Times New Roman" w:hAnsi="Arial"/>
          <w:bCs/>
          <w:color w:val="000000"/>
          <w:lang w:val="en-IN"/>
        </w:rPr>
        <w:t xml:space="preserve">NHS England. (2026a). </w:t>
      </w:r>
      <w:r>
        <w:rPr>
          <w:rFonts w:ascii="Arial" w:eastAsia="Times New Roman" w:hAnsi="Arial"/>
          <w:bCs/>
          <w:i/>
          <w:iCs/>
          <w:color w:val="000000"/>
          <w:lang w:val="en-IN"/>
        </w:rPr>
        <w:t>National Diabetes Audit Core Report 1: Care Processes and Treatment Targets 2024-25 Underlying data</w:t>
      </w:r>
      <w:r>
        <w:rPr>
          <w:rFonts w:ascii="Arial" w:eastAsia="Times New Roman" w:hAnsi="Arial"/>
          <w:bCs/>
          <w:color w:val="000000"/>
          <w:lang w:val="en-IN"/>
        </w:rPr>
        <w:t>. NHS England. https://digital.nhs.uk/data-and-information/publications/statistical/national-diabetes-audit/report-1-cp-and-tt-data-release-2024-25/nda-report-1-cp-and-tt-data-release-2024-25</w:t>
      </w:r>
    </w:p>
    <w:p w14:paraId="11DE1024" w14:textId="77777777" w:rsidR="00874A36" w:rsidRDefault="00000000">
      <w:pPr>
        <w:spacing w:line="360" w:lineRule="auto"/>
        <w:rPr>
          <w:rFonts w:ascii="Arial" w:eastAsia="Arial" w:hAnsi="Arial"/>
          <w:highlight w:val="white"/>
        </w:rPr>
      </w:pPr>
      <w:r>
        <w:rPr>
          <w:rFonts w:ascii="Arial" w:eastAsia="Arial" w:hAnsi="Arial"/>
          <w:highlight w:val="white"/>
        </w:rPr>
        <w:t xml:space="preserve">Pease, A., Lo, C., Earnest, A., Kiriakova, V., Liew, D. and Zoungas, S., (2020). The efficacy of technology in type 1 diabetes: a systematic review, network meta-analysis, and narrative synthesis. </w:t>
      </w:r>
      <w:r>
        <w:rPr>
          <w:rFonts w:ascii="Arial" w:eastAsia="Arial" w:hAnsi="Arial"/>
          <w:i/>
          <w:iCs/>
          <w:highlight w:val="white"/>
        </w:rPr>
        <w:t>Diabetes technology &amp; therapeutics</w:t>
      </w:r>
      <w:r>
        <w:rPr>
          <w:rFonts w:ascii="Arial" w:eastAsia="Arial" w:hAnsi="Arial"/>
          <w:highlight w:val="white"/>
        </w:rPr>
        <w:t xml:space="preserve">, </w:t>
      </w:r>
      <w:r>
        <w:rPr>
          <w:rFonts w:ascii="Arial" w:eastAsia="Arial" w:hAnsi="Arial"/>
          <w:i/>
          <w:iCs/>
          <w:highlight w:val="white"/>
        </w:rPr>
        <w:t>22</w:t>
      </w:r>
      <w:r>
        <w:rPr>
          <w:rFonts w:ascii="Arial" w:eastAsia="Arial" w:hAnsi="Arial"/>
          <w:highlight w:val="white"/>
        </w:rPr>
        <w:t xml:space="preserve">(5), pp.411-421. </w:t>
      </w:r>
      <w:hyperlink r:id="rId43" w:history="1">
        <w:r w:rsidR="00874A36">
          <w:rPr>
            <w:rFonts w:ascii="Arial" w:eastAsia="Arial" w:hAnsi="Arial"/>
            <w:highlight w:val="white"/>
            <w:u w:val="single"/>
          </w:rPr>
          <w:t>https://journals.sagepub.com/doi/abs/10.1089/dia.2019.0417</w:t>
        </w:r>
      </w:hyperlink>
    </w:p>
    <w:p w14:paraId="0F1DF43F" w14:textId="77777777" w:rsidR="00874A36" w:rsidRDefault="00000000">
      <w:pPr>
        <w:spacing w:line="360" w:lineRule="auto"/>
        <w:rPr>
          <w:rFonts w:ascii="Arial" w:eastAsia="Arial" w:hAnsi="Arial"/>
          <w:highlight w:val="white"/>
        </w:rPr>
      </w:pPr>
      <w:r>
        <w:rPr>
          <w:rFonts w:ascii="Arial" w:eastAsia="Arial" w:hAnsi="Arial"/>
          <w:highlight w:val="white"/>
        </w:rPr>
        <w:lastRenderedPageBreak/>
        <w:t>Porth, A.K., Huberts, A.S., Rogge, A., Bénard, A.H.M., Forbes, A., Strootker, A., Del Pozo, C.H., Kownatka, D., Hopkins, D., Nathanson, D. and Aanstoot, H.J., (2024). Standardising personalised diabetes care across European health settings: a person</w:t>
      </w:r>
      <w:r>
        <w:rPr>
          <w:rFonts w:ascii="Cambria Math" w:eastAsia="Arial" w:hAnsi="Cambria Math"/>
          <w:highlight w:val="white"/>
        </w:rPr>
        <w:t>‐</w:t>
      </w:r>
      <w:r>
        <w:rPr>
          <w:rFonts w:ascii="Arial" w:eastAsia="Arial" w:hAnsi="Arial"/>
          <w:highlight w:val="white"/>
        </w:rPr>
        <w:t xml:space="preserve">centred outcome set agreed in a multinational Delphi study. </w:t>
      </w:r>
      <w:r>
        <w:rPr>
          <w:rFonts w:ascii="Arial" w:eastAsia="Arial" w:hAnsi="Arial"/>
          <w:i/>
          <w:iCs/>
          <w:highlight w:val="white"/>
        </w:rPr>
        <w:t>Diabetic Medicine</w:t>
      </w:r>
      <w:r>
        <w:rPr>
          <w:rFonts w:ascii="Arial" w:eastAsia="Arial" w:hAnsi="Arial"/>
          <w:highlight w:val="white"/>
        </w:rPr>
        <w:t xml:space="preserve">, </w:t>
      </w:r>
      <w:r>
        <w:rPr>
          <w:rFonts w:ascii="Arial" w:eastAsia="Arial" w:hAnsi="Arial"/>
          <w:i/>
          <w:iCs/>
          <w:highlight w:val="white"/>
        </w:rPr>
        <w:t>41</w:t>
      </w:r>
      <w:r>
        <w:rPr>
          <w:rFonts w:ascii="Arial" w:eastAsia="Arial" w:hAnsi="Arial"/>
          <w:highlight w:val="white"/>
        </w:rPr>
        <w:t xml:space="preserve">(5), p.e15259. </w:t>
      </w:r>
      <w:hyperlink r:id="rId44" w:history="1">
        <w:r w:rsidR="00874A36">
          <w:rPr>
            <w:rFonts w:ascii="Arial" w:eastAsia="Arial" w:hAnsi="Arial"/>
            <w:highlight w:val="white"/>
            <w:u w:val="single"/>
          </w:rPr>
          <w:t>https://onlinelibrary.wiley.com/doi/abs/10.1111/dme.15259</w:t>
        </w:r>
      </w:hyperlink>
    </w:p>
    <w:p w14:paraId="0B2FCD16" w14:textId="77777777" w:rsidR="00874A36" w:rsidRDefault="00000000">
      <w:pPr>
        <w:pStyle w:val="Normal1"/>
        <w:spacing w:line="360" w:lineRule="auto"/>
        <w:jc w:val="both"/>
      </w:pPr>
      <w:r>
        <w:t xml:space="preserve">Psu.pb.unizin (2022). </w:t>
      </w:r>
      <w:r>
        <w:rPr>
          <w:i/>
        </w:rPr>
        <w:t>The Health Belief Model</w:t>
      </w:r>
      <w:r>
        <w:t xml:space="preserve">. Available at: </w:t>
      </w:r>
      <w:hyperlink r:id="rId45" w:history="1">
        <w:r w:rsidR="00874A36">
          <w:rPr>
            <w:rStyle w:val="Hyperlink"/>
            <w:color w:val="auto"/>
          </w:rPr>
          <w:t>https://psu.pb.unizin.org/kines082/chapter/the-health-belief-model/</w:t>
        </w:r>
      </w:hyperlink>
      <w:r>
        <w:t xml:space="preserve">  [Accessed: 7 July, 2026]</w:t>
      </w:r>
    </w:p>
    <w:p w14:paraId="43DB814F" w14:textId="77777777" w:rsidR="00874A36" w:rsidRDefault="00000000">
      <w:pPr>
        <w:pStyle w:val="Normal1"/>
        <w:spacing w:line="360" w:lineRule="auto"/>
        <w:jc w:val="both"/>
        <w:rPr>
          <w:rFonts w:eastAsia="Times New Roman"/>
          <w:highlight w:val="white"/>
          <w:u w:val="single"/>
          <w:lang w:val="en-GB"/>
        </w:rPr>
      </w:pPr>
      <w:r>
        <w:rPr>
          <w:rFonts w:eastAsia="Times New Roman"/>
          <w:highlight w:val="white"/>
          <w:lang w:val="en-GB"/>
        </w:rPr>
        <w:t xml:space="preserve">Puzhakkal, S., Kavanagh, S., Conway, B., Kow, C.S. and Hasan, S.S., (2025). Self-care and self-management in diabetes: concepts, theories and practices. </w:t>
      </w:r>
      <w:r>
        <w:rPr>
          <w:rFonts w:eastAsia="Times New Roman"/>
          <w:i/>
          <w:iCs/>
          <w:highlight w:val="white"/>
          <w:lang w:val="en-GB"/>
        </w:rPr>
        <w:t>International Journal of Clinical Pharmacy</w:t>
      </w:r>
      <w:r>
        <w:rPr>
          <w:rFonts w:eastAsia="Times New Roman"/>
          <w:highlight w:val="white"/>
          <w:lang w:val="en-GB"/>
        </w:rPr>
        <w:t>, pp.1-7.</w:t>
      </w:r>
      <w:hyperlink r:id="rId46" w:history="1">
        <w:r w:rsidR="00874A36">
          <w:rPr>
            <w:rFonts w:eastAsia="Times New Roman"/>
            <w:highlight w:val="white"/>
            <w:lang w:val="en-GB"/>
          </w:rPr>
          <w:t xml:space="preserve"> </w:t>
        </w:r>
      </w:hyperlink>
      <w:hyperlink r:id="rId47" w:history="1">
        <w:r w:rsidR="00874A36">
          <w:rPr>
            <w:rFonts w:eastAsia="Times New Roman"/>
            <w:highlight w:val="white"/>
            <w:u w:val="single"/>
            <w:lang w:val="en-GB"/>
          </w:rPr>
          <w:t>https://doi.org/10.1007/s11096-025-01941-z</w:t>
        </w:r>
      </w:hyperlink>
    </w:p>
    <w:p w14:paraId="56FC9601" w14:textId="77777777" w:rsidR="00874A36" w:rsidRDefault="00000000">
      <w:pPr>
        <w:pStyle w:val="Normal1"/>
        <w:spacing w:line="360" w:lineRule="auto"/>
        <w:jc w:val="both"/>
        <w:rPr>
          <w:lang w:val="en-GB"/>
        </w:rPr>
      </w:pPr>
      <w:r>
        <w:rPr>
          <w:rFonts w:eastAsia="Times New Roman"/>
          <w:highlight w:val="white"/>
          <w:lang w:val="en-GB"/>
        </w:rPr>
        <w:t xml:space="preserve">Reynolds 3rd, C.F., Jeste, D.V., Sachdev, P.S. and Blazer, D.G., (2022). Mental health care for older adults: recent advances and new directions in clinical practice and research. </w:t>
      </w:r>
      <w:r>
        <w:rPr>
          <w:rFonts w:eastAsia="Times New Roman"/>
          <w:i/>
          <w:iCs/>
          <w:highlight w:val="white"/>
          <w:lang w:val="en-GB"/>
        </w:rPr>
        <w:t>World Psychiatry</w:t>
      </w:r>
      <w:r>
        <w:rPr>
          <w:rFonts w:eastAsia="Times New Roman"/>
          <w:highlight w:val="white"/>
          <w:lang w:val="en-GB"/>
        </w:rPr>
        <w:t xml:space="preserve">, </w:t>
      </w:r>
      <w:r>
        <w:rPr>
          <w:rFonts w:eastAsia="Times New Roman"/>
          <w:i/>
          <w:iCs/>
          <w:highlight w:val="white"/>
          <w:lang w:val="en-GB"/>
        </w:rPr>
        <w:t>21</w:t>
      </w:r>
      <w:r>
        <w:rPr>
          <w:rFonts w:eastAsia="Times New Roman"/>
          <w:highlight w:val="white"/>
          <w:lang w:val="en-GB"/>
        </w:rPr>
        <w:t>(3), pp.336-363.</w:t>
      </w:r>
      <w:hyperlink r:id="rId48" w:history="1">
        <w:r w:rsidR="00874A36">
          <w:rPr>
            <w:rFonts w:eastAsia="Times New Roman"/>
            <w:highlight w:val="white"/>
            <w:lang w:val="en-GB"/>
          </w:rPr>
          <w:t xml:space="preserve"> </w:t>
        </w:r>
      </w:hyperlink>
      <w:hyperlink r:id="rId49" w:history="1">
        <w:r w:rsidR="00874A36">
          <w:rPr>
            <w:rFonts w:eastAsia="Times New Roman"/>
            <w:highlight w:val="white"/>
            <w:u w:val="single"/>
            <w:lang w:val="en-GB"/>
          </w:rPr>
          <w:t>https://onlinelibrary.wiley.com/doi/pdf/10.1002/wps.20996</w:t>
        </w:r>
      </w:hyperlink>
    </w:p>
    <w:p w14:paraId="33138A31" w14:textId="77777777" w:rsidR="00874A36" w:rsidRDefault="00000000">
      <w:pPr>
        <w:spacing w:line="360" w:lineRule="auto"/>
        <w:rPr>
          <w:rFonts w:ascii="Arial" w:hAnsi="Arial"/>
          <w:highlight w:val="white"/>
        </w:rPr>
      </w:pPr>
      <w:r>
        <w:rPr>
          <w:rFonts w:ascii="Arial" w:hAnsi="Arial"/>
          <w:highlight w:val="white"/>
        </w:rPr>
        <w:t>Reznik, Y., Bonnemaison, E., Fagherazzi, G., Renard, E., Hélène Hanaire, Schaepelynck, P., Mihaela Mihaileanu and Jean</w:t>
      </w:r>
      <w:r>
        <w:rPr>
          <w:rFonts w:ascii="Cambria Math" w:hAnsi="Cambria Math"/>
          <w:highlight w:val="white"/>
        </w:rPr>
        <w:t>‐</w:t>
      </w:r>
      <w:r>
        <w:rPr>
          <w:rFonts w:ascii="Arial" w:hAnsi="Arial"/>
          <w:highlight w:val="white"/>
        </w:rPr>
        <w:t xml:space="preserve">Pierre Riveline (2024). The use of an automated insulin delivery system is associated with a reduction in diabetes distress and improvement in quality of life in people with type 1 diabetes. </w:t>
      </w:r>
      <w:r>
        <w:rPr>
          <w:rFonts w:ascii="Arial" w:hAnsi="Arial"/>
          <w:i/>
          <w:iCs/>
          <w:highlight w:val="white"/>
        </w:rPr>
        <w:t>Diabetes Obesity and Metabolism</w:t>
      </w:r>
      <w:r>
        <w:rPr>
          <w:rFonts w:ascii="Arial" w:hAnsi="Arial"/>
          <w:highlight w:val="white"/>
        </w:rPr>
        <w:t>, 26(5), pp.1962–1966. doi:10.1111/dom.15462.</w:t>
      </w:r>
    </w:p>
    <w:p w14:paraId="0FA94DE0" w14:textId="77777777" w:rsidR="00874A36" w:rsidRDefault="00000000">
      <w:pPr>
        <w:spacing w:line="360" w:lineRule="auto"/>
        <w:rPr>
          <w:rFonts w:ascii="Arial" w:hAnsi="Arial"/>
          <w:highlight w:val="white"/>
        </w:rPr>
      </w:pPr>
      <w:r>
        <w:rPr>
          <w:rFonts w:ascii="Arial" w:hAnsi="Arial"/>
          <w:highlight w:val="white"/>
        </w:rPr>
        <w:t xml:space="preserve">Sadeghi, H., Mohammadi Shahbolaghi, F., Hosseini, M., Fallahi-Khoshknab, M. and GhaedaminiHarouni, G. (2024). Factors associated with self-management in older adults with multiple chronic conditions: A qualitative study. </w:t>
      </w:r>
      <w:r>
        <w:rPr>
          <w:rFonts w:ascii="Arial" w:hAnsi="Arial"/>
          <w:i/>
          <w:iCs/>
          <w:highlight w:val="white"/>
        </w:rPr>
        <w:t>Frontiers in Public Health</w:t>
      </w:r>
      <w:r>
        <w:rPr>
          <w:rFonts w:ascii="Arial" w:hAnsi="Arial"/>
          <w:highlight w:val="white"/>
        </w:rPr>
        <w:t>, 12. doi:10.3389/fpubh.2024.1412832.</w:t>
      </w:r>
    </w:p>
    <w:p w14:paraId="6D1D3635" w14:textId="77777777" w:rsidR="00874A36" w:rsidRDefault="00000000">
      <w:pPr>
        <w:pStyle w:val="Normal1"/>
        <w:spacing w:line="360" w:lineRule="auto"/>
        <w:jc w:val="both"/>
        <w:rPr>
          <w:rFonts w:eastAsia="Times New Roman"/>
          <w:highlight w:val="white"/>
          <w:lang w:val="en-GB"/>
        </w:rPr>
      </w:pPr>
      <w:r>
        <w:rPr>
          <w:rFonts w:eastAsia="Times New Roman"/>
          <w:highlight w:val="white"/>
          <w:lang w:val="en-GB"/>
        </w:rPr>
        <w:t xml:space="preserve">Salis, S., Verma, S., Kohli, H. and Mohan, V., (2022). Type 1 diabetes peer support groups: bridging the gap between healthcare professionals and people with type 1 diabetes. </w:t>
      </w:r>
      <w:r>
        <w:rPr>
          <w:rFonts w:eastAsia="Times New Roman"/>
          <w:i/>
          <w:iCs/>
          <w:highlight w:val="white"/>
          <w:lang w:val="en-GB"/>
        </w:rPr>
        <w:t>Journal of Diabetology</w:t>
      </w:r>
      <w:r>
        <w:rPr>
          <w:rFonts w:eastAsia="Times New Roman"/>
          <w:highlight w:val="white"/>
          <w:lang w:val="en-GB"/>
        </w:rPr>
        <w:t xml:space="preserve">, </w:t>
      </w:r>
      <w:r>
        <w:rPr>
          <w:rFonts w:eastAsia="Times New Roman"/>
          <w:i/>
          <w:iCs/>
          <w:highlight w:val="white"/>
          <w:lang w:val="en-GB"/>
        </w:rPr>
        <w:t>13</w:t>
      </w:r>
      <w:r>
        <w:rPr>
          <w:rFonts w:eastAsia="Times New Roman"/>
          <w:highlight w:val="white"/>
          <w:lang w:val="en-GB"/>
        </w:rPr>
        <w:t xml:space="preserve">(1), pp.16-24. </w:t>
      </w:r>
      <w:r>
        <w:rPr>
          <w:rFonts w:eastAsia="Times New Roman"/>
          <w:i/>
          <w:iCs/>
          <w:highlight w:val="white"/>
          <w:lang w:val="en-GB"/>
        </w:rPr>
        <w:t xml:space="preserve">DOI: </w:t>
      </w:r>
      <w:r>
        <w:rPr>
          <w:rFonts w:eastAsia="Times New Roman"/>
          <w:highlight w:val="white"/>
          <w:lang w:val="en-GB"/>
        </w:rPr>
        <w:t>10.4103/jod.jod_137_21</w:t>
      </w:r>
    </w:p>
    <w:p w14:paraId="14B57310" w14:textId="77777777" w:rsidR="00874A36" w:rsidRDefault="00000000">
      <w:pPr>
        <w:spacing w:line="360" w:lineRule="auto"/>
        <w:rPr>
          <w:rFonts w:ascii="Arial" w:hAnsi="Arial"/>
          <w:highlight w:val="white"/>
        </w:rPr>
      </w:pPr>
      <w:r>
        <w:rPr>
          <w:rFonts w:ascii="Arial" w:hAnsi="Arial"/>
          <w:highlight w:val="white"/>
        </w:rPr>
        <w:t xml:space="preserve">Sarfo, J.O., Debrah, T.P., Gbordzoe, N.I., Afful, W.T. and Obeng, P. (2021). Qualitative research designs, sample size and saturation: Is enough always enough? </w:t>
      </w:r>
      <w:r>
        <w:rPr>
          <w:rFonts w:ascii="Arial" w:hAnsi="Arial"/>
          <w:i/>
          <w:iCs/>
          <w:highlight w:val="white"/>
        </w:rPr>
        <w:t>Journal of Advocacy, Research and Education</w:t>
      </w:r>
      <w:r>
        <w:rPr>
          <w:rFonts w:ascii="Arial" w:hAnsi="Arial"/>
          <w:highlight w:val="white"/>
        </w:rPr>
        <w:t>, 8(3), pp.60–65. doi:10.13187/jare.2021.3.60.</w:t>
      </w:r>
    </w:p>
    <w:p w14:paraId="100BDE32" w14:textId="77777777" w:rsidR="00874A36" w:rsidRDefault="00000000">
      <w:pPr>
        <w:pStyle w:val="Normal1"/>
        <w:spacing w:line="360" w:lineRule="auto"/>
        <w:jc w:val="both"/>
        <w:rPr>
          <w:rFonts w:eastAsia="Times New Roman"/>
          <w:b/>
          <w:bCs/>
          <w:highlight w:val="white"/>
          <w:u w:val="single"/>
          <w:lang w:val="en-GB"/>
        </w:rPr>
      </w:pPr>
      <w:r>
        <w:rPr>
          <w:rFonts w:eastAsia="Times New Roman"/>
          <w:highlight w:val="white"/>
          <w:lang w:val="en-GB"/>
        </w:rPr>
        <w:t xml:space="preserve">Socea, B., Silaghi, A., Florentina Rebegea, L., Gabriela Balan, D., Balalau, C., Ștefăniță Tenea-Cojan, T., Andrada Mihai, D. and Paunica, I., (2023). Diabetes mellitus: interdisciplinary medical, surgical and psychological therapeutic approach. </w:t>
      </w:r>
      <w:r>
        <w:rPr>
          <w:rFonts w:eastAsia="Times New Roman"/>
          <w:i/>
          <w:iCs/>
          <w:highlight w:val="white"/>
          <w:lang w:val="en-GB"/>
        </w:rPr>
        <w:t>Journal of Mind and Medical Sciences</w:t>
      </w:r>
      <w:r>
        <w:rPr>
          <w:rFonts w:eastAsia="Times New Roman"/>
          <w:highlight w:val="white"/>
          <w:lang w:val="en-GB"/>
        </w:rPr>
        <w:t xml:space="preserve">, </w:t>
      </w:r>
      <w:r>
        <w:rPr>
          <w:rFonts w:eastAsia="Times New Roman"/>
          <w:i/>
          <w:iCs/>
          <w:highlight w:val="white"/>
          <w:lang w:val="en-GB"/>
        </w:rPr>
        <w:t>10</w:t>
      </w:r>
      <w:r>
        <w:rPr>
          <w:rFonts w:eastAsia="Times New Roman"/>
          <w:highlight w:val="white"/>
          <w:lang w:val="en-GB"/>
        </w:rPr>
        <w:t>(2), p.24.</w:t>
      </w:r>
      <w:hyperlink r:id="rId50" w:history="1">
        <w:r w:rsidR="00874A36">
          <w:rPr>
            <w:rFonts w:eastAsia="Times New Roman"/>
            <w:highlight w:val="white"/>
            <w:lang w:val="en-GB"/>
          </w:rPr>
          <w:t xml:space="preserve"> </w:t>
        </w:r>
      </w:hyperlink>
      <w:hyperlink r:id="rId51" w:history="1">
        <w:r w:rsidR="00874A36">
          <w:rPr>
            <w:rFonts w:eastAsia="Times New Roman"/>
            <w:b/>
            <w:bCs/>
            <w:highlight w:val="white"/>
            <w:u w:val="single"/>
            <w:lang w:val="en-GB"/>
          </w:rPr>
          <w:t>https://doi.org/10.22543/2392-7674.1445</w:t>
        </w:r>
      </w:hyperlink>
    </w:p>
    <w:p w14:paraId="3257CC2D" w14:textId="77777777" w:rsidR="00874A36" w:rsidRDefault="00000000">
      <w:pPr>
        <w:spacing w:line="360" w:lineRule="auto"/>
        <w:rPr>
          <w:rFonts w:ascii="Arial" w:hAnsi="Arial"/>
        </w:rPr>
      </w:pPr>
      <w:r>
        <w:rPr>
          <w:rFonts w:ascii="Arial" w:hAnsi="Arial"/>
        </w:rPr>
        <w:t>Speight, J., Choudhary, P., Wilmot, E.G., Hendrieckx, C., Forde, H., Cheung, W.Y., Crabtree, T., Millar, B., Traviss</w:t>
      </w:r>
      <w:r>
        <w:rPr>
          <w:rFonts w:ascii="Cambria Math" w:hAnsi="Cambria Math"/>
        </w:rPr>
        <w:t>‐</w:t>
      </w:r>
      <w:r>
        <w:rPr>
          <w:rFonts w:ascii="Arial" w:hAnsi="Arial"/>
        </w:rPr>
        <w:t xml:space="preserve">Turner, G., Hill, A. and Ajjan, R.A. (2022). Impact of glycaemic </w:t>
      </w:r>
      <w:r>
        <w:rPr>
          <w:rFonts w:ascii="Arial" w:hAnsi="Arial"/>
        </w:rPr>
        <w:lastRenderedPageBreak/>
        <w:t xml:space="preserve">technologies on quality of life and related outcomes in adults with type 1 diabetes: A narrative review. </w:t>
      </w:r>
      <w:r>
        <w:rPr>
          <w:rFonts w:ascii="Arial" w:hAnsi="Arial"/>
          <w:i/>
          <w:iCs/>
        </w:rPr>
        <w:t>Diabetic Medicine</w:t>
      </w:r>
      <w:r>
        <w:rPr>
          <w:rFonts w:ascii="Arial" w:hAnsi="Arial"/>
        </w:rPr>
        <w:t>, 40(1). doi:10.1111/dme.14944.</w:t>
      </w:r>
    </w:p>
    <w:p w14:paraId="6D40B409" w14:textId="77777777" w:rsidR="00874A36" w:rsidRDefault="00000000">
      <w:pPr>
        <w:spacing w:line="360" w:lineRule="auto"/>
        <w:rPr>
          <w:rFonts w:ascii="Arial" w:hAnsi="Arial"/>
          <w:lang w:val="en-IN"/>
        </w:rPr>
      </w:pPr>
      <w:r>
        <w:rPr>
          <w:rFonts w:ascii="Arial" w:hAnsi="Arial"/>
          <w:lang w:val="en-IN"/>
        </w:rPr>
        <w:t xml:space="preserve">Statista (2023). </w:t>
      </w:r>
      <w:r>
        <w:rPr>
          <w:rFonts w:ascii="Arial" w:hAnsi="Arial"/>
          <w:i/>
          <w:iCs/>
          <w:lang w:val="en-IN"/>
        </w:rPr>
        <w:t>Diabetes in England and wales by type 2023/24| statista</w:t>
      </w:r>
      <w:r>
        <w:rPr>
          <w:rFonts w:ascii="Arial" w:hAnsi="Arial"/>
          <w:lang w:val="en-IN"/>
        </w:rPr>
        <w:t>. [online] Statista. Available at: https://www.statista.com/statistics/386742/individuals-with-diabetes-by-type-in-england-and-wales/?srsltid=afmboorenmj4lgqk_ah3nq0uyi8_gvuvl5aa3iaxfycne_h_rc4tzelo [Accessed 25 July 2026].</w:t>
      </w:r>
    </w:p>
    <w:p w14:paraId="6647A75E" w14:textId="77777777" w:rsidR="00874A36" w:rsidRDefault="00000000">
      <w:pPr>
        <w:spacing w:line="360" w:lineRule="auto"/>
        <w:rPr>
          <w:rFonts w:ascii="Arial" w:hAnsi="Arial"/>
        </w:rPr>
      </w:pPr>
      <w:r>
        <w:rPr>
          <w:rFonts w:ascii="Arial" w:hAnsi="Arial"/>
        </w:rPr>
        <w:t xml:space="preserve">Subramanian, S. and Baidal, D. (2026). </w:t>
      </w:r>
      <w:r>
        <w:rPr>
          <w:rFonts w:ascii="Arial" w:hAnsi="Arial"/>
          <w:i/>
          <w:iCs/>
        </w:rPr>
        <w:t>The Management of Type 1 Diabetes</w:t>
      </w:r>
      <w:r>
        <w:rPr>
          <w:rFonts w:ascii="Arial" w:hAnsi="Arial"/>
        </w:rPr>
        <w:t>. [online] Nih.gov. Available at: https://www.ncbi.nlm.nih.gov/books/NBK279114/?utm_medium=email&amp;utm_source=transaction [Accessed 6 July 2026].</w:t>
      </w:r>
    </w:p>
    <w:p w14:paraId="65ECA2C7" w14:textId="77777777" w:rsidR="00874A36" w:rsidRDefault="00000000">
      <w:pPr>
        <w:spacing w:line="360" w:lineRule="auto"/>
        <w:rPr>
          <w:rFonts w:ascii="Arial" w:hAnsi="Arial"/>
          <w:highlight w:val="white"/>
          <w:lang w:val="en-IN"/>
        </w:rPr>
      </w:pPr>
      <w:r>
        <w:rPr>
          <w:rFonts w:ascii="Arial" w:hAnsi="Arial"/>
          <w:highlight w:val="white"/>
          <w:lang w:val="en-IN"/>
        </w:rPr>
        <w:t xml:space="preserve">Takawira, B. and Pooe, D., (2025). SME readiness for Industry 5.0: A systematic literature review. </w:t>
      </w:r>
      <w:r>
        <w:rPr>
          <w:rFonts w:ascii="Arial" w:hAnsi="Arial"/>
          <w:i/>
          <w:iCs/>
          <w:highlight w:val="white"/>
          <w:lang w:val="en-IN"/>
        </w:rPr>
        <w:t>The Southern African Journal of Entrepreneurship and Small Business Management</w:t>
      </w:r>
      <w:r>
        <w:rPr>
          <w:rFonts w:ascii="Arial" w:hAnsi="Arial"/>
          <w:highlight w:val="white"/>
          <w:lang w:val="en-IN"/>
        </w:rPr>
        <w:t xml:space="preserve">, </w:t>
      </w:r>
      <w:r>
        <w:rPr>
          <w:rFonts w:ascii="Arial" w:hAnsi="Arial"/>
          <w:i/>
          <w:iCs/>
          <w:highlight w:val="white"/>
          <w:lang w:val="en-IN"/>
        </w:rPr>
        <w:t>17</w:t>
      </w:r>
      <w:r>
        <w:rPr>
          <w:rFonts w:ascii="Arial" w:hAnsi="Arial"/>
          <w:highlight w:val="white"/>
          <w:lang w:val="en-IN"/>
        </w:rPr>
        <w:t>(1), p.946. doi:10.4102/sajesbm.v17i1.946.</w:t>
      </w:r>
    </w:p>
    <w:p w14:paraId="422DA022" w14:textId="77777777" w:rsidR="00874A36" w:rsidRDefault="00000000">
      <w:pPr>
        <w:spacing w:line="360" w:lineRule="auto"/>
        <w:rPr>
          <w:rFonts w:ascii="Arial" w:hAnsi="Arial"/>
        </w:rPr>
      </w:pPr>
      <w:r>
        <w:rPr>
          <w:rFonts w:ascii="Arial" w:hAnsi="Arial"/>
        </w:rPr>
        <w:t xml:space="preserve">Templer, S. (2022). Closed-Loop Insulin Delivery Systems: Past, Present, and Future Directions. </w:t>
      </w:r>
      <w:r>
        <w:rPr>
          <w:rFonts w:ascii="Arial" w:hAnsi="Arial"/>
          <w:i/>
          <w:iCs/>
        </w:rPr>
        <w:t>Frontiers in Endocrinology</w:t>
      </w:r>
      <w:r>
        <w:rPr>
          <w:rFonts w:ascii="Arial" w:hAnsi="Arial"/>
        </w:rPr>
        <w:t>, 13(1). doi:10.3389/fendo.2022.919942.</w:t>
      </w:r>
    </w:p>
    <w:p w14:paraId="6B650B25" w14:textId="77777777" w:rsidR="00874A36" w:rsidRDefault="00000000">
      <w:pPr>
        <w:spacing w:line="360" w:lineRule="auto"/>
        <w:rPr>
          <w:rFonts w:ascii="Arial" w:hAnsi="Arial"/>
          <w:highlight w:val="white"/>
        </w:rPr>
      </w:pPr>
      <w:r>
        <w:rPr>
          <w:rFonts w:ascii="Arial" w:hAnsi="Arial"/>
          <w:highlight w:val="white"/>
        </w:rPr>
        <w:t xml:space="preserve">Vettoretti, M., Cappon, G., Facchinetti, A. and Sparacino, G. (2020). Advanced Diabetes Management Using Artificial Intelligence and Continuous Glucose Monitoring Sensors. </w:t>
      </w:r>
      <w:r>
        <w:rPr>
          <w:rFonts w:ascii="Arial" w:hAnsi="Arial"/>
          <w:i/>
          <w:iCs/>
          <w:highlight w:val="white"/>
        </w:rPr>
        <w:t>Sensors</w:t>
      </w:r>
      <w:r>
        <w:rPr>
          <w:rFonts w:ascii="Arial" w:hAnsi="Arial"/>
          <w:highlight w:val="white"/>
        </w:rPr>
        <w:t>, 20(14). doi:10.3390/s20143870.</w:t>
      </w:r>
    </w:p>
    <w:p w14:paraId="1E697FA2" w14:textId="77777777" w:rsidR="00874A36" w:rsidRDefault="00000000">
      <w:pPr>
        <w:spacing w:line="360" w:lineRule="auto"/>
        <w:rPr>
          <w:rFonts w:ascii="Arial" w:hAnsi="Arial"/>
          <w:highlight w:val="white"/>
        </w:rPr>
      </w:pPr>
      <w:r>
        <w:rPr>
          <w:rFonts w:ascii="Arial" w:hAnsi="Arial"/>
          <w:highlight w:val="white"/>
        </w:rPr>
        <w:t xml:space="preserve">Wijk, I., Amsberg, S., Johansson, U.-B., Livheim, F., Toft, E. and Anderbro, T. (2023). Impact of an Acceptance and Commitment Therapy programme on HbA1c, self-management and psychosocial factors in adults with type 1 diabetes and elevated HbA1c levels: A randomised controlled trial. </w:t>
      </w:r>
      <w:r>
        <w:rPr>
          <w:rFonts w:ascii="Arial" w:hAnsi="Arial"/>
          <w:i/>
          <w:iCs/>
          <w:highlight w:val="white"/>
        </w:rPr>
        <w:t>BMJ Open</w:t>
      </w:r>
      <w:r>
        <w:rPr>
          <w:rFonts w:ascii="Arial" w:hAnsi="Arial"/>
          <w:highlight w:val="white"/>
        </w:rPr>
        <w:t>, [online] 13(12), p.e072061. doi:10.1136/bmjopen-2023-072061.</w:t>
      </w:r>
    </w:p>
    <w:p w14:paraId="505220A0" w14:textId="77777777" w:rsidR="00874A36" w:rsidRDefault="00000000">
      <w:pPr>
        <w:spacing w:line="360" w:lineRule="auto"/>
        <w:rPr>
          <w:rFonts w:ascii="Arial" w:hAnsi="Arial"/>
          <w:highlight w:val="white"/>
        </w:rPr>
      </w:pPr>
      <w:r>
        <w:rPr>
          <w:rFonts w:ascii="Arial" w:hAnsi="Arial"/>
          <w:highlight w:val="white"/>
        </w:rPr>
        <w:t xml:space="preserve">Winkley, K., Upsher, R., Stahl, D., Pollard, D., Kasera, A., Brennan, A., Heller, S. and Ismail, K. (2020). Psychological interventions to improve self-management of type 1 and type 2 diabetes: A systematic review. </w:t>
      </w:r>
      <w:r>
        <w:rPr>
          <w:rFonts w:ascii="Arial" w:hAnsi="Arial"/>
          <w:i/>
          <w:iCs/>
          <w:highlight w:val="white"/>
        </w:rPr>
        <w:t>Health Technology Assessment (Winchester, England)</w:t>
      </w:r>
      <w:r>
        <w:rPr>
          <w:rFonts w:ascii="Arial" w:hAnsi="Arial"/>
          <w:highlight w:val="white"/>
        </w:rPr>
        <w:t>, [online] 24(28), pp.1–232. doi:10.3310/hta24280.</w:t>
      </w:r>
    </w:p>
    <w:p w14:paraId="79BA6B7E" w14:textId="77777777" w:rsidR="00874A36" w:rsidRDefault="00000000">
      <w:pPr>
        <w:spacing w:line="360" w:lineRule="auto"/>
        <w:rPr>
          <w:rFonts w:ascii="Arial" w:hAnsi="Arial"/>
        </w:rPr>
      </w:pPr>
      <w:r>
        <w:rPr>
          <w:rFonts w:ascii="Arial" w:hAnsi="Arial"/>
        </w:rPr>
        <w:t xml:space="preserve">Yahoo News (2023). </w:t>
      </w:r>
      <w:r>
        <w:rPr>
          <w:rFonts w:ascii="Arial" w:hAnsi="Arial"/>
          <w:i/>
          <w:iCs/>
        </w:rPr>
        <w:t>More than five million people in the UK have diabetes – charity</w:t>
      </w:r>
      <w:r>
        <w:rPr>
          <w:rFonts w:ascii="Arial" w:hAnsi="Arial"/>
        </w:rPr>
        <w:t>. [online] Yahoo News. Available at: https://uk.news.yahoo.com/more-five-million-people-uk-230100222.html [Accessed 6 July 2026].</w:t>
      </w:r>
    </w:p>
    <w:p w14:paraId="7FBACB03" w14:textId="77777777" w:rsidR="00874A36" w:rsidRDefault="00000000">
      <w:pPr>
        <w:spacing w:line="360" w:lineRule="auto"/>
      </w:pPr>
      <w:r>
        <w:rPr>
          <w:rFonts w:ascii="Arial" w:eastAsia="Arial" w:hAnsi="Arial"/>
          <w:highlight w:val="white"/>
        </w:rPr>
        <w:t xml:space="preserve">Ziegler, A.G., Cengiz, E. and Kay, T.W., (2025). The future of type 1 diabetes therapy. </w:t>
      </w:r>
      <w:r>
        <w:rPr>
          <w:rFonts w:ascii="Arial" w:eastAsia="Arial" w:hAnsi="Arial"/>
          <w:i/>
          <w:iCs/>
          <w:highlight w:val="white"/>
        </w:rPr>
        <w:t>The Lancet</w:t>
      </w:r>
      <w:r>
        <w:rPr>
          <w:rFonts w:ascii="Arial" w:eastAsia="Arial" w:hAnsi="Arial"/>
          <w:highlight w:val="white"/>
        </w:rPr>
        <w:t xml:space="preserve">, </w:t>
      </w:r>
      <w:r>
        <w:rPr>
          <w:rFonts w:ascii="Arial" w:eastAsia="Arial" w:hAnsi="Arial"/>
          <w:i/>
          <w:iCs/>
          <w:highlight w:val="white"/>
        </w:rPr>
        <w:t>406</w:t>
      </w:r>
      <w:r>
        <w:rPr>
          <w:rFonts w:ascii="Arial" w:eastAsia="Arial" w:hAnsi="Arial"/>
          <w:highlight w:val="white"/>
        </w:rPr>
        <w:t>(10511), pp.1520-1534.</w:t>
      </w:r>
      <w:hyperlink r:id="rId52" w:history="1">
        <w:r w:rsidR="00874A36">
          <w:rPr>
            <w:rFonts w:ascii="Arial" w:hAnsi="Arial"/>
            <w:u w:val="single"/>
          </w:rPr>
          <w:t>https://www.thelancet.com/journals/lancet/article/PIIS0140-6736(25)01438-2/fulltext</w:t>
        </w:r>
      </w:hyperlink>
    </w:p>
    <w:p w14:paraId="3C0B373D" w14:textId="77777777" w:rsidR="00874A36" w:rsidRDefault="00000000">
      <w:pPr>
        <w:spacing w:line="360" w:lineRule="auto"/>
        <w:jc w:val="both"/>
        <w:rPr>
          <w:rFonts w:ascii="Arial" w:hAnsi="Arial"/>
        </w:rPr>
      </w:pPr>
      <w:r>
        <w:rPr>
          <w:rFonts w:ascii="Arial" w:hAnsi="Arial"/>
          <w:b/>
          <w:bCs/>
        </w:rPr>
        <w:lastRenderedPageBreak/>
        <w:t xml:space="preserve">Chosen articles </w:t>
      </w:r>
    </w:p>
    <w:p w14:paraId="1552F076" w14:textId="77777777" w:rsidR="00874A36" w:rsidRDefault="00000000">
      <w:pPr>
        <w:spacing w:after="172" w:line="360" w:lineRule="auto"/>
        <w:jc w:val="both"/>
        <w:rPr>
          <w:rFonts w:ascii="Arial" w:hAnsi="Arial"/>
          <w:lang w:val="en-IN"/>
        </w:rPr>
      </w:pPr>
      <w:r>
        <w:rPr>
          <w:rFonts w:ascii="Arial" w:hAnsi="Arial"/>
          <w:lang w:val="en-IN"/>
        </w:rPr>
        <w:t xml:space="preserve">Abualula, N.A., Jacobsen, K.H., Milligan, R.A., Rodan, M.F. and Conn, V.S. (2016). Evaluating diabetes educational interventions with a skill development component in Adolescents with type 1 diabetes. </w:t>
      </w:r>
      <w:r>
        <w:rPr>
          <w:rFonts w:ascii="Arial" w:hAnsi="Arial"/>
          <w:i/>
          <w:iCs/>
          <w:lang w:val="en-IN"/>
        </w:rPr>
        <w:t>The diabetes educator</w:t>
      </w:r>
      <w:r>
        <w:rPr>
          <w:rFonts w:ascii="Arial" w:hAnsi="Arial"/>
          <w:lang w:val="en-IN"/>
        </w:rPr>
        <w:t>, 42(5), pp.515–528. doi:10.1177/0145721716658356.</w:t>
      </w:r>
    </w:p>
    <w:p w14:paraId="29DF956B" w14:textId="77777777" w:rsidR="00874A36" w:rsidRDefault="00000000">
      <w:pPr>
        <w:spacing w:after="172" w:line="360" w:lineRule="auto"/>
        <w:jc w:val="both"/>
        <w:rPr>
          <w:rFonts w:ascii="Arial" w:hAnsi="Arial"/>
          <w:lang w:val="en-IN"/>
        </w:rPr>
      </w:pPr>
      <w:r>
        <w:rPr>
          <w:rFonts w:ascii="Arial" w:hAnsi="Arial"/>
          <w:lang w:val="en-IN"/>
        </w:rPr>
        <w:t xml:space="preserve">Agarwal, S., Kanapka, L.G., Raymond, J.K., Walker, A., Gerard-Gonzalez, A., Kruger, D., Redondo, M.J., Rickels, M.R., Shah, V.N., Butler, A., Gonzalez, J., Verdejo, A.S., Gal, R.L., Willi, S. and Long, J.A. (2020). Racial-Ethnic inequity in young adults with type 1 diabetes. </w:t>
      </w:r>
      <w:r>
        <w:rPr>
          <w:rFonts w:ascii="Arial" w:hAnsi="Arial"/>
          <w:i/>
          <w:iCs/>
          <w:lang w:val="en-IN"/>
        </w:rPr>
        <w:t>The journal of clinical endocrinology and metabolism</w:t>
      </w:r>
      <w:r>
        <w:rPr>
          <w:rFonts w:ascii="Arial" w:hAnsi="Arial"/>
          <w:lang w:val="en-IN"/>
        </w:rPr>
        <w:t>, [online] 105(8). doi:10.1210/clinem/dgaa236.</w:t>
      </w:r>
    </w:p>
    <w:p w14:paraId="0173E658" w14:textId="77777777" w:rsidR="00874A36" w:rsidRDefault="00000000">
      <w:pPr>
        <w:spacing w:after="172" w:line="360" w:lineRule="auto"/>
        <w:jc w:val="both"/>
        <w:rPr>
          <w:rFonts w:ascii="Arial" w:hAnsi="Arial"/>
          <w:lang w:val="en-IN"/>
        </w:rPr>
      </w:pPr>
      <w:r>
        <w:rPr>
          <w:rFonts w:ascii="Arial" w:hAnsi="Arial"/>
          <w:lang w:val="en-IN"/>
        </w:rPr>
        <w:t xml:space="preserve">Aguayo, G.A., Martin, V.P., Canha, D., Cosson, E., Arnault, G., Delenne, B., Guerci, B., Berot, A., Barraud, S., Riveline, J.-P. and Fagherazzi, G. (2026). Psychosocial burden in type 1 diabetes: A cross-sectional network analysis in the sfdt1 study. </w:t>
      </w:r>
      <w:r>
        <w:rPr>
          <w:rFonts w:ascii="Arial" w:hAnsi="Arial"/>
          <w:i/>
          <w:iCs/>
          <w:lang w:val="en-IN"/>
        </w:rPr>
        <w:t>BMJ open</w:t>
      </w:r>
      <w:r>
        <w:rPr>
          <w:rFonts w:ascii="Arial" w:hAnsi="Arial"/>
          <w:lang w:val="en-IN"/>
        </w:rPr>
        <w:t>, [online] 16(1), p.e105713. doi:10.1136/bmjopen-2025-105713.</w:t>
      </w:r>
    </w:p>
    <w:p w14:paraId="5658617C" w14:textId="77777777" w:rsidR="00874A36" w:rsidRDefault="00000000">
      <w:pPr>
        <w:spacing w:after="172" w:line="360" w:lineRule="auto"/>
        <w:jc w:val="both"/>
        <w:rPr>
          <w:rFonts w:ascii="Arial" w:hAnsi="Arial"/>
          <w:lang w:val="en-IN"/>
        </w:rPr>
      </w:pPr>
      <w:r>
        <w:rPr>
          <w:rFonts w:ascii="Arial" w:hAnsi="Arial"/>
          <w:lang w:val="en-IN"/>
        </w:rPr>
        <w:t xml:space="preserve">Alarcón-Gómez, J., Chulvi-Medrano, I., Martin-Rivera, F. and Calatayud, J. (2021). Effect of High-Intensity interval training on quality of Life, sleep quality, exercise motivation and enjoyment in Sedentary people with type 1 diabetes mellitus. </w:t>
      </w:r>
      <w:r>
        <w:rPr>
          <w:rFonts w:ascii="Arial" w:hAnsi="Arial"/>
          <w:i/>
          <w:iCs/>
          <w:lang w:val="en-IN"/>
        </w:rPr>
        <w:t>International journal of Environmental research and public health</w:t>
      </w:r>
      <w:r>
        <w:rPr>
          <w:rFonts w:ascii="Arial" w:hAnsi="Arial"/>
          <w:lang w:val="en-IN"/>
        </w:rPr>
        <w:t>, 18(23), p.12612. doi:10.3390/ijerph182312612.</w:t>
      </w:r>
    </w:p>
    <w:p w14:paraId="17A0AFA3" w14:textId="77777777" w:rsidR="00874A36" w:rsidRDefault="00000000">
      <w:pPr>
        <w:spacing w:after="172" w:line="360" w:lineRule="auto"/>
        <w:jc w:val="both"/>
        <w:rPr>
          <w:rFonts w:ascii="Arial" w:hAnsi="Arial"/>
          <w:lang w:val="en-IN"/>
        </w:rPr>
      </w:pPr>
      <w:r>
        <w:rPr>
          <w:rFonts w:ascii="Arial" w:hAnsi="Arial"/>
          <w:lang w:val="en-IN"/>
        </w:rPr>
        <w:t xml:space="preserve">Alfadli, S.F., Alotaibi, Y.S., Aqdi, M.J., Almozan, L.A., Alzubaidi, Z.B., Altemani, H.A., Almutairi, S.D., Alabdullah, H.A., Almehmadi, A.A., Alanzi, A.L. and Azzam, A.Y. (2025). Effectiveness of continuous glucose monitoring systems on glycemic control in adults with type 1 diabetes: A systematic review and meta-analysis. </w:t>
      </w:r>
      <w:r>
        <w:rPr>
          <w:rFonts w:ascii="Arial" w:hAnsi="Arial"/>
          <w:i/>
          <w:iCs/>
          <w:lang w:val="en-IN"/>
        </w:rPr>
        <w:t>Metabolism open</w:t>
      </w:r>
      <w:r>
        <w:rPr>
          <w:rFonts w:ascii="Arial" w:hAnsi="Arial"/>
          <w:lang w:val="en-IN"/>
        </w:rPr>
        <w:t>, [online] 27, p.100382. doi:10.1016/j.metop.2025.100382.</w:t>
      </w:r>
    </w:p>
    <w:p w14:paraId="0A7EBA23" w14:textId="77777777" w:rsidR="00874A36" w:rsidRDefault="00000000">
      <w:pPr>
        <w:spacing w:after="172" w:line="360" w:lineRule="auto"/>
        <w:jc w:val="both"/>
        <w:rPr>
          <w:rFonts w:ascii="Arial" w:hAnsi="Arial"/>
          <w:lang w:val="en-IN"/>
        </w:rPr>
      </w:pPr>
      <w:r>
        <w:rPr>
          <w:rFonts w:ascii="Arial" w:hAnsi="Arial"/>
          <w:lang w:val="en-IN"/>
        </w:rPr>
        <w:t xml:space="preserve">Alliston, P., Jovkovic, M., Khalid, S., Fitzpatrick-Lewis, D., Ali, M.U. and Sherifali, D., (2024). The effects of diabetes self-management programs on clinical and patient reported outcomes in older adults: a systematic review and meta-analysis. </w:t>
      </w:r>
      <w:r>
        <w:rPr>
          <w:rFonts w:ascii="Arial" w:hAnsi="Arial"/>
          <w:i/>
          <w:iCs/>
          <w:lang w:val="en-IN"/>
        </w:rPr>
        <w:t>Frontiers in Clinical Diabetes and Healthcare</w:t>
      </w:r>
      <w:r>
        <w:rPr>
          <w:rFonts w:ascii="Arial" w:hAnsi="Arial"/>
          <w:lang w:val="en-IN"/>
        </w:rPr>
        <w:t xml:space="preserve">, </w:t>
      </w:r>
      <w:r>
        <w:rPr>
          <w:rFonts w:ascii="Arial" w:hAnsi="Arial"/>
          <w:i/>
          <w:iCs/>
          <w:lang w:val="en-IN"/>
        </w:rPr>
        <w:t>5</w:t>
      </w:r>
      <w:r>
        <w:rPr>
          <w:rFonts w:ascii="Arial" w:hAnsi="Arial"/>
          <w:lang w:val="en-IN"/>
        </w:rPr>
        <w:t>, p.1348104. h</w:t>
      </w:r>
      <w:hyperlink r:id="rId53" w:history="1">
        <w:r w:rsidR="00874A36">
          <w:rPr>
            <w:rStyle w:val="Hyperlink"/>
            <w:rFonts w:ascii="Arial" w:hAnsi="Arial"/>
            <w:lang w:val="en-IN"/>
          </w:rPr>
          <w:t>ttps://doi.org/10.3389/fcdhc.2024.1348104</w:t>
        </w:r>
      </w:hyperlink>
      <w:r>
        <w:rPr>
          <w:rFonts w:ascii="Arial" w:hAnsi="Arial"/>
          <w:lang w:val="en-IN"/>
        </w:rPr>
        <w:t> </w:t>
      </w:r>
    </w:p>
    <w:p w14:paraId="3AB793DA" w14:textId="77777777" w:rsidR="00874A36" w:rsidRDefault="00000000">
      <w:pPr>
        <w:spacing w:after="172" w:line="360" w:lineRule="auto"/>
        <w:jc w:val="both"/>
        <w:rPr>
          <w:rFonts w:ascii="Arial" w:hAnsi="Arial"/>
          <w:lang w:val="en-IN"/>
        </w:rPr>
      </w:pPr>
      <w:r>
        <w:rPr>
          <w:rFonts w:ascii="Arial" w:hAnsi="Arial"/>
          <w:lang w:val="en-IN"/>
        </w:rPr>
        <w:t>Almabadi, R., Doi, L., Chandler, C. and Alamri, H. (2025). Self</w:t>
      </w:r>
      <w:r>
        <w:rPr>
          <w:rFonts w:ascii="Cambria Math" w:hAnsi="Cambria Math" w:cs="Cambria Math"/>
          <w:lang w:val="en-IN"/>
        </w:rPr>
        <w:t>‐</w:t>
      </w:r>
      <w:r>
        <w:rPr>
          <w:rFonts w:ascii="Arial" w:hAnsi="Arial"/>
          <w:lang w:val="en-IN"/>
        </w:rPr>
        <w:t xml:space="preserve">Management interventions in young adults (18–30 years) with type 1 diabetes, sickle cell disease, and inflammatory bowel disease: A scoping review. </w:t>
      </w:r>
      <w:r>
        <w:rPr>
          <w:rFonts w:ascii="Arial" w:hAnsi="Arial"/>
          <w:i/>
          <w:iCs/>
          <w:lang w:val="en-IN"/>
        </w:rPr>
        <w:t>Chronic diseases and translational medicine</w:t>
      </w:r>
      <w:r>
        <w:rPr>
          <w:rFonts w:ascii="Arial" w:hAnsi="Arial"/>
          <w:lang w:val="en-IN"/>
        </w:rPr>
        <w:t>, 12(1), pp.26–38. doi:10.1002/cdt3.70032.</w:t>
      </w:r>
    </w:p>
    <w:p w14:paraId="2FAFE272" w14:textId="77777777" w:rsidR="00874A36" w:rsidRDefault="00000000">
      <w:pPr>
        <w:spacing w:after="172" w:line="360" w:lineRule="auto"/>
        <w:jc w:val="both"/>
        <w:rPr>
          <w:rFonts w:ascii="Arial" w:hAnsi="Arial"/>
          <w:lang w:val="en-IN"/>
        </w:rPr>
      </w:pPr>
      <w:r>
        <w:rPr>
          <w:rFonts w:ascii="Arial" w:hAnsi="Arial"/>
          <w:lang w:val="en-IN"/>
        </w:rPr>
        <w:t xml:space="preserve">Alzawahreh, S. and Ozturk, C., (2024). Improving self-efficacy, quality of life, and glycemic control in adolescents with type 1 diabetes: Randomized controlled trial for the evaluation of </w:t>
      </w:r>
      <w:r>
        <w:rPr>
          <w:rFonts w:ascii="Arial" w:hAnsi="Arial"/>
          <w:lang w:val="en-IN"/>
        </w:rPr>
        <w:lastRenderedPageBreak/>
        <w:t xml:space="preserve">the family-centered empowerment model. </w:t>
      </w:r>
      <w:r>
        <w:rPr>
          <w:rFonts w:ascii="Arial" w:hAnsi="Arial"/>
          <w:i/>
          <w:iCs/>
          <w:lang w:val="en-IN"/>
        </w:rPr>
        <w:t>JMIR Formative Research</w:t>
      </w:r>
      <w:r>
        <w:rPr>
          <w:rFonts w:ascii="Arial" w:hAnsi="Arial"/>
          <w:lang w:val="en-IN"/>
        </w:rPr>
        <w:t xml:space="preserve">, </w:t>
      </w:r>
      <w:r>
        <w:rPr>
          <w:rFonts w:ascii="Arial" w:hAnsi="Arial"/>
          <w:i/>
          <w:iCs/>
          <w:lang w:val="en-IN"/>
        </w:rPr>
        <w:t>8</w:t>
      </w:r>
      <w:r>
        <w:rPr>
          <w:rFonts w:ascii="Arial" w:hAnsi="Arial"/>
          <w:lang w:val="en-IN"/>
        </w:rPr>
        <w:t xml:space="preserve">(1), p.e64463. </w:t>
      </w:r>
      <w:hyperlink r:id="rId54" w:history="1">
        <w:r w:rsidR="00874A36">
          <w:rPr>
            <w:rStyle w:val="Hyperlink"/>
            <w:rFonts w:ascii="Arial" w:hAnsi="Arial"/>
            <w:lang w:val="en-IN"/>
          </w:rPr>
          <w:t>https://formative.jmir.org/2024/1/e64463/</w:t>
        </w:r>
      </w:hyperlink>
      <w:r>
        <w:rPr>
          <w:rFonts w:ascii="Arial" w:hAnsi="Arial"/>
          <w:lang w:val="en-IN"/>
        </w:rPr>
        <w:t> </w:t>
      </w:r>
    </w:p>
    <w:p w14:paraId="098EF780" w14:textId="77777777" w:rsidR="00874A36" w:rsidRDefault="00000000">
      <w:pPr>
        <w:spacing w:after="172" w:line="360" w:lineRule="auto"/>
        <w:jc w:val="both"/>
        <w:rPr>
          <w:rFonts w:ascii="Arial" w:hAnsi="Arial"/>
          <w:lang w:val="en-IN"/>
        </w:rPr>
      </w:pPr>
      <w:r>
        <w:rPr>
          <w:rFonts w:ascii="Arial" w:hAnsi="Arial"/>
          <w:lang w:val="en-IN"/>
        </w:rPr>
        <w:t xml:space="preserve">An, L., Yeh, K.-C., Liu, Y., Wang, D., Li, X., Tang, Q. and Lu, J. (2023). An online structured diabetes Self-Management education and support programme improves glycaemic control in Young adults with type 1 diabetes. </w:t>
      </w:r>
      <w:r>
        <w:rPr>
          <w:rFonts w:ascii="Arial" w:hAnsi="Arial"/>
          <w:i/>
          <w:iCs/>
          <w:lang w:val="en-IN"/>
        </w:rPr>
        <w:t>Journal of multidisciplinary healthcare</w:t>
      </w:r>
      <w:r>
        <w:rPr>
          <w:rFonts w:ascii="Arial" w:hAnsi="Arial"/>
          <w:lang w:val="en-IN"/>
        </w:rPr>
        <w:t>, Volume 16, pp.2641–2654. doi:10.2147/jmdh.s414102.</w:t>
      </w:r>
    </w:p>
    <w:p w14:paraId="4CB992EF" w14:textId="77777777" w:rsidR="00874A36" w:rsidRDefault="00000000">
      <w:pPr>
        <w:spacing w:after="172" w:line="360" w:lineRule="auto"/>
        <w:jc w:val="both"/>
        <w:rPr>
          <w:rFonts w:ascii="Arial" w:hAnsi="Arial"/>
          <w:lang w:val="en-IN"/>
        </w:rPr>
      </w:pPr>
      <w:r>
        <w:rPr>
          <w:rFonts w:ascii="Arial" w:hAnsi="Arial"/>
          <w:lang w:val="en-IN"/>
        </w:rPr>
        <w:t xml:space="preserve">Ashraf, M.N., Cheng, A.Y. and Robinson, D.J., (2024). Emotional, psychological, and social well-being experience of long-term living with type 1 diabetes mellitus: a patient–psychiatrist–endocrinologist perspective. </w:t>
      </w:r>
      <w:r>
        <w:rPr>
          <w:rFonts w:ascii="Arial" w:hAnsi="Arial"/>
          <w:i/>
          <w:iCs/>
          <w:lang w:val="en-IN"/>
        </w:rPr>
        <w:t>Diabetes Therapy</w:t>
      </w:r>
      <w:r>
        <w:rPr>
          <w:rFonts w:ascii="Arial" w:hAnsi="Arial"/>
          <w:lang w:val="en-IN"/>
        </w:rPr>
        <w:t xml:space="preserve">, </w:t>
      </w:r>
      <w:r>
        <w:rPr>
          <w:rFonts w:ascii="Arial" w:hAnsi="Arial"/>
          <w:i/>
          <w:iCs/>
          <w:lang w:val="en-IN"/>
        </w:rPr>
        <w:t>15</w:t>
      </w:r>
      <w:r>
        <w:rPr>
          <w:rFonts w:ascii="Arial" w:hAnsi="Arial"/>
          <w:lang w:val="en-IN"/>
        </w:rPr>
        <w:t>(2), pp.317-323.</w:t>
      </w:r>
      <w:hyperlink r:id="rId55" w:history="1">
        <w:r w:rsidR="00874A36">
          <w:rPr>
            <w:rStyle w:val="Hyperlink"/>
            <w:rFonts w:ascii="Arial" w:hAnsi="Arial"/>
            <w:lang w:val="en-IN"/>
          </w:rPr>
          <w:t xml:space="preserve"> https://doi.org/10.1007/s13300-023-01527-w</w:t>
        </w:r>
      </w:hyperlink>
    </w:p>
    <w:p w14:paraId="0646C5D3" w14:textId="77777777" w:rsidR="00874A36" w:rsidRDefault="00000000">
      <w:pPr>
        <w:spacing w:after="172" w:line="360" w:lineRule="auto"/>
        <w:jc w:val="both"/>
        <w:rPr>
          <w:rFonts w:ascii="Arial" w:hAnsi="Arial"/>
          <w:lang w:val="en-IN"/>
        </w:rPr>
      </w:pPr>
      <w:r>
        <w:rPr>
          <w:rFonts w:ascii="Arial" w:hAnsi="Arial"/>
          <w:lang w:val="en-IN"/>
        </w:rPr>
        <w:t xml:space="preserve">Atkinson, M.A. and Mirmira, R.G., (2023). The pathogenic “symphony” in type 1 diabetes: a disorder of the immune system, β cells, and exocrine pancreas. </w:t>
      </w:r>
      <w:r>
        <w:rPr>
          <w:rFonts w:ascii="Arial" w:hAnsi="Arial"/>
          <w:i/>
          <w:iCs/>
          <w:lang w:val="en-IN"/>
        </w:rPr>
        <w:t>Cell metabolism</w:t>
      </w:r>
      <w:r>
        <w:rPr>
          <w:rFonts w:ascii="Arial" w:hAnsi="Arial"/>
          <w:lang w:val="en-IN"/>
        </w:rPr>
        <w:t xml:space="preserve">, </w:t>
      </w:r>
      <w:r>
        <w:rPr>
          <w:rFonts w:ascii="Arial" w:hAnsi="Arial"/>
          <w:i/>
          <w:iCs/>
          <w:lang w:val="en-IN"/>
        </w:rPr>
        <w:t>35</w:t>
      </w:r>
      <w:r>
        <w:rPr>
          <w:rFonts w:ascii="Arial" w:hAnsi="Arial"/>
          <w:lang w:val="en-IN"/>
        </w:rPr>
        <w:t>(9), pp.1500-1518. DOI:</w:t>
      </w:r>
      <w:hyperlink r:id="rId56" w:history="1">
        <w:r w:rsidR="00874A36">
          <w:rPr>
            <w:rStyle w:val="Hyperlink"/>
            <w:rFonts w:ascii="Arial" w:hAnsi="Arial"/>
            <w:lang w:val="en-IN"/>
          </w:rPr>
          <w:t xml:space="preserve"> 10.1016/j.cmet.2023.06.018</w:t>
        </w:r>
      </w:hyperlink>
    </w:p>
    <w:p w14:paraId="641FF1D0" w14:textId="77777777" w:rsidR="00874A36" w:rsidRDefault="00000000">
      <w:pPr>
        <w:spacing w:after="172" w:line="360" w:lineRule="auto"/>
        <w:jc w:val="both"/>
        <w:rPr>
          <w:rFonts w:ascii="Arial" w:hAnsi="Arial"/>
          <w:lang w:val="en-IN"/>
        </w:rPr>
      </w:pPr>
      <w:r>
        <w:rPr>
          <w:rFonts w:ascii="Arial" w:hAnsi="Arial"/>
          <w:lang w:val="en-IN"/>
        </w:rPr>
        <w:t xml:space="preserve">Auzanneau, M., Eckert, A.J., Meyhöfer, S.M., Heni, M., Gillessen, A., Schwettmann, L., Jehle, P.M., Hummel, M. and Holl, R.W. (2023). Area deprivation and demographic factors associated with diabetes technology use in adults with type 1 diabetes in Germany. </w:t>
      </w:r>
      <w:r>
        <w:rPr>
          <w:rFonts w:ascii="Arial" w:hAnsi="Arial"/>
          <w:i/>
          <w:iCs/>
          <w:lang w:val="en-IN"/>
        </w:rPr>
        <w:t>Frontiers in Endocrinology</w:t>
      </w:r>
      <w:r>
        <w:rPr>
          <w:rFonts w:ascii="Arial" w:hAnsi="Arial"/>
          <w:lang w:val="en-IN"/>
        </w:rPr>
        <w:t>, 14. doi:10.3389/fendo.2023.1191138.</w:t>
      </w:r>
    </w:p>
    <w:p w14:paraId="388CA150" w14:textId="77777777" w:rsidR="00874A36" w:rsidRDefault="00000000">
      <w:pPr>
        <w:spacing w:after="172" w:line="360" w:lineRule="auto"/>
        <w:jc w:val="both"/>
        <w:rPr>
          <w:rFonts w:ascii="Arial" w:hAnsi="Arial"/>
          <w:lang w:val="en-IN"/>
        </w:rPr>
      </w:pPr>
      <w:r>
        <w:rPr>
          <w:rFonts w:ascii="Arial" w:hAnsi="Arial"/>
          <w:lang w:val="en-IN"/>
        </w:rPr>
        <w:t xml:space="preserve">Avari, P., Lumb, A., Flanagan, D., Rayman, G., Misra, S., Choudhary, P. and Dhatariya, K., (2023). Insulin pumps and hybrid close loop systems within hospital: a scoping review and practical guidance from the Joint British Diabetes Societies for Inpatient Care. </w:t>
      </w:r>
      <w:r>
        <w:rPr>
          <w:rFonts w:ascii="Arial" w:hAnsi="Arial"/>
          <w:i/>
          <w:iCs/>
          <w:lang w:val="en-IN"/>
        </w:rPr>
        <w:t>Journal of Diabetes Science and Technology</w:t>
      </w:r>
      <w:r>
        <w:rPr>
          <w:rFonts w:ascii="Arial" w:hAnsi="Arial"/>
          <w:lang w:val="en-IN"/>
        </w:rPr>
        <w:t xml:space="preserve">, </w:t>
      </w:r>
      <w:r>
        <w:rPr>
          <w:rFonts w:ascii="Arial" w:hAnsi="Arial"/>
          <w:i/>
          <w:iCs/>
          <w:lang w:val="en-IN"/>
        </w:rPr>
        <w:t>17</w:t>
      </w:r>
      <w:r>
        <w:rPr>
          <w:rFonts w:ascii="Arial" w:hAnsi="Arial"/>
          <w:lang w:val="en-IN"/>
        </w:rPr>
        <w:t>(3), pp.625-634. DOI: 10.1177/19322968221137335</w:t>
      </w:r>
    </w:p>
    <w:p w14:paraId="0615515C" w14:textId="77777777" w:rsidR="00874A36" w:rsidRDefault="00000000">
      <w:pPr>
        <w:spacing w:after="172" w:line="360" w:lineRule="auto"/>
        <w:jc w:val="both"/>
        <w:rPr>
          <w:rFonts w:ascii="Arial" w:hAnsi="Arial"/>
          <w:lang w:val="en-IN"/>
        </w:rPr>
      </w:pPr>
      <w:r>
        <w:rPr>
          <w:rFonts w:ascii="Arial" w:hAnsi="Arial"/>
          <w:lang w:val="en-IN"/>
        </w:rPr>
        <w:t xml:space="preserve">Bellass, S., Lister, J., Kitchen, C., Kramer, L., Alderson, S., Doran, T., Gilbody, S., Han, L., Hewitt, C., Holt, R., Jacobs, R., Prady, S., Shiers, D., Siddiqi, N. and Taylor, J. (2021). Living with diabetes alongside a severe mental illness: A qualitative exploration with people with severe mental illness, family members and healthcare staff. </w:t>
      </w:r>
      <w:r>
        <w:rPr>
          <w:rFonts w:ascii="Arial" w:hAnsi="Arial"/>
          <w:i/>
          <w:iCs/>
          <w:lang w:val="en-IN"/>
        </w:rPr>
        <w:t>Diabetic Medicine</w:t>
      </w:r>
      <w:r>
        <w:rPr>
          <w:rFonts w:ascii="Arial" w:hAnsi="Arial"/>
          <w:lang w:val="en-IN"/>
        </w:rPr>
        <w:t>, 38(7). doi:10.1111/dme.14562.</w:t>
      </w:r>
    </w:p>
    <w:p w14:paraId="7ADEDAFC" w14:textId="77777777" w:rsidR="00874A36" w:rsidRDefault="00000000">
      <w:pPr>
        <w:spacing w:after="172" w:line="360" w:lineRule="auto"/>
        <w:jc w:val="both"/>
        <w:rPr>
          <w:rFonts w:ascii="Arial" w:hAnsi="Arial"/>
          <w:lang w:val="en-IN"/>
        </w:rPr>
      </w:pPr>
      <w:r>
        <w:rPr>
          <w:rFonts w:ascii="Arial" w:hAnsi="Arial"/>
          <w:lang w:val="en-IN"/>
        </w:rPr>
        <w:t xml:space="preserve">Boscari, F. and Avogaro, A. (2021). Current treatment options and challenges in patients with Type 1 diabetes: Pharmacological, technical advances and future perspectives. </w:t>
      </w:r>
      <w:r>
        <w:rPr>
          <w:rFonts w:ascii="Arial" w:hAnsi="Arial"/>
          <w:i/>
          <w:iCs/>
          <w:lang w:val="en-IN"/>
        </w:rPr>
        <w:t>Reviews in Endocrine and Metabolic Disorders</w:t>
      </w:r>
      <w:r>
        <w:rPr>
          <w:rFonts w:ascii="Arial" w:hAnsi="Arial"/>
          <w:lang w:val="en-IN"/>
        </w:rPr>
        <w:t>, 22(2), pp.217–240. doi:10.1007/s11154-021-09635-3.</w:t>
      </w:r>
    </w:p>
    <w:p w14:paraId="5283E7F6" w14:textId="77777777" w:rsidR="00874A36" w:rsidRDefault="00000000">
      <w:pPr>
        <w:spacing w:after="172" w:line="360" w:lineRule="auto"/>
        <w:jc w:val="both"/>
        <w:rPr>
          <w:rFonts w:ascii="Arial" w:hAnsi="Arial"/>
          <w:lang w:val="en-IN"/>
        </w:rPr>
      </w:pPr>
      <w:r>
        <w:rPr>
          <w:rFonts w:ascii="Arial" w:hAnsi="Arial"/>
          <w:lang w:val="en-IN"/>
        </w:rPr>
        <w:t xml:space="preserve">BOTA, A., MEZEI, M., VLĂICULESCU, M. and URZEALĂ, C., (2021). GLUCOSE MONITORING FOR TYPE 1 DIABETES MELLITUS IN JUNIOR RHYTHMIC GYMNASTICS-A CASE REPORT. </w:t>
      </w:r>
      <w:r>
        <w:rPr>
          <w:rFonts w:ascii="Arial" w:hAnsi="Arial"/>
          <w:i/>
          <w:iCs/>
          <w:lang w:val="en-IN"/>
        </w:rPr>
        <w:t>Discobolul-Physical Education, Sport &amp; Kinetotherapy Journal</w:t>
      </w:r>
      <w:r>
        <w:rPr>
          <w:rFonts w:ascii="Arial" w:hAnsi="Arial"/>
          <w:lang w:val="en-IN"/>
        </w:rPr>
        <w:t xml:space="preserve">, </w:t>
      </w:r>
      <w:r>
        <w:rPr>
          <w:rFonts w:ascii="Arial" w:hAnsi="Arial"/>
          <w:i/>
          <w:iCs/>
          <w:lang w:val="en-IN"/>
        </w:rPr>
        <w:t>60</w:t>
      </w:r>
      <w:r>
        <w:rPr>
          <w:rFonts w:ascii="Arial" w:hAnsi="Arial"/>
          <w:lang w:val="en-IN"/>
        </w:rPr>
        <w:t xml:space="preserve">(4). </w:t>
      </w:r>
      <w:hyperlink r:id="rId57" w:history="1">
        <w:r w:rsidR="00874A36">
          <w:rPr>
            <w:rStyle w:val="Hyperlink"/>
            <w:rFonts w:ascii="Arial" w:hAnsi="Arial"/>
            <w:lang w:val="en-IN"/>
          </w:rPr>
          <w:t>https://discobolulunefs.ro/media/December2021.1.pdf</w:t>
        </w:r>
      </w:hyperlink>
      <w:r>
        <w:rPr>
          <w:rFonts w:ascii="Arial" w:hAnsi="Arial"/>
          <w:lang w:val="en-IN"/>
        </w:rPr>
        <w:t> </w:t>
      </w:r>
    </w:p>
    <w:p w14:paraId="2966B04B" w14:textId="77777777" w:rsidR="00874A36" w:rsidRDefault="00000000">
      <w:pPr>
        <w:spacing w:after="172" w:line="360" w:lineRule="auto"/>
        <w:jc w:val="both"/>
        <w:rPr>
          <w:rFonts w:ascii="Arial" w:hAnsi="Arial"/>
          <w:lang w:val="en-IN"/>
        </w:rPr>
      </w:pPr>
      <w:r>
        <w:rPr>
          <w:rFonts w:ascii="Arial" w:hAnsi="Arial"/>
          <w:lang w:val="en-IN"/>
        </w:rPr>
        <w:lastRenderedPageBreak/>
        <w:t xml:space="preserve">Boughton, C.K. and Hovorka, R. (2021). New closed-loop insulin systems. </w:t>
      </w:r>
      <w:r>
        <w:rPr>
          <w:rFonts w:ascii="Arial" w:hAnsi="Arial"/>
          <w:i/>
          <w:iCs/>
          <w:lang w:val="en-IN"/>
        </w:rPr>
        <w:t>Diabetologia</w:t>
      </w:r>
      <w:r>
        <w:rPr>
          <w:rFonts w:ascii="Arial" w:hAnsi="Arial"/>
          <w:lang w:val="en-IN"/>
        </w:rPr>
        <w:t>, 64(5), pp.1007–1015. doi:10.1007/s00125-021-05391-w.</w:t>
      </w:r>
    </w:p>
    <w:p w14:paraId="6386049C" w14:textId="77777777" w:rsidR="00874A36" w:rsidRDefault="00000000">
      <w:pPr>
        <w:spacing w:after="172" w:line="360" w:lineRule="auto"/>
        <w:jc w:val="both"/>
        <w:rPr>
          <w:rFonts w:ascii="Arial" w:hAnsi="Arial"/>
          <w:lang w:val="en-IN"/>
        </w:rPr>
      </w:pPr>
      <w:r>
        <w:rPr>
          <w:rFonts w:ascii="Arial" w:hAnsi="Arial"/>
          <w:lang w:val="en-IN"/>
        </w:rPr>
        <w:t xml:space="preserve">Charleer, S., De Block, C., Van Huffel, L., Broos, B., Fieuws, S., Nobels, F., Mathieu, C. and Gillard, P. (2019). Quality of life and glucose control after 1 year of Nationwide reimbursement of Intermittently scanned continuous glucose monitoring in adults living with type 1 diabetes (future): A prospective observational Real-World cohort study. </w:t>
      </w:r>
      <w:r>
        <w:rPr>
          <w:rFonts w:ascii="Arial" w:hAnsi="Arial"/>
          <w:i/>
          <w:iCs/>
          <w:lang w:val="en-IN"/>
        </w:rPr>
        <w:t>Diabetes care</w:t>
      </w:r>
      <w:r>
        <w:rPr>
          <w:rFonts w:ascii="Arial" w:hAnsi="Arial"/>
          <w:lang w:val="en-IN"/>
        </w:rPr>
        <w:t>, [online] 43(2), pp.389–397. doi:10.2337/dc19-1610.</w:t>
      </w:r>
    </w:p>
    <w:p w14:paraId="276BCCEF" w14:textId="77777777" w:rsidR="00874A36" w:rsidRDefault="00000000">
      <w:pPr>
        <w:spacing w:after="172" w:line="360" w:lineRule="auto"/>
        <w:jc w:val="both"/>
        <w:rPr>
          <w:rFonts w:ascii="Arial" w:hAnsi="Arial"/>
          <w:lang w:val="en-IN"/>
        </w:rPr>
      </w:pPr>
      <w:r>
        <w:rPr>
          <w:rFonts w:ascii="Arial" w:hAnsi="Arial"/>
          <w:lang w:val="en-IN"/>
        </w:rPr>
        <w:t xml:space="preserve">Cho, M.K. and Kim, M.Y., (2021). What affects quality of life for people with type 1 diabetes?: A cross-sectional observational study. </w:t>
      </w:r>
      <w:r>
        <w:rPr>
          <w:rFonts w:ascii="Arial" w:hAnsi="Arial"/>
          <w:i/>
          <w:iCs/>
          <w:lang w:val="en-IN"/>
        </w:rPr>
        <w:t>International journal of environmental research and public health</w:t>
      </w:r>
      <w:r>
        <w:rPr>
          <w:rFonts w:ascii="Arial" w:hAnsi="Arial"/>
          <w:lang w:val="en-IN"/>
        </w:rPr>
        <w:t xml:space="preserve">, </w:t>
      </w:r>
      <w:r>
        <w:rPr>
          <w:rFonts w:ascii="Arial" w:hAnsi="Arial"/>
          <w:i/>
          <w:iCs/>
          <w:lang w:val="en-IN"/>
        </w:rPr>
        <w:t>18</w:t>
      </w:r>
      <w:r>
        <w:rPr>
          <w:rFonts w:ascii="Arial" w:hAnsi="Arial"/>
          <w:lang w:val="en-IN"/>
        </w:rPr>
        <w:t xml:space="preserve">(14), p.7623. </w:t>
      </w:r>
      <w:hyperlink r:id="rId58" w:history="1">
        <w:r w:rsidR="00874A36">
          <w:rPr>
            <w:rStyle w:val="Hyperlink"/>
            <w:rFonts w:ascii="Arial" w:hAnsi="Arial"/>
            <w:lang w:val="en-IN"/>
          </w:rPr>
          <w:t>https://www.mdpi.com/1660-4601/18/14/7623</w:t>
        </w:r>
      </w:hyperlink>
    </w:p>
    <w:p w14:paraId="6DA1B4C1" w14:textId="77777777" w:rsidR="00874A36" w:rsidRDefault="00000000">
      <w:pPr>
        <w:spacing w:after="172" w:line="360" w:lineRule="auto"/>
        <w:jc w:val="both"/>
        <w:rPr>
          <w:rFonts w:ascii="Arial" w:hAnsi="Arial"/>
          <w:lang w:val="en-IN"/>
        </w:rPr>
      </w:pPr>
      <w:r>
        <w:rPr>
          <w:rFonts w:ascii="Arial" w:hAnsi="Arial"/>
          <w:lang w:val="en-IN"/>
        </w:rPr>
        <w:t xml:space="preserve">Cobry, E., Hamburger, E. and Jaser, S. (2020). Impact of the hybrid Closed-Loop system on sleep and quality of Life in Youth with type 1 diabetes and their parents. </w:t>
      </w:r>
      <w:r>
        <w:rPr>
          <w:rFonts w:ascii="Arial" w:hAnsi="Arial"/>
          <w:i/>
          <w:iCs/>
          <w:lang w:val="en-IN"/>
        </w:rPr>
        <w:t>Diabetes technology &amp; therapeutics</w:t>
      </w:r>
      <w:r>
        <w:rPr>
          <w:rFonts w:ascii="Arial" w:hAnsi="Arial"/>
          <w:lang w:val="en-IN"/>
        </w:rPr>
        <w:t>. doi:10.1089/dia.2020.0057.</w:t>
      </w:r>
    </w:p>
    <w:p w14:paraId="6FA03856" w14:textId="77777777" w:rsidR="00874A36" w:rsidRDefault="00000000">
      <w:pPr>
        <w:spacing w:after="172" w:line="360" w:lineRule="auto"/>
        <w:jc w:val="both"/>
        <w:rPr>
          <w:rFonts w:ascii="Arial" w:hAnsi="Arial"/>
          <w:lang w:val="en-IN"/>
        </w:rPr>
      </w:pPr>
      <w:r>
        <w:rPr>
          <w:rFonts w:ascii="Arial" w:hAnsi="Arial"/>
          <w:lang w:val="en-IN"/>
        </w:rPr>
        <w:t xml:space="preserve">Conway, R.B., Gerard Gonzalez, A., Shah, V.N., Geno Rasmussen, C., Akturk, H.K., Pyle, L., Forlenza, G., Alonso, G.T. and Snell-Bergeon, J., (2023). Racial disparities in diabetes technology adoption and their association with HbA1c and diabetic ketoacidosis. </w:t>
      </w:r>
      <w:r>
        <w:rPr>
          <w:rFonts w:ascii="Arial" w:hAnsi="Arial"/>
          <w:i/>
          <w:iCs/>
          <w:lang w:val="en-IN"/>
        </w:rPr>
        <w:t>Diabetes, Metabolic Syndrome and Obesity</w:t>
      </w:r>
      <w:r>
        <w:rPr>
          <w:rFonts w:ascii="Arial" w:hAnsi="Arial"/>
          <w:lang w:val="en-IN"/>
        </w:rPr>
        <w:t>, pp.2295-2310. doi:10.2147/dmso.s416192.</w:t>
      </w:r>
    </w:p>
    <w:p w14:paraId="709E2E8E" w14:textId="77777777" w:rsidR="00874A36" w:rsidRDefault="00000000">
      <w:pPr>
        <w:spacing w:after="172" w:line="360" w:lineRule="auto"/>
        <w:jc w:val="both"/>
        <w:rPr>
          <w:rFonts w:ascii="Arial" w:hAnsi="Arial"/>
          <w:lang w:val="en-IN"/>
        </w:rPr>
      </w:pPr>
      <w:r>
        <w:rPr>
          <w:rFonts w:ascii="Arial" w:hAnsi="Arial"/>
          <w:lang w:val="en-IN"/>
        </w:rPr>
        <w:t xml:space="preserve">Cooper, Z.W., Davis, G.M., Pasquel, F.J. and Johnson, L.C.M. (2026). Navigating the dual burden of type 1 diabetes and mental illness: A phenomenological study. </w:t>
      </w:r>
      <w:r>
        <w:rPr>
          <w:rFonts w:ascii="Arial" w:hAnsi="Arial"/>
          <w:i/>
          <w:iCs/>
          <w:lang w:val="en-IN"/>
        </w:rPr>
        <w:t>Diabetic medicine</w:t>
      </w:r>
      <w:r>
        <w:rPr>
          <w:rFonts w:ascii="Arial" w:hAnsi="Arial"/>
          <w:lang w:val="en-IN"/>
        </w:rPr>
        <w:t>. doi:10.1111/dme.70200.</w:t>
      </w:r>
    </w:p>
    <w:p w14:paraId="7F6CEC67" w14:textId="77777777" w:rsidR="00874A36" w:rsidRDefault="00000000">
      <w:pPr>
        <w:spacing w:after="172" w:line="360" w:lineRule="auto"/>
        <w:jc w:val="both"/>
        <w:rPr>
          <w:rFonts w:ascii="Arial" w:hAnsi="Arial"/>
          <w:lang w:val="en-IN"/>
        </w:rPr>
      </w:pPr>
      <w:r>
        <w:rPr>
          <w:rFonts w:ascii="Arial" w:hAnsi="Arial"/>
          <w:lang w:val="en-IN"/>
        </w:rPr>
        <w:t xml:space="preserve">Diribe, O., Palmer, K., Kennedy, A., Betts, M., Borkowska, K., Dessapt-Baradez, C. and Baxter, M., (2024). A systematic literature review of psychological interventions for adults with type 1 diabetes. </w:t>
      </w:r>
      <w:r>
        <w:rPr>
          <w:rFonts w:ascii="Arial" w:hAnsi="Arial"/>
          <w:i/>
          <w:iCs/>
          <w:lang w:val="en-IN"/>
        </w:rPr>
        <w:t>Diabetes Therapy</w:t>
      </w:r>
      <w:r>
        <w:rPr>
          <w:rFonts w:ascii="Arial" w:hAnsi="Arial"/>
          <w:lang w:val="en-IN"/>
        </w:rPr>
        <w:t xml:space="preserve">, </w:t>
      </w:r>
      <w:r>
        <w:rPr>
          <w:rFonts w:ascii="Arial" w:hAnsi="Arial"/>
          <w:i/>
          <w:iCs/>
          <w:lang w:val="en-IN"/>
        </w:rPr>
        <w:t>15</w:t>
      </w:r>
      <w:r>
        <w:rPr>
          <w:rFonts w:ascii="Arial" w:hAnsi="Arial"/>
          <w:lang w:val="en-IN"/>
        </w:rPr>
        <w:t xml:space="preserve">(2), pp.367-380. doi:10.1007/s13300-023-01513-2.Turin, A. and Drobnič Radobuljac, M. (2021). Psychosocial factors affecting the etiology and management of type 1 diabetes mellitus: A narrative review. </w:t>
      </w:r>
      <w:r>
        <w:rPr>
          <w:rFonts w:ascii="Arial" w:hAnsi="Arial"/>
          <w:i/>
          <w:iCs/>
          <w:lang w:val="en-IN"/>
        </w:rPr>
        <w:t>World journal of Diabetes</w:t>
      </w:r>
      <w:r>
        <w:rPr>
          <w:rFonts w:ascii="Arial" w:hAnsi="Arial"/>
          <w:lang w:val="en-IN"/>
        </w:rPr>
        <w:t>, 12(9), pp.1518–1529. doi:10.4239/wjd.v12.i9.1518.</w:t>
      </w:r>
    </w:p>
    <w:p w14:paraId="10B61E23" w14:textId="77777777" w:rsidR="00874A36" w:rsidRDefault="00000000">
      <w:pPr>
        <w:spacing w:after="172" w:line="360" w:lineRule="auto"/>
        <w:jc w:val="both"/>
        <w:rPr>
          <w:rFonts w:ascii="Arial" w:hAnsi="Arial"/>
          <w:lang w:val="en-IN"/>
        </w:rPr>
      </w:pPr>
      <w:r>
        <w:rPr>
          <w:rFonts w:ascii="Arial" w:hAnsi="Arial"/>
          <w:lang w:val="en-IN"/>
        </w:rPr>
        <w:t xml:space="preserve">Ebekozien, O., Fantasia, K., Farrokhi, F., Sabharwal, A. and Kerr, D. (2024). Technology and health inequities in diabetes care: How do we widen access to underserved populations and utilize technology to improve outcomes for all? </w:t>
      </w:r>
      <w:r>
        <w:rPr>
          <w:rFonts w:ascii="Arial" w:hAnsi="Arial"/>
          <w:i/>
          <w:iCs/>
          <w:lang w:val="en-IN"/>
        </w:rPr>
        <w:t>Diabetes, obesity &amp; metabolism</w:t>
      </w:r>
      <w:r>
        <w:rPr>
          <w:rFonts w:ascii="Arial" w:hAnsi="Arial"/>
          <w:lang w:val="en-IN"/>
        </w:rPr>
        <w:t>, [online] 26 Suppl 1(S1), pp.3–13. doi:10.1111/dom.15470.</w:t>
      </w:r>
    </w:p>
    <w:p w14:paraId="35AEDBCA" w14:textId="77777777" w:rsidR="00874A36" w:rsidRDefault="00000000">
      <w:pPr>
        <w:spacing w:after="172" w:line="360" w:lineRule="auto"/>
        <w:jc w:val="both"/>
        <w:rPr>
          <w:rFonts w:ascii="Arial" w:hAnsi="Arial"/>
          <w:lang w:val="en-IN"/>
        </w:rPr>
      </w:pPr>
      <w:r>
        <w:rPr>
          <w:rFonts w:ascii="Arial" w:hAnsi="Arial"/>
          <w:lang w:val="en-IN"/>
        </w:rPr>
        <w:t xml:space="preserve">Eberle, C. and Stichling, S. (2021). Clinical improvements by Telemedicine interventions managing type 1 and type 2 diabetes: Systematic meta-review. </w:t>
      </w:r>
      <w:r>
        <w:rPr>
          <w:rFonts w:ascii="Arial" w:hAnsi="Arial"/>
          <w:i/>
          <w:iCs/>
          <w:lang w:val="en-IN"/>
        </w:rPr>
        <w:t>Journal of Medical internet research</w:t>
      </w:r>
      <w:r>
        <w:rPr>
          <w:rFonts w:ascii="Arial" w:hAnsi="Arial"/>
          <w:lang w:val="en-IN"/>
        </w:rPr>
        <w:t>, 23(2). doi:10.2196/23244.</w:t>
      </w:r>
    </w:p>
    <w:p w14:paraId="10329B45" w14:textId="77777777" w:rsidR="00874A36" w:rsidRDefault="00000000">
      <w:pPr>
        <w:spacing w:after="172" w:line="360" w:lineRule="auto"/>
        <w:jc w:val="both"/>
        <w:rPr>
          <w:rFonts w:ascii="Arial" w:hAnsi="Arial"/>
          <w:lang w:val="en-IN"/>
        </w:rPr>
      </w:pPr>
      <w:r>
        <w:rPr>
          <w:rFonts w:ascii="Arial" w:hAnsi="Arial"/>
          <w:lang w:val="en-IN"/>
        </w:rPr>
        <w:lastRenderedPageBreak/>
        <w:t xml:space="preserve">Eldib, A., Dhaver, S., Kibaa, K., Atakov-Castillo, A., Salah, T., Al-Badri, M., Khater, A., McCarragher, R., Elenani, O., Toschi, E. and Hamdy, O. (2024). Evaluation of hybrid closed-loop insulin delivery system in type 1 diabetes in real-world clinical practice: One-year observational study. </w:t>
      </w:r>
      <w:r>
        <w:rPr>
          <w:rFonts w:ascii="Arial" w:hAnsi="Arial"/>
          <w:i/>
          <w:iCs/>
          <w:lang w:val="en-IN"/>
        </w:rPr>
        <w:t>World journal of Diabetes</w:t>
      </w:r>
      <w:r>
        <w:rPr>
          <w:rFonts w:ascii="Arial" w:hAnsi="Arial"/>
          <w:lang w:val="en-IN"/>
        </w:rPr>
        <w:t>, 15(3), pp.455–462. doi:10.4239/wjd.v15.i3.455.</w:t>
      </w:r>
    </w:p>
    <w:p w14:paraId="007B531A" w14:textId="77777777" w:rsidR="00874A36" w:rsidRDefault="00000000">
      <w:pPr>
        <w:spacing w:after="172" w:line="360" w:lineRule="auto"/>
        <w:jc w:val="both"/>
        <w:rPr>
          <w:rFonts w:ascii="Arial" w:hAnsi="Arial"/>
          <w:lang w:val="en-IN"/>
        </w:rPr>
      </w:pPr>
      <w:r>
        <w:rPr>
          <w:rFonts w:ascii="Arial" w:hAnsi="Arial"/>
          <w:lang w:val="en-IN"/>
        </w:rPr>
        <w:t xml:space="preserve">Elian, V., Popovici, V., Ozon, E.A., Musuc, A.M., Fița, A.C., Rusu, E., Radulian, G. and Lupuliasa, D., (2023). Current technologies for managing type 1 diabetes mellitus and their impact on quality of life—a narrative review. </w:t>
      </w:r>
      <w:r>
        <w:rPr>
          <w:rFonts w:ascii="Arial" w:hAnsi="Arial"/>
          <w:i/>
          <w:iCs/>
          <w:lang w:val="en-IN"/>
        </w:rPr>
        <w:t>Life</w:t>
      </w:r>
      <w:r>
        <w:rPr>
          <w:rFonts w:ascii="Arial" w:hAnsi="Arial"/>
          <w:lang w:val="en-IN"/>
        </w:rPr>
        <w:t xml:space="preserve">, </w:t>
      </w:r>
      <w:r>
        <w:rPr>
          <w:rFonts w:ascii="Arial" w:hAnsi="Arial"/>
          <w:i/>
          <w:iCs/>
          <w:lang w:val="en-IN"/>
        </w:rPr>
        <w:t>13</w:t>
      </w:r>
      <w:r>
        <w:rPr>
          <w:rFonts w:ascii="Arial" w:hAnsi="Arial"/>
          <w:lang w:val="en-IN"/>
        </w:rPr>
        <w:t>(8), p.1663. doi:10.3390/life13081663.</w:t>
      </w:r>
    </w:p>
    <w:p w14:paraId="162FC64B" w14:textId="77777777" w:rsidR="00874A36" w:rsidRDefault="00000000">
      <w:pPr>
        <w:spacing w:after="172" w:line="360" w:lineRule="auto"/>
        <w:jc w:val="both"/>
        <w:rPr>
          <w:rFonts w:ascii="Arial" w:hAnsi="Arial"/>
          <w:lang w:val="en-IN"/>
        </w:rPr>
      </w:pPr>
      <w:r>
        <w:rPr>
          <w:rFonts w:ascii="Arial" w:hAnsi="Arial"/>
          <w:lang w:val="en-IN"/>
        </w:rPr>
        <w:t>Fallon, C., Jones, E., Oliver, N., Reddy, M. and Avari, P. (2022). The impact of socio</w:t>
      </w:r>
      <w:r>
        <w:rPr>
          <w:rFonts w:ascii="Cambria Math" w:hAnsi="Cambria Math" w:cs="Cambria Math"/>
          <w:lang w:val="en-IN"/>
        </w:rPr>
        <w:t>‐</w:t>
      </w:r>
      <w:r>
        <w:rPr>
          <w:rFonts w:ascii="Arial" w:hAnsi="Arial"/>
          <w:lang w:val="en-IN"/>
        </w:rPr>
        <w:t xml:space="preserve">economic deprivation on access to diabetes technology in adults with type 1 diabetes. </w:t>
      </w:r>
      <w:r>
        <w:rPr>
          <w:rFonts w:ascii="Arial" w:hAnsi="Arial"/>
          <w:i/>
          <w:iCs/>
          <w:lang w:val="en-IN"/>
        </w:rPr>
        <w:t>Diabetic medicine</w:t>
      </w:r>
      <w:r>
        <w:rPr>
          <w:rFonts w:ascii="Arial" w:hAnsi="Arial"/>
          <w:lang w:val="en-IN"/>
        </w:rPr>
        <w:t>, 39(10). doi:10.1111/dme.14906.</w:t>
      </w:r>
    </w:p>
    <w:p w14:paraId="41D6E76A" w14:textId="77777777" w:rsidR="00874A36" w:rsidRDefault="00000000">
      <w:pPr>
        <w:spacing w:after="172" w:line="360" w:lineRule="auto"/>
        <w:jc w:val="both"/>
        <w:rPr>
          <w:rFonts w:ascii="Arial" w:hAnsi="Arial"/>
          <w:lang w:val="en-IN"/>
        </w:rPr>
      </w:pPr>
      <w:r>
        <w:rPr>
          <w:rFonts w:ascii="Arial" w:hAnsi="Arial"/>
          <w:lang w:val="en-IN"/>
        </w:rPr>
        <w:t xml:space="preserve">Fisher, L., Polonsky, W.H. and Hessler, D. (2019). Addressing diabetes distress in clinical care: A practical guide. </w:t>
      </w:r>
      <w:r>
        <w:rPr>
          <w:rFonts w:ascii="Arial" w:hAnsi="Arial"/>
          <w:i/>
          <w:iCs/>
          <w:lang w:val="en-IN"/>
        </w:rPr>
        <w:t>Diabetic medicine</w:t>
      </w:r>
      <w:r>
        <w:rPr>
          <w:rFonts w:ascii="Arial" w:hAnsi="Arial"/>
          <w:lang w:val="en-IN"/>
        </w:rPr>
        <w:t>, 36(7). doi:10.1111/dme.13967.</w:t>
      </w:r>
    </w:p>
    <w:p w14:paraId="6C78AD60" w14:textId="77777777" w:rsidR="00874A36" w:rsidRDefault="00000000">
      <w:pPr>
        <w:spacing w:after="172" w:line="360" w:lineRule="auto"/>
        <w:jc w:val="both"/>
        <w:rPr>
          <w:rFonts w:ascii="Arial" w:hAnsi="Arial"/>
          <w:lang w:val="en-IN"/>
        </w:rPr>
      </w:pPr>
      <w:r>
        <w:rPr>
          <w:rFonts w:ascii="Arial" w:hAnsi="Arial"/>
          <w:lang w:val="en-IN"/>
        </w:rPr>
        <w:t xml:space="preserve">Fonseca, L.M., Schmidt, J.J., Snoek, F.J., Weinstock, R.S., Chaytor, N., Stuckey, H., Ryan, C.M. and van Duinkerken, E., (2024). Barriers and facilitators of self-management in older people with type 1 diabetes: a narrative review focusing on cognitive impairment. </w:t>
      </w:r>
      <w:r>
        <w:rPr>
          <w:rFonts w:ascii="Arial" w:hAnsi="Arial"/>
          <w:i/>
          <w:iCs/>
          <w:lang w:val="en-IN"/>
        </w:rPr>
        <w:t>Diabetes, Metabolic Syndrome and Obesity</w:t>
      </w:r>
      <w:r>
        <w:rPr>
          <w:rFonts w:ascii="Arial" w:hAnsi="Arial"/>
          <w:lang w:val="en-IN"/>
        </w:rPr>
        <w:t>, pp.2403-2417. doi:10.2147/dmso.s410363.</w:t>
      </w:r>
    </w:p>
    <w:p w14:paraId="6CA0388E" w14:textId="77777777" w:rsidR="00874A36" w:rsidRDefault="00000000">
      <w:pPr>
        <w:spacing w:after="172" w:line="360" w:lineRule="auto"/>
        <w:jc w:val="both"/>
        <w:rPr>
          <w:rFonts w:ascii="Arial" w:hAnsi="Arial"/>
          <w:lang w:val="en-IN"/>
        </w:rPr>
      </w:pPr>
      <w:r>
        <w:rPr>
          <w:rFonts w:ascii="Arial" w:hAnsi="Arial"/>
          <w:lang w:val="en-IN"/>
        </w:rPr>
        <w:t xml:space="preserve">Fontaine, G., Vinette, B., Weight, C., Maheu-Cadotte, M.A., Lavallée, A., Deschênes, M.F., Lapierre, A., Castiglione, S.A., Chicoine, G., Rouleau, G. and Argiropoulos, N., (2024). Effects of implementation strategies on nursing practice and patient outcomes: a comprehensive systematic review and meta-analysis. </w:t>
      </w:r>
      <w:r>
        <w:rPr>
          <w:rFonts w:ascii="Arial" w:hAnsi="Arial"/>
          <w:i/>
          <w:iCs/>
          <w:lang w:val="en-IN"/>
        </w:rPr>
        <w:t>Implementation Science</w:t>
      </w:r>
      <w:r>
        <w:rPr>
          <w:rFonts w:ascii="Arial" w:hAnsi="Arial"/>
          <w:lang w:val="en-IN"/>
        </w:rPr>
        <w:t xml:space="preserve">, </w:t>
      </w:r>
      <w:r>
        <w:rPr>
          <w:rFonts w:ascii="Arial" w:hAnsi="Arial"/>
          <w:i/>
          <w:iCs/>
          <w:lang w:val="en-IN"/>
        </w:rPr>
        <w:t>19</w:t>
      </w:r>
      <w:r>
        <w:rPr>
          <w:rFonts w:ascii="Arial" w:hAnsi="Arial"/>
          <w:lang w:val="en-IN"/>
        </w:rPr>
        <w:t>(1), p.68.</w:t>
      </w:r>
      <w:hyperlink r:id="rId59" w:history="1">
        <w:r w:rsidR="00874A36">
          <w:rPr>
            <w:rStyle w:val="Hyperlink"/>
            <w:rFonts w:ascii="Arial" w:hAnsi="Arial"/>
            <w:lang w:val="en-IN"/>
          </w:rPr>
          <w:t xml:space="preserve"> https://doi.org/10.1186/s13012-024-01398-0</w:t>
        </w:r>
      </w:hyperlink>
    </w:p>
    <w:p w14:paraId="59A68304" w14:textId="77777777" w:rsidR="00874A36" w:rsidRDefault="00000000">
      <w:pPr>
        <w:spacing w:after="172" w:line="360" w:lineRule="auto"/>
        <w:jc w:val="both"/>
        <w:rPr>
          <w:rFonts w:ascii="Arial" w:hAnsi="Arial"/>
          <w:lang w:val="en-IN"/>
        </w:rPr>
      </w:pPr>
      <w:r>
        <w:rPr>
          <w:rFonts w:ascii="Arial" w:hAnsi="Arial"/>
          <w:lang w:val="en-IN"/>
        </w:rPr>
        <w:t xml:space="preserve">Foster, E.D., Bridges, N.D., Feurer, I.D., Eggerman, T.L., Hunsicker, L.G., Alejandro, R., Begley, B., Cano, J., Carpentier, S., Hutchinson, J., Larsen, C.P., Moreno, J., Sears, M., Turgeon, N.A., Webster, D., Markmann, J.F., Al-saden, P., Chen, X., Hecyk, A., Luo, X., Molitch, M., Monson, N., Stuart, E., Wallia, A., Wang, L., Wang, S., Zhang, X., Czarniecki, C.W., Goldstein, J.S., Priore, A., Robien, M.A., Schneider, E., Arreaza-Rubin, G., Green, N., Bigam, D.L., Campbell, P., Dinyari, P., Kin, T., Kneteman, N.M., Lyon, J., Malcolm, A., O’Gorman, D., Onderka, C., Owen, R., Pawlick, R., Richer, B., Rosichuk, S., Sarman, D., Schroeder, A., Senior, P.A., Shapiro, A.M.J., Toth, L., Toth, V., Zhai, W., Johnson, K., McElroy, J., Posselt, A.M., Ramos, M., Rojas, T., Stock, P.G., Szot, G., Barbaro, B., Martellotto, J., Oberholzer, J., Qi, M., Wang, Y., Bayman, L., Chaloner, K., Clarke, W.R., Dillon, J.S., Diltz, C., Doelle, G.C., Ecklund, D., Feddersen, D., Jasperson, C., Lafontant, D.-E., Neill-Hudson, T., Nollen, D., Qidwai, J., Riss, H., Schwieger, T., Willits, J., Yankey, J., Corrales, A.C., </w:t>
      </w:r>
      <w:r>
        <w:rPr>
          <w:rFonts w:ascii="Arial" w:hAnsi="Arial"/>
          <w:lang w:val="en-IN"/>
        </w:rPr>
        <w:lastRenderedPageBreak/>
        <w:t xml:space="preserve">Faradji, R., Froud, T., Alvarez Gil, A., Herrada, E., Inverardi, L., Kenyon, N., Khan, A., Linetsky, E., Peixoto, E., Ricordi, C., Abdulla, M.H., Balamurugan, A.N., Bellin, M.D., Brandenburg, M., Harmon, J.V., Hering, B.J., Kandaswamy, R., Loganathan, G., Mueller, K., Papas, K.K., Pedersen, J., Wilhelm, J.J., Witson, J., Dalton-Bakes, C., Fu, H., Kamoun, M., Kearns, J., Li, Y., Liu, C., Luning-Prak, E., Luo, Y., Markmann, E., Min, Z., Naji, A., Palanjian, M., Rickels, M.R., Shlansky-Goldberg, R., Vivek, K., Ziaie, A.S., Kaufman, D.B. and Korsgren, O. (2018). Improved Health-Related quality of Life in a phase 3 islet transplantation trial in type 1 diabetes complicated by severe hypoglycemia. </w:t>
      </w:r>
      <w:r>
        <w:rPr>
          <w:rFonts w:ascii="Arial" w:hAnsi="Arial"/>
          <w:i/>
          <w:iCs/>
          <w:lang w:val="en-IN"/>
        </w:rPr>
        <w:t>Diabetes care</w:t>
      </w:r>
      <w:r>
        <w:rPr>
          <w:rFonts w:ascii="Arial" w:hAnsi="Arial"/>
          <w:lang w:val="en-IN"/>
        </w:rPr>
        <w:t>, 41(5), pp.1001–1008. doi:10.2337/dc17-1779.</w:t>
      </w:r>
    </w:p>
    <w:p w14:paraId="63FD0BCA" w14:textId="77777777" w:rsidR="00874A36" w:rsidRDefault="00000000">
      <w:pPr>
        <w:spacing w:after="172" w:line="360" w:lineRule="auto"/>
        <w:jc w:val="both"/>
        <w:rPr>
          <w:rFonts w:ascii="Arial" w:hAnsi="Arial"/>
          <w:lang w:val="en-IN"/>
        </w:rPr>
      </w:pPr>
      <w:r>
        <w:rPr>
          <w:rFonts w:ascii="Arial" w:hAnsi="Arial"/>
          <w:lang w:val="en-IN"/>
        </w:rPr>
        <w:t xml:space="preserve">Grajek, M.J., Fedortsiv, O., Wiśniewska, M. and Karakiewicz, B. (2026). Quality of life of patients with type 1 diabetes – a systematic review. </w:t>
      </w:r>
      <w:r>
        <w:rPr>
          <w:rFonts w:ascii="Arial" w:hAnsi="Arial"/>
          <w:i/>
          <w:iCs/>
          <w:lang w:val="en-IN"/>
        </w:rPr>
        <w:t>Pomeranian journal of Life sciences</w:t>
      </w:r>
      <w:r>
        <w:rPr>
          <w:rFonts w:ascii="Arial" w:hAnsi="Arial"/>
          <w:lang w:val="en-IN"/>
        </w:rPr>
        <w:t>, [online] 72(1). doi:10.21164/pomjlifesci.1191.</w:t>
      </w:r>
    </w:p>
    <w:p w14:paraId="7DBA2E54" w14:textId="77777777" w:rsidR="00874A36" w:rsidRDefault="00000000">
      <w:pPr>
        <w:spacing w:after="172" w:line="360" w:lineRule="auto"/>
        <w:jc w:val="both"/>
        <w:rPr>
          <w:rFonts w:ascii="Arial" w:hAnsi="Arial"/>
          <w:lang w:val="en-IN"/>
        </w:rPr>
      </w:pPr>
      <w:r>
        <w:rPr>
          <w:rFonts w:ascii="Arial" w:hAnsi="Arial"/>
          <w:lang w:val="en-IN"/>
        </w:rPr>
        <w:t xml:space="preserve">Grigorian, E.G., Litchman, M.L., Porter, M.E., Blanchette, J.E. and Allen, N.A. (2022). Financial barriers in emerging adults with type 1 diabetes: A qualitative analysis. </w:t>
      </w:r>
      <w:r>
        <w:rPr>
          <w:rFonts w:ascii="Arial" w:hAnsi="Arial"/>
          <w:i/>
          <w:iCs/>
          <w:lang w:val="en-IN"/>
        </w:rPr>
        <w:t>Diabetes spectrum</w:t>
      </w:r>
      <w:r>
        <w:rPr>
          <w:rFonts w:ascii="Arial" w:hAnsi="Arial"/>
          <w:lang w:val="en-IN"/>
        </w:rPr>
        <w:t>, 35(2). doi:10.2337/ds21-0038.</w:t>
      </w:r>
    </w:p>
    <w:p w14:paraId="6A904692" w14:textId="77777777" w:rsidR="00874A36" w:rsidRDefault="00000000">
      <w:pPr>
        <w:spacing w:after="172" w:line="360" w:lineRule="auto"/>
        <w:jc w:val="both"/>
        <w:rPr>
          <w:rFonts w:ascii="Arial" w:hAnsi="Arial"/>
          <w:lang w:val="en-IN"/>
        </w:rPr>
      </w:pPr>
      <w:r>
        <w:rPr>
          <w:rFonts w:ascii="Arial" w:hAnsi="Arial"/>
          <w:lang w:val="en-IN"/>
        </w:rPr>
        <w:t xml:space="preserve">Harris, S.M., Joyce, H., Miller, A., Connor, C., Amiel, S.A. and Mulnier, H. (2018). The attitude of healthcare professionals plays an important role in the uptake of diabetes self-management education: Analysis of the barriers to Uptake of type 1 diabetes education (BUD1E) study survey. </w:t>
      </w:r>
      <w:r>
        <w:rPr>
          <w:rFonts w:ascii="Arial" w:hAnsi="Arial"/>
          <w:i/>
          <w:iCs/>
          <w:lang w:val="en-IN"/>
        </w:rPr>
        <w:t>Diabetic medicine</w:t>
      </w:r>
      <w:r>
        <w:rPr>
          <w:rFonts w:ascii="Arial" w:hAnsi="Arial"/>
          <w:lang w:val="en-IN"/>
        </w:rPr>
        <w:t>, 35(9), pp.1189–1196. doi:10.1111/dme.13704.</w:t>
      </w:r>
    </w:p>
    <w:p w14:paraId="3BF04B32" w14:textId="77777777" w:rsidR="00874A36" w:rsidRDefault="00000000">
      <w:pPr>
        <w:spacing w:after="172" w:line="360" w:lineRule="auto"/>
        <w:jc w:val="both"/>
        <w:rPr>
          <w:rFonts w:ascii="Arial" w:hAnsi="Arial"/>
          <w:lang w:val="en-IN"/>
        </w:rPr>
      </w:pPr>
      <w:r>
        <w:rPr>
          <w:rFonts w:ascii="Arial" w:hAnsi="Arial"/>
          <w:lang w:val="en-IN"/>
        </w:rPr>
        <w:t>Heller, S.R., Gianfrancesco, C., Taylor, C. and Elliott, J. (2020). What are the characteristics of the best type 1 diabetes patient education programmes (from diagnosis to long</w:t>
      </w:r>
      <w:r>
        <w:rPr>
          <w:rFonts w:ascii="Cambria Math" w:hAnsi="Cambria Math" w:cs="Cambria Math"/>
          <w:lang w:val="en-IN"/>
        </w:rPr>
        <w:t>‐</w:t>
      </w:r>
      <w:r>
        <w:rPr>
          <w:rFonts w:ascii="Arial" w:hAnsi="Arial"/>
          <w:lang w:val="en-IN"/>
        </w:rPr>
        <w:t xml:space="preserve">term care), do they improve outcomes and what is required to make them more effective? </w:t>
      </w:r>
      <w:r>
        <w:rPr>
          <w:rFonts w:ascii="Arial" w:hAnsi="Arial"/>
          <w:i/>
          <w:iCs/>
          <w:lang w:val="en-IN"/>
        </w:rPr>
        <w:t>Diabetic medicine</w:t>
      </w:r>
      <w:r>
        <w:rPr>
          <w:rFonts w:ascii="Arial" w:hAnsi="Arial"/>
          <w:lang w:val="en-IN"/>
        </w:rPr>
        <w:t>, 37(4), pp.545–554. doi:10.1111/dme.14268.</w:t>
      </w:r>
    </w:p>
    <w:p w14:paraId="0C81962F" w14:textId="77777777" w:rsidR="00874A36" w:rsidRDefault="00000000">
      <w:pPr>
        <w:spacing w:after="172" w:line="360" w:lineRule="auto"/>
        <w:jc w:val="both"/>
        <w:rPr>
          <w:rFonts w:ascii="Arial" w:hAnsi="Arial"/>
          <w:lang w:val="en-IN"/>
        </w:rPr>
      </w:pPr>
      <w:r>
        <w:rPr>
          <w:rFonts w:ascii="Arial" w:hAnsi="Arial"/>
          <w:lang w:val="en-IN"/>
        </w:rPr>
        <w:t xml:space="preserve">Hill-Briggs, F. (2020). Social determinants of health and diabetes: A scientific review. </w:t>
      </w:r>
      <w:r>
        <w:rPr>
          <w:rFonts w:ascii="Arial" w:hAnsi="Arial"/>
          <w:i/>
          <w:iCs/>
          <w:lang w:val="en-IN"/>
        </w:rPr>
        <w:t>Diabetes care</w:t>
      </w:r>
      <w:r>
        <w:rPr>
          <w:rFonts w:ascii="Arial" w:hAnsi="Arial"/>
          <w:lang w:val="en-IN"/>
        </w:rPr>
        <w:t>, [online] 44(1), pp.258–279. doi:10.2337/dci20-0053.</w:t>
      </w:r>
    </w:p>
    <w:p w14:paraId="626B3475" w14:textId="77777777" w:rsidR="00874A36" w:rsidRDefault="00000000">
      <w:pPr>
        <w:spacing w:after="172" w:line="360" w:lineRule="auto"/>
        <w:jc w:val="both"/>
        <w:rPr>
          <w:rFonts w:ascii="Arial" w:hAnsi="Arial"/>
          <w:lang w:val="en-IN"/>
        </w:rPr>
      </w:pPr>
      <w:r>
        <w:rPr>
          <w:rFonts w:ascii="Arial" w:hAnsi="Arial"/>
          <w:lang w:val="en-IN"/>
        </w:rPr>
        <w:t xml:space="preserve">Hilliard, M.E., Marrero, D.G., Minard, C.G., Cao, V.T., de Wit, M., DuBose, S.N., Verdejo, A., Jaser, S.S., Kruger, D., Monzavi, R. and Shah, V.N., (2021). Design and psychometrics for new measures of health-related quality of life in adults with type 1 diabetes: Type 1 Diabetes and Life (T1DAL). </w:t>
      </w:r>
      <w:r>
        <w:rPr>
          <w:rFonts w:ascii="Arial" w:hAnsi="Arial"/>
          <w:i/>
          <w:iCs/>
          <w:lang w:val="en-IN"/>
        </w:rPr>
        <w:t>Diabetes research and clinical practice</w:t>
      </w:r>
      <w:r>
        <w:rPr>
          <w:rFonts w:ascii="Arial" w:hAnsi="Arial"/>
          <w:lang w:val="en-IN"/>
        </w:rPr>
        <w:t xml:space="preserve">, </w:t>
      </w:r>
      <w:r>
        <w:rPr>
          <w:rFonts w:ascii="Arial" w:hAnsi="Arial"/>
          <w:i/>
          <w:iCs/>
          <w:lang w:val="en-IN"/>
        </w:rPr>
        <w:t>174</w:t>
      </w:r>
      <w:r>
        <w:rPr>
          <w:rFonts w:ascii="Arial" w:hAnsi="Arial"/>
          <w:lang w:val="en-IN"/>
        </w:rPr>
        <w:t xml:space="preserve">, p.108537. </w:t>
      </w:r>
      <w:hyperlink r:id="rId60" w:history="1">
        <w:r w:rsidR="00874A36">
          <w:rPr>
            <w:rStyle w:val="Hyperlink"/>
            <w:rFonts w:ascii="Arial" w:hAnsi="Arial"/>
            <w:lang w:val="en-IN"/>
          </w:rPr>
          <w:t>https://www.sciencedirect.com/science/article/abs/pii/S0168822720307944</w:t>
        </w:r>
      </w:hyperlink>
      <w:r>
        <w:rPr>
          <w:rFonts w:ascii="Arial" w:hAnsi="Arial"/>
          <w:lang w:val="en-IN"/>
        </w:rPr>
        <w:t> </w:t>
      </w:r>
    </w:p>
    <w:p w14:paraId="45C84CDD" w14:textId="77777777" w:rsidR="00874A36" w:rsidRDefault="00000000">
      <w:pPr>
        <w:spacing w:after="172" w:line="360" w:lineRule="auto"/>
        <w:jc w:val="both"/>
        <w:rPr>
          <w:rFonts w:ascii="Arial" w:hAnsi="Arial"/>
          <w:lang w:val="en-IN"/>
        </w:rPr>
      </w:pPr>
      <w:r>
        <w:rPr>
          <w:rFonts w:ascii="Arial" w:hAnsi="Arial"/>
          <w:lang w:val="en-IN"/>
        </w:rPr>
        <w:t xml:space="preserve">Höhn, A., McGurnaghan, S.J., Caparrotta, T.M., Jeyam, A., O’Reilly, J.E., Blackbourn, L.A.K., Hatam, S., Dudel, C., Seaman, R.J., Mellor, J., Sattar, N., McCrimmon, R.J., Kennon, B., Petrie, J.R., Wild, S., McKeigue, P.M., Colhoun, H.M. and SDRN-Epi Group (2022). Large </w:t>
      </w:r>
      <w:r>
        <w:rPr>
          <w:rFonts w:ascii="Arial" w:hAnsi="Arial"/>
          <w:lang w:val="en-IN"/>
        </w:rPr>
        <w:lastRenderedPageBreak/>
        <w:t xml:space="preserve">socioeconomic gap in period life expectancy and life years spent with complications of diabetes in the scottish population with type 1 diabetes, 2013-2018. </w:t>
      </w:r>
      <w:r>
        <w:rPr>
          <w:rFonts w:ascii="Arial" w:hAnsi="Arial"/>
          <w:i/>
          <w:iCs/>
          <w:lang w:val="en-IN"/>
        </w:rPr>
        <w:t>PloS one</w:t>
      </w:r>
      <w:r>
        <w:rPr>
          <w:rFonts w:ascii="Arial" w:hAnsi="Arial"/>
          <w:lang w:val="en-IN"/>
        </w:rPr>
        <w:t>, [online] 17(8), p.e0271110. doi:10.1371/journal.pone.0271110.</w:t>
      </w:r>
    </w:p>
    <w:p w14:paraId="30398464" w14:textId="77777777" w:rsidR="00874A36" w:rsidRDefault="00000000">
      <w:pPr>
        <w:spacing w:after="172" w:line="360" w:lineRule="auto"/>
        <w:jc w:val="both"/>
        <w:rPr>
          <w:rFonts w:ascii="Arial" w:hAnsi="Arial"/>
          <w:lang w:val="en-IN"/>
        </w:rPr>
      </w:pPr>
      <w:r>
        <w:rPr>
          <w:rFonts w:ascii="Arial" w:hAnsi="Arial"/>
          <w:lang w:val="en-IN"/>
        </w:rPr>
        <w:t xml:space="preserve">Holt, R.I.G., DeVries, J.H., Hess-Fischl, A., Hirsch, I.B., Kirkman, M.S., Klupa, T., Ludwig, B., Nørgaard, K., Pettus, J., Renard, E., Skyler, J.S., Snoek, F.J., Weinstock, R.S. and Peters, A.L. (2021). The management of type 1 diabetes in adults. A consensus report by the american diabetes association (ADA) and the european association for the study of diabetes (EASD). </w:t>
      </w:r>
      <w:r>
        <w:rPr>
          <w:rFonts w:ascii="Arial" w:hAnsi="Arial"/>
          <w:i/>
          <w:iCs/>
          <w:lang w:val="en-IN"/>
        </w:rPr>
        <w:t>Diabetologia</w:t>
      </w:r>
      <w:r>
        <w:rPr>
          <w:rFonts w:ascii="Arial" w:hAnsi="Arial"/>
          <w:lang w:val="en-IN"/>
        </w:rPr>
        <w:t>, 64(12). doi:10.1007/s00125-021-05568-3.</w:t>
      </w:r>
    </w:p>
    <w:p w14:paraId="2998BC75" w14:textId="77777777" w:rsidR="00874A36" w:rsidRDefault="00000000">
      <w:pPr>
        <w:spacing w:after="172" w:line="360" w:lineRule="auto"/>
        <w:jc w:val="both"/>
        <w:rPr>
          <w:rFonts w:ascii="Arial" w:hAnsi="Arial"/>
          <w:lang w:val="en-IN"/>
        </w:rPr>
      </w:pPr>
      <w:r>
        <w:rPr>
          <w:rFonts w:ascii="Arial" w:hAnsi="Arial"/>
          <w:lang w:val="en-IN"/>
        </w:rPr>
        <w:t xml:space="preserve">Jacob, P., Potts, L., Maclean, R.H., de Zoysa, N., Rogers, H., Gonder-Frederick, L., Smith, E.L., Kariyawasam, D., Brooks, A., Heller, S., Toschi, E., Kendall, M., Bakolis, I., Choudhary, P., Goldsmith, K. and Amiel, S.A. (2022). Characteristics of adults with type 1 diabetes and treatment-resistant problematic hypoglycaemia: A baseline analysis from the HARPdoc RCT. </w:t>
      </w:r>
      <w:r>
        <w:rPr>
          <w:rFonts w:ascii="Arial" w:hAnsi="Arial"/>
          <w:i/>
          <w:iCs/>
          <w:lang w:val="en-IN"/>
        </w:rPr>
        <w:t>Diabetologia</w:t>
      </w:r>
      <w:r>
        <w:rPr>
          <w:rFonts w:ascii="Arial" w:hAnsi="Arial"/>
          <w:lang w:val="en-IN"/>
        </w:rPr>
        <w:t>, 65(6), pp.936–948. doi:10.1007/s00125-022-05679-5.</w:t>
      </w:r>
    </w:p>
    <w:p w14:paraId="63829CF5" w14:textId="77777777" w:rsidR="00874A36" w:rsidRDefault="00000000">
      <w:pPr>
        <w:spacing w:after="172" w:line="360" w:lineRule="auto"/>
        <w:jc w:val="both"/>
        <w:rPr>
          <w:rFonts w:ascii="Arial" w:hAnsi="Arial"/>
          <w:lang w:val="en-IN"/>
        </w:rPr>
      </w:pPr>
      <w:r>
        <w:rPr>
          <w:rFonts w:ascii="Arial" w:hAnsi="Arial"/>
          <w:lang w:val="en-IN"/>
        </w:rPr>
        <w:t xml:space="preserve">Janez, A., Battelino, T., Klupa, T., Kocsis, G., Kuricová, M., Lalić, N., Stoian, A.P., Prázný, M., Rahelić, D., Šoupal, J., Tankova, T. and Zelinska, N. (2021). Hybrid Closed-Loop systems for the treatment of type 1 diabetes: A collaborative, expert group position statement for clinical use in Central and eastern Europe. </w:t>
      </w:r>
      <w:r>
        <w:rPr>
          <w:rFonts w:ascii="Arial" w:hAnsi="Arial"/>
          <w:i/>
          <w:iCs/>
          <w:lang w:val="en-IN"/>
        </w:rPr>
        <w:t>Diabetes therapy</w:t>
      </w:r>
      <w:r>
        <w:rPr>
          <w:rFonts w:ascii="Arial" w:hAnsi="Arial"/>
          <w:lang w:val="en-IN"/>
        </w:rPr>
        <w:t>, 12(12), pp.3107–3135. doi:10.1007/s13300-021-01160-5.</w:t>
      </w:r>
    </w:p>
    <w:p w14:paraId="24CC55A5" w14:textId="77777777" w:rsidR="00874A36" w:rsidRDefault="00000000">
      <w:pPr>
        <w:spacing w:after="172" w:line="360" w:lineRule="auto"/>
        <w:jc w:val="both"/>
        <w:rPr>
          <w:rFonts w:ascii="Arial" w:hAnsi="Arial"/>
          <w:lang w:val="en-IN"/>
        </w:rPr>
      </w:pPr>
      <w:r>
        <w:rPr>
          <w:rFonts w:ascii="Arial" w:hAnsi="Arial"/>
          <w:lang w:val="en-IN"/>
        </w:rPr>
        <w:t xml:space="preserve">Jeyam, A., Gibb, F.W., McKnight, J.A., Kennon, B., O’Reilly, J.E., Caparrotta, T.M., Höhn, A., McGurnaghan, S.J., Blackbourn, L.A.K., Hatam, S., McCrimmon, R.J., Leese, G., Lindsay, R.S., Petrie, J., Chalmers, J., Philip, S., Wild, S.H., Sattar, N., McKeigue, P.M. and Colhoun, H.M. (2021). Marked Improvements in Glycaemic Outcomes following Insulin Pump Therapy Initiation in People with Type 1 diabetes: A Nationwide Observational Study in Scotland. </w:t>
      </w:r>
      <w:r>
        <w:rPr>
          <w:rFonts w:ascii="Arial" w:hAnsi="Arial"/>
          <w:i/>
          <w:iCs/>
          <w:lang w:val="en-IN"/>
        </w:rPr>
        <w:t>Diabetologia</w:t>
      </w:r>
      <w:r>
        <w:rPr>
          <w:rFonts w:ascii="Arial" w:hAnsi="Arial"/>
          <w:lang w:val="en-IN"/>
        </w:rPr>
        <w:t>, 64(6). doi:10.1007/s00125-021-05413-7 </w:t>
      </w:r>
    </w:p>
    <w:p w14:paraId="4DFE7155" w14:textId="77777777" w:rsidR="00874A36" w:rsidRDefault="00000000">
      <w:pPr>
        <w:spacing w:after="172" w:line="360" w:lineRule="auto"/>
        <w:jc w:val="both"/>
        <w:rPr>
          <w:rFonts w:ascii="Arial" w:hAnsi="Arial"/>
          <w:lang w:val="en-IN"/>
        </w:rPr>
      </w:pPr>
      <w:r>
        <w:rPr>
          <w:rFonts w:ascii="Arial" w:hAnsi="Arial"/>
          <w:lang w:val="en-IN"/>
        </w:rPr>
        <w:t xml:space="preserve">Joish, V.N., Zhou, F.L., Preblick, R., Lin, D., Deshpande, M., Verma, S., Davies, M.J., Paranjape, S. and Pettus, J. (2020). Estimation of annual health care costs for adults with type 1 diabetes in the united states. </w:t>
      </w:r>
      <w:r>
        <w:rPr>
          <w:rFonts w:ascii="Arial" w:hAnsi="Arial"/>
          <w:i/>
          <w:iCs/>
          <w:lang w:val="en-IN"/>
        </w:rPr>
        <w:t>Journal of Managed care &amp; specialty pharmacy</w:t>
      </w:r>
      <w:r>
        <w:rPr>
          <w:rFonts w:ascii="Arial" w:hAnsi="Arial"/>
          <w:lang w:val="en-IN"/>
        </w:rPr>
        <w:t>, 26(3), pp.311–318. doi:10.18553/jmcp.2020.26.3.311.</w:t>
      </w:r>
    </w:p>
    <w:p w14:paraId="354EB447" w14:textId="77777777" w:rsidR="00874A36" w:rsidRDefault="00000000">
      <w:pPr>
        <w:spacing w:after="172" w:line="360" w:lineRule="auto"/>
        <w:jc w:val="both"/>
        <w:rPr>
          <w:rFonts w:ascii="Arial" w:hAnsi="Arial"/>
          <w:lang w:val="en-IN"/>
        </w:rPr>
      </w:pPr>
      <w:r>
        <w:rPr>
          <w:rFonts w:ascii="Arial" w:hAnsi="Arial"/>
          <w:lang w:val="en-IN"/>
        </w:rPr>
        <w:t xml:space="preserve">Kessler, L., Thivolet, C., Penfornis, A., Gouet, D., Coffin, C., Moret, M., Borot, S., Bekka, S., Sonnet, E., Joubert, M. and Lablanche, S., (2025). Advanced hybrid closed loop algorithm use in type 1 diabetes: the French MiniMed™ glycemic control and quality of life study. </w:t>
      </w:r>
      <w:r>
        <w:rPr>
          <w:rFonts w:ascii="Arial" w:hAnsi="Arial"/>
          <w:i/>
          <w:iCs/>
          <w:lang w:val="en-IN"/>
        </w:rPr>
        <w:t>Diabetes Therapy</w:t>
      </w:r>
      <w:r>
        <w:rPr>
          <w:rFonts w:ascii="Arial" w:hAnsi="Arial"/>
          <w:lang w:val="en-IN"/>
        </w:rPr>
        <w:t xml:space="preserve">, </w:t>
      </w:r>
      <w:r>
        <w:rPr>
          <w:rFonts w:ascii="Arial" w:hAnsi="Arial"/>
          <w:i/>
          <w:iCs/>
          <w:lang w:val="en-IN"/>
        </w:rPr>
        <w:t>16</w:t>
      </w:r>
      <w:r>
        <w:rPr>
          <w:rFonts w:ascii="Arial" w:hAnsi="Arial"/>
          <w:lang w:val="en-IN"/>
        </w:rPr>
        <w:t>(3), pp.413-427. doi:10.1007/s13300-024-01673-9.</w:t>
      </w:r>
    </w:p>
    <w:p w14:paraId="2766DEF0" w14:textId="77777777" w:rsidR="00874A36" w:rsidRDefault="00000000">
      <w:pPr>
        <w:spacing w:after="172" w:line="360" w:lineRule="auto"/>
        <w:jc w:val="both"/>
        <w:rPr>
          <w:rFonts w:ascii="Arial" w:hAnsi="Arial"/>
          <w:lang w:val="en-IN"/>
        </w:rPr>
      </w:pPr>
      <w:r>
        <w:rPr>
          <w:rFonts w:ascii="Arial" w:hAnsi="Arial"/>
          <w:lang w:val="en-IN"/>
        </w:rPr>
        <w:lastRenderedPageBreak/>
        <w:t>Kubiak, T., Priesterroth, L. and Barnard</w:t>
      </w:r>
      <w:r>
        <w:rPr>
          <w:rFonts w:ascii="Cambria Math" w:hAnsi="Cambria Math" w:cs="Cambria Math"/>
          <w:lang w:val="en-IN"/>
        </w:rPr>
        <w:t>‐</w:t>
      </w:r>
      <w:r>
        <w:rPr>
          <w:rFonts w:ascii="Arial" w:hAnsi="Arial"/>
          <w:lang w:val="en-IN"/>
        </w:rPr>
        <w:t xml:space="preserve">Kelly, K.D. (2020). Psychosocial aspects of diabetes technology. </w:t>
      </w:r>
      <w:r>
        <w:rPr>
          <w:rFonts w:ascii="Arial" w:hAnsi="Arial"/>
          <w:i/>
          <w:iCs/>
          <w:lang w:val="en-IN"/>
        </w:rPr>
        <w:t>Diabetic medicine</w:t>
      </w:r>
      <w:r>
        <w:rPr>
          <w:rFonts w:ascii="Arial" w:hAnsi="Arial"/>
          <w:lang w:val="en-IN"/>
        </w:rPr>
        <w:t>, 37. doi:10.1111/dme.14234.</w:t>
      </w:r>
    </w:p>
    <w:p w14:paraId="30835A2E" w14:textId="77777777" w:rsidR="00874A36" w:rsidRDefault="00000000">
      <w:pPr>
        <w:spacing w:after="172" w:line="360" w:lineRule="auto"/>
        <w:jc w:val="both"/>
        <w:rPr>
          <w:rFonts w:ascii="Arial" w:hAnsi="Arial"/>
          <w:lang w:val="en-IN"/>
        </w:rPr>
      </w:pPr>
      <w:r>
        <w:rPr>
          <w:rFonts w:ascii="Arial" w:hAnsi="Arial"/>
          <w:lang w:val="en-IN"/>
        </w:rPr>
        <w:t xml:space="preserve">Lakshman, R., Hartnell, S., Ware, J., Allen, J.M., Wilinska, M.E., Nwokolo, M., Evans, M.L., Hovorka, R. and Boughton, C.K., (2024). Lived experience of fully closed-loop insulin delivery in adults with type 1 diabetes. </w:t>
      </w:r>
      <w:r>
        <w:rPr>
          <w:rFonts w:ascii="Arial" w:hAnsi="Arial"/>
          <w:i/>
          <w:iCs/>
          <w:lang w:val="en-IN"/>
        </w:rPr>
        <w:t>Diabetes Technology &amp; Therapeutics</w:t>
      </w:r>
      <w:r>
        <w:rPr>
          <w:rFonts w:ascii="Arial" w:hAnsi="Arial"/>
          <w:lang w:val="en-IN"/>
        </w:rPr>
        <w:t xml:space="preserve">, </w:t>
      </w:r>
      <w:r>
        <w:rPr>
          <w:rFonts w:ascii="Arial" w:hAnsi="Arial"/>
          <w:i/>
          <w:iCs/>
          <w:lang w:val="en-IN"/>
        </w:rPr>
        <w:t>26</w:t>
      </w:r>
      <w:r>
        <w:rPr>
          <w:rFonts w:ascii="Arial" w:hAnsi="Arial"/>
          <w:lang w:val="en-IN"/>
        </w:rPr>
        <w:t>(4), pp.211-221. doi:10.1089/dia.2023.0394.</w:t>
      </w:r>
    </w:p>
    <w:p w14:paraId="3A276B02" w14:textId="77777777" w:rsidR="00874A36" w:rsidRDefault="00000000">
      <w:pPr>
        <w:spacing w:after="172" w:line="360" w:lineRule="auto"/>
        <w:jc w:val="both"/>
        <w:rPr>
          <w:rFonts w:ascii="Arial" w:hAnsi="Arial"/>
          <w:lang w:val="en-IN"/>
        </w:rPr>
      </w:pPr>
      <w:r>
        <w:rPr>
          <w:rFonts w:ascii="Arial" w:hAnsi="Arial"/>
          <w:lang w:val="en-IN"/>
        </w:rPr>
        <w:t xml:space="preserve">Lindner, L.M.E., Rathmann, W. and Rosenbauer, J. (2017). Inequalities in glycaemic control, hypoglycaemia and diabetic ketoacidosis according to socio-economic status and area-level deprivation in type 1 diabetes mellitus: A systematic review. </w:t>
      </w:r>
      <w:r>
        <w:rPr>
          <w:rFonts w:ascii="Arial" w:hAnsi="Arial"/>
          <w:i/>
          <w:iCs/>
          <w:lang w:val="en-IN"/>
        </w:rPr>
        <w:t>Diabetic medicine</w:t>
      </w:r>
      <w:r>
        <w:rPr>
          <w:rFonts w:ascii="Arial" w:hAnsi="Arial"/>
          <w:lang w:val="en-IN"/>
        </w:rPr>
        <w:t>, 35(1), pp.12–32. doi:10.1111/dme.13519.</w:t>
      </w:r>
    </w:p>
    <w:p w14:paraId="1540EC78" w14:textId="77777777" w:rsidR="00874A36" w:rsidRDefault="00000000">
      <w:pPr>
        <w:spacing w:after="172" w:line="360" w:lineRule="auto"/>
        <w:jc w:val="both"/>
        <w:rPr>
          <w:rFonts w:ascii="Arial" w:hAnsi="Arial"/>
          <w:lang w:val="en-IN"/>
        </w:rPr>
      </w:pPr>
      <w:r>
        <w:rPr>
          <w:rFonts w:ascii="Arial" w:hAnsi="Arial"/>
          <w:lang w:val="en-IN"/>
        </w:rPr>
        <w:t xml:space="preserve">Mangoulia, P., Milionis, C., Vlachou, E. and Ilias, I., (2024), July. The interrelationship between diabetes mellitus and emotional well-being: Current concepts and future prospects. In </w:t>
      </w:r>
      <w:r>
        <w:rPr>
          <w:rFonts w:ascii="Arial" w:hAnsi="Arial"/>
          <w:i/>
          <w:iCs/>
          <w:lang w:val="en-IN"/>
        </w:rPr>
        <w:t>Healthcare</w:t>
      </w:r>
      <w:r>
        <w:rPr>
          <w:rFonts w:ascii="Arial" w:hAnsi="Arial"/>
          <w:lang w:val="en-IN"/>
        </w:rPr>
        <w:t xml:space="preserve"> (Vol. 12, No. 14, p. 1457). MDPI.</w:t>
      </w:r>
      <w:hyperlink r:id="rId61" w:history="1">
        <w:r w:rsidR="00874A36">
          <w:rPr>
            <w:rStyle w:val="Hyperlink"/>
            <w:rFonts w:ascii="Arial" w:hAnsi="Arial"/>
            <w:lang w:val="en-IN"/>
          </w:rPr>
          <w:t xml:space="preserve"> https://www.mdpi.com/2227-9032/12/14/1457</w:t>
        </w:r>
      </w:hyperlink>
    </w:p>
    <w:p w14:paraId="76BC68AB" w14:textId="77777777" w:rsidR="00874A36" w:rsidRDefault="00000000">
      <w:pPr>
        <w:spacing w:after="172" w:line="360" w:lineRule="auto"/>
        <w:jc w:val="both"/>
        <w:rPr>
          <w:rFonts w:ascii="Arial" w:hAnsi="Arial"/>
          <w:lang w:val="en-IN"/>
        </w:rPr>
      </w:pPr>
      <w:r>
        <w:rPr>
          <w:rFonts w:ascii="Arial" w:hAnsi="Arial"/>
          <w:lang w:val="en-IN"/>
        </w:rPr>
        <w:t xml:space="preserve">Martyn-Nemeth, P., Duffecy, J., Quinn, L., Reutrakul, S., Steffen, A.D., Burke, L., Clark Withington, M.H., Irsheed, G.A., Perez, R., Park, M., Saleh, A., Mihailescu, D. and Baron, K.G. (2022). Sleep optimization to improve glycemic control in adults with type 1 diabetes: Study protocol for a randomized controlled parallel intervention trial. </w:t>
      </w:r>
      <w:r>
        <w:rPr>
          <w:rFonts w:ascii="Arial" w:hAnsi="Arial"/>
          <w:i/>
          <w:iCs/>
          <w:lang w:val="en-IN"/>
        </w:rPr>
        <w:t>Trials</w:t>
      </w:r>
      <w:r>
        <w:rPr>
          <w:rFonts w:ascii="Arial" w:hAnsi="Arial"/>
          <w:lang w:val="en-IN"/>
        </w:rPr>
        <w:t>, 23(1). doi:10.1186/s13063-022-06565-6.</w:t>
      </w:r>
    </w:p>
    <w:p w14:paraId="3508675A" w14:textId="77777777" w:rsidR="00874A36" w:rsidRDefault="00000000">
      <w:pPr>
        <w:spacing w:after="172" w:line="360" w:lineRule="auto"/>
        <w:jc w:val="both"/>
        <w:rPr>
          <w:rFonts w:ascii="Arial" w:hAnsi="Arial"/>
          <w:lang w:val="en-IN"/>
        </w:rPr>
      </w:pPr>
      <w:r>
        <w:rPr>
          <w:rFonts w:ascii="Arial" w:hAnsi="Arial"/>
          <w:lang w:val="en-IN"/>
        </w:rPr>
        <w:t>Nano, J., Carinci, F., Okunade, O., Whittaker, S., Walbaum, M., Barnard</w:t>
      </w:r>
      <w:r>
        <w:rPr>
          <w:rFonts w:ascii="Cambria Math" w:hAnsi="Cambria Math" w:cs="Cambria Math"/>
          <w:lang w:val="en-IN"/>
        </w:rPr>
        <w:t>‐</w:t>
      </w:r>
      <w:r>
        <w:rPr>
          <w:rFonts w:ascii="Arial" w:hAnsi="Arial"/>
          <w:lang w:val="en-IN"/>
        </w:rPr>
        <w:t>Kelly, K., Barthelmes, D., Benson, T., Calderon</w:t>
      </w:r>
      <w:r>
        <w:rPr>
          <w:rFonts w:ascii="Cambria Math" w:hAnsi="Cambria Math" w:cs="Cambria Math"/>
          <w:lang w:val="en-IN"/>
        </w:rPr>
        <w:t>‐</w:t>
      </w:r>
      <w:r>
        <w:rPr>
          <w:rFonts w:ascii="Arial" w:hAnsi="Arial"/>
          <w:lang w:val="en-IN"/>
        </w:rPr>
        <w:t>Margalit, R., Dennaoui, J., Fraser, S., Haig, R., Hernández</w:t>
      </w:r>
      <w:r>
        <w:rPr>
          <w:rFonts w:ascii="Cambria Math" w:hAnsi="Cambria Math" w:cs="Cambria Math"/>
          <w:lang w:val="en-IN"/>
        </w:rPr>
        <w:t>‐</w:t>
      </w:r>
      <w:r>
        <w:rPr>
          <w:rFonts w:ascii="Arial" w:hAnsi="Arial"/>
          <w:lang w:val="en-IN"/>
        </w:rPr>
        <w:t>Jimenéz, S., Levitt, N., Mbanya, J.C., Naqvi, S., Peters, A.L., Peyrot, M., Prabhaharan, M., Pumerantz, A., Raposo, J., Santana, M., Schmitt, A., Skovlund, S.E., Garcia</w:t>
      </w:r>
      <w:r>
        <w:rPr>
          <w:rFonts w:ascii="Cambria Math" w:hAnsi="Cambria Math" w:cs="Cambria Math"/>
          <w:lang w:val="en-IN"/>
        </w:rPr>
        <w:t>‐</w:t>
      </w:r>
      <w:r>
        <w:rPr>
          <w:rFonts w:ascii="Arial" w:hAnsi="Arial"/>
          <w:lang w:val="en-IN"/>
        </w:rPr>
        <w:t>Ulloa, A.C., Wee, H.L., Zaletel, J. and Massi</w:t>
      </w:r>
      <w:r>
        <w:rPr>
          <w:rFonts w:ascii="Cambria Math" w:hAnsi="Cambria Math" w:cs="Cambria Math"/>
          <w:lang w:val="en-IN"/>
        </w:rPr>
        <w:t>‐</w:t>
      </w:r>
      <w:r>
        <w:rPr>
          <w:rFonts w:ascii="Arial" w:hAnsi="Arial"/>
          <w:lang w:val="en-IN"/>
        </w:rPr>
        <w:t>Benedetti, M. (2020). A standard set of person</w:t>
      </w:r>
      <w:r>
        <w:rPr>
          <w:rFonts w:ascii="Cambria Math" w:hAnsi="Cambria Math" w:cs="Cambria Math"/>
          <w:lang w:val="en-IN"/>
        </w:rPr>
        <w:t>‐</w:t>
      </w:r>
      <w:r>
        <w:rPr>
          <w:rFonts w:ascii="Arial" w:hAnsi="Arial"/>
          <w:lang w:val="en-IN"/>
        </w:rPr>
        <w:t xml:space="preserve">centred outcomes for diabetes mellitus: Results of an international and unified approach. </w:t>
      </w:r>
      <w:r>
        <w:rPr>
          <w:rFonts w:ascii="Arial" w:hAnsi="Arial"/>
          <w:i/>
          <w:iCs/>
          <w:lang w:val="en-IN"/>
        </w:rPr>
        <w:t>Diabetic Medicine</w:t>
      </w:r>
      <w:r>
        <w:rPr>
          <w:rFonts w:ascii="Arial" w:hAnsi="Arial"/>
          <w:lang w:val="en-IN"/>
        </w:rPr>
        <w:t>, 37(12), pp.2009–2018. doi:10.1111/dme.14286.</w:t>
      </w:r>
    </w:p>
    <w:p w14:paraId="1E71ABA8" w14:textId="77777777" w:rsidR="00874A36" w:rsidRDefault="00000000">
      <w:pPr>
        <w:spacing w:after="172" w:line="360" w:lineRule="auto"/>
        <w:jc w:val="both"/>
        <w:rPr>
          <w:rFonts w:ascii="Arial" w:hAnsi="Arial"/>
          <w:lang w:val="en-IN"/>
        </w:rPr>
      </w:pPr>
      <w:r>
        <w:rPr>
          <w:rFonts w:ascii="Arial" w:hAnsi="Arial"/>
          <w:lang w:val="en-IN"/>
        </w:rPr>
        <w:t xml:space="preserve">Nefs, G. (2022). The psychological implications of Automated insulin delivery systems in type 1 diabetes care. </w:t>
      </w:r>
      <w:r>
        <w:rPr>
          <w:rFonts w:ascii="Arial" w:hAnsi="Arial"/>
          <w:i/>
          <w:iCs/>
          <w:lang w:val="en-IN"/>
        </w:rPr>
        <w:t>Frontiers in clinical diabetes and healthcare</w:t>
      </w:r>
      <w:r>
        <w:rPr>
          <w:rFonts w:ascii="Arial" w:hAnsi="Arial"/>
          <w:lang w:val="en-IN"/>
        </w:rPr>
        <w:t>, 3. doi:10.3389/fcdhc.2022.846162.</w:t>
      </w:r>
    </w:p>
    <w:p w14:paraId="09D31C35" w14:textId="77777777" w:rsidR="00874A36" w:rsidRDefault="00000000">
      <w:pPr>
        <w:spacing w:after="172" w:line="360" w:lineRule="auto"/>
        <w:jc w:val="both"/>
        <w:rPr>
          <w:rFonts w:ascii="Arial" w:hAnsi="Arial"/>
          <w:lang w:val="en-IN"/>
        </w:rPr>
      </w:pPr>
      <w:r>
        <w:rPr>
          <w:rFonts w:ascii="Arial" w:hAnsi="Arial"/>
          <w:lang w:val="en-IN"/>
        </w:rPr>
        <w:t xml:space="preserve">Núñez-Baila, M.-Á., Gómez-Aragón, A. and González-López, J.R. (2024). Sociodemographic and clinical determinants on Health-Related quality of life in emerging andalusian adults with type 1 diabetes: A Cross-Sectional study. </w:t>
      </w:r>
      <w:r>
        <w:rPr>
          <w:rFonts w:ascii="Arial" w:hAnsi="Arial"/>
          <w:i/>
          <w:iCs/>
          <w:lang w:val="en-IN"/>
        </w:rPr>
        <w:t>Journal of clinical medicine</w:t>
      </w:r>
      <w:r>
        <w:rPr>
          <w:rFonts w:ascii="Arial" w:hAnsi="Arial"/>
          <w:lang w:val="en-IN"/>
        </w:rPr>
        <w:t>, [online] 13(1), p.240. doi:10.3390/jcm13010240.</w:t>
      </w:r>
    </w:p>
    <w:p w14:paraId="02EDDE5F" w14:textId="77777777" w:rsidR="00874A36" w:rsidRDefault="00000000">
      <w:pPr>
        <w:spacing w:after="172" w:line="360" w:lineRule="auto"/>
        <w:jc w:val="both"/>
        <w:rPr>
          <w:rFonts w:ascii="Arial" w:hAnsi="Arial"/>
          <w:lang w:val="en-IN"/>
        </w:rPr>
      </w:pPr>
      <w:r>
        <w:rPr>
          <w:rFonts w:ascii="Arial" w:hAnsi="Arial"/>
          <w:lang w:val="en-IN"/>
        </w:rPr>
        <w:lastRenderedPageBreak/>
        <w:t xml:space="preserve">Núñez-Baila, M.-Á., Gómez-Aragón, A., Marques-Silva, A.-M. and González-López, J.R. (2024). Lifestyle in emerging adults with type 1 diabetes mellitus: A qualitative systematic review. </w:t>
      </w:r>
      <w:r>
        <w:rPr>
          <w:rFonts w:ascii="Arial" w:hAnsi="Arial"/>
          <w:i/>
          <w:iCs/>
          <w:lang w:val="en-IN"/>
        </w:rPr>
        <w:t>Healthcare</w:t>
      </w:r>
      <w:r>
        <w:rPr>
          <w:rFonts w:ascii="Arial" w:hAnsi="Arial"/>
          <w:lang w:val="en-IN"/>
        </w:rPr>
        <w:t>, [online] 12(3), p.309. doi:10.3390/healthcare12030309.</w:t>
      </w:r>
    </w:p>
    <w:p w14:paraId="7A789011" w14:textId="77777777" w:rsidR="00874A36" w:rsidRDefault="00000000">
      <w:pPr>
        <w:spacing w:after="172" w:line="360" w:lineRule="auto"/>
        <w:jc w:val="both"/>
        <w:rPr>
          <w:rFonts w:ascii="Arial" w:hAnsi="Arial"/>
          <w:lang w:val="en-IN"/>
        </w:rPr>
      </w:pPr>
      <w:r>
        <w:rPr>
          <w:rFonts w:ascii="Arial" w:hAnsi="Arial"/>
          <w:lang w:val="en-IN"/>
        </w:rPr>
        <w:t xml:space="preserve">O’Hara, M.C., Hynes, L., O’Donnell, M., Nery, N., Byrne, M., Heller, S.R. and Dinneen, S.F. (2016). A systematic review of interventions to improve outcomes for young adults with type 1 diabetes. </w:t>
      </w:r>
      <w:r>
        <w:rPr>
          <w:rFonts w:ascii="Arial" w:hAnsi="Arial"/>
          <w:i/>
          <w:iCs/>
          <w:lang w:val="en-IN"/>
        </w:rPr>
        <w:t>Diabetic medicine</w:t>
      </w:r>
      <w:r>
        <w:rPr>
          <w:rFonts w:ascii="Arial" w:hAnsi="Arial"/>
          <w:lang w:val="en-IN"/>
        </w:rPr>
        <w:t>, [online] 34(6), pp.753–769. doi:10.1111/dme.13276.</w:t>
      </w:r>
    </w:p>
    <w:p w14:paraId="7E3BC6CC" w14:textId="77777777" w:rsidR="00874A36" w:rsidRDefault="00000000">
      <w:pPr>
        <w:spacing w:after="172" w:line="360" w:lineRule="auto"/>
        <w:jc w:val="both"/>
        <w:rPr>
          <w:rFonts w:ascii="Arial" w:hAnsi="Arial"/>
          <w:lang w:val="en-IN"/>
        </w:rPr>
      </w:pPr>
      <w:r>
        <w:rPr>
          <w:rFonts w:ascii="Arial" w:hAnsi="Arial"/>
          <w:lang w:val="en-IN"/>
        </w:rPr>
        <w:t xml:space="preserve">Pease, A., Lo, C., Earnest, A., Kiriakova, V., Liew, D. and Zoungas, S., (2020). The efficacy of technology in type 1 diabetes: a systematic review, network meta-analysis, and narrative synthesis. </w:t>
      </w:r>
      <w:r>
        <w:rPr>
          <w:rFonts w:ascii="Arial" w:hAnsi="Arial"/>
          <w:i/>
          <w:iCs/>
          <w:lang w:val="en-IN"/>
        </w:rPr>
        <w:t>Diabetes technology &amp; therapeutics</w:t>
      </w:r>
      <w:r>
        <w:rPr>
          <w:rFonts w:ascii="Arial" w:hAnsi="Arial"/>
          <w:lang w:val="en-IN"/>
        </w:rPr>
        <w:t xml:space="preserve">, </w:t>
      </w:r>
      <w:r>
        <w:rPr>
          <w:rFonts w:ascii="Arial" w:hAnsi="Arial"/>
          <w:i/>
          <w:iCs/>
          <w:lang w:val="en-IN"/>
        </w:rPr>
        <w:t>22</w:t>
      </w:r>
      <w:r>
        <w:rPr>
          <w:rFonts w:ascii="Arial" w:hAnsi="Arial"/>
          <w:lang w:val="en-IN"/>
        </w:rPr>
        <w:t>(5), pp.411-421.</w:t>
      </w:r>
      <w:hyperlink r:id="rId62" w:history="1">
        <w:r w:rsidR="00874A36">
          <w:rPr>
            <w:rStyle w:val="Hyperlink"/>
            <w:rFonts w:ascii="Arial" w:hAnsi="Arial"/>
            <w:lang w:val="en-IN"/>
          </w:rPr>
          <w:t xml:space="preserve"> https://journals.sagepub.com/doi/abs/10.1089/dia.2019.0417</w:t>
        </w:r>
      </w:hyperlink>
    </w:p>
    <w:p w14:paraId="56468328" w14:textId="77777777" w:rsidR="00874A36" w:rsidRDefault="00000000">
      <w:pPr>
        <w:spacing w:after="172" w:line="360" w:lineRule="auto"/>
        <w:jc w:val="both"/>
        <w:rPr>
          <w:rFonts w:ascii="Arial" w:hAnsi="Arial"/>
          <w:lang w:val="en-IN"/>
        </w:rPr>
      </w:pPr>
      <w:r>
        <w:rPr>
          <w:rFonts w:ascii="Arial" w:hAnsi="Arial"/>
          <w:lang w:val="en-IN"/>
        </w:rPr>
        <w:t xml:space="preserve">Peasgood, T., Brennan, A., Mansell, P., Elliott, J., Basarir, H. and Kruger, J. (2016). The impact of Diabetes-Related complications on Preference-Based measures of Health-Related quality of Life in adults with type i diabetes. </w:t>
      </w:r>
      <w:r>
        <w:rPr>
          <w:rFonts w:ascii="Arial" w:hAnsi="Arial"/>
          <w:i/>
          <w:iCs/>
          <w:lang w:val="en-IN"/>
        </w:rPr>
        <w:t>Medical decision making</w:t>
      </w:r>
      <w:r>
        <w:rPr>
          <w:rFonts w:ascii="Arial" w:hAnsi="Arial"/>
          <w:lang w:val="en-IN"/>
        </w:rPr>
        <w:t>, 36(8), pp.1020–1033. doi:10.1177/0272989x16658660.</w:t>
      </w:r>
    </w:p>
    <w:p w14:paraId="6A2289E5" w14:textId="77777777" w:rsidR="00874A36" w:rsidRDefault="00000000">
      <w:pPr>
        <w:spacing w:after="172" w:line="360" w:lineRule="auto"/>
        <w:jc w:val="both"/>
        <w:rPr>
          <w:rFonts w:ascii="Arial" w:hAnsi="Arial"/>
          <w:lang w:val="en-IN"/>
        </w:rPr>
      </w:pPr>
      <w:r>
        <w:rPr>
          <w:rFonts w:ascii="Arial" w:hAnsi="Arial"/>
          <w:lang w:val="en-IN"/>
        </w:rPr>
        <w:t xml:space="preserve">Peter, M.E., Rioles, N., Liu, J., Chapman, K., Wolf, W.A., Nguyen, H., Basina, M., Akturk, H.K., Ebekozien, O., Perez-Nieves, M. and Poon, J.L., (2023). Prevalence of fear of hypoglycemia in adults with type 1 diabetes using a newly developed screener and clinician’s perspective on its implementation. </w:t>
      </w:r>
      <w:r>
        <w:rPr>
          <w:rFonts w:ascii="Arial" w:hAnsi="Arial"/>
          <w:i/>
          <w:iCs/>
          <w:lang w:val="en-IN"/>
        </w:rPr>
        <w:t>BMJ Open Diabetes Research &amp; Care</w:t>
      </w:r>
      <w:r>
        <w:rPr>
          <w:rFonts w:ascii="Arial" w:hAnsi="Arial"/>
          <w:lang w:val="en-IN"/>
        </w:rPr>
        <w:t xml:space="preserve">, </w:t>
      </w:r>
      <w:r>
        <w:rPr>
          <w:rFonts w:ascii="Arial" w:hAnsi="Arial"/>
          <w:i/>
          <w:iCs/>
          <w:lang w:val="en-IN"/>
        </w:rPr>
        <w:t>11</w:t>
      </w:r>
      <w:r>
        <w:rPr>
          <w:rFonts w:ascii="Arial" w:hAnsi="Arial"/>
          <w:lang w:val="en-IN"/>
        </w:rPr>
        <w:t>(4). doi:10.1136/bmjdrc-2023-003394.</w:t>
      </w:r>
    </w:p>
    <w:p w14:paraId="4A10F367" w14:textId="77777777" w:rsidR="00874A36" w:rsidRDefault="00000000">
      <w:pPr>
        <w:spacing w:after="172" w:line="360" w:lineRule="auto"/>
        <w:jc w:val="both"/>
        <w:rPr>
          <w:rFonts w:ascii="Arial" w:hAnsi="Arial"/>
          <w:lang w:val="en-IN"/>
        </w:rPr>
      </w:pPr>
      <w:r>
        <w:rPr>
          <w:rFonts w:ascii="Arial" w:hAnsi="Arial"/>
          <w:lang w:val="en-IN"/>
        </w:rPr>
        <w:t xml:space="preserve">Polonsky, W.H., Hessler, D., Ruedy, K.J. and Beck, R.W. (2017). The impact of continuous glucose monitoring on markers of Quality of Life in adults with type 1 diabetes: Further findings from the diamond randomized clinical trial. </w:t>
      </w:r>
      <w:r>
        <w:rPr>
          <w:rFonts w:ascii="Arial" w:hAnsi="Arial"/>
          <w:i/>
          <w:iCs/>
          <w:lang w:val="en-IN"/>
        </w:rPr>
        <w:t>Diabetes care</w:t>
      </w:r>
      <w:r>
        <w:rPr>
          <w:rFonts w:ascii="Arial" w:hAnsi="Arial"/>
          <w:lang w:val="en-IN"/>
        </w:rPr>
        <w:t>, [online] 40(6), pp.736–741. doi:10.2337/dc17-0133.</w:t>
      </w:r>
    </w:p>
    <w:p w14:paraId="07568EC3" w14:textId="77777777" w:rsidR="00874A36" w:rsidRDefault="00000000">
      <w:pPr>
        <w:spacing w:after="172" w:line="360" w:lineRule="auto"/>
        <w:jc w:val="both"/>
        <w:rPr>
          <w:rFonts w:ascii="Arial" w:hAnsi="Arial"/>
          <w:lang w:val="en-IN"/>
        </w:rPr>
      </w:pPr>
      <w:r>
        <w:rPr>
          <w:rFonts w:ascii="Arial" w:hAnsi="Arial"/>
          <w:lang w:val="en-IN"/>
        </w:rPr>
        <w:t>Porth, A.K., Huberts, A.S., Rogge, A., Bénard, A.H.M., Forbes, A., Strootker, A., Del Pozo, C.H., Kownatka, D., Hopkins, D., Nathanson, D. and Aanstoot, H.J., (2024). Standardising personalised diabetes care across European health settings: a person</w:t>
      </w:r>
      <w:r>
        <w:rPr>
          <w:rFonts w:ascii="Cambria Math" w:hAnsi="Cambria Math" w:cs="Cambria Math"/>
          <w:lang w:val="en-IN"/>
        </w:rPr>
        <w:t>‐</w:t>
      </w:r>
      <w:r>
        <w:rPr>
          <w:rFonts w:ascii="Arial" w:hAnsi="Arial"/>
          <w:lang w:val="en-IN"/>
        </w:rPr>
        <w:t xml:space="preserve">centred outcome set agreed in a multinational Delphi study. </w:t>
      </w:r>
      <w:r>
        <w:rPr>
          <w:rFonts w:ascii="Arial" w:hAnsi="Arial"/>
          <w:i/>
          <w:iCs/>
          <w:lang w:val="en-IN"/>
        </w:rPr>
        <w:t>Diabetic Medicine</w:t>
      </w:r>
      <w:r>
        <w:rPr>
          <w:rFonts w:ascii="Arial" w:hAnsi="Arial"/>
          <w:lang w:val="en-IN"/>
        </w:rPr>
        <w:t xml:space="preserve">, </w:t>
      </w:r>
      <w:r>
        <w:rPr>
          <w:rFonts w:ascii="Arial" w:hAnsi="Arial"/>
          <w:i/>
          <w:iCs/>
          <w:lang w:val="en-IN"/>
        </w:rPr>
        <w:t>41</w:t>
      </w:r>
      <w:r>
        <w:rPr>
          <w:rFonts w:ascii="Arial" w:hAnsi="Arial"/>
          <w:lang w:val="en-IN"/>
        </w:rPr>
        <w:t>(5), p.e15259.</w:t>
      </w:r>
      <w:hyperlink r:id="rId63" w:history="1">
        <w:r w:rsidR="00874A36">
          <w:rPr>
            <w:rStyle w:val="Hyperlink"/>
            <w:rFonts w:ascii="Arial" w:hAnsi="Arial"/>
            <w:lang w:val="en-IN"/>
          </w:rPr>
          <w:t xml:space="preserve"> https://onlinelibrary.wiley.com/doi/abs/10.1111/dme.15259</w:t>
        </w:r>
      </w:hyperlink>
    </w:p>
    <w:p w14:paraId="1EAF883D" w14:textId="77777777" w:rsidR="00874A36" w:rsidRDefault="00000000">
      <w:pPr>
        <w:spacing w:after="172" w:line="360" w:lineRule="auto"/>
        <w:jc w:val="both"/>
        <w:rPr>
          <w:rFonts w:ascii="Arial" w:hAnsi="Arial"/>
          <w:lang w:val="en-IN"/>
        </w:rPr>
      </w:pPr>
      <w:r>
        <w:rPr>
          <w:rFonts w:ascii="Arial" w:hAnsi="Arial"/>
          <w:lang w:val="en-IN"/>
        </w:rPr>
        <w:t xml:space="preserve">Puzhakkal, S., Kavanagh, S., Conway, B., Kow, C.S. and Hasan, S.S., (2025). Self-care and self-management in diabetes: concepts, theories and practices. </w:t>
      </w:r>
      <w:r>
        <w:rPr>
          <w:rFonts w:ascii="Arial" w:hAnsi="Arial"/>
          <w:i/>
          <w:iCs/>
          <w:lang w:val="en-IN"/>
        </w:rPr>
        <w:t>International Journal of Clinical Pharmacy</w:t>
      </w:r>
      <w:r>
        <w:rPr>
          <w:rFonts w:ascii="Arial" w:hAnsi="Arial"/>
          <w:lang w:val="en-IN"/>
        </w:rPr>
        <w:t>, pp.1-7.</w:t>
      </w:r>
      <w:hyperlink r:id="rId64" w:history="1">
        <w:r w:rsidR="00874A36">
          <w:rPr>
            <w:rStyle w:val="Hyperlink"/>
            <w:rFonts w:ascii="Arial" w:hAnsi="Arial"/>
            <w:lang w:val="en-IN"/>
          </w:rPr>
          <w:t xml:space="preserve"> https://doi.org/10.1007/s11096-025-01941-z</w:t>
        </w:r>
      </w:hyperlink>
    </w:p>
    <w:p w14:paraId="4F0A44E1" w14:textId="77777777" w:rsidR="00874A36" w:rsidRDefault="00000000">
      <w:pPr>
        <w:spacing w:after="172" w:line="360" w:lineRule="auto"/>
        <w:jc w:val="both"/>
        <w:rPr>
          <w:rFonts w:ascii="Arial" w:hAnsi="Arial"/>
          <w:lang w:val="en-IN"/>
        </w:rPr>
      </w:pPr>
      <w:r>
        <w:rPr>
          <w:rFonts w:ascii="Arial" w:hAnsi="Arial"/>
          <w:lang w:val="en-IN"/>
        </w:rPr>
        <w:t xml:space="preserve">Pyatak, E.A., Sequeira, P.A., Vigen, C.L.P., Weigensberg, M.J., Wood, J.R., Montoya, L., Ruelas, V. and Peters, A.L. (2017). Clinical and psychosocial outcomes of a structured </w:t>
      </w:r>
      <w:r>
        <w:rPr>
          <w:rFonts w:ascii="Arial" w:hAnsi="Arial"/>
          <w:lang w:val="en-IN"/>
        </w:rPr>
        <w:lastRenderedPageBreak/>
        <w:t xml:space="preserve">transition program among young adults with type 1 diabetes. </w:t>
      </w:r>
      <w:r>
        <w:rPr>
          <w:rFonts w:ascii="Arial" w:hAnsi="Arial"/>
          <w:i/>
          <w:iCs/>
          <w:lang w:val="en-IN"/>
        </w:rPr>
        <w:t>Journal of Adolescent health</w:t>
      </w:r>
      <w:r>
        <w:rPr>
          <w:rFonts w:ascii="Arial" w:hAnsi="Arial"/>
          <w:lang w:val="en-IN"/>
        </w:rPr>
        <w:t>, 60(2), pp.212–218. doi:10.1016/j.jadohealth.2016.09.004.</w:t>
      </w:r>
    </w:p>
    <w:p w14:paraId="580158D5" w14:textId="77777777" w:rsidR="00874A36" w:rsidRDefault="00000000">
      <w:pPr>
        <w:spacing w:after="172" w:line="360" w:lineRule="auto"/>
        <w:jc w:val="both"/>
        <w:rPr>
          <w:rFonts w:ascii="Arial" w:hAnsi="Arial"/>
          <w:lang w:val="en-IN"/>
        </w:rPr>
      </w:pPr>
      <w:r>
        <w:rPr>
          <w:rFonts w:ascii="Arial" w:hAnsi="Arial"/>
          <w:lang w:val="en-IN"/>
        </w:rPr>
        <w:t>Reznik, Y., Bonnemaison, E., Fagherazzi, G., Renard, E., Hélène Hanaire, Schaepelynck, P., Mihaela Mihaileanu and Jean</w:t>
      </w:r>
      <w:r>
        <w:rPr>
          <w:rFonts w:ascii="Cambria Math" w:hAnsi="Cambria Math" w:cs="Cambria Math"/>
          <w:lang w:val="en-IN"/>
        </w:rPr>
        <w:t>‐</w:t>
      </w:r>
      <w:r>
        <w:rPr>
          <w:rFonts w:ascii="Arial" w:hAnsi="Arial"/>
          <w:lang w:val="en-IN"/>
        </w:rPr>
        <w:t xml:space="preserve">Pierre Riveline (2024). The use of an automated insulin delivery system is associated with a reduction in diabetes distress and improvement in quality of life in people with type 1 diabetes. </w:t>
      </w:r>
      <w:r>
        <w:rPr>
          <w:rFonts w:ascii="Arial" w:hAnsi="Arial"/>
          <w:i/>
          <w:iCs/>
          <w:lang w:val="en-IN"/>
        </w:rPr>
        <w:t>Diabetes Obesity and Metabolism</w:t>
      </w:r>
      <w:r>
        <w:rPr>
          <w:rFonts w:ascii="Arial" w:hAnsi="Arial"/>
          <w:lang w:val="en-IN"/>
        </w:rPr>
        <w:t>, 26(5), pp.1962–1966. doi:10.1111/dom.15462.</w:t>
      </w:r>
    </w:p>
    <w:p w14:paraId="46B9CF33" w14:textId="77777777" w:rsidR="00874A36" w:rsidRDefault="00000000">
      <w:pPr>
        <w:spacing w:after="172" w:line="360" w:lineRule="auto"/>
        <w:jc w:val="both"/>
        <w:rPr>
          <w:rFonts w:ascii="Arial" w:hAnsi="Arial"/>
          <w:lang w:val="en-IN"/>
        </w:rPr>
      </w:pPr>
      <w:r>
        <w:rPr>
          <w:rFonts w:ascii="Arial" w:hAnsi="Arial"/>
          <w:lang w:val="en-IN"/>
        </w:rPr>
        <w:t xml:space="preserve">Rosner, B. and Roman-Urrestarazu, A. (2019). Health-related quality of life in paediatric patients with type 1 diabetes mellitus using insulin infusion systems. A systematic review and meta-analysis. </w:t>
      </w:r>
      <w:r>
        <w:rPr>
          <w:rFonts w:ascii="Arial" w:hAnsi="Arial"/>
          <w:i/>
          <w:iCs/>
          <w:lang w:val="en-IN"/>
        </w:rPr>
        <w:t>PLOS one</w:t>
      </w:r>
      <w:r>
        <w:rPr>
          <w:rFonts w:ascii="Arial" w:hAnsi="Arial"/>
          <w:lang w:val="en-IN"/>
        </w:rPr>
        <w:t>, 14(6), p.e0217655. doi:10.1371/journal.pone.0217655.</w:t>
      </w:r>
    </w:p>
    <w:p w14:paraId="614EBFFA" w14:textId="77777777" w:rsidR="00874A36" w:rsidRDefault="00000000">
      <w:pPr>
        <w:spacing w:after="172" w:line="360" w:lineRule="auto"/>
        <w:jc w:val="both"/>
        <w:rPr>
          <w:rFonts w:ascii="Arial" w:hAnsi="Arial"/>
          <w:lang w:val="en-IN"/>
        </w:rPr>
      </w:pPr>
      <w:r>
        <w:rPr>
          <w:rFonts w:ascii="Arial" w:hAnsi="Arial"/>
          <w:lang w:val="en-IN"/>
        </w:rPr>
        <w:t xml:space="preserve">Salas-Muriel, R., De Santiago-Herrero, F.J., García-Mateos, M.M., Del Sol Fortea Sevilla, M., Jenaro, C. and Igartua, J.-J. (2025). Stress and Health-Related quality of Life in adults with type 1 diabetes: The mediating role of perceived support and treatment adherence. </w:t>
      </w:r>
      <w:r>
        <w:rPr>
          <w:rFonts w:ascii="Arial" w:hAnsi="Arial"/>
          <w:i/>
          <w:iCs/>
          <w:lang w:val="en-IN"/>
        </w:rPr>
        <w:t>Journal of clinical nursing</w:t>
      </w:r>
      <w:r>
        <w:rPr>
          <w:rFonts w:ascii="Arial" w:hAnsi="Arial"/>
          <w:lang w:val="en-IN"/>
        </w:rPr>
        <w:t>, [online] p.10.1111/jocn.70114. doi:10.1111/jocn.70114.</w:t>
      </w:r>
    </w:p>
    <w:p w14:paraId="2527BB9B" w14:textId="77777777" w:rsidR="00874A36" w:rsidRDefault="00000000">
      <w:pPr>
        <w:spacing w:after="172" w:line="360" w:lineRule="auto"/>
        <w:jc w:val="both"/>
        <w:rPr>
          <w:rFonts w:ascii="Arial" w:hAnsi="Arial"/>
          <w:lang w:val="en-IN"/>
        </w:rPr>
      </w:pPr>
      <w:r>
        <w:rPr>
          <w:rFonts w:ascii="Arial" w:hAnsi="Arial"/>
          <w:lang w:val="en-IN"/>
        </w:rPr>
        <w:t xml:space="preserve">Salis, S., Verma, S., Kohli, H. and Mohan, V., (2022). Type 1 diabetes peer support groups: bridging the gap between healthcare professionals and people with type 1 diabetes. </w:t>
      </w:r>
      <w:r>
        <w:rPr>
          <w:rFonts w:ascii="Arial" w:hAnsi="Arial"/>
          <w:i/>
          <w:iCs/>
          <w:lang w:val="en-IN"/>
        </w:rPr>
        <w:t>Journal of Diabetology</w:t>
      </w:r>
      <w:r>
        <w:rPr>
          <w:rFonts w:ascii="Arial" w:hAnsi="Arial"/>
          <w:lang w:val="en-IN"/>
        </w:rPr>
        <w:t xml:space="preserve">, </w:t>
      </w:r>
      <w:r>
        <w:rPr>
          <w:rFonts w:ascii="Arial" w:hAnsi="Arial"/>
          <w:i/>
          <w:iCs/>
          <w:lang w:val="en-IN"/>
        </w:rPr>
        <w:t>13</w:t>
      </w:r>
      <w:r>
        <w:rPr>
          <w:rFonts w:ascii="Arial" w:hAnsi="Arial"/>
          <w:lang w:val="en-IN"/>
        </w:rPr>
        <w:t xml:space="preserve">(1), pp.16-24. </w:t>
      </w:r>
      <w:r>
        <w:rPr>
          <w:rFonts w:ascii="Arial" w:hAnsi="Arial"/>
          <w:i/>
          <w:iCs/>
          <w:lang w:val="en-IN"/>
        </w:rPr>
        <w:t xml:space="preserve">DOI: </w:t>
      </w:r>
      <w:r>
        <w:rPr>
          <w:rFonts w:ascii="Arial" w:hAnsi="Arial"/>
          <w:lang w:val="en-IN"/>
        </w:rPr>
        <w:t>10.4103/jod.jod_137_21</w:t>
      </w:r>
    </w:p>
    <w:p w14:paraId="0054DE5D" w14:textId="77777777" w:rsidR="00874A36" w:rsidRDefault="00000000">
      <w:pPr>
        <w:spacing w:after="172" w:line="360" w:lineRule="auto"/>
        <w:jc w:val="both"/>
        <w:rPr>
          <w:rFonts w:ascii="Arial" w:hAnsi="Arial"/>
          <w:lang w:val="en-IN"/>
        </w:rPr>
      </w:pPr>
      <w:r>
        <w:rPr>
          <w:rFonts w:ascii="Arial" w:hAnsi="Arial"/>
          <w:lang w:val="en-IN"/>
        </w:rPr>
        <w:t xml:space="preserve">Sathyanarayanan, A., Crabtree, T., Choudhary, P., Elliott, J., Evans, M.L., Lumb, A. and Wilmot, E.G. (2022). Delivering evidence-based interventions for type 1 diabetes in the virtual world - a review of UK practice during the SARS-CoV-2 pandemic. </w:t>
      </w:r>
      <w:r>
        <w:rPr>
          <w:rFonts w:ascii="Arial" w:hAnsi="Arial"/>
          <w:i/>
          <w:iCs/>
          <w:lang w:val="en-IN"/>
        </w:rPr>
        <w:t>Diabetes research and clinical practice</w:t>
      </w:r>
      <w:r>
        <w:rPr>
          <w:rFonts w:ascii="Arial" w:hAnsi="Arial"/>
          <w:lang w:val="en-IN"/>
        </w:rPr>
        <w:t>, [online] 185, p.109777. doi:10.1016/j.diabres.2022.109777.</w:t>
      </w:r>
    </w:p>
    <w:p w14:paraId="52E339FA" w14:textId="77777777" w:rsidR="00874A36" w:rsidRDefault="00000000">
      <w:pPr>
        <w:spacing w:after="172" w:line="360" w:lineRule="auto"/>
        <w:jc w:val="both"/>
        <w:rPr>
          <w:rFonts w:ascii="Arial" w:hAnsi="Arial"/>
          <w:lang w:val="en-IN"/>
        </w:rPr>
      </w:pPr>
      <w:r>
        <w:rPr>
          <w:rFonts w:ascii="Arial" w:hAnsi="Arial"/>
          <w:lang w:val="en-IN"/>
        </w:rPr>
        <w:t xml:space="preserve">Sawyer, B., Hilliard, E., Hackney, K.J. and Stastny, S. (2022). Barriers and strategies for type 1 diabetes management among emerging adults: A qualitative study. </w:t>
      </w:r>
      <w:r>
        <w:rPr>
          <w:rFonts w:ascii="Arial" w:hAnsi="Arial"/>
          <w:i/>
          <w:iCs/>
          <w:lang w:val="en-IN"/>
        </w:rPr>
        <w:t>Clinical medicine insights: Endocrinology and diabetes</w:t>
      </w:r>
      <w:r>
        <w:rPr>
          <w:rFonts w:ascii="Arial" w:hAnsi="Arial"/>
          <w:lang w:val="en-IN"/>
        </w:rPr>
        <w:t>, 15, p.117955142210983. doi:10.1177/11795514221098389.</w:t>
      </w:r>
    </w:p>
    <w:p w14:paraId="7233FB65" w14:textId="77777777" w:rsidR="00874A36" w:rsidRDefault="00000000">
      <w:pPr>
        <w:spacing w:after="172" w:line="360" w:lineRule="auto"/>
        <w:jc w:val="both"/>
        <w:rPr>
          <w:rFonts w:ascii="Arial" w:hAnsi="Arial"/>
          <w:lang w:val="en-IN"/>
        </w:rPr>
      </w:pPr>
      <w:r>
        <w:rPr>
          <w:rFonts w:ascii="Arial" w:hAnsi="Arial"/>
          <w:lang w:val="en-IN"/>
        </w:rPr>
        <w:t xml:space="preserve">Scott, A., Chambers, D., Goyder, E. and O’Cathain, A. (2017). Socioeconomic inequalities in mortality, morbidity and diabetes management for adults with type 1 diabetes: A systematic review. </w:t>
      </w:r>
      <w:r>
        <w:rPr>
          <w:rFonts w:ascii="Arial" w:hAnsi="Arial"/>
          <w:i/>
          <w:iCs/>
          <w:lang w:val="en-IN"/>
        </w:rPr>
        <w:t>PloS one</w:t>
      </w:r>
      <w:r>
        <w:rPr>
          <w:rFonts w:ascii="Arial" w:hAnsi="Arial"/>
          <w:lang w:val="en-IN"/>
        </w:rPr>
        <w:t>, [online] 12(5), p.e0177210. doi:10.1371/journal.pone.0177210.</w:t>
      </w:r>
    </w:p>
    <w:p w14:paraId="4F40362B" w14:textId="77777777" w:rsidR="00874A36" w:rsidRDefault="00000000">
      <w:pPr>
        <w:spacing w:after="172" w:line="360" w:lineRule="auto"/>
        <w:jc w:val="both"/>
        <w:rPr>
          <w:rFonts w:ascii="Arial" w:hAnsi="Arial"/>
          <w:lang w:val="en-IN"/>
        </w:rPr>
      </w:pPr>
      <w:r>
        <w:rPr>
          <w:rFonts w:ascii="Arial" w:hAnsi="Arial"/>
          <w:lang w:val="en-IN"/>
        </w:rPr>
        <w:t xml:space="preserve">Shiel, E.V., Hemingway, S., Burton, K. and King, N. (2023). Self-management of type 1 diabetes in young adults: Is it impeded by aspects of everyday life? A scoping review. </w:t>
      </w:r>
      <w:r>
        <w:rPr>
          <w:rFonts w:ascii="Arial" w:hAnsi="Arial"/>
          <w:i/>
          <w:iCs/>
          <w:lang w:val="en-IN"/>
        </w:rPr>
        <w:t>Diabetes &amp; metabolic syndrome: Clinical research &amp; reviews</w:t>
      </w:r>
      <w:r>
        <w:rPr>
          <w:rFonts w:ascii="Arial" w:hAnsi="Arial"/>
          <w:lang w:val="en-IN"/>
        </w:rPr>
        <w:t>, [online] 17(12), p.102918. doi:10.1016/j.dsx.2023.102918.</w:t>
      </w:r>
    </w:p>
    <w:p w14:paraId="6D6AFFC9" w14:textId="77777777" w:rsidR="00874A36" w:rsidRDefault="00000000">
      <w:pPr>
        <w:spacing w:after="172" w:line="360" w:lineRule="auto"/>
        <w:jc w:val="both"/>
        <w:rPr>
          <w:rFonts w:ascii="Arial" w:hAnsi="Arial"/>
          <w:lang w:val="en-IN"/>
        </w:rPr>
      </w:pPr>
      <w:r>
        <w:rPr>
          <w:rFonts w:ascii="Arial" w:hAnsi="Arial"/>
          <w:lang w:val="en-IN"/>
        </w:rPr>
        <w:lastRenderedPageBreak/>
        <w:t xml:space="preserve">Smith-Palmer, J., Bae, J., Boye, K., Norrbacka, K., Hunt, B. and Valentine, W. (2016). Evaluating health-related quality of life in type 1 diabetes: A systematic literature review of utilities for adults with type 1 diabetes. </w:t>
      </w:r>
      <w:r>
        <w:rPr>
          <w:rFonts w:ascii="Arial" w:hAnsi="Arial"/>
          <w:i/>
          <w:iCs/>
          <w:lang w:val="en-IN"/>
        </w:rPr>
        <w:t>ClinicoEconomics and outcomes research</w:t>
      </w:r>
      <w:r>
        <w:rPr>
          <w:rFonts w:ascii="Arial" w:hAnsi="Arial"/>
          <w:lang w:val="en-IN"/>
        </w:rPr>
        <w:t>, Volume 8, pp.559–571. doi:10.2147/ceor.s114699.</w:t>
      </w:r>
    </w:p>
    <w:p w14:paraId="3CE3BF00" w14:textId="77777777" w:rsidR="00874A36" w:rsidRDefault="00000000">
      <w:pPr>
        <w:spacing w:after="172" w:line="360" w:lineRule="auto"/>
        <w:jc w:val="both"/>
        <w:rPr>
          <w:rFonts w:ascii="Arial" w:hAnsi="Arial"/>
          <w:lang w:val="en-IN"/>
        </w:rPr>
      </w:pPr>
      <w:r>
        <w:rPr>
          <w:rFonts w:ascii="Arial" w:hAnsi="Arial"/>
          <w:lang w:val="en-IN"/>
        </w:rPr>
        <w:t xml:space="preserve">Socea, B., Silaghi, A., Florentina Rebegea, L., Gabriela Balan, D., Balalau, C., Ștefăniță Tenea-Cojan, T., Andrada Mihai, D. and Paunica, I., (2023). Diabetes mellitus: interdisciplinary medical, surgical and psychological therapeutic approach. </w:t>
      </w:r>
      <w:r>
        <w:rPr>
          <w:rFonts w:ascii="Arial" w:hAnsi="Arial"/>
          <w:i/>
          <w:iCs/>
          <w:lang w:val="en-IN"/>
        </w:rPr>
        <w:t>Journal of Mind and Medical Sciences</w:t>
      </w:r>
      <w:r>
        <w:rPr>
          <w:rFonts w:ascii="Arial" w:hAnsi="Arial"/>
          <w:lang w:val="en-IN"/>
        </w:rPr>
        <w:t xml:space="preserve">, </w:t>
      </w:r>
      <w:r>
        <w:rPr>
          <w:rFonts w:ascii="Arial" w:hAnsi="Arial"/>
          <w:i/>
          <w:iCs/>
          <w:lang w:val="en-IN"/>
        </w:rPr>
        <w:t>10</w:t>
      </w:r>
      <w:r>
        <w:rPr>
          <w:rFonts w:ascii="Arial" w:hAnsi="Arial"/>
          <w:lang w:val="en-IN"/>
        </w:rPr>
        <w:t>(2), p.24.</w:t>
      </w:r>
      <w:hyperlink r:id="rId65" w:history="1">
        <w:r w:rsidR="00874A36">
          <w:rPr>
            <w:rStyle w:val="Hyperlink"/>
            <w:rFonts w:ascii="Arial" w:hAnsi="Arial"/>
            <w:lang w:val="en-IN"/>
          </w:rPr>
          <w:t xml:space="preserve"> https://doi.org/10.22543/2392-7674.1445</w:t>
        </w:r>
      </w:hyperlink>
    </w:p>
    <w:p w14:paraId="08233BF2" w14:textId="77777777" w:rsidR="00874A36" w:rsidRDefault="00000000">
      <w:pPr>
        <w:spacing w:after="172" w:line="360" w:lineRule="auto"/>
        <w:jc w:val="both"/>
        <w:rPr>
          <w:rFonts w:ascii="Arial" w:hAnsi="Arial"/>
          <w:lang w:val="en-IN"/>
        </w:rPr>
      </w:pPr>
      <w:r>
        <w:rPr>
          <w:rFonts w:ascii="Arial" w:hAnsi="Arial"/>
          <w:lang w:val="en-IN"/>
        </w:rPr>
        <w:t xml:space="preserve">Stedman, M., Lunt, M., Davies, M., Livingston, M., Duff, C., Fryer, A., Anderson, S.G., Gadsby, R., Gibson, M., Rayman, G. and Heald, A. (2020). Cost of hospital treatment of type 1 diabetes (T1DM) and type 2 diabetes (t2dm) compared to the non-diabetes population: A detailed economic evaluation. </w:t>
      </w:r>
      <w:r>
        <w:rPr>
          <w:rFonts w:ascii="Arial" w:hAnsi="Arial"/>
          <w:i/>
          <w:iCs/>
          <w:lang w:val="en-IN"/>
        </w:rPr>
        <w:t>BMJ open</w:t>
      </w:r>
      <w:r>
        <w:rPr>
          <w:rFonts w:ascii="Arial" w:hAnsi="Arial"/>
          <w:lang w:val="en-IN"/>
        </w:rPr>
        <w:t>, [online] 10(5), p.e033231. doi:10.1136/bmjopen-2019-033231.</w:t>
      </w:r>
    </w:p>
    <w:p w14:paraId="4ABF5754" w14:textId="77777777" w:rsidR="00874A36" w:rsidRDefault="00000000">
      <w:pPr>
        <w:spacing w:after="172" w:line="360" w:lineRule="auto"/>
        <w:jc w:val="both"/>
        <w:rPr>
          <w:rFonts w:ascii="Arial" w:hAnsi="Arial"/>
          <w:lang w:val="en-IN"/>
        </w:rPr>
      </w:pPr>
      <w:r>
        <w:rPr>
          <w:rFonts w:ascii="Arial" w:hAnsi="Arial"/>
          <w:lang w:val="en-IN"/>
        </w:rPr>
        <w:t xml:space="preserve">Talbo, M.K., Katz, A., Hill, L., Peters, T.M., Yale, J.-F. and Brazeau, A.-S. (2023). Effect of diabetes technologies on the fear of hypoglycaemia among people living with type 1 diabetes: A systematic review and meta-analysis. </w:t>
      </w:r>
      <w:r>
        <w:rPr>
          <w:rFonts w:ascii="Arial" w:hAnsi="Arial"/>
          <w:i/>
          <w:iCs/>
          <w:lang w:val="en-IN"/>
        </w:rPr>
        <w:t>EClinicalMedicine</w:t>
      </w:r>
      <w:r>
        <w:rPr>
          <w:rFonts w:ascii="Arial" w:hAnsi="Arial"/>
          <w:lang w:val="en-IN"/>
        </w:rPr>
        <w:t>, 62, pp.102119–102119. doi:10.1016/j.eclinm.2023.102119.</w:t>
      </w:r>
    </w:p>
    <w:p w14:paraId="298615FF" w14:textId="77777777" w:rsidR="00874A36" w:rsidRDefault="00000000">
      <w:pPr>
        <w:spacing w:after="172" w:line="360" w:lineRule="auto"/>
        <w:jc w:val="both"/>
        <w:rPr>
          <w:rFonts w:ascii="Arial" w:hAnsi="Arial"/>
          <w:lang w:val="en-IN"/>
        </w:rPr>
      </w:pPr>
      <w:r>
        <w:rPr>
          <w:rFonts w:ascii="Arial" w:hAnsi="Arial"/>
          <w:lang w:val="en-IN"/>
        </w:rPr>
        <w:t xml:space="preserve">Tanenbaum, M.L., Hanes, S.J., Miller, K.M., Naranjo, D., Bensen, R. and Hood, K.K. (2017). Diabetes device use in adults with type 1 diabetes: Barriers to Uptake and potential intervention targets. </w:t>
      </w:r>
      <w:r>
        <w:rPr>
          <w:rFonts w:ascii="Arial" w:hAnsi="Arial"/>
          <w:i/>
          <w:iCs/>
          <w:lang w:val="en-IN"/>
        </w:rPr>
        <w:t>Diabetes care</w:t>
      </w:r>
      <w:r>
        <w:rPr>
          <w:rFonts w:ascii="Arial" w:hAnsi="Arial"/>
          <w:lang w:val="en-IN"/>
        </w:rPr>
        <w:t>, 40(2), pp.181–187. doi:10.2337/dc16-1536.</w:t>
      </w:r>
    </w:p>
    <w:p w14:paraId="1806A15E" w14:textId="77777777" w:rsidR="00874A36" w:rsidRDefault="00000000">
      <w:pPr>
        <w:spacing w:after="172" w:line="360" w:lineRule="auto"/>
        <w:jc w:val="both"/>
        <w:rPr>
          <w:rFonts w:ascii="Arial" w:hAnsi="Arial"/>
          <w:lang w:val="en-IN"/>
        </w:rPr>
      </w:pPr>
      <w:r>
        <w:rPr>
          <w:rFonts w:ascii="Arial" w:hAnsi="Arial"/>
          <w:lang w:val="en-IN"/>
        </w:rPr>
        <w:t xml:space="preserve">Turton, J.L., Brinkworth, G. D, Parker, H., Lim, D., Lee, K., Rush, A., Johnson, R. and Rooney, K.B. (2023). Effects of a low-carbohydrate diet in adults with type 1 diabetes management: A single arm non-randomised clinical trial. </w:t>
      </w:r>
      <w:r>
        <w:rPr>
          <w:rFonts w:ascii="Arial" w:hAnsi="Arial"/>
          <w:i/>
          <w:iCs/>
          <w:lang w:val="en-IN"/>
        </w:rPr>
        <w:t>Plos one</w:t>
      </w:r>
      <w:r>
        <w:rPr>
          <w:rFonts w:ascii="Arial" w:hAnsi="Arial"/>
          <w:lang w:val="en-IN"/>
        </w:rPr>
        <w:t>, 18(7), pp.e0288440-e0288440. doi:10.1371/journal.pone.0288440.</w:t>
      </w:r>
    </w:p>
    <w:p w14:paraId="516962CC" w14:textId="77777777" w:rsidR="00874A36" w:rsidRDefault="00000000">
      <w:pPr>
        <w:spacing w:after="172" w:line="360" w:lineRule="auto"/>
        <w:jc w:val="both"/>
        <w:rPr>
          <w:rFonts w:ascii="Arial" w:hAnsi="Arial"/>
          <w:lang w:val="en-IN"/>
        </w:rPr>
      </w:pPr>
      <w:r>
        <w:rPr>
          <w:rFonts w:ascii="Arial" w:hAnsi="Arial"/>
          <w:lang w:val="en-IN"/>
        </w:rPr>
        <w:t xml:space="preserve">Vallis, M., Willaing, I. and Holt, R.I.G. (2018). Emerging adulthood and type 1 diabetes: Insights from the DAWN2 study. </w:t>
      </w:r>
      <w:r>
        <w:rPr>
          <w:rFonts w:ascii="Arial" w:hAnsi="Arial"/>
          <w:i/>
          <w:iCs/>
          <w:lang w:val="en-IN"/>
        </w:rPr>
        <w:t>Diabetic medicine</w:t>
      </w:r>
      <w:r>
        <w:rPr>
          <w:rFonts w:ascii="Arial" w:hAnsi="Arial"/>
          <w:lang w:val="en-IN"/>
        </w:rPr>
        <w:t>, 35(2), pp.203–213. doi:10.1111/dme.13554.</w:t>
      </w:r>
    </w:p>
    <w:p w14:paraId="5300092B" w14:textId="77777777" w:rsidR="00874A36" w:rsidRDefault="00000000">
      <w:pPr>
        <w:spacing w:after="172" w:line="360" w:lineRule="auto"/>
        <w:jc w:val="both"/>
        <w:rPr>
          <w:rFonts w:ascii="Arial" w:hAnsi="Arial"/>
          <w:lang w:val="en-IN"/>
        </w:rPr>
      </w:pPr>
      <w:r>
        <w:rPr>
          <w:rFonts w:ascii="Arial" w:hAnsi="Arial"/>
          <w:lang w:val="en-IN"/>
        </w:rPr>
        <w:t xml:space="preserve">Varkevisser, R.D.M., Birnie, E., Mul, D., van Dijk, P.R., Aanstoot, H.J., Wolffenbuttel, B.H.R. and van der Klauw, M.M. (2023). Type 1 diabetes management: Room for improvement. </w:t>
      </w:r>
      <w:r>
        <w:rPr>
          <w:rFonts w:ascii="Arial" w:hAnsi="Arial"/>
          <w:i/>
          <w:iCs/>
          <w:lang w:val="en-IN"/>
        </w:rPr>
        <w:t>Journal of Diabetes</w:t>
      </w:r>
      <w:r>
        <w:rPr>
          <w:rFonts w:ascii="Arial" w:hAnsi="Arial"/>
          <w:lang w:val="en-IN"/>
        </w:rPr>
        <w:t>, 15(3), pp.255–263. doi:10.1111/1753-0407.13368.</w:t>
      </w:r>
    </w:p>
    <w:p w14:paraId="436CA763" w14:textId="77777777" w:rsidR="00874A36" w:rsidRDefault="00000000">
      <w:pPr>
        <w:spacing w:after="172" w:line="360" w:lineRule="auto"/>
        <w:jc w:val="both"/>
        <w:rPr>
          <w:rFonts w:ascii="Arial" w:hAnsi="Arial"/>
          <w:lang w:val="en-IN"/>
        </w:rPr>
      </w:pPr>
      <w:r>
        <w:rPr>
          <w:rFonts w:ascii="Arial" w:hAnsi="Arial"/>
          <w:lang w:val="en-IN"/>
        </w:rPr>
        <w:t xml:space="preserve">Vettoretti, M., Cappon, G., Facchinetti, A. and Sparacino, G. (2020). Advanced Diabetes Management Using Artificial Intelligence and Continuous Glucose Monitoring Sensors. </w:t>
      </w:r>
      <w:r>
        <w:rPr>
          <w:rFonts w:ascii="Arial" w:hAnsi="Arial"/>
          <w:i/>
          <w:iCs/>
          <w:lang w:val="en-IN"/>
        </w:rPr>
        <w:t>Sensors</w:t>
      </w:r>
      <w:r>
        <w:rPr>
          <w:rFonts w:ascii="Arial" w:hAnsi="Arial"/>
          <w:lang w:val="en-IN"/>
        </w:rPr>
        <w:t>, 20(14). doi:10.3390/s20143870.</w:t>
      </w:r>
    </w:p>
    <w:p w14:paraId="3A5E68F7" w14:textId="77777777" w:rsidR="00874A36" w:rsidRDefault="00000000">
      <w:pPr>
        <w:spacing w:after="172" w:line="360" w:lineRule="auto"/>
        <w:jc w:val="both"/>
        <w:rPr>
          <w:rFonts w:ascii="Arial" w:hAnsi="Arial"/>
          <w:lang w:val="en-IN"/>
        </w:rPr>
      </w:pPr>
      <w:r>
        <w:rPr>
          <w:rFonts w:ascii="Arial" w:hAnsi="Arial"/>
          <w:lang w:val="en-IN"/>
        </w:rPr>
        <w:lastRenderedPageBreak/>
        <w:t xml:space="preserve">Walker, A.F., Hood, K.K., Gurka, M.J., Filipp, S.L., Anez-Zabala, C., Cuttriss, N., Haller, M.J., Roque, X., Naranjo, D., Aulisio, G., Addala, A., Konopack, J., Westen, S., Yabut, K., Mercado, E., Look, S., Fitzgerald, B., Maizel, J. and Maahs, D.M. (2021). Barriers to technology use and endocrinology care for underserved communities with type 1 diabetes. </w:t>
      </w:r>
      <w:r>
        <w:rPr>
          <w:rFonts w:ascii="Arial" w:hAnsi="Arial"/>
          <w:i/>
          <w:iCs/>
          <w:lang w:val="en-IN"/>
        </w:rPr>
        <w:t>Diabetes care</w:t>
      </w:r>
      <w:r>
        <w:rPr>
          <w:rFonts w:ascii="Arial" w:hAnsi="Arial"/>
          <w:lang w:val="en-IN"/>
        </w:rPr>
        <w:t>, 44(7), p.dc202753. doi:10.2337/dc20-2753.</w:t>
      </w:r>
    </w:p>
    <w:p w14:paraId="52EDAA10" w14:textId="77777777" w:rsidR="00874A36" w:rsidRDefault="00000000">
      <w:pPr>
        <w:spacing w:after="172" w:line="360" w:lineRule="auto"/>
        <w:jc w:val="both"/>
        <w:rPr>
          <w:rFonts w:ascii="Arial" w:hAnsi="Arial"/>
          <w:lang w:val="en-IN"/>
        </w:rPr>
      </w:pPr>
      <w:r>
        <w:rPr>
          <w:rFonts w:ascii="Arial" w:hAnsi="Arial"/>
          <w:lang w:val="en-IN"/>
        </w:rPr>
        <w:t xml:space="preserve">Wijk, I., Amsberg, S., Johansson, U.-B., Livheim, F., Toft, E. and Anderbro, T. (2023). Impact of an Acceptance and Commitment Therapy programme on HbA1c, self-management and psychosocial factors in adults with type 1 diabetes and elevated HbA1c levels: A randomised controlled trial. </w:t>
      </w:r>
      <w:r>
        <w:rPr>
          <w:rFonts w:ascii="Arial" w:hAnsi="Arial"/>
          <w:i/>
          <w:iCs/>
          <w:lang w:val="en-IN"/>
        </w:rPr>
        <w:t>BMJ Open</w:t>
      </w:r>
      <w:r>
        <w:rPr>
          <w:rFonts w:ascii="Arial" w:hAnsi="Arial"/>
          <w:lang w:val="en-IN"/>
        </w:rPr>
        <w:t>, [online] 13(12), p.e072061. doi:10.1136/bmjopen-2023-072061.</w:t>
      </w:r>
    </w:p>
    <w:p w14:paraId="02A21BF5" w14:textId="77777777" w:rsidR="00874A36" w:rsidRDefault="00000000">
      <w:pPr>
        <w:spacing w:after="172" w:line="360" w:lineRule="auto"/>
        <w:jc w:val="both"/>
        <w:rPr>
          <w:rFonts w:ascii="Arial" w:hAnsi="Arial"/>
          <w:lang w:val="en-IN"/>
        </w:rPr>
      </w:pPr>
      <w:r>
        <w:rPr>
          <w:rFonts w:ascii="Arial" w:hAnsi="Arial"/>
          <w:lang w:val="en-IN"/>
        </w:rPr>
        <w:t xml:space="preserve">Yazidi, M., El Felah, E., Oueslati, I., Chaker, F., Grira, W., Khessairi, N. and Chihaoui, M., (2020). Assessment of quality of life in adult type 1 diabetic patients. </w:t>
      </w:r>
      <w:r>
        <w:rPr>
          <w:rFonts w:ascii="Arial" w:hAnsi="Arial"/>
          <w:i/>
          <w:iCs/>
          <w:lang w:val="en-IN"/>
        </w:rPr>
        <w:t>La Tunisie Médicale</w:t>
      </w:r>
      <w:r>
        <w:rPr>
          <w:rFonts w:ascii="Arial" w:hAnsi="Arial"/>
          <w:lang w:val="en-IN"/>
        </w:rPr>
        <w:t xml:space="preserve">, </w:t>
      </w:r>
      <w:r>
        <w:rPr>
          <w:rFonts w:ascii="Arial" w:hAnsi="Arial"/>
          <w:i/>
          <w:iCs/>
          <w:lang w:val="en-IN"/>
        </w:rPr>
        <w:t>98</w:t>
      </w:r>
      <w:r>
        <w:rPr>
          <w:rFonts w:ascii="Arial" w:hAnsi="Arial"/>
          <w:lang w:val="en-IN"/>
        </w:rPr>
        <w:t xml:space="preserve">(11). </w:t>
      </w:r>
      <w:hyperlink r:id="rId66" w:history="1">
        <w:r w:rsidR="00874A36">
          <w:rPr>
            <w:rStyle w:val="Hyperlink"/>
            <w:rFonts w:ascii="Arial" w:hAnsi="Arial"/>
            <w:lang w:val="en-IN"/>
          </w:rPr>
          <w:t>https://www.latunisiemedicale.com/index.php/tunismed/article/view/3797</w:t>
        </w:r>
      </w:hyperlink>
    </w:p>
    <w:p w14:paraId="201727F3" w14:textId="77777777" w:rsidR="00874A36" w:rsidRDefault="00000000">
      <w:pPr>
        <w:spacing w:after="172" w:line="360" w:lineRule="auto"/>
        <w:jc w:val="both"/>
        <w:rPr>
          <w:rFonts w:ascii="Arial" w:hAnsi="Arial"/>
          <w:lang w:val="en-IN"/>
        </w:rPr>
      </w:pPr>
      <w:r>
        <w:rPr>
          <w:rFonts w:ascii="Arial" w:hAnsi="Arial"/>
          <w:lang w:val="en-IN"/>
        </w:rPr>
        <w:t xml:space="preserve">Ziegler, A.G., Cengiz, E. and Kay, T.W., (2025). The future of type 1 diabetes therapy. </w:t>
      </w:r>
      <w:r>
        <w:rPr>
          <w:rFonts w:ascii="Arial" w:hAnsi="Arial"/>
          <w:i/>
          <w:iCs/>
          <w:lang w:val="en-IN"/>
        </w:rPr>
        <w:t>The Lancet</w:t>
      </w:r>
      <w:r>
        <w:rPr>
          <w:rFonts w:ascii="Arial" w:hAnsi="Arial"/>
          <w:lang w:val="en-IN"/>
        </w:rPr>
        <w:t xml:space="preserve">, </w:t>
      </w:r>
      <w:r>
        <w:rPr>
          <w:rFonts w:ascii="Arial" w:hAnsi="Arial"/>
          <w:i/>
          <w:iCs/>
          <w:lang w:val="en-IN"/>
        </w:rPr>
        <w:t>406</w:t>
      </w:r>
      <w:r>
        <w:rPr>
          <w:rFonts w:ascii="Arial" w:hAnsi="Arial"/>
          <w:lang w:val="en-IN"/>
        </w:rPr>
        <w:t>(10511), pp.1520-1534.</w:t>
      </w:r>
      <w:hyperlink r:id="rId67" w:history="1">
        <w:r w:rsidR="00874A36">
          <w:rPr>
            <w:rStyle w:val="Hyperlink"/>
            <w:rFonts w:ascii="Arial" w:hAnsi="Arial"/>
            <w:lang w:val="en-IN"/>
          </w:rPr>
          <w:t>https://www.thelancet.com/journals/lancet/article/PIIS0140-6736(25)01438-2/fulltext</w:t>
        </w:r>
      </w:hyperlink>
    </w:p>
    <w:p w14:paraId="3364539F" w14:textId="77777777" w:rsidR="00874A36" w:rsidRDefault="00000000">
      <w:pPr>
        <w:spacing w:after="172" w:line="360" w:lineRule="auto"/>
        <w:jc w:val="both"/>
        <w:rPr>
          <w:rFonts w:ascii="Arial" w:hAnsi="Arial"/>
        </w:rPr>
      </w:pPr>
      <w:r>
        <w:rPr>
          <w:rFonts w:ascii="Arial" w:hAnsi="Arial"/>
          <w:lang w:val="en-IN"/>
        </w:rPr>
        <w:br/>
      </w:r>
      <w:r>
        <w:rPr>
          <w:rFonts w:ascii="Arial" w:hAnsi="Arial"/>
          <w:lang w:val="en-IN"/>
        </w:rPr>
        <w:br/>
      </w:r>
      <w:r>
        <w:rPr>
          <w:rFonts w:ascii="Arial" w:hAnsi="Arial"/>
          <w:lang w:val="en-IN"/>
        </w:rPr>
        <w:br/>
      </w:r>
      <w:r>
        <w:rPr>
          <w:rFonts w:ascii="Arial" w:hAnsi="Arial"/>
          <w:lang w:val="en-IN"/>
        </w:rPr>
        <w:br/>
      </w:r>
      <w:r>
        <w:rPr>
          <w:rFonts w:ascii="Arial" w:hAnsi="Arial"/>
          <w:lang w:val="en-IN"/>
        </w:rPr>
        <w:br/>
      </w:r>
      <w:r>
        <w:rPr>
          <w:rFonts w:ascii="Arial" w:hAnsi="Arial"/>
          <w:lang w:val="en-IN"/>
        </w:rPr>
        <w:br/>
      </w:r>
      <w:r>
        <w:rPr>
          <w:rFonts w:ascii="Arial" w:hAnsi="Arial"/>
          <w:lang w:val="en-IN"/>
        </w:rPr>
        <w:br/>
      </w:r>
    </w:p>
    <w:p w14:paraId="2AE8CA0A" w14:textId="77777777" w:rsidR="00874A36" w:rsidRDefault="00874A36">
      <w:pPr>
        <w:spacing w:after="158" w:line="360" w:lineRule="auto"/>
        <w:ind w:left="720"/>
        <w:jc w:val="both"/>
        <w:rPr>
          <w:rFonts w:ascii="Arial" w:hAnsi="Arial"/>
        </w:rPr>
      </w:pPr>
    </w:p>
    <w:p w14:paraId="3F9B9BDA" w14:textId="77777777" w:rsidR="00874A36" w:rsidRDefault="00000000">
      <w:pPr>
        <w:spacing w:after="0" w:line="360" w:lineRule="auto"/>
        <w:jc w:val="both"/>
        <w:rPr>
          <w:rFonts w:ascii="Arial" w:hAnsi="Arial"/>
        </w:rPr>
      </w:pPr>
      <w:r>
        <w:rPr>
          <w:rFonts w:ascii="Arial" w:eastAsia="Times New Roman" w:hAnsi="Arial"/>
          <w:b/>
        </w:rPr>
        <w:tab/>
      </w:r>
      <w:r>
        <w:rPr>
          <w:rFonts w:ascii="Arial" w:hAnsi="Arial"/>
        </w:rPr>
        <w:br w:type="page"/>
      </w:r>
    </w:p>
    <w:p w14:paraId="4FB6D934" w14:textId="77777777" w:rsidR="00874A36" w:rsidRDefault="00000000">
      <w:pPr>
        <w:pStyle w:val="Heading1"/>
      </w:pPr>
      <w:bookmarkStart w:id="76" w:name="_Toc239687650"/>
      <w:r>
        <w:lastRenderedPageBreak/>
        <w:t>Appendix 1: CASP Analysis</w:t>
      </w:r>
      <w:bookmarkEnd w:id="76"/>
    </w:p>
    <w:tbl>
      <w:tblPr>
        <w:tblStyle w:val="TableGrid"/>
        <w:tblpPr w:leftFromText="180" w:rightFromText="180" w:vertAnchor="text" w:horzAnchor="margin" w:tblpY="1664"/>
        <w:tblOverlap w:val="never"/>
        <w:tblW w:w="0" w:type="auto"/>
        <w:tblLook w:val="04A0" w:firstRow="1" w:lastRow="0" w:firstColumn="1" w:lastColumn="0" w:noHBand="0" w:noVBand="1"/>
      </w:tblPr>
      <w:tblGrid>
        <w:gridCol w:w="1816"/>
        <w:gridCol w:w="7194"/>
      </w:tblGrid>
      <w:tr w:rsidR="00EF0F78" w:rsidRPr="002B20FA" w14:paraId="737EDE01" w14:textId="77777777" w:rsidTr="00C47AC8">
        <w:tc>
          <w:tcPr>
            <w:tcW w:w="1816" w:type="dxa"/>
            <w:tcBorders>
              <w:top w:val="single" w:sz="4" w:space="0" w:color="auto"/>
              <w:left w:val="single" w:sz="4" w:space="0" w:color="auto"/>
              <w:bottom w:val="single" w:sz="4" w:space="0" w:color="auto"/>
              <w:right w:val="single" w:sz="4" w:space="0" w:color="auto"/>
            </w:tcBorders>
          </w:tcPr>
          <w:p w14:paraId="6899653B" w14:textId="77777777" w:rsidR="00EF0F78" w:rsidRPr="002B20FA" w:rsidRDefault="00EF0F78" w:rsidP="00C47AC8">
            <w:pPr>
              <w:spacing w:line="280" w:lineRule="exact"/>
              <w:ind w:right="40"/>
              <w:rPr>
                <w:rFonts w:ascii="Arial" w:eastAsia="Calibri Light" w:hAnsi="Arial" w:cs="Arial"/>
                <w:b/>
                <w:bCs/>
                <w:szCs w:val="22"/>
              </w:rPr>
            </w:pPr>
            <w:r w:rsidRPr="002B20FA">
              <w:rPr>
                <w:rFonts w:ascii="Arial" w:eastAsia="Calibri Light" w:hAnsi="Arial" w:cs="Arial"/>
                <w:b/>
                <w:bCs/>
                <w:szCs w:val="22"/>
              </w:rPr>
              <w:t>Reviewer Name:</w:t>
            </w:r>
          </w:p>
        </w:tc>
        <w:tc>
          <w:tcPr>
            <w:tcW w:w="7194" w:type="dxa"/>
            <w:tcBorders>
              <w:top w:val="single" w:sz="4" w:space="0" w:color="auto"/>
              <w:left w:val="single" w:sz="4" w:space="0" w:color="auto"/>
              <w:bottom w:val="single" w:sz="4" w:space="0" w:color="auto"/>
              <w:right w:val="single" w:sz="4" w:space="0" w:color="auto"/>
            </w:tcBorders>
          </w:tcPr>
          <w:p w14:paraId="5FCD64E5" w14:textId="77777777" w:rsidR="00EF0F78" w:rsidRPr="002B20FA" w:rsidRDefault="00EF0F78" w:rsidP="00C47AC8">
            <w:pPr>
              <w:spacing w:line="280" w:lineRule="exact"/>
              <w:ind w:right="950"/>
              <w:rPr>
                <w:rFonts w:ascii="Arial" w:eastAsia="Calibri Light" w:hAnsi="Arial" w:cs="Arial"/>
                <w:szCs w:val="22"/>
              </w:rPr>
            </w:pPr>
          </w:p>
          <w:p w14:paraId="65A48493" w14:textId="77777777" w:rsidR="00EF0F78" w:rsidRPr="002B20FA" w:rsidRDefault="00EF0F78" w:rsidP="00C47AC8">
            <w:pPr>
              <w:spacing w:line="280" w:lineRule="exact"/>
              <w:ind w:right="950"/>
              <w:rPr>
                <w:rFonts w:ascii="Arial" w:eastAsia="Calibri Light" w:hAnsi="Arial" w:cs="Arial"/>
                <w:szCs w:val="22"/>
              </w:rPr>
            </w:pPr>
          </w:p>
        </w:tc>
      </w:tr>
      <w:tr w:rsidR="00EF0F78" w:rsidRPr="002B20FA" w14:paraId="7F353060" w14:textId="77777777" w:rsidTr="00C47AC8">
        <w:tc>
          <w:tcPr>
            <w:tcW w:w="1816" w:type="dxa"/>
            <w:tcBorders>
              <w:top w:val="single" w:sz="4" w:space="0" w:color="auto"/>
              <w:left w:val="single" w:sz="4" w:space="0" w:color="auto"/>
              <w:bottom w:val="single" w:sz="4" w:space="0" w:color="auto"/>
              <w:right w:val="single" w:sz="4" w:space="0" w:color="auto"/>
            </w:tcBorders>
          </w:tcPr>
          <w:p w14:paraId="6517CE10" w14:textId="77777777" w:rsidR="00EF0F78" w:rsidRPr="002B20FA" w:rsidRDefault="00EF0F78" w:rsidP="00C47AC8">
            <w:pPr>
              <w:spacing w:line="280" w:lineRule="exact"/>
              <w:ind w:right="362"/>
              <w:rPr>
                <w:rFonts w:ascii="Arial" w:eastAsia="Calibri Light" w:hAnsi="Arial" w:cs="Arial"/>
                <w:b/>
                <w:bCs/>
                <w:szCs w:val="22"/>
              </w:rPr>
            </w:pPr>
            <w:r w:rsidRPr="002B20FA">
              <w:rPr>
                <w:rFonts w:ascii="Arial" w:eastAsia="Calibri Light" w:hAnsi="Arial" w:cs="Arial"/>
                <w:b/>
                <w:bCs/>
                <w:szCs w:val="22"/>
              </w:rPr>
              <w:t xml:space="preserve">Paper Title: </w:t>
            </w:r>
          </w:p>
        </w:tc>
        <w:tc>
          <w:tcPr>
            <w:tcW w:w="7194" w:type="dxa"/>
            <w:tcBorders>
              <w:top w:val="single" w:sz="4" w:space="0" w:color="auto"/>
              <w:left w:val="single" w:sz="4" w:space="0" w:color="auto"/>
              <w:bottom w:val="single" w:sz="4" w:space="0" w:color="auto"/>
              <w:right w:val="single" w:sz="4" w:space="0" w:color="auto"/>
            </w:tcBorders>
          </w:tcPr>
          <w:p w14:paraId="5D4925D6" w14:textId="77777777" w:rsidR="00EF0F78" w:rsidRPr="002B20FA" w:rsidRDefault="00EF0F78" w:rsidP="00C47AC8">
            <w:pPr>
              <w:spacing w:line="280" w:lineRule="exact"/>
              <w:ind w:right="950"/>
              <w:rPr>
                <w:rFonts w:ascii="Arial" w:eastAsia="Calibri Light" w:hAnsi="Arial" w:cs="Arial"/>
                <w:szCs w:val="22"/>
              </w:rPr>
            </w:pPr>
          </w:p>
          <w:p w14:paraId="5A3D5D67" w14:textId="77777777" w:rsidR="00EF0F78" w:rsidRPr="002B20FA" w:rsidRDefault="00EF0F78" w:rsidP="00C47AC8">
            <w:pPr>
              <w:spacing w:line="280" w:lineRule="exact"/>
              <w:ind w:right="950"/>
              <w:rPr>
                <w:rFonts w:ascii="Arial" w:eastAsia="Calibri Light" w:hAnsi="Arial" w:cs="Arial"/>
                <w:szCs w:val="22"/>
              </w:rPr>
            </w:pPr>
            <w:r w:rsidRPr="0088558C">
              <w:rPr>
                <w:rFonts w:ascii="Arial" w:eastAsia="Calibri Light" w:hAnsi="Arial" w:cs="Arial"/>
                <w:szCs w:val="22"/>
              </w:rPr>
              <w:t>Socioeconomic inequalities in mortality, morbidity and diabetes management for adults with type 1 diabetes: A systematic review.</w:t>
            </w:r>
          </w:p>
        </w:tc>
      </w:tr>
      <w:tr w:rsidR="00EF0F78" w:rsidRPr="002B20FA" w14:paraId="56D2F711" w14:textId="77777777" w:rsidTr="00C47AC8">
        <w:tc>
          <w:tcPr>
            <w:tcW w:w="1816" w:type="dxa"/>
            <w:tcBorders>
              <w:top w:val="single" w:sz="4" w:space="0" w:color="auto"/>
              <w:left w:val="single" w:sz="4" w:space="0" w:color="auto"/>
              <w:bottom w:val="single" w:sz="4" w:space="0" w:color="auto"/>
              <w:right w:val="single" w:sz="4" w:space="0" w:color="auto"/>
            </w:tcBorders>
          </w:tcPr>
          <w:p w14:paraId="368DCBA9" w14:textId="77777777" w:rsidR="00EF0F78" w:rsidRPr="002B20FA" w:rsidRDefault="00EF0F78" w:rsidP="00C47AC8">
            <w:pPr>
              <w:spacing w:line="280" w:lineRule="exact"/>
              <w:ind w:right="645"/>
              <w:rPr>
                <w:rFonts w:ascii="Arial" w:eastAsia="Calibri Light" w:hAnsi="Arial" w:cs="Arial"/>
                <w:b/>
                <w:bCs/>
                <w:szCs w:val="22"/>
              </w:rPr>
            </w:pPr>
            <w:r w:rsidRPr="002B20FA">
              <w:rPr>
                <w:rFonts w:ascii="Arial" w:eastAsia="Calibri Light" w:hAnsi="Arial" w:cs="Arial"/>
                <w:b/>
                <w:bCs/>
                <w:szCs w:val="22"/>
              </w:rPr>
              <w:t>Author:</w:t>
            </w:r>
          </w:p>
        </w:tc>
        <w:tc>
          <w:tcPr>
            <w:tcW w:w="7194" w:type="dxa"/>
            <w:tcBorders>
              <w:top w:val="single" w:sz="4" w:space="0" w:color="auto"/>
              <w:left w:val="single" w:sz="4" w:space="0" w:color="auto"/>
              <w:bottom w:val="single" w:sz="4" w:space="0" w:color="auto"/>
              <w:right w:val="single" w:sz="4" w:space="0" w:color="auto"/>
            </w:tcBorders>
          </w:tcPr>
          <w:p w14:paraId="78CAE4BD" w14:textId="77777777" w:rsidR="00EF0F78" w:rsidRPr="002B20FA" w:rsidRDefault="00EF0F78" w:rsidP="00C47AC8">
            <w:pPr>
              <w:spacing w:line="280" w:lineRule="exact"/>
              <w:ind w:right="950"/>
              <w:rPr>
                <w:rFonts w:ascii="Arial" w:eastAsia="Calibri Light" w:hAnsi="Arial" w:cs="Arial"/>
                <w:szCs w:val="22"/>
              </w:rPr>
            </w:pPr>
          </w:p>
          <w:p w14:paraId="1AB61867" w14:textId="77777777" w:rsidR="00EF0F78" w:rsidRPr="002B20FA" w:rsidRDefault="00EF0F78" w:rsidP="00C47AC8">
            <w:pPr>
              <w:spacing w:line="280" w:lineRule="exact"/>
              <w:ind w:right="950"/>
              <w:rPr>
                <w:rFonts w:ascii="Arial" w:eastAsia="Calibri Light" w:hAnsi="Arial" w:cs="Arial"/>
                <w:b/>
                <w:bCs/>
                <w:szCs w:val="22"/>
              </w:rPr>
            </w:pPr>
            <w:r w:rsidRPr="009D01BF">
              <w:rPr>
                <w:rFonts w:ascii="Arial" w:eastAsia="Calibri Light" w:hAnsi="Arial" w:cs="Arial"/>
                <w:szCs w:val="22"/>
              </w:rPr>
              <w:t>Scott</w:t>
            </w:r>
            <w:r w:rsidRPr="002B20FA">
              <w:rPr>
                <w:rFonts w:ascii="Arial" w:eastAsia="Calibri Light" w:hAnsi="Arial" w:cs="Arial"/>
                <w:szCs w:val="22"/>
              </w:rPr>
              <w:t xml:space="preserve"> et al. (20</w:t>
            </w:r>
            <w:r>
              <w:rPr>
                <w:rFonts w:ascii="Arial" w:eastAsia="Calibri Light" w:hAnsi="Arial" w:cs="Arial"/>
                <w:szCs w:val="22"/>
              </w:rPr>
              <w:t>17</w:t>
            </w:r>
            <w:r w:rsidRPr="002B20FA">
              <w:rPr>
                <w:rFonts w:ascii="Arial" w:eastAsia="Calibri Light" w:hAnsi="Arial" w:cs="Arial"/>
                <w:szCs w:val="22"/>
              </w:rPr>
              <w:t>)</w:t>
            </w:r>
          </w:p>
        </w:tc>
      </w:tr>
      <w:tr w:rsidR="00EF0F78" w:rsidRPr="002B20FA" w14:paraId="42233663" w14:textId="77777777" w:rsidTr="00C47AC8">
        <w:tc>
          <w:tcPr>
            <w:tcW w:w="1816" w:type="dxa"/>
            <w:tcBorders>
              <w:top w:val="single" w:sz="4" w:space="0" w:color="auto"/>
              <w:left w:val="single" w:sz="4" w:space="0" w:color="auto"/>
              <w:bottom w:val="single" w:sz="4" w:space="0" w:color="auto"/>
              <w:right w:val="single" w:sz="4" w:space="0" w:color="auto"/>
            </w:tcBorders>
          </w:tcPr>
          <w:p w14:paraId="765D243C" w14:textId="77777777" w:rsidR="00EF0F78" w:rsidRPr="002B20FA" w:rsidRDefault="00EF0F78" w:rsidP="00C47AC8">
            <w:pPr>
              <w:spacing w:line="280" w:lineRule="exact"/>
              <w:ind w:right="314"/>
              <w:rPr>
                <w:rFonts w:ascii="Arial" w:eastAsia="Calibri Light" w:hAnsi="Arial" w:cs="Arial"/>
                <w:b/>
                <w:bCs/>
                <w:szCs w:val="22"/>
              </w:rPr>
            </w:pPr>
            <w:r w:rsidRPr="002B20FA">
              <w:rPr>
                <w:rFonts w:ascii="Arial" w:eastAsia="Calibri Light" w:hAnsi="Arial" w:cs="Arial"/>
                <w:b/>
                <w:bCs/>
                <w:szCs w:val="22"/>
              </w:rPr>
              <w:t>Web Link:</w:t>
            </w:r>
          </w:p>
        </w:tc>
        <w:tc>
          <w:tcPr>
            <w:tcW w:w="7194" w:type="dxa"/>
            <w:tcBorders>
              <w:top w:val="single" w:sz="4" w:space="0" w:color="auto"/>
              <w:left w:val="single" w:sz="4" w:space="0" w:color="auto"/>
              <w:bottom w:val="single" w:sz="4" w:space="0" w:color="auto"/>
              <w:right w:val="single" w:sz="4" w:space="0" w:color="auto"/>
            </w:tcBorders>
          </w:tcPr>
          <w:p w14:paraId="6E440290" w14:textId="77777777" w:rsidR="00EF0F78" w:rsidRPr="002B20FA" w:rsidRDefault="00EF0F78" w:rsidP="00C47AC8">
            <w:pPr>
              <w:spacing w:line="280" w:lineRule="exact"/>
              <w:ind w:right="950"/>
              <w:rPr>
                <w:rFonts w:ascii="Arial" w:eastAsia="Calibri Light" w:hAnsi="Arial" w:cs="Arial"/>
                <w:szCs w:val="22"/>
              </w:rPr>
            </w:pPr>
            <w:r w:rsidRPr="00394D74">
              <w:rPr>
                <w:rFonts w:ascii="Arial" w:eastAsia="Calibri Light" w:hAnsi="Arial" w:cs="Arial"/>
                <w:szCs w:val="22"/>
              </w:rPr>
              <w:t>doi:10.1371/journal.pone.0177210.</w:t>
            </w:r>
          </w:p>
        </w:tc>
      </w:tr>
      <w:tr w:rsidR="00EF0F78" w:rsidRPr="002B20FA" w14:paraId="733BEFD9" w14:textId="77777777" w:rsidTr="00C47AC8">
        <w:tc>
          <w:tcPr>
            <w:tcW w:w="1816" w:type="dxa"/>
            <w:tcBorders>
              <w:top w:val="single" w:sz="4" w:space="0" w:color="auto"/>
              <w:left w:val="single" w:sz="4" w:space="0" w:color="auto"/>
              <w:bottom w:val="single" w:sz="4" w:space="0" w:color="auto"/>
              <w:right w:val="single" w:sz="4" w:space="0" w:color="auto"/>
            </w:tcBorders>
          </w:tcPr>
          <w:p w14:paraId="5BEA5957" w14:textId="77777777" w:rsidR="00EF0F78" w:rsidRPr="002B20FA" w:rsidRDefault="00EF0F78" w:rsidP="00C47AC8">
            <w:pPr>
              <w:spacing w:line="280" w:lineRule="exact"/>
              <w:ind w:right="77"/>
              <w:rPr>
                <w:rFonts w:ascii="Arial" w:eastAsia="Calibri Light" w:hAnsi="Arial" w:cs="Arial"/>
                <w:b/>
                <w:bCs/>
                <w:szCs w:val="22"/>
              </w:rPr>
            </w:pPr>
            <w:r w:rsidRPr="002B20FA">
              <w:rPr>
                <w:rFonts w:ascii="Arial" w:eastAsia="Calibri Light" w:hAnsi="Arial" w:cs="Arial"/>
                <w:b/>
                <w:bCs/>
                <w:szCs w:val="22"/>
              </w:rPr>
              <w:t>Appraisal Date:</w:t>
            </w:r>
          </w:p>
        </w:tc>
        <w:tc>
          <w:tcPr>
            <w:tcW w:w="7194" w:type="dxa"/>
            <w:tcBorders>
              <w:top w:val="single" w:sz="4" w:space="0" w:color="auto"/>
              <w:left w:val="single" w:sz="4" w:space="0" w:color="auto"/>
              <w:bottom w:val="single" w:sz="4" w:space="0" w:color="auto"/>
              <w:right w:val="single" w:sz="4" w:space="0" w:color="auto"/>
            </w:tcBorders>
          </w:tcPr>
          <w:p w14:paraId="48725597" w14:textId="77777777" w:rsidR="00EF0F78" w:rsidRPr="002B20FA" w:rsidRDefault="00EF0F78" w:rsidP="00C47AC8">
            <w:pPr>
              <w:spacing w:line="280" w:lineRule="exact"/>
              <w:ind w:right="950"/>
              <w:rPr>
                <w:rFonts w:ascii="Arial" w:eastAsia="Calibri Light" w:hAnsi="Arial" w:cs="Arial"/>
                <w:szCs w:val="22"/>
              </w:rPr>
            </w:pPr>
          </w:p>
          <w:p w14:paraId="654A6CC7" w14:textId="77777777" w:rsidR="00EF0F78" w:rsidRPr="002B20FA" w:rsidRDefault="00EF0F78" w:rsidP="00C47AC8">
            <w:pPr>
              <w:spacing w:line="280" w:lineRule="exact"/>
              <w:ind w:right="950"/>
              <w:rPr>
                <w:rFonts w:ascii="Arial" w:eastAsia="Calibri Light" w:hAnsi="Arial" w:cs="Arial"/>
                <w:szCs w:val="22"/>
              </w:rPr>
            </w:pPr>
          </w:p>
        </w:tc>
      </w:tr>
    </w:tbl>
    <w:p w14:paraId="1C2E6AC8" w14:textId="77777777" w:rsidR="00874A36" w:rsidRDefault="00874A36">
      <w:pPr>
        <w:spacing w:line="360" w:lineRule="auto"/>
        <w:rPr>
          <w:rFonts w:ascii="Arial" w:hAnsi="Arial"/>
        </w:rPr>
      </w:pPr>
    </w:p>
    <w:p w14:paraId="3BC33686" w14:textId="77777777" w:rsidR="00874A36" w:rsidRDefault="00874A36">
      <w:pPr>
        <w:spacing w:line="360" w:lineRule="auto"/>
        <w:rPr>
          <w:rFonts w:ascii="Arial" w:hAnsi="Arial"/>
        </w:rPr>
      </w:pPr>
    </w:p>
    <w:p w14:paraId="4B0F918A" w14:textId="77777777" w:rsidR="00874A36" w:rsidRDefault="00874A36">
      <w:pPr>
        <w:spacing w:line="360" w:lineRule="auto"/>
        <w:rPr>
          <w:rFonts w:ascii="Arial" w:hAnsi="Arial"/>
        </w:rPr>
      </w:pPr>
    </w:p>
    <w:p w14:paraId="2F4F3353" w14:textId="77777777" w:rsidR="00874A36" w:rsidRDefault="00874A36">
      <w:pPr>
        <w:spacing w:line="360" w:lineRule="auto"/>
        <w:rPr>
          <w:rFonts w:ascii="Arial" w:hAnsi="Arial"/>
        </w:rPr>
      </w:pPr>
    </w:p>
    <w:p w14:paraId="5DDADFC8" w14:textId="455276E7" w:rsidR="00874A36" w:rsidRDefault="00EF0F78" w:rsidP="00EF0F78">
      <w:pPr>
        <w:rPr>
          <w:rFonts w:ascii="Arial" w:hAnsi="Arial"/>
        </w:rPr>
      </w:pPr>
      <w:r w:rsidRPr="002B20FA">
        <w:rPr>
          <w:rFonts w:ascii="Arial" w:hAnsi="Arial"/>
        </w:rPr>
        <w:t>During critical appraisal, never make assumptions about what the researchers have done. If it is not possible to tell, use the “Can’t tell” response box. If you can’t tell, at best it means the researchers have not been explicit or transparent, but at worst it could mean the researchers have not undertaken a particular task or process. Once you’ve finished the critical appraisal, if there are a large number of “Can’t tell” responses, consider whether the findings of the study are trustworthy and interpret the results with caution.</w:t>
      </w:r>
      <w:r>
        <w:rPr>
          <w:rFonts w:ascii="Arial" w:hAnsi="Arial"/>
        </w:rPr>
        <w:t>ss</w:t>
      </w:r>
    </w:p>
    <w:tbl>
      <w:tblPr>
        <w:tblStyle w:val="TableGrid"/>
        <w:tblW w:w="0" w:type="auto"/>
        <w:tblLook w:val="04A0" w:firstRow="1" w:lastRow="0" w:firstColumn="1" w:lastColumn="0" w:noHBand="0" w:noVBand="1"/>
      </w:tblPr>
      <w:tblGrid>
        <w:gridCol w:w="4505"/>
        <w:gridCol w:w="4505"/>
      </w:tblGrid>
      <w:tr w:rsidR="00874A36" w14:paraId="032E012B" w14:textId="77777777">
        <w:tc>
          <w:tcPr>
            <w:tcW w:w="9010" w:type="dxa"/>
            <w:gridSpan w:val="2"/>
            <w:shd w:val="clear" w:color="auto" w:fill="E1EBF7"/>
          </w:tcPr>
          <w:p w14:paraId="30C7E801" w14:textId="77777777" w:rsidR="00874A36" w:rsidRDefault="00874A36">
            <w:pPr>
              <w:spacing w:before="10" w:line="360" w:lineRule="auto"/>
              <w:rPr>
                <w:rFonts w:ascii="Arial" w:eastAsia="Calibri Light" w:hAnsi="Arial" w:cs="Arial"/>
                <w:b/>
                <w:bCs/>
                <w:spacing w:val="1"/>
                <w:szCs w:val="22"/>
              </w:rPr>
            </w:pPr>
          </w:p>
          <w:p w14:paraId="001C3ADF" w14:textId="77777777" w:rsidR="00874A36" w:rsidRDefault="00000000">
            <w:pPr>
              <w:spacing w:line="360" w:lineRule="auto"/>
              <w:rPr>
                <w:rFonts w:ascii="Arial" w:eastAsia="Calibri Light" w:hAnsi="Arial" w:cs="Arial"/>
                <w:b/>
                <w:bCs/>
                <w:szCs w:val="22"/>
              </w:rPr>
            </w:pPr>
            <w:r>
              <w:rPr>
                <w:rFonts w:ascii="Arial" w:eastAsia="Calibri Light" w:hAnsi="Arial" w:cs="Arial"/>
                <w:b/>
                <w:bCs/>
                <w:szCs w:val="22"/>
              </w:rPr>
              <w:t>Section A Are the results valid?</w:t>
            </w:r>
          </w:p>
          <w:p w14:paraId="560B1B95" w14:textId="77777777" w:rsidR="00874A36" w:rsidRDefault="00874A36">
            <w:pPr>
              <w:spacing w:before="10" w:line="360" w:lineRule="auto"/>
              <w:rPr>
                <w:rFonts w:ascii="Arial" w:eastAsia="Calibri Light" w:hAnsi="Arial" w:cs="Arial"/>
                <w:b/>
                <w:bCs/>
                <w:spacing w:val="1"/>
                <w:szCs w:val="22"/>
              </w:rPr>
            </w:pPr>
          </w:p>
        </w:tc>
      </w:tr>
      <w:tr w:rsidR="00874A36" w14:paraId="2B6A136F" w14:textId="77777777">
        <w:tc>
          <w:tcPr>
            <w:tcW w:w="4505" w:type="dxa"/>
          </w:tcPr>
          <w:p w14:paraId="16EF8EEA" w14:textId="77777777" w:rsidR="00874A36" w:rsidRDefault="00000000">
            <w:pPr>
              <w:pStyle w:val="ListParagraph"/>
              <w:numPr>
                <w:ilvl w:val="0"/>
                <w:numId w:val="10"/>
              </w:numPr>
              <w:spacing w:before="10" w:line="360" w:lineRule="auto"/>
              <w:ind w:left="309" w:hanging="309"/>
              <w:rPr>
                <w:rFonts w:ascii="Arial" w:eastAsia="Calibri Light" w:hAnsi="Arial" w:cs="Arial"/>
                <w:spacing w:val="1"/>
                <w:sz w:val="22"/>
                <w:szCs w:val="22"/>
              </w:rPr>
            </w:pPr>
            <w:r>
              <w:rPr>
                <w:rFonts w:ascii="Arial" w:eastAsia="Calibri Light" w:hAnsi="Arial" w:cs="Arial"/>
                <w:spacing w:val="1"/>
                <w:sz w:val="22"/>
                <w:szCs w:val="22"/>
              </w:rPr>
              <w:t>Was there a clear statement of the aims of the research?</w:t>
            </w:r>
          </w:p>
          <w:p w14:paraId="7F4A54A3" w14:textId="77777777" w:rsidR="00874A36" w:rsidRDefault="00874A36">
            <w:pPr>
              <w:spacing w:before="10" w:line="360" w:lineRule="auto"/>
              <w:rPr>
                <w:rFonts w:ascii="Arial" w:eastAsia="Calibri Light" w:hAnsi="Arial" w:cs="Arial"/>
                <w:spacing w:val="1"/>
                <w:szCs w:val="22"/>
              </w:rPr>
            </w:pPr>
          </w:p>
          <w:p w14:paraId="619DF9CF" w14:textId="77777777" w:rsidR="00874A36" w:rsidRDefault="00874A36">
            <w:pPr>
              <w:spacing w:before="10" w:line="360" w:lineRule="auto"/>
              <w:rPr>
                <w:rFonts w:ascii="Arial" w:eastAsia="Calibri Light" w:hAnsi="Arial" w:cs="Arial"/>
                <w:spacing w:val="1"/>
                <w:szCs w:val="22"/>
              </w:rPr>
            </w:pPr>
          </w:p>
          <w:p w14:paraId="04855923" w14:textId="77777777" w:rsidR="00874A36" w:rsidRDefault="00874A36">
            <w:pPr>
              <w:spacing w:before="10" w:line="360" w:lineRule="auto"/>
              <w:rPr>
                <w:rFonts w:ascii="Arial" w:eastAsia="Calibri Light" w:hAnsi="Arial" w:cs="Arial"/>
                <w:spacing w:val="1"/>
                <w:szCs w:val="22"/>
              </w:rPr>
            </w:pPr>
          </w:p>
          <w:p w14:paraId="0AB94C84" w14:textId="77777777" w:rsidR="00874A36" w:rsidRDefault="00874A36">
            <w:pPr>
              <w:spacing w:before="10" w:line="360" w:lineRule="auto"/>
              <w:rPr>
                <w:rFonts w:ascii="Arial" w:eastAsia="Calibri Light" w:hAnsi="Arial" w:cs="Arial"/>
                <w:spacing w:val="1"/>
                <w:szCs w:val="22"/>
              </w:rPr>
            </w:pPr>
          </w:p>
          <w:p w14:paraId="01B90B4B" w14:textId="77777777" w:rsidR="00874A36" w:rsidRDefault="00874A36">
            <w:pPr>
              <w:spacing w:before="10" w:line="360" w:lineRule="auto"/>
              <w:rPr>
                <w:rFonts w:ascii="Arial" w:eastAsia="Calibri Light" w:hAnsi="Arial" w:cs="Arial"/>
                <w:spacing w:val="1"/>
                <w:szCs w:val="22"/>
              </w:rPr>
            </w:pPr>
          </w:p>
          <w:p w14:paraId="32F2FD96" w14:textId="77777777" w:rsidR="00874A36" w:rsidRDefault="00874A36">
            <w:pPr>
              <w:spacing w:before="10" w:line="360" w:lineRule="auto"/>
              <w:rPr>
                <w:rFonts w:ascii="Arial" w:eastAsia="Calibri Light" w:hAnsi="Arial" w:cs="Arial"/>
                <w:spacing w:val="1"/>
                <w:szCs w:val="22"/>
              </w:rPr>
            </w:pPr>
          </w:p>
          <w:p w14:paraId="2EF725F5" w14:textId="77777777" w:rsidR="00874A36" w:rsidRDefault="00874A36">
            <w:pPr>
              <w:spacing w:before="10" w:line="360" w:lineRule="auto"/>
              <w:rPr>
                <w:rFonts w:ascii="Arial" w:eastAsia="Calibri Light" w:hAnsi="Arial" w:cs="Arial"/>
                <w:spacing w:val="1"/>
                <w:szCs w:val="22"/>
              </w:rPr>
            </w:pPr>
          </w:p>
          <w:p w14:paraId="5A77F6E7" w14:textId="77777777" w:rsidR="00874A36" w:rsidRDefault="00874A36">
            <w:pPr>
              <w:spacing w:before="10" w:line="360" w:lineRule="auto"/>
              <w:rPr>
                <w:rFonts w:ascii="Arial" w:eastAsia="Calibri Light" w:hAnsi="Arial" w:cs="Arial"/>
                <w:spacing w:val="1"/>
                <w:szCs w:val="22"/>
              </w:rPr>
            </w:pPr>
          </w:p>
        </w:tc>
        <w:tc>
          <w:tcPr>
            <w:tcW w:w="4505" w:type="dxa"/>
          </w:tcPr>
          <w:p w14:paraId="4747E006" w14:textId="77777777" w:rsidR="00874A36" w:rsidRDefault="00000000">
            <w:pPr>
              <w:spacing w:before="10" w:line="360" w:lineRule="auto"/>
              <w:rPr>
                <w:rFonts w:ascii="Arial" w:eastAsia="Calibri Light" w:hAnsi="Arial" w:cs="Arial"/>
                <w:spacing w:val="1"/>
                <w:szCs w:val="22"/>
              </w:rPr>
            </w:pPr>
            <w:r>
              <w:rPr>
                <w:rFonts w:ascii="Arial" w:eastAsia="Calibri Light" w:hAnsi="Arial"/>
                <w:spacing w:val="1"/>
                <w:highlight w:val="yellow"/>
              </w:rPr>
              <w:fldChar w:fldCharType="begin"/>
            </w:r>
            <w:bookmarkStart w:id="77" w:name="Check1"/>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bookmarkEnd w:id="77"/>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bookmarkStart w:id="78" w:name="Check2"/>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bookmarkEnd w:id="78"/>
            <w:r>
              <w:rPr>
                <w:rFonts w:ascii="Arial" w:eastAsia="Calibri Light" w:hAnsi="Arial" w:cs="Arial"/>
                <w:spacing w:val="1"/>
                <w:szCs w:val="22"/>
              </w:rPr>
              <w:t xml:space="preserve"> No </w:t>
            </w:r>
            <w:r>
              <w:rPr>
                <w:rFonts w:ascii="Arial" w:eastAsia="Calibri Light" w:hAnsi="Arial"/>
                <w:spacing w:val="1"/>
              </w:rPr>
              <w:fldChar w:fldCharType="begin"/>
            </w:r>
            <w:bookmarkStart w:id="79" w:name="Check3"/>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bookmarkEnd w:id="79"/>
            <w:r>
              <w:rPr>
                <w:rFonts w:ascii="Arial" w:eastAsia="Calibri Light" w:hAnsi="Arial" w:cs="Arial"/>
                <w:spacing w:val="1"/>
                <w:szCs w:val="22"/>
              </w:rPr>
              <w:t xml:space="preserve"> Can’t Tell</w:t>
            </w:r>
          </w:p>
        </w:tc>
      </w:tr>
      <w:tr w:rsidR="00874A36" w14:paraId="03695D5B" w14:textId="77777777">
        <w:tc>
          <w:tcPr>
            <w:tcW w:w="9010" w:type="dxa"/>
            <w:gridSpan w:val="2"/>
            <w:shd w:val="clear" w:color="auto" w:fill="F2F2F2"/>
          </w:tcPr>
          <w:p w14:paraId="1F784738"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6450E42B" w14:textId="77777777" w:rsidR="00874A36" w:rsidRDefault="00000000">
            <w:pPr>
              <w:pStyle w:val="ListParagraph"/>
              <w:numPr>
                <w:ilvl w:val="0"/>
                <w:numId w:val="14"/>
              </w:numPr>
              <w:spacing w:before="10" w:line="360" w:lineRule="auto"/>
              <w:ind w:left="447" w:hanging="425"/>
              <w:rPr>
                <w:rFonts w:ascii="Arial" w:hAnsi="Arial" w:cs="Arial"/>
                <w:i/>
                <w:iCs/>
                <w:sz w:val="22"/>
                <w:szCs w:val="22"/>
              </w:rPr>
            </w:pPr>
            <w:r>
              <w:rPr>
                <w:rFonts w:ascii="Arial" w:hAnsi="Arial" w:cs="Arial"/>
                <w:i/>
                <w:iCs/>
                <w:sz w:val="22"/>
                <w:szCs w:val="22"/>
              </w:rPr>
              <w:t>what was the goal of the research?</w:t>
            </w:r>
          </w:p>
          <w:p w14:paraId="0E4E21A3" w14:textId="77777777" w:rsidR="00874A36" w:rsidRDefault="00000000">
            <w:pPr>
              <w:pStyle w:val="ListParagraph"/>
              <w:numPr>
                <w:ilvl w:val="0"/>
                <w:numId w:val="14"/>
              </w:numPr>
              <w:spacing w:before="10" w:line="360" w:lineRule="auto"/>
              <w:ind w:left="447" w:hanging="425"/>
              <w:rPr>
                <w:rFonts w:ascii="Arial" w:hAnsi="Arial" w:cs="Arial"/>
                <w:i/>
                <w:iCs/>
                <w:sz w:val="22"/>
                <w:szCs w:val="22"/>
              </w:rPr>
            </w:pPr>
            <w:r>
              <w:rPr>
                <w:rFonts w:ascii="Arial" w:hAnsi="Arial" w:cs="Arial"/>
                <w:i/>
                <w:iCs/>
                <w:sz w:val="22"/>
                <w:szCs w:val="22"/>
              </w:rPr>
              <w:t>why was it thought important?</w:t>
            </w:r>
          </w:p>
          <w:p w14:paraId="666D1FC9" w14:textId="77777777" w:rsidR="00874A36" w:rsidRDefault="00000000">
            <w:pPr>
              <w:pStyle w:val="ListParagraph"/>
              <w:numPr>
                <w:ilvl w:val="0"/>
                <w:numId w:val="14"/>
              </w:numPr>
              <w:spacing w:before="10" w:line="360" w:lineRule="auto"/>
              <w:ind w:left="447" w:hanging="425"/>
              <w:rPr>
                <w:rFonts w:ascii="Arial" w:hAnsi="Arial" w:cs="Arial"/>
                <w:i/>
                <w:iCs/>
                <w:sz w:val="22"/>
                <w:szCs w:val="22"/>
              </w:rPr>
            </w:pPr>
            <w:r>
              <w:rPr>
                <w:rFonts w:ascii="Arial" w:hAnsi="Arial" w:cs="Arial"/>
                <w:i/>
                <w:iCs/>
                <w:sz w:val="22"/>
                <w:szCs w:val="22"/>
              </w:rPr>
              <w:lastRenderedPageBreak/>
              <w:t>its relevance</w:t>
            </w:r>
            <w:r>
              <w:rPr>
                <w:rFonts w:ascii="Arial" w:hAnsi="Arial" w:cs="Arial"/>
                <w:b/>
                <w:bCs/>
                <w:i/>
                <w:iCs/>
                <w:sz w:val="22"/>
                <w:szCs w:val="22"/>
              </w:rPr>
              <w:t xml:space="preserve"> </w:t>
            </w:r>
          </w:p>
        </w:tc>
      </w:tr>
      <w:tr w:rsidR="00874A36" w14:paraId="273CCAF8" w14:textId="77777777">
        <w:tc>
          <w:tcPr>
            <w:tcW w:w="4505" w:type="dxa"/>
          </w:tcPr>
          <w:p w14:paraId="7C2F1EC8" w14:textId="77777777" w:rsidR="00874A36" w:rsidRDefault="00000000">
            <w:pPr>
              <w:pStyle w:val="ListParagraph"/>
              <w:numPr>
                <w:ilvl w:val="0"/>
                <w:numId w:val="10"/>
              </w:numPr>
              <w:spacing w:before="1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lastRenderedPageBreak/>
              <w:t>Is a qualitative methodology appropriate?</w:t>
            </w:r>
          </w:p>
          <w:p w14:paraId="36BCDDBC" w14:textId="77777777" w:rsidR="00874A36" w:rsidRDefault="00874A36">
            <w:pPr>
              <w:spacing w:before="10" w:line="360" w:lineRule="auto"/>
              <w:rPr>
                <w:rFonts w:ascii="Arial" w:eastAsia="Calibri Light" w:hAnsi="Arial" w:cs="Arial"/>
                <w:b/>
                <w:bCs/>
                <w:spacing w:val="1"/>
                <w:szCs w:val="22"/>
              </w:rPr>
            </w:pPr>
          </w:p>
          <w:p w14:paraId="0693518A" w14:textId="77777777" w:rsidR="00874A36" w:rsidRDefault="00874A36">
            <w:pPr>
              <w:spacing w:before="10" w:line="360" w:lineRule="auto"/>
              <w:rPr>
                <w:rFonts w:ascii="Arial" w:eastAsia="Calibri Light" w:hAnsi="Arial" w:cs="Arial"/>
                <w:b/>
                <w:bCs/>
                <w:spacing w:val="1"/>
                <w:szCs w:val="22"/>
              </w:rPr>
            </w:pPr>
          </w:p>
          <w:p w14:paraId="5CABBF3F" w14:textId="77777777" w:rsidR="00874A36" w:rsidRDefault="00874A36">
            <w:pPr>
              <w:spacing w:before="10" w:line="360" w:lineRule="auto"/>
              <w:rPr>
                <w:rFonts w:ascii="Arial" w:eastAsia="Calibri Light" w:hAnsi="Arial" w:cs="Arial"/>
                <w:b/>
                <w:bCs/>
                <w:spacing w:val="1"/>
                <w:szCs w:val="22"/>
              </w:rPr>
            </w:pPr>
          </w:p>
          <w:p w14:paraId="43D4C2DB" w14:textId="77777777" w:rsidR="00874A36" w:rsidRDefault="00874A36">
            <w:pPr>
              <w:spacing w:before="10" w:line="360" w:lineRule="auto"/>
              <w:rPr>
                <w:rFonts w:ascii="Arial" w:eastAsia="Calibri Light" w:hAnsi="Arial" w:cs="Arial"/>
                <w:b/>
                <w:bCs/>
                <w:spacing w:val="1"/>
                <w:szCs w:val="22"/>
              </w:rPr>
            </w:pPr>
          </w:p>
          <w:p w14:paraId="544425C5" w14:textId="77777777" w:rsidR="00874A36" w:rsidRDefault="00874A36">
            <w:pPr>
              <w:spacing w:before="10" w:line="360" w:lineRule="auto"/>
              <w:rPr>
                <w:rFonts w:ascii="Arial" w:eastAsia="Calibri Light" w:hAnsi="Arial" w:cs="Arial"/>
                <w:b/>
                <w:bCs/>
                <w:spacing w:val="1"/>
                <w:szCs w:val="22"/>
              </w:rPr>
            </w:pPr>
          </w:p>
          <w:p w14:paraId="5569EB14" w14:textId="77777777" w:rsidR="00874A36" w:rsidRDefault="00874A36">
            <w:pPr>
              <w:spacing w:before="10" w:line="360" w:lineRule="auto"/>
              <w:rPr>
                <w:rFonts w:ascii="Arial" w:eastAsia="Calibri Light" w:hAnsi="Arial" w:cs="Arial"/>
                <w:b/>
                <w:bCs/>
                <w:spacing w:val="1"/>
                <w:szCs w:val="22"/>
              </w:rPr>
            </w:pPr>
          </w:p>
          <w:p w14:paraId="5B6C4969" w14:textId="77777777" w:rsidR="00874A36" w:rsidRDefault="00874A36">
            <w:pPr>
              <w:spacing w:before="10" w:line="360" w:lineRule="auto"/>
              <w:rPr>
                <w:rFonts w:ascii="Arial" w:eastAsia="Calibri Light" w:hAnsi="Arial" w:cs="Arial"/>
                <w:b/>
                <w:bCs/>
                <w:spacing w:val="1"/>
                <w:szCs w:val="22"/>
              </w:rPr>
            </w:pPr>
          </w:p>
          <w:p w14:paraId="6449379B" w14:textId="77777777" w:rsidR="00874A36" w:rsidRDefault="00874A36">
            <w:pPr>
              <w:spacing w:before="10" w:line="360" w:lineRule="auto"/>
              <w:rPr>
                <w:rFonts w:ascii="Arial" w:eastAsia="Calibri Light" w:hAnsi="Arial" w:cs="Arial"/>
                <w:b/>
                <w:bCs/>
                <w:spacing w:val="1"/>
                <w:szCs w:val="22"/>
              </w:rPr>
            </w:pPr>
          </w:p>
        </w:tc>
        <w:tc>
          <w:tcPr>
            <w:tcW w:w="4505" w:type="dxa"/>
          </w:tcPr>
          <w:p w14:paraId="67E715D0"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Yes </w:t>
            </w: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 xml:space="preserve"> No</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5AC625DB" w14:textId="77777777">
        <w:tc>
          <w:tcPr>
            <w:tcW w:w="9010" w:type="dxa"/>
            <w:gridSpan w:val="2"/>
            <w:shd w:val="clear" w:color="auto" w:fill="F2F2F2"/>
          </w:tcPr>
          <w:p w14:paraId="62434FFA"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4B601963" w14:textId="77777777" w:rsidR="00874A36" w:rsidRDefault="00000000">
            <w:pPr>
              <w:pStyle w:val="ListParagraph"/>
              <w:numPr>
                <w:ilvl w:val="0"/>
                <w:numId w:val="11"/>
              </w:numPr>
              <w:spacing w:before="10" w:line="360" w:lineRule="auto"/>
              <w:ind w:left="463" w:hanging="425"/>
              <w:rPr>
                <w:rFonts w:ascii="Arial" w:hAnsi="Arial" w:cs="Arial"/>
                <w:i/>
                <w:iCs/>
                <w:sz w:val="22"/>
                <w:szCs w:val="22"/>
              </w:rPr>
            </w:pPr>
            <w:r>
              <w:rPr>
                <w:rFonts w:ascii="Arial" w:hAnsi="Arial" w:cs="Arial"/>
                <w:i/>
                <w:iCs/>
                <w:sz w:val="22"/>
                <w:szCs w:val="22"/>
              </w:rPr>
              <w:t>If the research seeks to interpret or illuminate the actions and/or subjective experiences of research participants</w:t>
            </w:r>
          </w:p>
          <w:p w14:paraId="40BAD690" w14:textId="77777777" w:rsidR="00874A36" w:rsidRDefault="00000000">
            <w:pPr>
              <w:pStyle w:val="ListParagraph"/>
              <w:numPr>
                <w:ilvl w:val="0"/>
                <w:numId w:val="11"/>
              </w:numPr>
              <w:spacing w:before="10" w:line="360" w:lineRule="auto"/>
              <w:ind w:left="463" w:hanging="425"/>
              <w:rPr>
                <w:rFonts w:ascii="Arial" w:hAnsi="Arial" w:cs="Arial"/>
                <w:i/>
                <w:iCs/>
                <w:sz w:val="22"/>
                <w:szCs w:val="22"/>
              </w:rPr>
            </w:pPr>
            <w:r>
              <w:rPr>
                <w:rFonts w:ascii="Arial" w:hAnsi="Arial" w:cs="Arial"/>
                <w:i/>
                <w:iCs/>
                <w:sz w:val="22"/>
                <w:szCs w:val="22"/>
              </w:rPr>
              <w:t>Is qualitative research the right methodology for addressing the research goal?</w:t>
            </w:r>
          </w:p>
        </w:tc>
      </w:tr>
      <w:tr w:rsidR="00874A36" w14:paraId="3547A465" w14:textId="77777777">
        <w:tc>
          <w:tcPr>
            <w:tcW w:w="4505" w:type="dxa"/>
          </w:tcPr>
          <w:p w14:paraId="7EA730B3" w14:textId="77777777" w:rsidR="00874A36" w:rsidRDefault="00000000">
            <w:pPr>
              <w:pStyle w:val="ListParagraph"/>
              <w:numPr>
                <w:ilvl w:val="0"/>
                <w:numId w:val="10"/>
              </w:numPr>
              <w:spacing w:before="1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t>Was the research design appropriate to address the aims of the research?</w:t>
            </w:r>
          </w:p>
          <w:p w14:paraId="6F0443AD" w14:textId="77777777" w:rsidR="00874A36" w:rsidRDefault="00874A36">
            <w:pPr>
              <w:spacing w:before="10" w:line="360" w:lineRule="auto"/>
              <w:rPr>
                <w:rFonts w:ascii="Arial" w:eastAsia="Calibri Light" w:hAnsi="Arial" w:cs="Arial"/>
                <w:b/>
                <w:bCs/>
                <w:spacing w:val="1"/>
                <w:szCs w:val="22"/>
              </w:rPr>
            </w:pPr>
          </w:p>
          <w:p w14:paraId="11A53F68" w14:textId="77777777" w:rsidR="00874A36" w:rsidRDefault="00874A36">
            <w:pPr>
              <w:spacing w:before="10" w:line="360" w:lineRule="auto"/>
              <w:rPr>
                <w:rFonts w:ascii="Arial" w:eastAsia="Calibri Light" w:hAnsi="Arial" w:cs="Arial"/>
                <w:b/>
                <w:bCs/>
                <w:spacing w:val="1"/>
                <w:szCs w:val="22"/>
              </w:rPr>
            </w:pPr>
          </w:p>
          <w:p w14:paraId="0B7E407E" w14:textId="77777777" w:rsidR="00874A36" w:rsidRDefault="00874A36">
            <w:pPr>
              <w:spacing w:before="10" w:line="360" w:lineRule="auto"/>
              <w:rPr>
                <w:rFonts w:ascii="Arial" w:eastAsia="Calibri Light" w:hAnsi="Arial" w:cs="Arial"/>
                <w:b/>
                <w:bCs/>
                <w:spacing w:val="1"/>
                <w:szCs w:val="22"/>
              </w:rPr>
            </w:pPr>
          </w:p>
          <w:p w14:paraId="057CCEBC" w14:textId="77777777" w:rsidR="00874A36" w:rsidRDefault="00874A36">
            <w:pPr>
              <w:spacing w:before="10" w:line="360" w:lineRule="auto"/>
              <w:rPr>
                <w:rFonts w:ascii="Arial" w:eastAsia="Calibri Light" w:hAnsi="Arial" w:cs="Arial"/>
                <w:b/>
                <w:bCs/>
                <w:spacing w:val="1"/>
                <w:szCs w:val="22"/>
              </w:rPr>
            </w:pPr>
          </w:p>
          <w:p w14:paraId="2013B52D" w14:textId="77777777" w:rsidR="00874A36" w:rsidRDefault="00874A36">
            <w:pPr>
              <w:spacing w:before="10" w:line="360" w:lineRule="auto"/>
              <w:rPr>
                <w:rFonts w:ascii="Arial" w:eastAsia="Calibri Light" w:hAnsi="Arial" w:cs="Arial"/>
                <w:b/>
                <w:bCs/>
                <w:spacing w:val="1"/>
                <w:szCs w:val="22"/>
              </w:rPr>
            </w:pPr>
          </w:p>
          <w:p w14:paraId="2F1A3FA3" w14:textId="77777777" w:rsidR="00874A36" w:rsidRDefault="00874A36">
            <w:pPr>
              <w:spacing w:before="10" w:line="360" w:lineRule="auto"/>
              <w:rPr>
                <w:rFonts w:ascii="Arial" w:eastAsia="Calibri Light" w:hAnsi="Arial" w:cs="Arial"/>
                <w:b/>
                <w:bCs/>
                <w:spacing w:val="1"/>
                <w:szCs w:val="22"/>
              </w:rPr>
            </w:pPr>
          </w:p>
          <w:p w14:paraId="1D082436" w14:textId="77777777" w:rsidR="00874A36" w:rsidRDefault="00874A36">
            <w:pPr>
              <w:spacing w:before="10" w:line="360" w:lineRule="auto"/>
              <w:rPr>
                <w:rFonts w:ascii="Arial" w:eastAsia="Calibri Light" w:hAnsi="Arial" w:cs="Arial"/>
                <w:b/>
                <w:bCs/>
                <w:spacing w:val="1"/>
                <w:szCs w:val="22"/>
              </w:rPr>
            </w:pPr>
          </w:p>
        </w:tc>
        <w:tc>
          <w:tcPr>
            <w:tcW w:w="4505" w:type="dxa"/>
          </w:tcPr>
          <w:p w14:paraId="5C61F6D8"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24BDF791" w14:textId="77777777">
        <w:tc>
          <w:tcPr>
            <w:tcW w:w="9010" w:type="dxa"/>
            <w:gridSpan w:val="2"/>
            <w:shd w:val="clear" w:color="auto" w:fill="F2F2F2"/>
          </w:tcPr>
          <w:p w14:paraId="187A8E0F"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30A8A759" w14:textId="77777777" w:rsidR="00874A36" w:rsidRDefault="00000000">
            <w:pPr>
              <w:pStyle w:val="ListParagraph"/>
              <w:numPr>
                <w:ilvl w:val="0"/>
                <w:numId w:val="15"/>
              </w:numPr>
              <w:spacing w:before="10" w:line="360" w:lineRule="auto"/>
              <w:ind w:left="447" w:hanging="425"/>
              <w:rPr>
                <w:rFonts w:ascii="Arial" w:eastAsia="Calibri Light" w:hAnsi="Arial" w:cs="Arial"/>
                <w:b/>
                <w:bCs/>
                <w:spacing w:val="1"/>
                <w:sz w:val="22"/>
                <w:szCs w:val="22"/>
              </w:rPr>
            </w:pPr>
            <w:r>
              <w:rPr>
                <w:rFonts w:ascii="Arial" w:eastAsia="Calibri Light" w:hAnsi="Arial" w:cs="Arial"/>
                <w:i/>
                <w:iCs/>
                <w:sz w:val="22"/>
                <w:szCs w:val="22"/>
              </w:rPr>
              <w:t>if the researcher has justified the research design (e.g., have they discussed how they decided which method to use)</w:t>
            </w:r>
          </w:p>
          <w:p w14:paraId="5128C943" w14:textId="77777777" w:rsidR="00874A36" w:rsidRDefault="00874A36">
            <w:pPr>
              <w:pStyle w:val="ListParagraph"/>
              <w:spacing w:before="10" w:line="360" w:lineRule="auto"/>
              <w:ind w:left="447"/>
              <w:rPr>
                <w:rFonts w:ascii="Arial" w:eastAsia="Calibri Light" w:hAnsi="Arial" w:cs="Arial"/>
                <w:b/>
                <w:bCs/>
                <w:spacing w:val="1"/>
                <w:sz w:val="22"/>
                <w:szCs w:val="22"/>
              </w:rPr>
            </w:pPr>
          </w:p>
        </w:tc>
      </w:tr>
      <w:tr w:rsidR="00874A36" w14:paraId="6EB159E1" w14:textId="77777777">
        <w:tc>
          <w:tcPr>
            <w:tcW w:w="4505" w:type="dxa"/>
          </w:tcPr>
          <w:p w14:paraId="26CF428E" w14:textId="77777777" w:rsidR="00874A36" w:rsidRDefault="00000000">
            <w:pPr>
              <w:pStyle w:val="ListParagraph"/>
              <w:numPr>
                <w:ilvl w:val="0"/>
                <w:numId w:val="10"/>
              </w:numPr>
              <w:spacing w:before="1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t>Was the recruitment strategy appropriate to the aims of the research?</w:t>
            </w:r>
          </w:p>
          <w:p w14:paraId="783902FF" w14:textId="77777777" w:rsidR="00874A36" w:rsidRDefault="00874A36">
            <w:pPr>
              <w:spacing w:before="10" w:line="360" w:lineRule="auto"/>
              <w:rPr>
                <w:rFonts w:ascii="Arial" w:eastAsia="Calibri Light" w:hAnsi="Arial" w:cs="Arial"/>
                <w:b/>
                <w:bCs/>
                <w:spacing w:val="1"/>
                <w:szCs w:val="22"/>
              </w:rPr>
            </w:pPr>
          </w:p>
          <w:p w14:paraId="3E34E06E" w14:textId="77777777" w:rsidR="00874A36" w:rsidRDefault="00874A36">
            <w:pPr>
              <w:spacing w:before="10" w:line="360" w:lineRule="auto"/>
              <w:rPr>
                <w:rFonts w:ascii="Arial" w:eastAsia="Calibri Light" w:hAnsi="Arial" w:cs="Arial"/>
                <w:b/>
                <w:bCs/>
                <w:spacing w:val="1"/>
                <w:szCs w:val="22"/>
              </w:rPr>
            </w:pPr>
          </w:p>
          <w:p w14:paraId="0D92B61A" w14:textId="77777777" w:rsidR="00874A36" w:rsidRDefault="00874A36">
            <w:pPr>
              <w:spacing w:before="10" w:line="360" w:lineRule="auto"/>
              <w:rPr>
                <w:rFonts w:ascii="Arial" w:eastAsia="Calibri Light" w:hAnsi="Arial" w:cs="Arial"/>
                <w:b/>
                <w:bCs/>
                <w:spacing w:val="1"/>
                <w:szCs w:val="22"/>
              </w:rPr>
            </w:pPr>
          </w:p>
          <w:p w14:paraId="5060CAA0" w14:textId="77777777" w:rsidR="00874A36" w:rsidRDefault="00874A36">
            <w:pPr>
              <w:spacing w:before="10" w:line="360" w:lineRule="auto"/>
              <w:rPr>
                <w:rFonts w:ascii="Arial" w:eastAsia="Calibri Light" w:hAnsi="Arial" w:cs="Arial"/>
                <w:b/>
                <w:bCs/>
                <w:spacing w:val="1"/>
                <w:szCs w:val="22"/>
              </w:rPr>
            </w:pPr>
          </w:p>
          <w:p w14:paraId="2C4A4B65" w14:textId="77777777" w:rsidR="00874A36" w:rsidRDefault="00874A36">
            <w:pPr>
              <w:spacing w:before="10" w:line="360" w:lineRule="auto"/>
              <w:rPr>
                <w:rFonts w:ascii="Arial" w:eastAsia="Calibri Light" w:hAnsi="Arial" w:cs="Arial"/>
                <w:b/>
                <w:bCs/>
                <w:spacing w:val="1"/>
                <w:szCs w:val="22"/>
              </w:rPr>
            </w:pPr>
          </w:p>
          <w:p w14:paraId="393B316A" w14:textId="77777777" w:rsidR="00874A36" w:rsidRDefault="00874A36">
            <w:pPr>
              <w:spacing w:before="10" w:line="360" w:lineRule="auto"/>
              <w:rPr>
                <w:rFonts w:ascii="Arial" w:eastAsia="Calibri Light" w:hAnsi="Arial" w:cs="Arial"/>
                <w:b/>
                <w:bCs/>
                <w:spacing w:val="1"/>
                <w:szCs w:val="22"/>
              </w:rPr>
            </w:pPr>
          </w:p>
          <w:p w14:paraId="2EE3938A" w14:textId="77777777" w:rsidR="00874A36" w:rsidRDefault="00874A36">
            <w:pPr>
              <w:spacing w:before="10" w:line="360" w:lineRule="auto"/>
              <w:rPr>
                <w:rFonts w:ascii="Arial" w:eastAsia="Calibri Light" w:hAnsi="Arial" w:cs="Arial"/>
                <w:b/>
                <w:bCs/>
                <w:spacing w:val="1"/>
                <w:szCs w:val="22"/>
              </w:rPr>
            </w:pPr>
          </w:p>
        </w:tc>
        <w:tc>
          <w:tcPr>
            <w:tcW w:w="4505" w:type="dxa"/>
          </w:tcPr>
          <w:p w14:paraId="6B9FDB6A"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lastRenderedPageBreak/>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41BDEDD2" w14:textId="77777777">
        <w:tc>
          <w:tcPr>
            <w:tcW w:w="9010" w:type="dxa"/>
            <w:gridSpan w:val="2"/>
            <w:shd w:val="clear" w:color="auto" w:fill="F2F2F2"/>
          </w:tcPr>
          <w:p w14:paraId="24D20DFE"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296F897D" w14:textId="77777777" w:rsidR="00874A36" w:rsidRDefault="00000000">
            <w:pPr>
              <w:pStyle w:val="ListParagraph"/>
              <w:numPr>
                <w:ilvl w:val="0"/>
                <w:numId w:val="12"/>
              </w:numPr>
              <w:spacing w:before="10" w:after="240" w:line="360" w:lineRule="auto"/>
              <w:ind w:left="321" w:hanging="321"/>
              <w:rPr>
                <w:rFonts w:ascii="Arial" w:hAnsi="Arial" w:cs="Arial"/>
                <w:i/>
                <w:iCs/>
                <w:sz w:val="22"/>
                <w:szCs w:val="22"/>
              </w:rPr>
            </w:pPr>
            <w:r>
              <w:rPr>
                <w:rFonts w:ascii="Arial" w:hAnsi="Arial" w:cs="Arial"/>
                <w:i/>
                <w:iCs/>
                <w:sz w:val="22"/>
                <w:szCs w:val="22"/>
              </w:rPr>
              <w:t>If the researcher has explained how the participants were selected</w:t>
            </w:r>
          </w:p>
          <w:p w14:paraId="36FA4D70" w14:textId="77777777" w:rsidR="00874A36" w:rsidRDefault="00000000">
            <w:pPr>
              <w:pStyle w:val="ListParagraph"/>
              <w:numPr>
                <w:ilvl w:val="0"/>
                <w:numId w:val="12"/>
              </w:numPr>
              <w:spacing w:before="10" w:after="240" w:line="360" w:lineRule="auto"/>
              <w:ind w:left="321" w:hanging="321"/>
              <w:rPr>
                <w:rFonts w:ascii="Arial" w:hAnsi="Arial" w:cs="Arial"/>
                <w:i/>
                <w:iCs/>
                <w:sz w:val="22"/>
                <w:szCs w:val="22"/>
              </w:rPr>
            </w:pPr>
            <w:r>
              <w:rPr>
                <w:rFonts w:ascii="Arial" w:hAnsi="Arial" w:cs="Arial"/>
                <w:i/>
                <w:iCs/>
                <w:sz w:val="22"/>
                <w:szCs w:val="22"/>
              </w:rPr>
              <w:t>If they explained why the participants they selected were the most appropriate to provide access to the type of knowledge sought by the study</w:t>
            </w:r>
          </w:p>
          <w:p w14:paraId="3B79910A" w14:textId="77777777" w:rsidR="00874A36" w:rsidRDefault="00000000">
            <w:pPr>
              <w:pStyle w:val="ListParagraph"/>
              <w:numPr>
                <w:ilvl w:val="0"/>
                <w:numId w:val="12"/>
              </w:numPr>
              <w:spacing w:before="10" w:after="240" w:line="360" w:lineRule="auto"/>
              <w:ind w:left="321" w:hanging="321"/>
              <w:rPr>
                <w:rFonts w:ascii="Arial" w:hAnsi="Arial" w:cs="Arial"/>
                <w:i/>
                <w:iCs/>
                <w:sz w:val="22"/>
                <w:szCs w:val="22"/>
              </w:rPr>
            </w:pPr>
            <w:r>
              <w:rPr>
                <w:rFonts w:ascii="Arial" w:hAnsi="Arial" w:cs="Arial"/>
                <w:i/>
                <w:iCs/>
                <w:sz w:val="22"/>
                <w:szCs w:val="22"/>
              </w:rPr>
              <w:t>If there are any discussions around recruitment (e.g. why some people chose not to take part)</w:t>
            </w:r>
          </w:p>
        </w:tc>
      </w:tr>
      <w:tr w:rsidR="00874A36" w14:paraId="17676C76" w14:textId="77777777">
        <w:tc>
          <w:tcPr>
            <w:tcW w:w="4505" w:type="dxa"/>
          </w:tcPr>
          <w:p w14:paraId="2E596C2E" w14:textId="77777777" w:rsidR="00874A36" w:rsidRDefault="00000000">
            <w:pPr>
              <w:pStyle w:val="ListParagraph"/>
              <w:numPr>
                <w:ilvl w:val="0"/>
                <w:numId w:val="10"/>
              </w:numPr>
              <w:spacing w:before="1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t>Was the data collected in a way that addressed the research issue?</w:t>
            </w:r>
          </w:p>
          <w:p w14:paraId="3797E0DA"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5899D141"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1FFD7E16"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5ADAD2CE"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17D60740"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08E0D0A2"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33B09B0A" w14:textId="77777777" w:rsidR="00874A36" w:rsidRDefault="00874A36">
            <w:pPr>
              <w:pStyle w:val="ListParagraph"/>
              <w:spacing w:before="10" w:line="360" w:lineRule="auto"/>
              <w:ind w:left="360"/>
              <w:rPr>
                <w:rFonts w:ascii="Arial" w:eastAsia="Calibri Light" w:hAnsi="Arial" w:cs="Arial"/>
                <w:b/>
                <w:bCs/>
                <w:spacing w:val="1"/>
                <w:sz w:val="22"/>
                <w:szCs w:val="22"/>
              </w:rPr>
            </w:pPr>
          </w:p>
          <w:p w14:paraId="19388D5A" w14:textId="77777777" w:rsidR="00874A36" w:rsidRDefault="00874A36">
            <w:pPr>
              <w:pStyle w:val="ListParagraph"/>
              <w:spacing w:before="10" w:line="360" w:lineRule="auto"/>
              <w:ind w:left="360"/>
              <w:rPr>
                <w:rFonts w:ascii="Arial" w:eastAsia="Calibri Light" w:hAnsi="Arial" w:cs="Arial"/>
                <w:b/>
                <w:bCs/>
                <w:spacing w:val="1"/>
                <w:sz w:val="22"/>
                <w:szCs w:val="22"/>
              </w:rPr>
            </w:pPr>
          </w:p>
        </w:tc>
        <w:tc>
          <w:tcPr>
            <w:tcW w:w="4505" w:type="dxa"/>
          </w:tcPr>
          <w:p w14:paraId="29936A72"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5A62DE07" w14:textId="77777777">
        <w:tc>
          <w:tcPr>
            <w:tcW w:w="9010" w:type="dxa"/>
            <w:gridSpan w:val="2"/>
            <w:shd w:val="clear" w:color="auto" w:fill="F2F2F2"/>
          </w:tcPr>
          <w:p w14:paraId="75B8A48F"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478DFCE8" w14:textId="77777777" w:rsidR="00874A36" w:rsidRDefault="00874A36">
            <w:pPr>
              <w:spacing w:before="10" w:line="360" w:lineRule="auto"/>
              <w:rPr>
                <w:rFonts w:ascii="Arial" w:hAnsi="Arial" w:cs="Arial"/>
                <w:i/>
                <w:iCs/>
                <w:szCs w:val="22"/>
              </w:rPr>
            </w:pPr>
          </w:p>
          <w:p w14:paraId="2D2C2CF8"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the setting for the data collection was justified</w:t>
            </w:r>
          </w:p>
          <w:p w14:paraId="12C5F406"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it is clear how data were collected (e.g. focus group, semi-structured interview etc.)</w:t>
            </w:r>
          </w:p>
          <w:p w14:paraId="4F2F3A0F"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the researcher has justified the methods chosen</w:t>
            </w:r>
          </w:p>
          <w:p w14:paraId="61D32DE9"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the researcher has made the methods explicit (e.g. for interview method, is there an indication of how interviews are conducted, or did they use a topic guide)</w:t>
            </w:r>
          </w:p>
          <w:p w14:paraId="7D952306"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methods were modified during the study. If so, has the researcher explained how and why</w:t>
            </w:r>
          </w:p>
          <w:p w14:paraId="5D6DA626"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the form of data is clear (e.g. tape recordings, video material, notes etc.)</w:t>
            </w:r>
          </w:p>
          <w:p w14:paraId="528BDB24" w14:textId="77777777" w:rsidR="00874A36" w:rsidRDefault="00000000">
            <w:pPr>
              <w:pStyle w:val="ListParagraph"/>
              <w:numPr>
                <w:ilvl w:val="0"/>
                <w:numId w:val="12"/>
              </w:numPr>
              <w:spacing w:before="10" w:after="240" w:line="360" w:lineRule="auto"/>
              <w:ind w:left="321" w:hanging="283"/>
              <w:rPr>
                <w:rFonts w:ascii="Arial" w:hAnsi="Arial" w:cs="Arial"/>
                <w:i/>
                <w:iCs/>
                <w:sz w:val="22"/>
                <w:szCs w:val="22"/>
              </w:rPr>
            </w:pPr>
            <w:r>
              <w:rPr>
                <w:rFonts w:ascii="Arial" w:hAnsi="Arial" w:cs="Arial"/>
                <w:i/>
                <w:iCs/>
                <w:sz w:val="22"/>
                <w:szCs w:val="22"/>
              </w:rPr>
              <w:t>If the researcher has discussed saturation of data</w:t>
            </w:r>
          </w:p>
        </w:tc>
      </w:tr>
      <w:tr w:rsidR="00874A36" w14:paraId="37DE72D7" w14:textId="77777777">
        <w:tc>
          <w:tcPr>
            <w:tcW w:w="4505" w:type="dxa"/>
          </w:tcPr>
          <w:p w14:paraId="1DEC863E" w14:textId="77777777" w:rsidR="00874A36" w:rsidRDefault="00000000">
            <w:pPr>
              <w:pStyle w:val="ListParagraph"/>
              <w:numPr>
                <w:ilvl w:val="0"/>
                <w:numId w:val="10"/>
              </w:numPr>
              <w:spacing w:before="22" w:line="360" w:lineRule="auto"/>
              <w:ind w:left="306" w:hanging="284"/>
              <w:rPr>
                <w:rFonts w:ascii="Arial" w:eastAsia="Calibri Light" w:hAnsi="Arial" w:cs="Arial"/>
                <w:bCs/>
                <w:sz w:val="22"/>
                <w:szCs w:val="22"/>
              </w:rPr>
            </w:pPr>
            <w:r>
              <w:rPr>
                <w:rFonts w:ascii="Arial" w:eastAsia="Calibri Light" w:hAnsi="Arial" w:cs="Arial"/>
                <w:bCs/>
                <w:sz w:val="22"/>
                <w:szCs w:val="22"/>
              </w:rPr>
              <w:t>Has the relationship between researcher and participants been adequately considered?</w:t>
            </w:r>
          </w:p>
          <w:p w14:paraId="15E6A7E2" w14:textId="77777777" w:rsidR="00874A36" w:rsidRDefault="00874A36">
            <w:pPr>
              <w:spacing w:before="22" w:line="360" w:lineRule="auto"/>
              <w:rPr>
                <w:rFonts w:ascii="Arial" w:eastAsia="Calibri Light" w:hAnsi="Arial" w:cs="Arial"/>
                <w:bCs/>
                <w:szCs w:val="22"/>
              </w:rPr>
            </w:pPr>
          </w:p>
          <w:p w14:paraId="4CC334C9" w14:textId="77777777" w:rsidR="00874A36" w:rsidRDefault="00874A36">
            <w:pPr>
              <w:spacing w:before="22" w:line="360" w:lineRule="auto"/>
              <w:rPr>
                <w:rFonts w:ascii="Arial" w:eastAsia="Calibri Light" w:hAnsi="Arial" w:cs="Arial"/>
                <w:bCs/>
                <w:szCs w:val="22"/>
              </w:rPr>
            </w:pPr>
          </w:p>
          <w:p w14:paraId="77CCD8E2" w14:textId="77777777" w:rsidR="00874A36" w:rsidRDefault="00874A36">
            <w:pPr>
              <w:spacing w:before="22" w:line="360" w:lineRule="auto"/>
              <w:rPr>
                <w:rFonts w:ascii="Arial" w:eastAsia="Calibri Light" w:hAnsi="Arial" w:cs="Arial"/>
                <w:bCs/>
                <w:szCs w:val="22"/>
              </w:rPr>
            </w:pPr>
          </w:p>
          <w:p w14:paraId="08A95C74" w14:textId="77777777" w:rsidR="00874A36" w:rsidRDefault="00874A36">
            <w:pPr>
              <w:spacing w:before="22" w:line="360" w:lineRule="auto"/>
              <w:rPr>
                <w:rFonts w:ascii="Arial" w:eastAsia="Calibri Light" w:hAnsi="Arial" w:cs="Arial"/>
                <w:bCs/>
                <w:szCs w:val="22"/>
              </w:rPr>
            </w:pPr>
          </w:p>
          <w:p w14:paraId="644C757A" w14:textId="77777777" w:rsidR="00874A36" w:rsidRDefault="00874A36">
            <w:pPr>
              <w:spacing w:before="22" w:line="360" w:lineRule="auto"/>
              <w:rPr>
                <w:rFonts w:ascii="Arial" w:eastAsia="Calibri Light" w:hAnsi="Arial" w:cs="Arial"/>
                <w:bCs/>
                <w:szCs w:val="22"/>
              </w:rPr>
            </w:pPr>
          </w:p>
          <w:p w14:paraId="6443B105" w14:textId="77777777" w:rsidR="00874A36" w:rsidRDefault="00874A36">
            <w:pPr>
              <w:spacing w:before="22" w:line="360" w:lineRule="auto"/>
              <w:rPr>
                <w:rFonts w:ascii="Arial" w:eastAsia="Calibri Light" w:hAnsi="Arial" w:cs="Arial"/>
                <w:bCs/>
                <w:szCs w:val="22"/>
              </w:rPr>
            </w:pPr>
          </w:p>
        </w:tc>
        <w:tc>
          <w:tcPr>
            <w:tcW w:w="4505" w:type="dxa"/>
          </w:tcPr>
          <w:p w14:paraId="13EAF5A5" w14:textId="77777777" w:rsidR="00874A36" w:rsidRDefault="00000000">
            <w:pPr>
              <w:spacing w:before="22" w:line="360" w:lineRule="auto"/>
              <w:rPr>
                <w:rFonts w:ascii="Arial" w:eastAsia="Calibri Light" w:hAnsi="Arial" w:cs="Arial"/>
                <w:b/>
                <w:szCs w:val="22"/>
              </w:rPr>
            </w:pPr>
            <w:r>
              <w:rPr>
                <w:rFonts w:ascii="Arial" w:eastAsia="Calibri Light" w:hAnsi="Arial"/>
                <w:spacing w:val="1"/>
              </w:rPr>
              <w:lastRenderedPageBreak/>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Yes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 xml:space="preserve"> Can’t Tell</w:t>
            </w:r>
          </w:p>
        </w:tc>
      </w:tr>
      <w:tr w:rsidR="00874A36" w14:paraId="56AA2DB1" w14:textId="77777777">
        <w:tc>
          <w:tcPr>
            <w:tcW w:w="9010" w:type="dxa"/>
            <w:gridSpan w:val="2"/>
            <w:shd w:val="clear" w:color="auto" w:fill="EEECE1"/>
          </w:tcPr>
          <w:p w14:paraId="6BE868E9"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4E0DA56F" w14:textId="77777777" w:rsidR="00874A36" w:rsidRDefault="00000000">
            <w:pPr>
              <w:pStyle w:val="ListParagraph"/>
              <w:numPr>
                <w:ilvl w:val="0"/>
                <w:numId w:val="15"/>
              </w:numPr>
              <w:spacing w:before="22" w:line="360" w:lineRule="auto"/>
              <w:ind w:left="306" w:hanging="284"/>
              <w:rPr>
                <w:rFonts w:ascii="Arial" w:eastAsia="Calibri Light" w:hAnsi="Arial" w:cs="Arial"/>
                <w:bCs/>
                <w:i/>
                <w:iCs/>
                <w:sz w:val="22"/>
                <w:szCs w:val="22"/>
              </w:rPr>
            </w:pPr>
            <w:r>
              <w:rPr>
                <w:rFonts w:ascii="Arial" w:eastAsia="Calibri Light" w:hAnsi="Arial" w:cs="Arial"/>
                <w:bCs/>
                <w:i/>
                <w:iCs/>
                <w:sz w:val="22"/>
                <w:szCs w:val="22"/>
              </w:rPr>
              <w:t>If the researcher critically examined their own role, potential bias and influence during (a) formulation of the research questions (b) data collection, including sample recruitment and choice of location</w:t>
            </w:r>
          </w:p>
          <w:p w14:paraId="7C9077A6" w14:textId="77777777" w:rsidR="00874A36" w:rsidRDefault="00000000">
            <w:pPr>
              <w:pStyle w:val="ListParagraph"/>
              <w:numPr>
                <w:ilvl w:val="0"/>
                <w:numId w:val="15"/>
              </w:numPr>
              <w:spacing w:before="22" w:line="360" w:lineRule="auto"/>
              <w:ind w:left="306" w:hanging="284"/>
              <w:rPr>
                <w:rFonts w:ascii="Arial" w:eastAsia="Calibri Light" w:hAnsi="Arial" w:cs="Arial"/>
                <w:b/>
                <w:sz w:val="22"/>
                <w:szCs w:val="22"/>
              </w:rPr>
            </w:pPr>
            <w:r>
              <w:rPr>
                <w:rFonts w:ascii="Arial" w:eastAsia="Calibri Light" w:hAnsi="Arial" w:cs="Arial"/>
                <w:bCs/>
                <w:i/>
                <w:iCs/>
                <w:sz w:val="22"/>
                <w:szCs w:val="22"/>
              </w:rPr>
              <w:t>How the researcher responded to events during the study and whether they considered the implications of any changes in the research design</w:t>
            </w:r>
          </w:p>
          <w:p w14:paraId="4D4B23D3" w14:textId="77777777" w:rsidR="00874A36" w:rsidRDefault="00874A36">
            <w:pPr>
              <w:pStyle w:val="ListParagraph"/>
              <w:spacing w:before="22" w:line="360" w:lineRule="auto"/>
              <w:ind w:left="306"/>
              <w:rPr>
                <w:rFonts w:ascii="Arial" w:eastAsia="Calibri Light" w:hAnsi="Arial" w:cs="Arial"/>
                <w:b/>
                <w:sz w:val="22"/>
                <w:szCs w:val="22"/>
              </w:rPr>
            </w:pPr>
          </w:p>
        </w:tc>
      </w:tr>
      <w:tr w:rsidR="00874A36" w14:paraId="3A0C95B6" w14:textId="77777777">
        <w:tc>
          <w:tcPr>
            <w:tcW w:w="9010" w:type="dxa"/>
            <w:gridSpan w:val="2"/>
            <w:shd w:val="clear" w:color="auto" w:fill="E1EBF7"/>
          </w:tcPr>
          <w:p w14:paraId="59A7C98C" w14:textId="77777777" w:rsidR="00874A36" w:rsidRDefault="00000000">
            <w:pPr>
              <w:spacing w:before="22" w:line="360" w:lineRule="auto"/>
              <w:rPr>
                <w:rFonts w:ascii="Arial" w:eastAsia="Calibri Light" w:hAnsi="Arial" w:cs="Arial"/>
                <w:b/>
                <w:szCs w:val="22"/>
              </w:rPr>
            </w:pPr>
            <w:r>
              <w:rPr>
                <w:rFonts w:ascii="Arial" w:eastAsia="Calibri Light" w:hAnsi="Arial" w:cs="Arial"/>
                <w:b/>
                <w:szCs w:val="22"/>
              </w:rPr>
              <w:t xml:space="preserve"> </w:t>
            </w:r>
          </w:p>
          <w:p w14:paraId="14EBEF6E" w14:textId="77777777" w:rsidR="00874A36" w:rsidRDefault="00000000">
            <w:pPr>
              <w:spacing w:before="22" w:line="360" w:lineRule="auto"/>
              <w:rPr>
                <w:rFonts w:ascii="Arial" w:eastAsia="Calibri Light" w:hAnsi="Arial" w:cs="Arial"/>
                <w:b/>
                <w:szCs w:val="22"/>
              </w:rPr>
            </w:pPr>
            <w:r>
              <w:rPr>
                <w:rFonts w:ascii="Arial" w:eastAsia="Calibri Light" w:hAnsi="Arial" w:cs="Arial"/>
                <w:b/>
                <w:szCs w:val="22"/>
              </w:rPr>
              <w:t>S</w:t>
            </w:r>
            <w:r>
              <w:rPr>
                <w:rFonts w:ascii="Arial" w:eastAsia="Calibri Light" w:hAnsi="Arial" w:cs="Arial"/>
                <w:b/>
                <w:spacing w:val="2"/>
                <w:szCs w:val="22"/>
              </w:rPr>
              <w:t>e</w:t>
            </w:r>
            <w:r>
              <w:rPr>
                <w:rFonts w:ascii="Arial" w:eastAsia="Calibri Light" w:hAnsi="Arial" w:cs="Arial"/>
                <w:b/>
                <w:spacing w:val="1"/>
                <w:szCs w:val="22"/>
              </w:rPr>
              <w:t>c</w:t>
            </w:r>
            <w:r>
              <w:rPr>
                <w:rFonts w:ascii="Arial" w:eastAsia="Calibri Light" w:hAnsi="Arial" w:cs="Arial"/>
                <w:b/>
                <w:spacing w:val="-2"/>
                <w:szCs w:val="22"/>
              </w:rPr>
              <w:t>t</w:t>
            </w:r>
            <w:r>
              <w:rPr>
                <w:rFonts w:ascii="Arial" w:eastAsia="Calibri Light" w:hAnsi="Arial" w:cs="Arial"/>
                <w:b/>
                <w:spacing w:val="1"/>
                <w:szCs w:val="22"/>
              </w:rPr>
              <w:t>i</w:t>
            </w:r>
            <w:r>
              <w:rPr>
                <w:rFonts w:ascii="Arial" w:eastAsia="Calibri Light" w:hAnsi="Arial" w:cs="Arial"/>
                <w:b/>
                <w:szCs w:val="22"/>
              </w:rPr>
              <w:t>on</w:t>
            </w:r>
            <w:r>
              <w:rPr>
                <w:rFonts w:ascii="Arial" w:eastAsia="Calibri Light" w:hAnsi="Arial" w:cs="Arial"/>
                <w:b/>
                <w:spacing w:val="1"/>
                <w:szCs w:val="22"/>
              </w:rPr>
              <w:t xml:space="preserve"> B</w:t>
            </w:r>
            <w:r>
              <w:rPr>
                <w:rFonts w:ascii="Arial" w:eastAsia="Calibri Light" w:hAnsi="Arial" w:cs="Arial"/>
                <w:b/>
                <w:szCs w:val="22"/>
              </w:rPr>
              <w:t>:</w:t>
            </w:r>
            <w:r>
              <w:rPr>
                <w:rFonts w:ascii="Arial" w:eastAsia="Calibri Light" w:hAnsi="Arial" w:cs="Arial"/>
                <w:b/>
                <w:spacing w:val="2"/>
                <w:szCs w:val="22"/>
              </w:rPr>
              <w:t xml:space="preserve"> </w:t>
            </w:r>
            <w:r>
              <w:rPr>
                <w:rFonts w:ascii="Arial" w:eastAsia="Calibri Light" w:hAnsi="Arial" w:cs="Arial"/>
                <w:b/>
                <w:spacing w:val="1"/>
                <w:szCs w:val="22"/>
              </w:rPr>
              <w:t>W</w:t>
            </w:r>
            <w:r>
              <w:rPr>
                <w:rFonts w:ascii="Arial" w:eastAsia="Calibri Light" w:hAnsi="Arial" w:cs="Arial"/>
                <w:b/>
                <w:szCs w:val="22"/>
              </w:rPr>
              <w:t>h</w:t>
            </w:r>
            <w:r>
              <w:rPr>
                <w:rFonts w:ascii="Arial" w:eastAsia="Calibri Light" w:hAnsi="Arial" w:cs="Arial"/>
                <w:b/>
                <w:spacing w:val="2"/>
                <w:szCs w:val="22"/>
              </w:rPr>
              <w:t>a</w:t>
            </w:r>
            <w:r>
              <w:rPr>
                <w:rFonts w:ascii="Arial" w:eastAsia="Calibri Light" w:hAnsi="Arial" w:cs="Arial"/>
                <w:b/>
                <w:szCs w:val="22"/>
              </w:rPr>
              <w:t>t</w:t>
            </w:r>
            <w:r>
              <w:rPr>
                <w:rFonts w:ascii="Arial" w:eastAsia="Calibri Light" w:hAnsi="Arial" w:cs="Arial"/>
                <w:b/>
                <w:spacing w:val="-2"/>
                <w:szCs w:val="22"/>
              </w:rPr>
              <w:t xml:space="preserve"> </w:t>
            </w:r>
            <w:r>
              <w:rPr>
                <w:rFonts w:ascii="Arial" w:eastAsia="Calibri Light" w:hAnsi="Arial" w:cs="Arial"/>
                <w:b/>
                <w:spacing w:val="2"/>
                <w:szCs w:val="22"/>
              </w:rPr>
              <w:t>a</w:t>
            </w:r>
            <w:r>
              <w:rPr>
                <w:rFonts w:ascii="Arial" w:eastAsia="Calibri Light" w:hAnsi="Arial" w:cs="Arial"/>
                <w:b/>
                <w:spacing w:val="-1"/>
                <w:szCs w:val="22"/>
              </w:rPr>
              <w:t>r</w:t>
            </w:r>
            <w:r>
              <w:rPr>
                <w:rFonts w:ascii="Arial" w:eastAsia="Calibri Light" w:hAnsi="Arial" w:cs="Arial"/>
                <w:b/>
                <w:szCs w:val="22"/>
              </w:rPr>
              <w:t>e</w:t>
            </w:r>
            <w:r>
              <w:rPr>
                <w:rFonts w:ascii="Arial" w:eastAsia="Calibri Light" w:hAnsi="Arial" w:cs="Arial"/>
                <w:b/>
                <w:spacing w:val="1"/>
                <w:szCs w:val="22"/>
              </w:rPr>
              <w:t xml:space="preserve"> </w:t>
            </w:r>
            <w:r>
              <w:rPr>
                <w:rFonts w:ascii="Arial" w:eastAsia="Calibri Light" w:hAnsi="Arial" w:cs="Arial"/>
                <w:b/>
                <w:spacing w:val="-2"/>
                <w:szCs w:val="22"/>
              </w:rPr>
              <w:t>t</w:t>
            </w:r>
            <w:r>
              <w:rPr>
                <w:rFonts w:ascii="Arial" w:eastAsia="Calibri Light" w:hAnsi="Arial" w:cs="Arial"/>
                <w:b/>
                <w:szCs w:val="22"/>
              </w:rPr>
              <w:t>he</w:t>
            </w:r>
            <w:r>
              <w:rPr>
                <w:rFonts w:ascii="Arial" w:eastAsia="Calibri Light" w:hAnsi="Arial" w:cs="Arial"/>
                <w:b/>
                <w:spacing w:val="2"/>
                <w:szCs w:val="22"/>
              </w:rPr>
              <w:t xml:space="preserve"> </w:t>
            </w:r>
            <w:r>
              <w:rPr>
                <w:rFonts w:ascii="Arial" w:eastAsia="Calibri Light" w:hAnsi="Arial" w:cs="Arial"/>
                <w:b/>
                <w:szCs w:val="22"/>
              </w:rPr>
              <w:t>re</w:t>
            </w:r>
            <w:r>
              <w:rPr>
                <w:rFonts w:ascii="Arial" w:eastAsia="Calibri Light" w:hAnsi="Arial" w:cs="Arial"/>
                <w:b/>
                <w:spacing w:val="-5"/>
                <w:szCs w:val="22"/>
              </w:rPr>
              <w:t>s</w:t>
            </w:r>
            <w:r>
              <w:rPr>
                <w:rFonts w:ascii="Arial" w:eastAsia="Calibri Light" w:hAnsi="Arial" w:cs="Arial"/>
                <w:b/>
                <w:szCs w:val="22"/>
              </w:rPr>
              <w:t>u</w:t>
            </w:r>
            <w:r>
              <w:rPr>
                <w:rFonts w:ascii="Arial" w:eastAsia="Calibri Light" w:hAnsi="Arial" w:cs="Arial"/>
                <w:b/>
                <w:spacing w:val="2"/>
                <w:szCs w:val="22"/>
              </w:rPr>
              <w:t>l</w:t>
            </w:r>
            <w:r>
              <w:rPr>
                <w:rFonts w:ascii="Arial" w:eastAsia="Calibri Light" w:hAnsi="Arial" w:cs="Arial"/>
                <w:b/>
                <w:spacing w:val="-2"/>
                <w:szCs w:val="22"/>
              </w:rPr>
              <w:t>t</w:t>
            </w:r>
            <w:r>
              <w:rPr>
                <w:rFonts w:ascii="Arial" w:eastAsia="Calibri Light" w:hAnsi="Arial" w:cs="Arial"/>
                <w:b/>
                <w:szCs w:val="22"/>
              </w:rPr>
              <w:t>s?</w:t>
            </w:r>
          </w:p>
          <w:p w14:paraId="3A4D1432" w14:textId="77777777" w:rsidR="00874A36" w:rsidRDefault="00874A36">
            <w:pPr>
              <w:spacing w:before="22" w:line="360" w:lineRule="auto"/>
              <w:rPr>
                <w:rFonts w:ascii="Arial" w:eastAsia="Calibri Light" w:hAnsi="Arial" w:cs="Arial"/>
                <w:b/>
                <w:szCs w:val="22"/>
              </w:rPr>
            </w:pPr>
          </w:p>
        </w:tc>
      </w:tr>
      <w:tr w:rsidR="00874A36" w14:paraId="6204DA12" w14:textId="77777777">
        <w:tc>
          <w:tcPr>
            <w:tcW w:w="4505" w:type="dxa"/>
          </w:tcPr>
          <w:p w14:paraId="0FD82EE7" w14:textId="77777777" w:rsidR="00874A36" w:rsidRDefault="00000000">
            <w:pPr>
              <w:pStyle w:val="ListParagraph"/>
              <w:numPr>
                <w:ilvl w:val="0"/>
                <w:numId w:val="10"/>
              </w:numPr>
              <w:spacing w:before="1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t>Have ethical issues been taken into consideration?</w:t>
            </w:r>
          </w:p>
          <w:p w14:paraId="738C07D7" w14:textId="77777777" w:rsidR="00874A36" w:rsidRDefault="00874A36">
            <w:pPr>
              <w:spacing w:before="10" w:line="360" w:lineRule="auto"/>
              <w:rPr>
                <w:rFonts w:ascii="Arial" w:eastAsia="Calibri Light" w:hAnsi="Arial" w:cs="Arial"/>
                <w:b/>
                <w:bCs/>
                <w:spacing w:val="1"/>
                <w:szCs w:val="22"/>
              </w:rPr>
            </w:pPr>
          </w:p>
          <w:p w14:paraId="5E15BE96" w14:textId="77777777" w:rsidR="00874A36" w:rsidRDefault="00874A36">
            <w:pPr>
              <w:spacing w:before="10" w:line="360" w:lineRule="auto"/>
              <w:rPr>
                <w:rFonts w:ascii="Arial" w:eastAsia="Calibri Light" w:hAnsi="Arial" w:cs="Arial"/>
                <w:b/>
                <w:bCs/>
                <w:spacing w:val="1"/>
                <w:szCs w:val="22"/>
              </w:rPr>
            </w:pPr>
          </w:p>
          <w:p w14:paraId="033D6786" w14:textId="77777777" w:rsidR="00874A36" w:rsidRDefault="00874A36">
            <w:pPr>
              <w:spacing w:before="10" w:line="360" w:lineRule="auto"/>
              <w:rPr>
                <w:rFonts w:ascii="Arial" w:eastAsia="Calibri Light" w:hAnsi="Arial" w:cs="Arial"/>
                <w:b/>
                <w:bCs/>
                <w:spacing w:val="1"/>
                <w:szCs w:val="22"/>
              </w:rPr>
            </w:pPr>
          </w:p>
          <w:p w14:paraId="65B929CA" w14:textId="77777777" w:rsidR="00874A36" w:rsidRDefault="00874A36">
            <w:pPr>
              <w:spacing w:before="10" w:line="360" w:lineRule="auto"/>
              <w:rPr>
                <w:rFonts w:ascii="Arial" w:eastAsia="Calibri Light" w:hAnsi="Arial" w:cs="Arial"/>
                <w:b/>
                <w:bCs/>
                <w:spacing w:val="1"/>
                <w:szCs w:val="22"/>
              </w:rPr>
            </w:pPr>
          </w:p>
          <w:p w14:paraId="0B850760" w14:textId="77777777" w:rsidR="00874A36" w:rsidRDefault="00874A36">
            <w:pPr>
              <w:spacing w:before="10" w:line="360" w:lineRule="auto"/>
              <w:rPr>
                <w:rFonts w:ascii="Arial" w:eastAsia="Calibri Light" w:hAnsi="Arial" w:cs="Arial"/>
                <w:b/>
                <w:bCs/>
                <w:spacing w:val="1"/>
                <w:szCs w:val="22"/>
              </w:rPr>
            </w:pPr>
          </w:p>
          <w:p w14:paraId="0978A1F4" w14:textId="77777777" w:rsidR="00874A36" w:rsidRDefault="00874A36">
            <w:pPr>
              <w:spacing w:before="10" w:line="360" w:lineRule="auto"/>
              <w:rPr>
                <w:rFonts w:ascii="Arial" w:eastAsia="Calibri Light" w:hAnsi="Arial" w:cs="Arial"/>
                <w:b/>
                <w:bCs/>
                <w:spacing w:val="1"/>
                <w:szCs w:val="22"/>
              </w:rPr>
            </w:pPr>
          </w:p>
          <w:p w14:paraId="73E9CA54" w14:textId="77777777" w:rsidR="00874A36" w:rsidRDefault="00874A36">
            <w:pPr>
              <w:spacing w:before="10" w:line="360" w:lineRule="auto"/>
              <w:rPr>
                <w:rFonts w:ascii="Arial" w:eastAsia="Calibri Light" w:hAnsi="Arial" w:cs="Arial"/>
                <w:b/>
                <w:bCs/>
                <w:spacing w:val="1"/>
                <w:szCs w:val="22"/>
              </w:rPr>
            </w:pPr>
          </w:p>
          <w:p w14:paraId="6B03FDA9" w14:textId="77777777" w:rsidR="00874A36" w:rsidRDefault="00874A36">
            <w:pPr>
              <w:pStyle w:val="ListParagraph"/>
              <w:spacing w:before="10" w:line="360" w:lineRule="auto"/>
              <w:ind w:left="360"/>
              <w:rPr>
                <w:rFonts w:ascii="Arial" w:eastAsia="Calibri Light" w:hAnsi="Arial" w:cs="Arial"/>
                <w:b/>
                <w:bCs/>
                <w:spacing w:val="1"/>
                <w:sz w:val="22"/>
                <w:szCs w:val="22"/>
              </w:rPr>
            </w:pPr>
          </w:p>
        </w:tc>
        <w:tc>
          <w:tcPr>
            <w:tcW w:w="4505" w:type="dxa"/>
          </w:tcPr>
          <w:p w14:paraId="1327340F"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3AD33E3F" w14:textId="77777777">
        <w:tc>
          <w:tcPr>
            <w:tcW w:w="9010" w:type="dxa"/>
            <w:gridSpan w:val="2"/>
            <w:shd w:val="clear" w:color="auto" w:fill="F2F2F2"/>
          </w:tcPr>
          <w:p w14:paraId="6F2ECE56"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71AEA55C" w14:textId="77777777" w:rsidR="00874A36" w:rsidRDefault="00000000">
            <w:pPr>
              <w:pStyle w:val="ListParagraph"/>
              <w:numPr>
                <w:ilvl w:val="0"/>
                <w:numId w:val="9"/>
              </w:numPr>
              <w:spacing w:before="10" w:line="360" w:lineRule="auto"/>
              <w:ind w:left="460" w:hanging="401"/>
              <w:rPr>
                <w:rFonts w:ascii="Arial" w:hAnsi="Arial" w:cs="Arial"/>
                <w:i/>
                <w:iCs/>
                <w:sz w:val="22"/>
                <w:szCs w:val="22"/>
              </w:rPr>
            </w:pPr>
            <w:r>
              <w:rPr>
                <w:rFonts w:ascii="Arial" w:hAnsi="Arial" w:cs="Arial"/>
                <w:i/>
                <w:iCs/>
                <w:sz w:val="22"/>
                <w:szCs w:val="22"/>
              </w:rPr>
              <w:t>If there are sufficient details of how the research was explained to participants for the reader to assess whether ethical standards were maintained</w:t>
            </w:r>
          </w:p>
          <w:p w14:paraId="540ABED2" w14:textId="77777777" w:rsidR="00874A36" w:rsidRDefault="00000000">
            <w:pPr>
              <w:pStyle w:val="ListParagraph"/>
              <w:numPr>
                <w:ilvl w:val="0"/>
                <w:numId w:val="9"/>
              </w:numPr>
              <w:spacing w:before="10" w:line="360" w:lineRule="auto"/>
              <w:ind w:left="460" w:hanging="401"/>
              <w:rPr>
                <w:rFonts w:ascii="Arial" w:hAnsi="Arial" w:cs="Arial"/>
                <w:i/>
                <w:iCs/>
                <w:sz w:val="22"/>
                <w:szCs w:val="22"/>
              </w:rPr>
            </w:pPr>
            <w:r>
              <w:rPr>
                <w:rFonts w:ascii="Arial" w:hAnsi="Arial" w:cs="Arial"/>
                <w:i/>
                <w:iCs/>
                <w:sz w:val="22"/>
                <w:szCs w:val="22"/>
              </w:rPr>
              <w:t>If the researcher has discussed issues raised by the study (e.g. issues around informed consent or confidentiality or how they have handled the effects of the study on the participants during and after the study)</w:t>
            </w:r>
          </w:p>
          <w:p w14:paraId="3B4756A1" w14:textId="77777777" w:rsidR="00874A36" w:rsidRDefault="00000000">
            <w:pPr>
              <w:pStyle w:val="ListParagraph"/>
              <w:numPr>
                <w:ilvl w:val="0"/>
                <w:numId w:val="9"/>
              </w:numPr>
              <w:spacing w:before="10" w:line="360" w:lineRule="auto"/>
              <w:ind w:left="460" w:hanging="401"/>
              <w:rPr>
                <w:rFonts w:ascii="Arial" w:hAnsi="Arial" w:cs="Arial"/>
                <w:i/>
                <w:iCs/>
                <w:sz w:val="22"/>
                <w:szCs w:val="22"/>
              </w:rPr>
            </w:pPr>
            <w:r>
              <w:rPr>
                <w:rFonts w:ascii="Arial" w:hAnsi="Arial" w:cs="Arial"/>
                <w:i/>
                <w:iCs/>
                <w:sz w:val="22"/>
                <w:szCs w:val="22"/>
              </w:rPr>
              <w:t xml:space="preserve">If approval has been sought from the ethics committee </w:t>
            </w:r>
          </w:p>
        </w:tc>
      </w:tr>
      <w:tr w:rsidR="00874A36" w14:paraId="237C1539" w14:textId="77777777">
        <w:tc>
          <w:tcPr>
            <w:tcW w:w="4505" w:type="dxa"/>
          </w:tcPr>
          <w:p w14:paraId="5507D5F8" w14:textId="77777777" w:rsidR="00874A36" w:rsidRDefault="00000000">
            <w:pPr>
              <w:pStyle w:val="ListParagraph"/>
              <w:numPr>
                <w:ilvl w:val="0"/>
                <w:numId w:val="10"/>
              </w:numPr>
              <w:spacing w:before="10" w:after="240" w:line="360" w:lineRule="auto"/>
              <w:ind w:left="306" w:hanging="284"/>
              <w:rPr>
                <w:rFonts w:ascii="Arial" w:eastAsia="Calibri Light" w:hAnsi="Arial" w:cs="Arial"/>
                <w:b/>
                <w:bCs/>
                <w:spacing w:val="1"/>
                <w:sz w:val="22"/>
                <w:szCs w:val="22"/>
              </w:rPr>
            </w:pPr>
            <w:r>
              <w:rPr>
                <w:rFonts w:ascii="Arial" w:eastAsia="Calibri Light" w:hAnsi="Arial" w:cs="Arial"/>
                <w:spacing w:val="1"/>
                <w:sz w:val="22"/>
                <w:szCs w:val="22"/>
              </w:rPr>
              <w:t>Was the data analysis sufficiently rigorous?</w:t>
            </w:r>
          </w:p>
          <w:p w14:paraId="28A87831" w14:textId="77777777" w:rsidR="00874A36" w:rsidRDefault="00874A36">
            <w:pPr>
              <w:spacing w:before="10" w:after="240" w:line="360" w:lineRule="auto"/>
              <w:rPr>
                <w:rFonts w:ascii="Arial" w:eastAsia="Calibri Light" w:hAnsi="Arial" w:cs="Arial"/>
                <w:b/>
                <w:bCs/>
                <w:spacing w:val="1"/>
                <w:szCs w:val="22"/>
              </w:rPr>
            </w:pPr>
          </w:p>
          <w:p w14:paraId="6217B542" w14:textId="77777777" w:rsidR="00874A36" w:rsidRDefault="00874A36">
            <w:pPr>
              <w:spacing w:before="10" w:after="240" w:line="360" w:lineRule="auto"/>
              <w:rPr>
                <w:rFonts w:ascii="Arial" w:eastAsia="Calibri Light" w:hAnsi="Arial" w:cs="Arial"/>
                <w:b/>
                <w:bCs/>
                <w:spacing w:val="1"/>
                <w:szCs w:val="22"/>
              </w:rPr>
            </w:pPr>
          </w:p>
          <w:p w14:paraId="42918D6D" w14:textId="77777777" w:rsidR="00874A36" w:rsidRDefault="00874A36">
            <w:pPr>
              <w:spacing w:before="10" w:after="240" w:line="360" w:lineRule="auto"/>
              <w:rPr>
                <w:rFonts w:ascii="Arial" w:eastAsia="Calibri Light" w:hAnsi="Arial" w:cs="Arial"/>
                <w:b/>
                <w:bCs/>
                <w:spacing w:val="1"/>
                <w:szCs w:val="22"/>
              </w:rPr>
            </w:pPr>
          </w:p>
          <w:p w14:paraId="64EB7061" w14:textId="77777777" w:rsidR="00874A36" w:rsidRDefault="00874A36">
            <w:pPr>
              <w:pStyle w:val="ListParagraph"/>
              <w:spacing w:before="10" w:line="360" w:lineRule="auto"/>
              <w:ind w:left="360"/>
              <w:rPr>
                <w:rFonts w:ascii="Arial" w:eastAsia="Calibri Light" w:hAnsi="Arial" w:cs="Arial"/>
                <w:b/>
                <w:bCs/>
                <w:spacing w:val="1"/>
                <w:sz w:val="22"/>
                <w:szCs w:val="22"/>
              </w:rPr>
            </w:pPr>
          </w:p>
        </w:tc>
        <w:tc>
          <w:tcPr>
            <w:tcW w:w="4505" w:type="dxa"/>
          </w:tcPr>
          <w:p w14:paraId="374314A7"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lastRenderedPageBreak/>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03166282" w14:textId="77777777">
        <w:tc>
          <w:tcPr>
            <w:tcW w:w="9010" w:type="dxa"/>
            <w:gridSpan w:val="2"/>
            <w:shd w:val="clear" w:color="auto" w:fill="F2F2F2"/>
          </w:tcPr>
          <w:p w14:paraId="6A46FB47"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4022CF40"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If there is an in-depth description of the analysis process</w:t>
            </w:r>
          </w:p>
          <w:p w14:paraId="127598C7"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If thematic analysis is used. If so, is it clear how the categories/themes were derived from the data</w:t>
            </w:r>
          </w:p>
          <w:p w14:paraId="4472CB8E"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Whether the researcher explains how the data presented were selected from the original sample to demonstrate the analysis process</w:t>
            </w:r>
          </w:p>
          <w:p w14:paraId="02F7E872"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If sufficient data are presented to support the findings</w:t>
            </w:r>
          </w:p>
          <w:p w14:paraId="7B9D196E"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To what extent contradictory data are taken into account</w:t>
            </w:r>
          </w:p>
          <w:p w14:paraId="54E57DC2" w14:textId="77777777" w:rsidR="00874A36" w:rsidRDefault="00000000">
            <w:pPr>
              <w:pStyle w:val="ListParagraph"/>
              <w:numPr>
                <w:ilvl w:val="0"/>
                <w:numId w:val="11"/>
              </w:numPr>
              <w:spacing w:before="10" w:after="240" w:line="360" w:lineRule="auto"/>
              <w:ind w:left="460" w:hanging="425"/>
              <w:rPr>
                <w:rFonts w:ascii="Arial" w:hAnsi="Arial" w:cs="Arial"/>
                <w:i/>
                <w:iCs/>
                <w:sz w:val="22"/>
                <w:szCs w:val="22"/>
              </w:rPr>
            </w:pPr>
            <w:r>
              <w:rPr>
                <w:rFonts w:ascii="Arial" w:hAnsi="Arial" w:cs="Arial"/>
                <w:i/>
                <w:iCs/>
                <w:sz w:val="22"/>
                <w:szCs w:val="22"/>
              </w:rPr>
              <w:t>Whether the researcher critically examined their own role, potential bias and influence during analysis and selection of data for presentation</w:t>
            </w:r>
          </w:p>
        </w:tc>
      </w:tr>
      <w:tr w:rsidR="00874A36" w14:paraId="5C319BCD" w14:textId="77777777">
        <w:tc>
          <w:tcPr>
            <w:tcW w:w="4505" w:type="dxa"/>
          </w:tcPr>
          <w:p w14:paraId="0CCDBF57" w14:textId="77777777" w:rsidR="00874A36" w:rsidRDefault="00000000">
            <w:pPr>
              <w:pStyle w:val="ListParagraph"/>
              <w:numPr>
                <w:ilvl w:val="0"/>
                <w:numId w:val="10"/>
              </w:numPr>
              <w:spacing w:before="10" w:after="240" w:line="360" w:lineRule="auto"/>
              <w:ind w:left="447" w:hanging="283"/>
              <w:rPr>
                <w:rFonts w:ascii="Arial" w:eastAsia="Calibri Light" w:hAnsi="Arial" w:cs="Arial"/>
                <w:b/>
                <w:bCs/>
                <w:spacing w:val="1"/>
                <w:sz w:val="22"/>
                <w:szCs w:val="22"/>
              </w:rPr>
            </w:pPr>
            <w:r>
              <w:rPr>
                <w:rFonts w:ascii="Arial" w:eastAsia="Calibri Light" w:hAnsi="Arial" w:cs="Arial"/>
                <w:spacing w:val="1"/>
                <w:sz w:val="22"/>
                <w:szCs w:val="22"/>
              </w:rPr>
              <w:t>Is there a clear statement of findings?</w:t>
            </w:r>
          </w:p>
          <w:p w14:paraId="4C32233B" w14:textId="77777777" w:rsidR="00874A36" w:rsidRDefault="00874A36">
            <w:pPr>
              <w:spacing w:before="10" w:after="240" w:line="360" w:lineRule="auto"/>
              <w:rPr>
                <w:rFonts w:ascii="Arial" w:eastAsia="Calibri Light" w:hAnsi="Arial" w:cs="Arial"/>
                <w:b/>
                <w:bCs/>
                <w:spacing w:val="1"/>
                <w:szCs w:val="22"/>
              </w:rPr>
            </w:pPr>
          </w:p>
          <w:p w14:paraId="3A7E68DD" w14:textId="77777777" w:rsidR="00874A36" w:rsidRDefault="00874A36">
            <w:pPr>
              <w:spacing w:before="10" w:after="240" w:line="360" w:lineRule="auto"/>
              <w:rPr>
                <w:rFonts w:ascii="Arial" w:eastAsia="Calibri Light" w:hAnsi="Arial" w:cs="Arial"/>
                <w:b/>
                <w:bCs/>
                <w:spacing w:val="1"/>
                <w:szCs w:val="22"/>
              </w:rPr>
            </w:pPr>
          </w:p>
          <w:p w14:paraId="1E89BA0F" w14:textId="77777777" w:rsidR="00874A36" w:rsidRDefault="00874A36">
            <w:pPr>
              <w:spacing w:before="10" w:after="240" w:line="360" w:lineRule="auto"/>
              <w:rPr>
                <w:rFonts w:ascii="Arial" w:eastAsia="Calibri Light" w:hAnsi="Arial" w:cs="Arial"/>
                <w:b/>
                <w:bCs/>
                <w:spacing w:val="1"/>
                <w:szCs w:val="22"/>
              </w:rPr>
            </w:pPr>
          </w:p>
          <w:p w14:paraId="24B387C6" w14:textId="77777777" w:rsidR="00874A36" w:rsidRDefault="00874A36">
            <w:pPr>
              <w:pStyle w:val="ListParagraph"/>
              <w:spacing w:before="10" w:line="360" w:lineRule="auto"/>
              <w:ind w:left="360"/>
              <w:rPr>
                <w:rFonts w:ascii="Arial" w:eastAsia="Calibri Light" w:hAnsi="Arial" w:cs="Arial"/>
                <w:b/>
                <w:bCs/>
                <w:spacing w:val="1"/>
                <w:sz w:val="22"/>
                <w:szCs w:val="22"/>
              </w:rPr>
            </w:pPr>
          </w:p>
        </w:tc>
        <w:tc>
          <w:tcPr>
            <w:tcW w:w="4505" w:type="dxa"/>
          </w:tcPr>
          <w:p w14:paraId="166C84DC"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0594C200" w14:textId="77777777">
        <w:tc>
          <w:tcPr>
            <w:tcW w:w="9010" w:type="dxa"/>
            <w:gridSpan w:val="2"/>
            <w:shd w:val="clear" w:color="auto" w:fill="F2F2F2"/>
          </w:tcPr>
          <w:p w14:paraId="7632E3EE" w14:textId="77777777" w:rsidR="00874A36" w:rsidRDefault="00000000">
            <w:pPr>
              <w:spacing w:before="10" w:line="360" w:lineRule="auto"/>
              <w:rPr>
                <w:rFonts w:ascii="Arial" w:hAnsi="Arial" w:cs="Arial"/>
                <w:i/>
                <w:iCs/>
                <w:szCs w:val="22"/>
              </w:rPr>
            </w:pPr>
            <w:r>
              <w:rPr>
                <w:rFonts w:ascii="Arial" w:hAnsi="Arial" w:cs="Arial"/>
                <w:i/>
                <w:iCs/>
                <w:szCs w:val="22"/>
              </w:rPr>
              <w:t xml:space="preserve">CONSIDER: </w:t>
            </w:r>
          </w:p>
          <w:p w14:paraId="195F2736" w14:textId="77777777" w:rsidR="00874A36" w:rsidRDefault="00000000">
            <w:pPr>
              <w:pStyle w:val="ListParagraph"/>
              <w:numPr>
                <w:ilvl w:val="0"/>
                <w:numId w:val="13"/>
              </w:numPr>
              <w:spacing w:before="10" w:line="360" w:lineRule="auto"/>
              <w:ind w:left="460" w:hanging="425"/>
              <w:rPr>
                <w:rFonts w:ascii="Arial" w:hAnsi="Arial" w:cs="Arial"/>
                <w:i/>
                <w:iCs/>
                <w:sz w:val="22"/>
                <w:szCs w:val="22"/>
              </w:rPr>
            </w:pPr>
            <w:r>
              <w:rPr>
                <w:rFonts w:ascii="Arial" w:hAnsi="Arial" w:cs="Arial"/>
                <w:i/>
                <w:iCs/>
                <w:sz w:val="22"/>
                <w:szCs w:val="22"/>
              </w:rPr>
              <w:t>If the findings are explicit</w:t>
            </w:r>
          </w:p>
          <w:p w14:paraId="726FFEEF" w14:textId="77777777" w:rsidR="00874A36" w:rsidRDefault="00000000">
            <w:pPr>
              <w:pStyle w:val="ListParagraph"/>
              <w:numPr>
                <w:ilvl w:val="0"/>
                <w:numId w:val="13"/>
              </w:numPr>
              <w:spacing w:before="10" w:line="360" w:lineRule="auto"/>
              <w:ind w:left="460" w:hanging="425"/>
              <w:rPr>
                <w:rFonts w:ascii="Arial" w:hAnsi="Arial" w:cs="Arial"/>
                <w:i/>
                <w:iCs/>
                <w:sz w:val="22"/>
                <w:szCs w:val="22"/>
              </w:rPr>
            </w:pPr>
            <w:r>
              <w:rPr>
                <w:rFonts w:ascii="Arial" w:hAnsi="Arial" w:cs="Arial"/>
                <w:i/>
                <w:iCs/>
                <w:sz w:val="22"/>
                <w:szCs w:val="22"/>
              </w:rPr>
              <w:t>If there is adequate discussion of the evidence both for and against the researcher’s arguments</w:t>
            </w:r>
          </w:p>
          <w:p w14:paraId="4D93F921" w14:textId="77777777" w:rsidR="00874A36" w:rsidRDefault="00000000">
            <w:pPr>
              <w:pStyle w:val="ListParagraph"/>
              <w:numPr>
                <w:ilvl w:val="0"/>
                <w:numId w:val="13"/>
              </w:numPr>
              <w:spacing w:before="10" w:line="360" w:lineRule="auto"/>
              <w:ind w:left="460" w:hanging="425"/>
              <w:rPr>
                <w:rFonts w:ascii="Arial" w:hAnsi="Arial" w:cs="Arial"/>
                <w:i/>
                <w:iCs/>
                <w:sz w:val="22"/>
                <w:szCs w:val="22"/>
              </w:rPr>
            </w:pPr>
            <w:r>
              <w:rPr>
                <w:rFonts w:ascii="Arial" w:hAnsi="Arial" w:cs="Arial"/>
                <w:i/>
                <w:iCs/>
                <w:sz w:val="22"/>
                <w:szCs w:val="22"/>
              </w:rPr>
              <w:t>If the researcher has discussed the credibility of their findings (e.g. triangulation, respondent validation, more than one analyst)</w:t>
            </w:r>
          </w:p>
          <w:p w14:paraId="40C94CD1" w14:textId="77777777" w:rsidR="00874A36" w:rsidRDefault="00000000">
            <w:pPr>
              <w:pStyle w:val="ListParagraph"/>
              <w:numPr>
                <w:ilvl w:val="0"/>
                <w:numId w:val="13"/>
              </w:numPr>
              <w:spacing w:before="10" w:after="240" w:line="360" w:lineRule="auto"/>
              <w:ind w:left="460" w:hanging="425"/>
              <w:rPr>
                <w:rFonts w:ascii="Arial" w:eastAsia="Calibri Light" w:hAnsi="Arial" w:cs="Arial"/>
                <w:i/>
                <w:iCs/>
                <w:spacing w:val="1"/>
                <w:sz w:val="22"/>
                <w:szCs w:val="22"/>
              </w:rPr>
            </w:pPr>
            <w:r>
              <w:rPr>
                <w:rFonts w:ascii="Arial" w:hAnsi="Arial" w:cs="Arial"/>
                <w:i/>
                <w:iCs/>
                <w:sz w:val="22"/>
                <w:szCs w:val="22"/>
              </w:rPr>
              <w:t>If the findings are discussed in relation to the original research question</w:t>
            </w:r>
          </w:p>
        </w:tc>
      </w:tr>
      <w:tr w:rsidR="00874A36" w14:paraId="474A7A4D" w14:textId="77777777">
        <w:tc>
          <w:tcPr>
            <w:tcW w:w="9010" w:type="dxa"/>
            <w:gridSpan w:val="2"/>
            <w:shd w:val="clear" w:color="auto" w:fill="E1EBF7"/>
          </w:tcPr>
          <w:p w14:paraId="36E325D5" w14:textId="77777777" w:rsidR="00874A36" w:rsidRDefault="00874A36">
            <w:pPr>
              <w:spacing w:line="360" w:lineRule="auto"/>
              <w:rPr>
                <w:rFonts w:ascii="Arial" w:eastAsia="Calibri Light" w:hAnsi="Arial" w:cs="Arial"/>
                <w:b/>
                <w:bCs/>
                <w:spacing w:val="2"/>
                <w:position w:val="1"/>
                <w:szCs w:val="22"/>
              </w:rPr>
            </w:pPr>
          </w:p>
          <w:p w14:paraId="432F402F" w14:textId="77777777" w:rsidR="00874A36" w:rsidRDefault="00000000">
            <w:pPr>
              <w:spacing w:line="360" w:lineRule="auto"/>
              <w:rPr>
                <w:rFonts w:ascii="Arial" w:eastAsia="Calibri Light" w:hAnsi="Arial" w:cs="Arial"/>
                <w:b/>
                <w:bCs/>
                <w:position w:val="1"/>
                <w:szCs w:val="22"/>
              </w:rPr>
            </w:pPr>
            <w:r>
              <w:rPr>
                <w:rFonts w:ascii="Arial" w:eastAsia="Calibri Light" w:hAnsi="Arial" w:cs="Arial"/>
                <w:b/>
                <w:bCs/>
                <w:spacing w:val="2"/>
                <w:position w:val="1"/>
                <w:szCs w:val="22"/>
              </w:rPr>
              <w:t>Se</w:t>
            </w:r>
            <w:r>
              <w:rPr>
                <w:rFonts w:ascii="Arial" w:eastAsia="Calibri Light" w:hAnsi="Arial" w:cs="Arial"/>
                <w:b/>
                <w:bCs/>
                <w:spacing w:val="1"/>
                <w:position w:val="1"/>
                <w:szCs w:val="22"/>
              </w:rPr>
              <w:t>c</w:t>
            </w:r>
            <w:r>
              <w:rPr>
                <w:rFonts w:ascii="Arial" w:eastAsia="Calibri Light" w:hAnsi="Arial" w:cs="Arial"/>
                <w:b/>
                <w:bCs/>
                <w:spacing w:val="-2"/>
                <w:position w:val="1"/>
                <w:szCs w:val="22"/>
              </w:rPr>
              <w:t>t</w:t>
            </w:r>
            <w:r>
              <w:rPr>
                <w:rFonts w:ascii="Arial" w:eastAsia="Calibri Light" w:hAnsi="Arial" w:cs="Arial"/>
                <w:b/>
                <w:bCs/>
                <w:spacing w:val="1"/>
                <w:position w:val="1"/>
                <w:szCs w:val="22"/>
              </w:rPr>
              <w:t>i</w:t>
            </w:r>
            <w:r>
              <w:rPr>
                <w:rFonts w:ascii="Arial" w:eastAsia="Calibri Light" w:hAnsi="Arial" w:cs="Arial"/>
                <w:b/>
                <w:bCs/>
                <w:position w:val="1"/>
                <w:szCs w:val="22"/>
              </w:rPr>
              <w:t>on</w:t>
            </w:r>
            <w:r>
              <w:rPr>
                <w:rFonts w:ascii="Arial" w:eastAsia="Calibri Light" w:hAnsi="Arial" w:cs="Arial"/>
                <w:b/>
                <w:bCs/>
                <w:spacing w:val="1"/>
                <w:position w:val="1"/>
                <w:szCs w:val="22"/>
              </w:rPr>
              <w:t xml:space="preserve"> C</w:t>
            </w:r>
            <w:r>
              <w:rPr>
                <w:rFonts w:ascii="Arial" w:eastAsia="Calibri Light" w:hAnsi="Arial" w:cs="Arial"/>
                <w:b/>
                <w:bCs/>
                <w:position w:val="1"/>
                <w:szCs w:val="22"/>
              </w:rPr>
              <w:t>:</w:t>
            </w:r>
            <w:r>
              <w:rPr>
                <w:rFonts w:ascii="Arial" w:eastAsia="Calibri Light" w:hAnsi="Arial" w:cs="Arial"/>
                <w:b/>
                <w:bCs/>
                <w:spacing w:val="2"/>
                <w:position w:val="1"/>
                <w:szCs w:val="22"/>
              </w:rPr>
              <w:t xml:space="preserve"> </w:t>
            </w:r>
            <w:r>
              <w:rPr>
                <w:rFonts w:ascii="Arial" w:eastAsia="Calibri Light" w:hAnsi="Arial" w:cs="Arial"/>
                <w:b/>
                <w:bCs/>
                <w:spacing w:val="1"/>
                <w:position w:val="1"/>
                <w:szCs w:val="22"/>
              </w:rPr>
              <w:t>Wi</w:t>
            </w:r>
            <w:r>
              <w:rPr>
                <w:rFonts w:ascii="Arial" w:eastAsia="Calibri Light" w:hAnsi="Arial" w:cs="Arial"/>
                <w:b/>
                <w:bCs/>
                <w:spacing w:val="-3"/>
                <w:position w:val="1"/>
                <w:szCs w:val="22"/>
              </w:rPr>
              <w:t>l</w:t>
            </w:r>
            <w:r>
              <w:rPr>
                <w:rFonts w:ascii="Arial" w:eastAsia="Calibri Light" w:hAnsi="Arial" w:cs="Arial"/>
                <w:b/>
                <w:bCs/>
                <w:position w:val="1"/>
                <w:szCs w:val="22"/>
              </w:rPr>
              <w:t>l</w:t>
            </w:r>
            <w:r>
              <w:rPr>
                <w:rFonts w:ascii="Arial" w:eastAsia="Calibri Light" w:hAnsi="Arial" w:cs="Arial"/>
                <w:b/>
                <w:bCs/>
                <w:spacing w:val="1"/>
                <w:position w:val="1"/>
                <w:szCs w:val="22"/>
              </w:rPr>
              <w:t xml:space="preserve"> </w:t>
            </w:r>
            <w:r>
              <w:rPr>
                <w:rFonts w:ascii="Arial" w:eastAsia="Calibri Light" w:hAnsi="Arial" w:cs="Arial"/>
                <w:b/>
                <w:bCs/>
                <w:spacing w:val="-2"/>
                <w:position w:val="1"/>
                <w:szCs w:val="22"/>
              </w:rPr>
              <w:t>t</w:t>
            </w:r>
            <w:r>
              <w:rPr>
                <w:rFonts w:ascii="Arial" w:eastAsia="Calibri Light" w:hAnsi="Arial" w:cs="Arial"/>
                <w:b/>
                <w:bCs/>
                <w:position w:val="1"/>
                <w:szCs w:val="22"/>
              </w:rPr>
              <w:t>he</w:t>
            </w:r>
            <w:r>
              <w:rPr>
                <w:rFonts w:ascii="Arial" w:eastAsia="Calibri Light" w:hAnsi="Arial" w:cs="Arial"/>
                <w:b/>
                <w:bCs/>
                <w:spacing w:val="2"/>
                <w:position w:val="1"/>
                <w:szCs w:val="22"/>
              </w:rPr>
              <w:t xml:space="preserve"> </w:t>
            </w:r>
            <w:r>
              <w:rPr>
                <w:rFonts w:ascii="Arial" w:eastAsia="Calibri Light" w:hAnsi="Arial" w:cs="Arial"/>
                <w:b/>
                <w:bCs/>
                <w:position w:val="1"/>
                <w:szCs w:val="22"/>
              </w:rPr>
              <w:t>resu</w:t>
            </w:r>
            <w:r>
              <w:rPr>
                <w:rFonts w:ascii="Arial" w:eastAsia="Calibri Light" w:hAnsi="Arial" w:cs="Arial"/>
                <w:b/>
                <w:bCs/>
                <w:spacing w:val="2"/>
                <w:position w:val="1"/>
                <w:szCs w:val="22"/>
              </w:rPr>
              <w:t>l</w:t>
            </w:r>
            <w:r>
              <w:rPr>
                <w:rFonts w:ascii="Arial" w:eastAsia="Calibri Light" w:hAnsi="Arial" w:cs="Arial"/>
                <w:b/>
                <w:bCs/>
                <w:spacing w:val="-2"/>
                <w:position w:val="1"/>
                <w:szCs w:val="22"/>
              </w:rPr>
              <w:t>t</w:t>
            </w:r>
            <w:r>
              <w:rPr>
                <w:rFonts w:ascii="Arial" w:eastAsia="Calibri Light" w:hAnsi="Arial" w:cs="Arial"/>
                <w:b/>
                <w:bCs/>
                <w:position w:val="1"/>
                <w:szCs w:val="22"/>
              </w:rPr>
              <w:t xml:space="preserve">s </w:t>
            </w:r>
            <w:r>
              <w:rPr>
                <w:rFonts w:ascii="Arial" w:eastAsia="Calibri Light" w:hAnsi="Arial" w:cs="Arial"/>
                <w:b/>
                <w:bCs/>
                <w:spacing w:val="1"/>
                <w:position w:val="1"/>
                <w:szCs w:val="22"/>
              </w:rPr>
              <w:t>h</w:t>
            </w:r>
            <w:r>
              <w:rPr>
                <w:rFonts w:ascii="Arial" w:eastAsia="Calibri Light" w:hAnsi="Arial" w:cs="Arial"/>
                <w:b/>
                <w:bCs/>
                <w:spacing w:val="-4"/>
                <w:position w:val="1"/>
                <w:szCs w:val="22"/>
              </w:rPr>
              <w:t>e</w:t>
            </w:r>
            <w:r>
              <w:rPr>
                <w:rFonts w:ascii="Arial" w:eastAsia="Calibri Light" w:hAnsi="Arial" w:cs="Arial"/>
                <w:b/>
                <w:bCs/>
                <w:spacing w:val="1"/>
                <w:position w:val="1"/>
                <w:szCs w:val="22"/>
              </w:rPr>
              <w:t>l</w:t>
            </w:r>
            <w:r>
              <w:rPr>
                <w:rFonts w:ascii="Arial" w:eastAsia="Calibri Light" w:hAnsi="Arial" w:cs="Arial"/>
                <w:b/>
                <w:bCs/>
                <w:position w:val="1"/>
                <w:szCs w:val="22"/>
              </w:rPr>
              <w:t>p</w:t>
            </w:r>
            <w:r>
              <w:rPr>
                <w:rFonts w:ascii="Arial" w:eastAsia="Calibri Light" w:hAnsi="Arial" w:cs="Arial"/>
                <w:b/>
                <w:bCs/>
                <w:spacing w:val="1"/>
                <w:position w:val="1"/>
                <w:szCs w:val="22"/>
              </w:rPr>
              <w:t xml:space="preserve"> l</w:t>
            </w:r>
            <w:r>
              <w:rPr>
                <w:rFonts w:ascii="Arial" w:eastAsia="Calibri Light" w:hAnsi="Arial" w:cs="Arial"/>
                <w:b/>
                <w:bCs/>
                <w:position w:val="1"/>
                <w:szCs w:val="22"/>
              </w:rPr>
              <w:t>o</w:t>
            </w:r>
            <w:r>
              <w:rPr>
                <w:rFonts w:ascii="Arial" w:eastAsia="Calibri Light" w:hAnsi="Arial" w:cs="Arial"/>
                <w:b/>
                <w:bCs/>
                <w:spacing w:val="-3"/>
                <w:position w:val="1"/>
                <w:szCs w:val="22"/>
              </w:rPr>
              <w:t>c</w:t>
            </w:r>
            <w:r>
              <w:rPr>
                <w:rFonts w:ascii="Arial" w:eastAsia="Calibri Light" w:hAnsi="Arial" w:cs="Arial"/>
                <w:b/>
                <w:bCs/>
                <w:spacing w:val="1"/>
                <w:position w:val="1"/>
                <w:szCs w:val="22"/>
              </w:rPr>
              <w:t>all</w:t>
            </w:r>
            <w:r>
              <w:rPr>
                <w:rFonts w:ascii="Arial" w:eastAsia="Calibri Light" w:hAnsi="Arial" w:cs="Arial"/>
                <w:b/>
                <w:bCs/>
                <w:spacing w:val="-2"/>
                <w:position w:val="1"/>
                <w:szCs w:val="22"/>
              </w:rPr>
              <w:t>y</w:t>
            </w:r>
            <w:r>
              <w:rPr>
                <w:rFonts w:ascii="Arial" w:eastAsia="Calibri Light" w:hAnsi="Arial" w:cs="Arial"/>
                <w:b/>
                <w:bCs/>
                <w:position w:val="1"/>
                <w:szCs w:val="22"/>
              </w:rPr>
              <w:t>?</w:t>
            </w:r>
          </w:p>
          <w:p w14:paraId="06BE22D2" w14:textId="77777777" w:rsidR="00874A36" w:rsidRDefault="00874A36">
            <w:pPr>
              <w:spacing w:line="360" w:lineRule="auto"/>
              <w:rPr>
                <w:rFonts w:ascii="Arial" w:eastAsia="Calibri Light" w:hAnsi="Arial" w:cs="Arial"/>
                <w:b/>
                <w:bCs/>
                <w:position w:val="1"/>
                <w:szCs w:val="22"/>
              </w:rPr>
            </w:pPr>
          </w:p>
        </w:tc>
      </w:tr>
      <w:tr w:rsidR="00874A36" w14:paraId="15B0F7C1" w14:textId="77777777">
        <w:tc>
          <w:tcPr>
            <w:tcW w:w="4505" w:type="dxa"/>
          </w:tcPr>
          <w:p w14:paraId="0F42B5AA" w14:textId="77777777" w:rsidR="00874A36" w:rsidRDefault="00000000">
            <w:pPr>
              <w:pStyle w:val="ListParagraph"/>
              <w:numPr>
                <w:ilvl w:val="0"/>
                <w:numId w:val="10"/>
              </w:numPr>
              <w:spacing w:before="10" w:line="360" w:lineRule="auto"/>
              <w:ind w:left="447" w:hanging="425"/>
              <w:rPr>
                <w:rFonts w:ascii="Arial" w:eastAsia="Calibri Light" w:hAnsi="Arial" w:cs="Arial"/>
                <w:b/>
                <w:bCs/>
                <w:spacing w:val="1"/>
                <w:sz w:val="22"/>
                <w:szCs w:val="22"/>
              </w:rPr>
            </w:pPr>
            <w:r>
              <w:rPr>
                <w:rFonts w:ascii="Arial" w:eastAsia="Calibri Light" w:hAnsi="Arial" w:cs="Arial"/>
                <w:spacing w:val="1"/>
                <w:sz w:val="22"/>
                <w:szCs w:val="22"/>
              </w:rPr>
              <w:t>How valuable is the research?</w:t>
            </w:r>
          </w:p>
          <w:p w14:paraId="0D3FFE7F" w14:textId="77777777" w:rsidR="00874A36" w:rsidRDefault="00874A36">
            <w:pPr>
              <w:spacing w:before="10" w:line="360" w:lineRule="auto"/>
              <w:rPr>
                <w:rFonts w:ascii="Arial" w:eastAsia="Calibri Light" w:hAnsi="Arial" w:cs="Arial"/>
                <w:b/>
                <w:bCs/>
                <w:spacing w:val="1"/>
                <w:szCs w:val="22"/>
              </w:rPr>
            </w:pPr>
          </w:p>
          <w:p w14:paraId="6B130967" w14:textId="77777777" w:rsidR="00874A36" w:rsidRDefault="00874A36">
            <w:pPr>
              <w:spacing w:before="10" w:line="360" w:lineRule="auto"/>
              <w:rPr>
                <w:rFonts w:ascii="Arial" w:eastAsia="Calibri Light" w:hAnsi="Arial" w:cs="Arial"/>
                <w:b/>
                <w:bCs/>
                <w:spacing w:val="1"/>
                <w:szCs w:val="22"/>
              </w:rPr>
            </w:pPr>
          </w:p>
          <w:p w14:paraId="545CA842" w14:textId="77777777" w:rsidR="00874A36" w:rsidRDefault="00874A36">
            <w:pPr>
              <w:spacing w:before="10" w:line="360" w:lineRule="auto"/>
              <w:rPr>
                <w:rFonts w:ascii="Arial" w:eastAsia="Calibri Light" w:hAnsi="Arial" w:cs="Arial"/>
                <w:b/>
                <w:bCs/>
                <w:spacing w:val="1"/>
                <w:szCs w:val="22"/>
              </w:rPr>
            </w:pPr>
          </w:p>
          <w:p w14:paraId="01AFBEED" w14:textId="77777777" w:rsidR="00874A36" w:rsidRDefault="00874A36">
            <w:pPr>
              <w:spacing w:before="10" w:line="360" w:lineRule="auto"/>
              <w:rPr>
                <w:rFonts w:ascii="Arial" w:eastAsia="Calibri Light" w:hAnsi="Arial" w:cs="Arial"/>
                <w:b/>
                <w:bCs/>
                <w:spacing w:val="1"/>
                <w:szCs w:val="22"/>
              </w:rPr>
            </w:pPr>
          </w:p>
          <w:p w14:paraId="4E3C407F" w14:textId="77777777" w:rsidR="00874A36" w:rsidRDefault="00874A36">
            <w:pPr>
              <w:spacing w:before="10" w:line="360" w:lineRule="auto"/>
              <w:rPr>
                <w:rFonts w:ascii="Arial" w:eastAsia="Calibri Light" w:hAnsi="Arial" w:cs="Arial"/>
                <w:b/>
                <w:bCs/>
                <w:spacing w:val="1"/>
                <w:szCs w:val="22"/>
              </w:rPr>
            </w:pPr>
          </w:p>
          <w:p w14:paraId="78831D08" w14:textId="77777777" w:rsidR="00874A36" w:rsidRDefault="00874A36">
            <w:pPr>
              <w:spacing w:before="10" w:line="360" w:lineRule="auto"/>
              <w:rPr>
                <w:rFonts w:ascii="Arial" w:eastAsia="Calibri Light" w:hAnsi="Arial" w:cs="Arial"/>
                <w:b/>
                <w:bCs/>
                <w:spacing w:val="1"/>
                <w:szCs w:val="22"/>
              </w:rPr>
            </w:pPr>
          </w:p>
        </w:tc>
        <w:tc>
          <w:tcPr>
            <w:tcW w:w="4505" w:type="dxa"/>
          </w:tcPr>
          <w:p w14:paraId="58FDA508" w14:textId="77777777" w:rsidR="00874A36" w:rsidRDefault="00000000">
            <w:pPr>
              <w:spacing w:before="10" w:line="360" w:lineRule="auto"/>
              <w:rPr>
                <w:rFonts w:ascii="Arial" w:eastAsia="Calibri Light" w:hAnsi="Arial" w:cs="Arial"/>
                <w:b/>
                <w:bCs/>
                <w:spacing w:val="1"/>
                <w:szCs w:val="22"/>
              </w:rPr>
            </w:pPr>
            <w:r>
              <w:rPr>
                <w:rFonts w:ascii="Arial" w:eastAsia="Calibri Light" w:hAnsi="Arial"/>
                <w:spacing w:val="1"/>
                <w:highlight w:val="yellow"/>
              </w:rPr>
              <w:lastRenderedPageBreak/>
              <w:fldChar w:fldCharType="begin"/>
            </w:r>
            <w:r>
              <w:rPr>
                <w:rFonts w:ascii="Arial" w:eastAsia="Calibri Light" w:hAnsi="Arial" w:cs="Arial"/>
                <w:spacing w:val="1"/>
                <w:szCs w:val="22"/>
                <w:highlight w:val="yellow"/>
              </w:rPr>
              <w:instrText xml:space="preserve"> FORMCHECKBOX </w:instrText>
            </w:r>
            <w:r>
              <w:rPr>
                <w:rFonts w:ascii="Arial" w:eastAsia="Calibri Light" w:hAnsi="Arial"/>
                <w:spacing w:val="1"/>
                <w:highlight w:val="yellow"/>
              </w:rPr>
              <w:fldChar w:fldCharType="separate"/>
            </w:r>
            <w:r>
              <w:rPr>
                <w:rFonts w:ascii="Arial" w:eastAsia="Calibri Light" w:hAnsi="Arial"/>
                <w:spacing w:val="1"/>
                <w:highlight w:val="yellow"/>
              </w:rPr>
              <w:fldChar w:fldCharType="end"/>
            </w:r>
            <w:r>
              <w:rPr>
                <w:rFonts w:ascii="Arial" w:eastAsia="Calibri Light" w:hAnsi="Arial" w:cs="Arial"/>
                <w:spacing w:val="1"/>
                <w:szCs w:val="22"/>
                <w:highlight w:val="yellow"/>
              </w:rPr>
              <w:t>Yes</w:t>
            </w:r>
            <w:r>
              <w:rPr>
                <w:rFonts w:ascii="Arial" w:eastAsia="Calibri Light" w:hAnsi="Arial" w:cs="Arial"/>
                <w:spacing w:val="1"/>
                <w:szCs w:val="22"/>
              </w:rPr>
              <w:t xml:space="preserve">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No </w:t>
            </w:r>
            <w:r>
              <w:rPr>
                <w:rFonts w:ascii="Arial" w:eastAsia="Calibri Light" w:hAnsi="Arial"/>
                <w:spacing w:val="1"/>
              </w:rPr>
              <w:fldChar w:fldCharType="begin"/>
            </w:r>
            <w:r>
              <w:rPr>
                <w:rFonts w:ascii="Arial" w:eastAsia="Calibri Light" w:hAnsi="Arial" w:cs="Arial"/>
                <w:spacing w:val="1"/>
                <w:szCs w:val="22"/>
              </w:rPr>
              <w:instrText xml:space="preserve"> FORMCHECKBOX </w:instrText>
            </w:r>
            <w:r>
              <w:rPr>
                <w:rFonts w:ascii="Arial" w:eastAsia="Calibri Light" w:hAnsi="Arial"/>
                <w:spacing w:val="1"/>
              </w:rPr>
              <w:fldChar w:fldCharType="separate"/>
            </w:r>
            <w:r>
              <w:rPr>
                <w:rFonts w:ascii="Arial" w:eastAsia="Calibri Light" w:hAnsi="Arial"/>
                <w:spacing w:val="1"/>
              </w:rPr>
              <w:fldChar w:fldCharType="end"/>
            </w:r>
            <w:r>
              <w:rPr>
                <w:rFonts w:ascii="Arial" w:eastAsia="Calibri Light" w:hAnsi="Arial" w:cs="Arial"/>
                <w:spacing w:val="1"/>
                <w:szCs w:val="22"/>
              </w:rPr>
              <w:t xml:space="preserve"> Can’t Tell</w:t>
            </w:r>
          </w:p>
        </w:tc>
      </w:tr>
      <w:tr w:rsidR="00874A36" w14:paraId="436C3A50" w14:textId="77777777">
        <w:tc>
          <w:tcPr>
            <w:tcW w:w="9010" w:type="dxa"/>
            <w:gridSpan w:val="2"/>
            <w:shd w:val="clear" w:color="auto" w:fill="F2F2F2"/>
          </w:tcPr>
          <w:p w14:paraId="411D6468" w14:textId="77777777" w:rsidR="00874A36" w:rsidRDefault="00000000">
            <w:pPr>
              <w:spacing w:before="10" w:line="360" w:lineRule="auto"/>
              <w:rPr>
                <w:rFonts w:ascii="Arial" w:hAnsi="Arial" w:cs="Arial"/>
                <w:i/>
                <w:iCs/>
                <w:szCs w:val="22"/>
              </w:rPr>
            </w:pPr>
            <w:r>
              <w:rPr>
                <w:rFonts w:ascii="Arial" w:hAnsi="Arial" w:cs="Arial"/>
                <w:i/>
                <w:iCs/>
                <w:szCs w:val="22"/>
              </w:rPr>
              <w:t>CONSIDER:</w:t>
            </w:r>
          </w:p>
          <w:p w14:paraId="1FA1B397" w14:textId="77777777" w:rsidR="00874A36" w:rsidRDefault="00000000">
            <w:pPr>
              <w:pStyle w:val="ListParagraph"/>
              <w:numPr>
                <w:ilvl w:val="0"/>
                <w:numId w:val="9"/>
              </w:numPr>
              <w:spacing w:before="10" w:after="240" w:line="360" w:lineRule="auto"/>
              <w:ind w:left="414" w:hanging="425"/>
              <w:rPr>
                <w:rFonts w:ascii="Arial" w:hAnsi="Arial" w:cs="Arial"/>
                <w:i/>
                <w:iCs/>
                <w:sz w:val="22"/>
                <w:szCs w:val="22"/>
              </w:rPr>
            </w:pPr>
            <w:r>
              <w:rPr>
                <w:rFonts w:ascii="Arial" w:hAnsi="Arial" w:cs="Arial"/>
                <w:i/>
                <w:iCs/>
                <w:sz w:val="22"/>
                <w:szCs w:val="22"/>
              </w:rPr>
              <w:t>If the researcher discusses the contribution the study makes to existing knowledge or understanding (e.g., do they consider the findings in relation to current practice or policy, or relevant research-based literature</w:t>
            </w:r>
          </w:p>
          <w:p w14:paraId="1973581D" w14:textId="77777777" w:rsidR="00874A36" w:rsidRDefault="00000000">
            <w:pPr>
              <w:pStyle w:val="ListParagraph"/>
              <w:numPr>
                <w:ilvl w:val="0"/>
                <w:numId w:val="9"/>
              </w:numPr>
              <w:spacing w:before="10" w:after="240" w:line="360" w:lineRule="auto"/>
              <w:ind w:left="414" w:hanging="425"/>
              <w:rPr>
                <w:rFonts w:ascii="Arial" w:hAnsi="Arial" w:cs="Arial"/>
                <w:i/>
                <w:iCs/>
                <w:sz w:val="22"/>
                <w:szCs w:val="22"/>
              </w:rPr>
            </w:pPr>
            <w:r>
              <w:rPr>
                <w:rFonts w:ascii="Arial" w:hAnsi="Arial" w:cs="Arial"/>
                <w:i/>
                <w:iCs/>
                <w:sz w:val="22"/>
                <w:szCs w:val="22"/>
              </w:rPr>
              <w:t xml:space="preserve">If they identify new areas where research is necessary </w:t>
            </w:r>
          </w:p>
          <w:p w14:paraId="7908031C" w14:textId="77777777" w:rsidR="00874A36" w:rsidRDefault="00000000">
            <w:pPr>
              <w:pStyle w:val="ListParagraph"/>
              <w:numPr>
                <w:ilvl w:val="0"/>
                <w:numId w:val="9"/>
              </w:numPr>
              <w:spacing w:before="10" w:after="240" w:line="360" w:lineRule="auto"/>
              <w:ind w:left="414" w:hanging="414"/>
              <w:rPr>
                <w:rFonts w:ascii="Arial" w:hAnsi="Arial" w:cs="Arial"/>
                <w:i/>
                <w:iCs/>
                <w:sz w:val="22"/>
                <w:szCs w:val="22"/>
              </w:rPr>
            </w:pPr>
            <w:r>
              <w:rPr>
                <w:rFonts w:ascii="Arial" w:hAnsi="Arial" w:cs="Arial"/>
                <w:i/>
                <w:iCs/>
                <w:sz w:val="22"/>
                <w:szCs w:val="22"/>
              </w:rPr>
              <w:t>If the researchers have discussed whether or how the findings can be transferred to other populations or considered other ways the research may be used</w:t>
            </w:r>
          </w:p>
        </w:tc>
      </w:tr>
    </w:tbl>
    <w:p w14:paraId="2A05F3B1" w14:textId="77777777" w:rsidR="00874A36" w:rsidRDefault="00874A36">
      <w:pPr>
        <w:spacing w:before="10" w:line="360" w:lineRule="auto"/>
        <w:rPr>
          <w:rFonts w:ascii="Arial" w:hAnsi="Arial"/>
          <w:i/>
          <w:iCs/>
          <w:color w:val="000000"/>
        </w:rPr>
      </w:pPr>
    </w:p>
    <w:tbl>
      <w:tblPr>
        <w:tblStyle w:val="TableGrid"/>
        <w:tblW w:w="0" w:type="auto"/>
        <w:tblInd w:w="-5" w:type="dxa"/>
        <w:tblLook w:val="04A0" w:firstRow="1" w:lastRow="0" w:firstColumn="1" w:lastColumn="0" w:noHBand="0" w:noVBand="1"/>
      </w:tblPr>
      <w:tblGrid>
        <w:gridCol w:w="3168"/>
        <w:gridCol w:w="3388"/>
        <w:gridCol w:w="2459"/>
      </w:tblGrid>
      <w:tr w:rsidR="00874A36" w14:paraId="005F8581" w14:textId="77777777">
        <w:trPr>
          <w:trHeight w:val="667"/>
        </w:trPr>
        <w:tc>
          <w:tcPr>
            <w:tcW w:w="9015" w:type="dxa"/>
            <w:gridSpan w:val="3"/>
            <w:shd w:val="clear" w:color="auto" w:fill="DAEEF3"/>
          </w:tcPr>
          <w:p w14:paraId="4162A4F8" w14:textId="77777777" w:rsidR="00874A36" w:rsidRDefault="00000000">
            <w:pPr>
              <w:spacing w:line="360" w:lineRule="auto"/>
              <w:rPr>
                <w:rFonts w:ascii="Arial" w:hAnsi="Arial" w:cs="Arial"/>
                <w:b/>
                <w:bCs/>
                <w:szCs w:val="22"/>
              </w:rPr>
            </w:pPr>
            <w:r>
              <w:rPr>
                <w:rFonts w:ascii="Arial" w:hAnsi="Arial" w:cs="Arial"/>
                <w:b/>
                <w:bCs/>
                <w:szCs w:val="22"/>
              </w:rPr>
              <w:t>APPRAISAL SUMMARY</w:t>
            </w:r>
            <w:r>
              <w:rPr>
                <w:rFonts w:ascii="Arial" w:hAnsi="Arial" w:cs="Arial"/>
                <w:szCs w:val="22"/>
              </w:rPr>
              <w:t xml:space="preserve">: </w:t>
            </w:r>
            <w:r>
              <w:rPr>
                <w:rFonts w:ascii="Arial" w:hAnsi="Arial" w:cs="Arial"/>
                <w:i/>
                <w:iCs/>
                <w:szCs w:val="22"/>
              </w:rPr>
              <w:t>List key points from your critical appraisal that need to be considered when assessing the validity of the results and their usefulness in decision-making.</w:t>
            </w:r>
          </w:p>
        </w:tc>
      </w:tr>
      <w:tr w:rsidR="00874A36" w14:paraId="657C5416" w14:textId="77777777">
        <w:trPr>
          <w:trHeight w:val="374"/>
        </w:trPr>
        <w:tc>
          <w:tcPr>
            <w:tcW w:w="3168" w:type="dxa"/>
          </w:tcPr>
          <w:p w14:paraId="6B915D4F" w14:textId="77777777" w:rsidR="00874A36" w:rsidRDefault="00000000">
            <w:pPr>
              <w:spacing w:line="360" w:lineRule="auto"/>
              <w:rPr>
                <w:rFonts w:ascii="Arial" w:hAnsi="Arial" w:cs="Arial"/>
                <w:b/>
                <w:bCs/>
                <w:szCs w:val="22"/>
              </w:rPr>
            </w:pPr>
            <w:r>
              <w:rPr>
                <w:rFonts w:ascii="Arial" w:hAnsi="Arial" w:cs="Arial"/>
                <w:b/>
                <w:bCs/>
                <w:szCs w:val="22"/>
              </w:rPr>
              <w:t>Positive/Methodologically sound</w:t>
            </w:r>
          </w:p>
        </w:tc>
        <w:tc>
          <w:tcPr>
            <w:tcW w:w="3388" w:type="dxa"/>
          </w:tcPr>
          <w:p w14:paraId="42B5896D" w14:textId="77777777" w:rsidR="00874A36" w:rsidRDefault="00000000">
            <w:pPr>
              <w:spacing w:line="360" w:lineRule="auto"/>
              <w:rPr>
                <w:rFonts w:ascii="Arial" w:hAnsi="Arial" w:cs="Arial"/>
                <w:b/>
                <w:bCs/>
                <w:szCs w:val="22"/>
              </w:rPr>
            </w:pPr>
            <w:r>
              <w:rPr>
                <w:rFonts w:ascii="Arial" w:hAnsi="Arial" w:cs="Arial"/>
                <w:b/>
                <w:bCs/>
                <w:szCs w:val="22"/>
              </w:rPr>
              <w:t>Negative/Relatively poor methodology</w:t>
            </w:r>
          </w:p>
        </w:tc>
        <w:tc>
          <w:tcPr>
            <w:tcW w:w="2459" w:type="dxa"/>
          </w:tcPr>
          <w:p w14:paraId="4965E7D9" w14:textId="77777777" w:rsidR="00874A36" w:rsidRDefault="00000000">
            <w:pPr>
              <w:spacing w:line="360" w:lineRule="auto"/>
              <w:rPr>
                <w:rFonts w:ascii="Arial" w:hAnsi="Arial" w:cs="Arial"/>
                <w:b/>
                <w:bCs/>
                <w:szCs w:val="22"/>
              </w:rPr>
            </w:pPr>
            <w:r>
              <w:rPr>
                <w:rFonts w:ascii="Arial" w:hAnsi="Arial" w:cs="Arial"/>
                <w:b/>
                <w:bCs/>
                <w:szCs w:val="22"/>
              </w:rPr>
              <w:t>Unknowns</w:t>
            </w:r>
          </w:p>
        </w:tc>
      </w:tr>
      <w:tr w:rsidR="00874A36" w14:paraId="29189227" w14:textId="77777777">
        <w:trPr>
          <w:trHeight w:val="373"/>
        </w:trPr>
        <w:tc>
          <w:tcPr>
            <w:tcW w:w="3168" w:type="dxa"/>
          </w:tcPr>
          <w:p w14:paraId="6DB2AB2D" w14:textId="77777777" w:rsidR="00874A36" w:rsidRDefault="00874A36">
            <w:pPr>
              <w:spacing w:line="360" w:lineRule="auto"/>
              <w:rPr>
                <w:rFonts w:ascii="Arial" w:hAnsi="Arial" w:cs="Arial"/>
                <w:b/>
                <w:bCs/>
                <w:szCs w:val="22"/>
              </w:rPr>
            </w:pPr>
          </w:p>
          <w:p w14:paraId="7A5DDFB8"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Clear research aims.</w:t>
            </w:r>
          </w:p>
          <w:p w14:paraId="7E5C9824"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Appropriate cross-sectional baseline design.</w:t>
            </w:r>
          </w:p>
          <w:p w14:paraId="4145987C"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Clearly defined inclusion and exclusion criteria.</w:t>
            </w:r>
          </w:p>
          <w:p w14:paraId="25F7AD2F"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Recruitment across multiple specialist diabetes centres.</w:t>
            </w:r>
          </w:p>
          <w:p w14:paraId="29BB9946"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Validated psychological and clinical measurement tools.</w:t>
            </w:r>
          </w:p>
          <w:p w14:paraId="1CF3EAEC"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Detailed statistical analysis.</w:t>
            </w:r>
          </w:p>
          <w:p w14:paraId="54882711"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 xml:space="preserve">Ethical approval and </w:t>
            </w:r>
            <w:r>
              <w:rPr>
                <w:rFonts w:ascii="Arial" w:hAnsi="Arial" w:cs="Arial"/>
                <w:sz w:val="22"/>
                <w:szCs w:val="22"/>
              </w:rPr>
              <w:lastRenderedPageBreak/>
              <w:t>informed consent obtained.</w:t>
            </w:r>
          </w:p>
          <w:p w14:paraId="064F8E06"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Findings clearly presented with acknowledged strengths and limitations.</w:t>
            </w:r>
          </w:p>
          <w:p w14:paraId="35081D4D" w14:textId="77777777" w:rsidR="00874A36" w:rsidRDefault="00874A36">
            <w:pPr>
              <w:spacing w:line="360" w:lineRule="auto"/>
              <w:rPr>
                <w:rFonts w:ascii="Arial" w:hAnsi="Arial" w:cs="Arial"/>
                <w:b/>
                <w:bCs/>
                <w:szCs w:val="22"/>
              </w:rPr>
            </w:pPr>
          </w:p>
          <w:p w14:paraId="1358D164" w14:textId="77777777" w:rsidR="00874A36" w:rsidRDefault="00874A36">
            <w:pPr>
              <w:spacing w:line="360" w:lineRule="auto"/>
              <w:rPr>
                <w:rFonts w:ascii="Arial" w:hAnsi="Arial" w:cs="Arial"/>
                <w:b/>
                <w:bCs/>
                <w:szCs w:val="22"/>
              </w:rPr>
            </w:pPr>
          </w:p>
          <w:p w14:paraId="5165A891" w14:textId="77777777" w:rsidR="00874A36" w:rsidRDefault="00874A36">
            <w:pPr>
              <w:spacing w:line="360" w:lineRule="auto"/>
              <w:rPr>
                <w:rFonts w:ascii="Arial" w:hAnsi="Arial" w:cs="Arial"/>
                <w:b/>
                <w:bCs/>
                <w:szCs w:val="22"/>
              </w:rPr>
            </w:pPr>
          </w:p>
          <w:p w14:paraId="4400A834" w14:textId="77777777" w:rsidR="00874A36" w:rsidRDefault="00874A36">
            <w:pPr>
              <w:spacing w:line="360" w:lineRule="auto"/>
              <w:rPr>
                <w:rFonts w:ascii="Arial" w:hAnsi="Arial" w:cs="Arial"/>
                <w:b/>
                <w:bCs/>
                <w:szCs w:val="22"/>
              </w:rPr>
            </w:pPr>
          </w:p>
          <w:p w14:paraId="6841B173" w14:textId="77777777" w:rsidR="00874A36" w:rsidRDefault="00874A36">
            <w:pPr>
              <w:spacing w:line="360" w:lineRule="auto"/>
              <w:rPr>
                <w:rFonts w:ascii="Arial" w:hAnsi="Arial" w:cs="Arial"/>
                <w:b/>
                <w:bCs/>
                <w:szCs w:val="22"/>
              </w:rPr>
            </w:pPr>
          </w:p>
          <w:p w14:paraId="3B416B75" w14:textId="77777777" w:rsidR="00874A36" w:rsidRDefault="00874A36">
            <w:pPr>
              <w:spacing w:line="360" w:lineRule="auto"/>
              <w:rPr>
                <w:rFonts w:ascii="Arial" w:hAnsi="Arial" w:cs="Arial"/>
                <w:b/>
                <w:bCs/>
                <w:szCs w:val="22"/>
              </w:rPr>
            </w:pPr>
          </w:p>
          <w:p w14:paraId="57C449CF" w14:textId="77777777" w:rsidR="00874A36" w:rsidRDefault="00874A36">
            <w:pPr>
              <w:spacing w:line="360" w:lineRule="auto"/>
              <w:rPr>
                <w:rFonts w:ascii="Arial" w:hAnsi="Arial" w:cs="Arial"/>
                <w:b/>
                <w:bCs/>
                <w:szCs w:val="22"/>
              </w:rPr>
            </w:pPr>
          </w:p>
        </w:tc>
        <w:tc>
          <w:tcPr>
            <w:tcW w:w="3388" w:type="dxa"/>
          </w:tcPr>
          <w:p w14:paraId="20507007"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lastRenderedPageBreak/>
              <w:t>Not qualitative; therefore this CASP checklist is not the ideal appraisal tool.</w:t>
            </w:r>
          </w:p>
          <w:p w14:paraId="48E6909D"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Cross-sectional design cannot establish causality.</w:t>
            </w:r>
          </w:p>
          <w:p w14:paraId="5046A93B" w14:textId="77777777" w:rsidR="00874A36" w:rsidRDefault="00000000">
            <w:pPr>
              <w:pStyle w:val="ListParagraph"/>
              <w:numPr>
                <w:ilvl w:val="0"/>
                <w:numId w:val="16"/>
              </w:numPr>
              <w:spacing w:line="360" w:lineRule="auto"/>
              <w:rPr>
                <w:rFonts w:ascii="Arial" w:hAnsi="Arial" w:cs="Arial"/>
                <w:sz w:val="22"/>
                <w:szCs w:val="22"/>
              </w:rPr>
            </w:pPr>
            <w:r>
              <w:rPr>
                <w:rFonts w:ascii="Arial" w:hAnsi="Arial" w:cs="Arial"/>
                <w:sz w:val="22"/>
                <w:szCs w:val="22"/>
              </w:rPr>
              <w:t>Self-reported severe hypoglycaemia may introduce recall bias.</w:t>
            </w:r>
          </w:p>
          <w:p w14:paraId="41D7203D" w14:textId="77777777" w:rsidR="00874A36" w:rsidRDefault="00000000">
            <w:pPr>
              <w:pStyle w:val="ListParagraph"/>
              <w:numPr>
                <w:ilvl w:val="0"/>
                <w:numId w:val="16"/>
              </w:numPr>
              <w:spacing w:line="360" w:lineRule="auto"/>
              <w:rPr>
                <w:rFonts w:ascii="Arial" w:hAnsi="Arial" w:cs="Arial"/>
                <w:b/>
                <w:bCs/>
                <w:sz w:val="22"/>
                <w:szCs w:val="22"/>
              </w:rPr>
            </w:pPr>
            <w:r>
              <w:rPr>
                <w:rFonts w:ascii="Arial" w:hAnsi="Arial" w:cs="Arial"/>
                <w:sz w:val="22"/>
                <w:szCs w:val="22"/>
              </w:rPr>
              <w:t>Participants may represent a research-volunteer sample, limiting generalisability.</w:t>
            </w:r>
          </w:p>
        </w:tc>
        <w:tc>
          <w:tcPr>
            <w:tcW w:w="2459" w:type="dxa"/>
          </w:tcPr>
          <w:p w14:paraId="74FC9BE6" w14:textId="77777777" w:rsidR="00874A36" w:rsidRDefault="00000000">
            <w:pPr>
              <w:pStyle w:val="ListParagraph"/>
              <w:numPr>
                <w:ilvl w:val="0"/>
                <w:numId w:val="17"/>
              </w:numPr>
              <w:spacing w:line="360" w:lineRule="auto"/>
              <w:rPr>
                <w:rFonts w:ascii="Arial" w:hAnsi="Arial" w:cs="Arial"/>
                <w:sz w:val="22"/>
                <w:szCs w:val="22"/>
              </w:rPr>
            </w:pPr>
            <w:r>
              <w:rPr>
                <w:rFonts w:ascii="Arial" w:hAnsi="Arial" w:cs="Arial"/>
                <w:sz w:val="22"/>
                <w:szCs w:val="22"/>
              </w:rPr>
              <w:t>Researcher reflexivity not discussed.</w:t>
            </w:r>
          </w:p>
          <w:p w14:paraId="19F5BB4C" w14:textId="77777777" w:rsidR="00874A36" w:rsidRDefault="00000000">
            <w:pPr>
              <w:pStyle w:val="ListParagraph"/>
              <w:numPr>
                <w:ilvl w:val="0"/>
                <w:numId w:val="17"/>
              </w:numPr>
              <w:spacing w:line="360" w:lineRule="auto"/>
              <w:rPr>
                <w:rFonts w:ascii="Arial" w:hAnsi="Arial" w:cs="Arial"/>
                <w:sz w:val="22"/>
                <w:szCs w:val="22"/>
              </w:rPr>
            </w:pPr>
            <w:r>
              <w:rPr>
                <w:rFonts w:ascii="Arial" w:hAnsi="Arial" w:cs="Arial"/>
                <w:sz w:val="22"/>
                <w:szCs w:val="22"/>
              </w:rPr>
              <w:t>Influence of researchers during recruitment and analysis not reported.</w:t>
            </w:r>
          </w:p>
          <w:p w14:paraId="031F0617" w14:textId="77777777" w:rsidR="00874A36" w:rsidRDefault="00000000">
            <w:pPr>
              <w:pStyle w:val="ListParagraph"/>
              <w:numPr>
                <w:ilvl w:val="0"/>
                <w:numId w:val="17"/>
              </w:numPr>
              <w:spacing w:line="360" w:lineRule="auto"/>
              <w:rPr>
                <w:rFonts w:ascii="Arial" w:hAnsi="Arial" w:cs="Arial"/>
                <w:sz w:val="22"/>
                <w:szCs w:val="22"/>
              </w:rPr>
            </w:pPr>
            <w:r>
              <w:rPr>
                <w:rFonts w:ascii="Arial" w:hAnsi="Arial" w:cs="Arial"/>
                <w:sz w:val="22"/>
                <w:szCs w:val="22"/>
              </w:rPr>
              <w:t>No discussion of researcher-participant relationship.</w:t>
            </w:r>
          </w:p>
          <w:p w14:paraId="58394BAA" w14:textId="77777777" w:rsidR="00874A36" w:rsidRDefault="00000000">
            <w:pPr>
              <w:pStyle w:val="ListParagraph"/>
              <w:numPr>
                <w:ilvl w:val="0"/>
                <w:numId w:val="17"/>
              </w:numPr>
              <w:spacing w:line="360" w:lineRule="auto"/>
              <w:rPr>
                <w:rFonts w:ascii="Arial" w:hAnsi="Arial" w:cs="Arial"/>
                <w:sz w:val="22"/>
                <w:szCs w:val="22"/>
              </w:rPr>
            </w:pPr>
            <w:r>
              <w:rPr>
                <w:rFonts w:ascii="Arial" w:hAnsi="Arial" w:cs="Arial"/>
                <w:sz w:val="22"/>
                <w:szCs w:val="22"/>
              </w:rPr>
              <w:t xml:space="preserve">Participant feedback (member checking) not applicable or </w:t>
            </w:r>
            <w:r>
              <w:rPr>
                <w:rFonts w:ascii="Arial" w:hAnsi="Arial" w:cs="Arial"/>
                <w:sz w:val="22"/>
                <w:szCs w:val="22"/>
              </w:rPr>
              <w:lastRenderedPageBreak/>
              <w:t>reported.</w:t>
            </w:r>
          </w:p>
        </w:tc>
      </w:tr>
    </w:tbl>
    <w:p w14:paraId="2EABA109" w14:textId="77777777" w:rsidR="00874A36" w:rsidRDefault="00874A36">
      <w:pPr>
        <w:spacing w:before="10" w:line="360" w:lineRule="auto"/>
        <w:rPr>
          <w:rFonts w:ascii="Arial" w:hAnsi="Arial"/>
          <w:i/>
          <w:iCs/>
          <w:color w:val="000000"/>
        </w:rPr>
      </w:pPr>
    </w:p>
    <w:p w14:paraId="094D98F6" w14:textId="77777777" w:rsidR="00874A36" w:rsidRDefault="00000000">
      <w:pPr>
        <w:spacing w:before="10" w:line="360" w:lineRule="auto"/>
        <w:rPr>
          <w:rFonts w:ascii="Arial" w:hAnsi="Arial"/>
          <w:i/>
          <w:iCs/>
          <w:color w:val="000000"/>
        </w:rPr>
      </w:pPr>
      <w:r>
        <w:rPr>
          <w:rFonts w:ascii="Arial" w:hAnsi="Arial"/>
          <w:i/>
          <w:iCs/>
          <w:color w:val="000000"/>
        </w:rPr>
        <w:t>Jacob, P., Potts, L., Maclean, R.H., de Zoysa, N., Rogers, H., Gonder-Frederick, L., Smith, E.L., Kariyawasam, D., Brooks, A., Heller, S., Toschi, E., Kendall, M., Bakolis, I., Choudhary, P., Goldsmith, K. and Amiel, S.A. (2022). Characteristics of adults with type 1 diabetes and treatment-resistant problematic hypoglycaemia: A baseline analysis from the HARPdoc RCT. Diabetologia, 65(6), pp.936–948. doi:10.1007/s00125-022-05679-5.</w:t>
      </w:r>
    </w:p>
    <w:p w14:paraId="00F1BBCF" w14:textId="77777777" w:rsidR="00874A36" w:rsidRDefault="00874A36">
      <w:pPr>
        <w:spacing w:line="360" w:lineRule="auto"/>
      </w:pPr>
    </w:p>
    <w:p w14:paraId="54BEAEA4" w14:textId="77777777" w:rsidR="00874A36" w:rsidRDefault="00000000">
      <w:pPr>
        <w:pStyle w:val="Heading1"/>
      </w:pPr>
      <w:bookmarkStart w:id="80" w:name="_Toc239687651"/>
      <w:r>
        <w:t>Appendix 2: Data extraction</w:t>
      </w:r>
      <w:bookmarkEnd w:id="80"/>
    </w:p>
    <w:tbl>
      <w:tblPr>
        <w:tblW w:w="9116" w:type="dxa"/>
        <w:tblCellMar>
          <w:left w:w="0" w:type="dxa"/>
          <w:right w:w="0" w:type="dxa"/>
        </w:tblCellMar>
        <w:tblLook w:val="04A0" w:firstRow="1" w:lastRow="0" w:firstColumn="1" w:lastColumn="0" w:noHBand="0" w:noVBand="1"/>
      </w:tblPr>
      <w:tblGrid>
        <w:gridCol w:w="794"/>
        <w:gridCol w:w="1063"/>
        <w:gridCol w:w="1601"/>
        <w:gridCol w:w="1248"/>
        <w:gridCol w:w="1405"/>
        <w:gridCol w:w="1384"/>
        <w:gridCol w:w="1621"/>
      </w:tblGrid>
      <w:tr w:rsidR="00EF0F78" w14:paraId="2C5504DC"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BEAF2F4" w14:textId="77777777" w:rsidR="00EF0F78" w:rsidRDefault="00EF0F78" w:rsidP="00C47AC8">
            <w:pPr>
              <w:rPr>
                <w:rFonts w:ascii="Arial" w:hAnsi="Arial"/>
                <w:b/>
                <w:bCs/>
                <w:lang w:val="en-IN"/>
              </w:rPr>
            </w:pPr>
            <w:r>
              <w:rPr>
                <w:rFonts w:ascii="Arial" w:hAnsi="Arial"/>
                <w:b/>
                <w:bCs/>
                <w:lang w:val="en-IN"/>
              </w:rPr>
              <w:t>Serial Number</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F776B7B" w14:textId="77777777" w:rsidR="00EF0F78" w:rsidRDefault="00EF0F78" w:rsidP="00C47AC8">
            <w:pPr>
              <w:rPr>
                <w:rFonts w:ascii="Arial" w:hAnsi="Arial"/>
                <w:b/>
                <w:bCs/>
                <w:lang w:val="en-IN"/>
              </w:rPr>
            </w:pPr>
            <w:r>
              <w:rPr>
                <w:rFonts w:ascii="Arial" w:hAnsi="Arial"/>
                <w:b/>
                <w:bCs/>
                <w:lang w:val="en-IN"/>
              </w:rPr>
              <w:t>Author name and date</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3633CCE" w14:textId="77777777" w:rsidR="00EF0F78" w:rsidRDefault="00EF0F78" w:rsidP="00C47AC8">
            <w:pPr>
              <w:rPr>
                <w:rFonts w:ascii="Arial" w:hAnsi="Arial"/>
                <w:b/>
                <w:bCs/>
                <w:lang w:val="en-IN"/>
              </w:rPr>
            </w:pPr>
            <w:r>
              <w:rPr>
                <w:rFonts w:ascii="Arial" w:hAnsi="Arial"/>
                <w:b/>
                <w:bCs/>
                <w:lang w:val="en-IN"/>
              </w:rPr>
              <w:t>Study objectives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1206CB3" w14:textId="77777777" w:rsidR="00EF0F78" w:rsidRDefault="00EF0F78" w:rsidP="00C47AC8">
            <w:pPr>
              <w:rPr>
                <w:rFonts w:ascii="Arial" w:hAnsi="Arial"/>
                <w:b/>
                <w:bCs/>
                <w:lang w:val="en-IN"/>
              </w:rPr>
            </w:pPr>
            <w:r>
              <w:rPr>
                <w:rFonts w:ascii="Arial" w:hAnsi="Arial"/>
                <w:b/>
                <w:bCs/>
                <w:lang w:val="en-IN"/>
              </w:rPr>
              <w:t>Methodology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3F6DBE7" w14:textId="77777777" w:rsidR="00EF0F78" w:rsidRDefault="00EF0F78" w:rsidP="00C47AC8">
            <w:pPr>
              <w:rPr>
                <w:rFonts w:ascii="Arial" w:hAnsi="Arial"/>
                <w:b/>
                <w:bCs/>
                <w:lang w:val="en-IN"/>
              </w:rPr>
            </w:pPr>
            <w:r>
              <w:rPr>
                <w:rFonts w:ascii="Arial" w:hAnsi="Arial"/>
                <w:b/>
                <w:bCs/>
                <w:lang w:val="en-IN"/>
              </w:rPr>
              <w:t>Sample characteristics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05F14B1" w14:textId="77777777" w:rsidR="00EF0F78" w:rsidRDefault="00EF0F78" w:rsidP="00C47AC8">
            <w:pPr>
              <w:rPr>
                <w:rFonts w:ascii="Arial" w:hAnsi="Arial"/>
                <w:b/>
                <w:bCs/>
                <w:lang w:val="en-IN"/>
              </w:rPr>
            </w:pPr>
            <w:r>
              <w:rPr>
                <w:rFonts w:ascii="Arial" w:hAnsi="Arial"/>
                <w:b/>
                <w:bCs/>
                <w:lang w:val="en-IN"/>
              </w:rPr>
              <w:t>Key findings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AA9BA19" w14:textId="77777777" w:rsidR="00EF0F78" w:rsidRDefault="00EF0F78" w:rsidP="00C47AC8">
            <w:pPr>
              <w:rPr>
                <w:rFonts w:ascii="Arial" w:hAnsi="Arial"/>
                <w:b/>
                <w:bCs/>
                <w:lang w:val="en-IN"/>
              </w:rPr>
            </w:pPr>
            <w:r>
              <w:rPr>
                <w:rFonts w:ascii="Arial" w:hAnsi="Arial"/>
                <w:b/>
                <w:bCs/>
                <w:lang w:val="en-IN"/>
              </w:rPr>
              <w:t>Limitations</w:t>
            </w:r>
          </w:p>
        </w:tc>
      </w:tr>
      <w:tr w:rsidR="00EF0F78" w14:paraId="5385E18C"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4A8331A" w14:textId="77777777" w:rsidR="00EF0F78" w:rsidRDefault="00EF0F78" w:rsidP="00C47AC8">
            <w:pPr>
              <w:rPr>
                <w:rFonts w:ascii="Arial" w:hAnsi="Arial"/>
                <w:lang w:val="en-IN"/>
              </w:rPr>
            </w:pPr>
            <w:r>
              <w:rPr>
                <w:rFonts w:ascii="Arial" w:hAnsi="Arial"/>
                <w:lang w:val="en-IN"/>
              </w:rPr>
              <w:t>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3BD5BB7" w14:textId="77777777" w:rsidR="00EF0F78" w:rsidRDefault="00EF0F78" w:rsidP="00C47AC8">
            <w:pPr>
              <w:rPr>
                <w:rFonts w:ascii="Arial" w:hAnsi="Arial"/>
                <w:lang w:val="en-IN"/>
              </w:rPr>
            </w:pPr>
            <w:r>
              <w:rPr>
                <w:rFonts w:ascii="Arial" w:hAnsi="Arial"/>
                <w:lang w:val="en-IN"/>
              </w:rPr>
              <w:t>Scott et al. (2017)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2744B35" w14:textId="77777777" w:rsidR="00EF0F78" w:rsidRDefault="00EF0F78" w:rsidP="00C47AC8">
            <w:pPr>
              <w:rPr>
                <w:rFonts w:ascii="Arial" w:hAnsi="Arial"/>
                <w:lang w:val="en-IN"/>
              </w:rPr>
            </w:pPr>
            <w:r>
              <w:rPr>
                <w:rFonts w:ascii="Arial" w:hAnsi="Arial"/>
                <w:lang w:val="en-IN"/>
              </w:rPr>
              <w:t>Review socioeconomic inequalities in mortality, morbidity and management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275EDEB" w14:textId="77777777" w:rsidR="00EF0F78" w:rsidRDefault="00EF0F78" w:rsidP="00C47AC8">
            <w:pPr>
              <w:rPr>
                <w:rFonts w:ascii="Arial" w:hAnsi="Arial"/>
                <w:lang w:val="en-IN"/>
              </w:rPr>
            </w:pPr>
            <w:r>
              <w:rPr>
                <w:rFonts w:ascii="Arial" w:hAnsi="Arial"/>
                <w:lang w:val="en-IN"/>
              </w:rPr>
              <w:t>Systematic narrative evidence review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1353D04" w14:textId="77777777" w:rsidR="00EF0F78" w:rsidRDefault="00EF0F78" w:rsidP="00C47AC8">
            <w:pPr>
              <w:rPr>
                <w:rFonts w:ascii="Arial" w:hAnsi="Arial"/>
                <w:lang w:val="en-IN"/>
              </w:rPr>
            </w:pPr>
            <w:r>
              <w:rPr>
                <w:rFonts w:ascii="Arial" w:hAnsi="Arial"/>
                <w:lang w:val="en-IN"/>
              </w:rPr>
              <w:t>Thirty-three studies: 12 cohort, 19 cross-sectional and two case-control studies.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272AAD4" w14:textId="77777777" w:rsidR="00EF0F78" w:rsidRDefault="00EF0F78" w:rsidP="00C47AC8">
            <w:pPr>
              <w:rPr>
                <w:rFonts w:ascii="Arial" w:hAnsi="Arial"/>
                <w:lang w:val="en-IN"/>
              </w:rPr>
            </w:pPr>
            <w:r>
              <w:rPr>
                <w:rFonts w:ascii="Arial" w:hAnsi="Arial"/>
                <w:lang w:val="en-IN"/>
              </w:rPr>
              <w:t>Lower socioeconomic status independently predicted greater mortality, morbidity and poorer diabetes management.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41061D5" w14:textId="77777777" w:rsidR="00EF0F78" w:rsidRDefault="00EF0F78" w:rsidP="00C47AC8">
            <w:pPr>
              <w:rPr>
                <w:rFonts w:ascii="Arial" w:hAnsi="Arial"/>
                <w:lang w:val="en-IN"/>
              </w:rPr>
            </w:pPr>
            <w:r>
              <w:rPr>
                <w:rFonts w:ascii="Arial" w:hAnsi="Arial"/>
                <w:lang w:val="en-IN"/>
              </w:rPr>
              <w:t>Heterogeneous studies, limited confounder adjustment and English-language OECD restriction reduced evidence breadth.</w:t>
            </w:r>
          </w:p>
        </w:tc>
      </w:tr>
      <w:tr w:rsidR="00EF0F78" w14:paraId="19BE59FF"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22AA867" w14:textId="77777777" w:rsidR="00EF0F78" w:rsidRDefault="00EF0F78" w:rsidP="00C47AC8">
            <w:pPr>
              <w:rPr>
                <w:rFonts w:ascii="Arial" w:hAnsi="Arial"/>
                <w:lang w:val="en-IN"/>
              </w:rPr>
            </w:pPr>
            <w:r>
              <w:rPr>
                <w:rFonts w:ascii="Arial" w:hAnsi="Arial"/>
                <w:lang w:val="en-IN"/>
              </w:rPr>
              <w:lastRenderedPageBreak/>
              <w:t>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98B4A83" w14:textId="77777777" w:rsidR="00EF0F78" w:rsidRDefault="00EF0F78" w:rsidP="00C47AC8">
            <w:pPr>
              <w:rPr>
                <w:rFonts w:ascii="Arial" w:hAnsi="Arial"/>
                <w:lang w:val="en-IN"/>
              </w:rPr>
            </w:pPr>
            <w:r>
              <w:rPr>
                <w:rFonts w:ascii="Arial" w:hAnsi="Arial"/>
                <w:lang w:val="en-IN"/>
              </w:rPr>
              <w:t>Fallon et al. (2022)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FB66E49" w14:textId="77777777" w:rsidR="00EF0F78" w:rsidRDefault="00EF0F78" w:rsidP="00C47AC8">
            <w:pPr>
              <w:rPr>
                <w:rFonts w:ascii="Arial" w:hAnsi="Arial"/>
                <w:lang w:val="en-IN"/>
              </w:rPr>
            </w:pPr>
            <w:r>
              <w:rPr>
                <w:rFonts w:ascii="Arial" w:hAnsi="Arial"/>
                <w:lang w:val="en-IN"/>
              </w:rPr>
              <w:t>Investigate socioeconomic inequalities affecting diabetes technology access and outcomes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4B1D98A" w14:textId="77777777" w:rsidR="00EF0F78" w:rsidRDefault="00EF0F78" w:rsidP="00C47AC8">
            <w:pPr>
              <w:rPr>
                <w:rFonts w:ascii="Arial" w:hAnsi="Arial"/>
                <w:lang w:val="en-IN"/>
              </w:rPr>
            </w:pPr>
            <w:r>
              <w:rPr>
                <w:rFonts w:ascii="Arial" w:hAnsi="Arial"/>
                <w:lang w:val="en-IN"/>
              </w:rPr>
              <w:t>Retrospective observational analysis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5F32FB8" w14:textId="77777777" w:rsidR="00EF0F78" w:rsidRDefault="00EF0F78" w:rsidP="00C47AC8">
            <w:pPr>
              <w:rPr>
                <w:rFonts w:ascii="Arial" w:hAnsi="Arial"/>
                <w:lang w:val="en-IN"/>
              </w:rPr>
            </w:pPr>
            <w:r>
              <w:rPr>
                <w:rFonts w:ascii="Arial" w:hAnsi="Arial"/>
                <w:lang w:val="en-IN"/>
              </w:rPr>
              <w:t>1,631 adults attending three urban hospitals in the United Kingdom.</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D7A5C3D" w14:textId="77777777" w:rsidR="00EF0F78" w:rsidRDefault="00EF0F78" w:rsidP="00C47AC8">
            <w:pPr>
              <w:rPr>
                <w:rFonts w:ascii="Arial" w:hAnsi="Arial"/>
                <w:lang w:val="en-IN"/>
              </w:rPr>
            </w:pPr>
            <w:r>
              <w:rPr>
                <w:rFonts w:ascii="Arial" w:hAnsi="Arial"/>
                <w:lang w:val="en-IN"/>
              </w:rPr>
              <w:t>Technology access was lower in deprived populations despite glycaemic benefits across all groups.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A318B6B" w14:textId="77777777" w:rsidR="00EF0F78" w:rsidRDefault="00EF0F78" w:rsidP="00C47AC8">
            <w:pPr>
              <w:rPr>
                <w:rFonts w:ascii="Arial" w:hAnsi="Arial"/>
                <w:lang w:val="en-IN"/>
              </w:rPr>
            </w:pPr>
            <w:r>
              <w:rPr>
                <w:rFonts w:ascii="Arial" w:hAnsi="Arial"/>
                <w:lang w:val="en-IN"/>
              </w:rPr>
              <w:t>Retrospective single-centre analysis limits causal interpretation and national generalisability.</w:t>
            </w:r>
          </w:p>
        </w:tc>
      </w:tr>
      <w:tr w:rsidR="00EF0F78" w14:paraId="761D5E35"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68F421C" w14:textId="77777777" w:rsidR="00EF0F78" w:rsidRDefault="00EF0F78" w:rsidP="00C47AC8">
            <w:pPr>
              <w:rPr>
                <w:rFonts w:ascii="Arial" w:hAnsi="Arial"/>
                <w:lang w:val="en-IN"/>
              </w:rPr>
            </w:pPr>
            <w:r>
              <w:rPr>
                <w:rFonts w:ascii="Arial" w:hAnsi="Arial"/>
                <w:lang w:val="en-IN"/>
              </w:rPr>
              <w:t>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0E80809" w14:textId="77777777" w:rsidR="00EF0F78" w:rsidRDefault="00EF0F78" w:rsidP="00C47AC8">
            <w:pPr>
              <w:rPr>
                <w:rFonts w:ascii="Arial" w:hAnsi="Arial"/>
                <w:lang w:val="en-IN"/>
              </w:rPr>
            </w:pPr>
            <w:r>
              <w:rPr>
                <w:rFonts w:ascii="Arial" w:hAnsi="Arial"/>
                <w:lang w:val="en-IN"/>
              </w:rPr>
              <w:t>Höhn et al. (2022)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0890F45" w14:textId="77777777" w:rsidR="00EF0F78" w:rsidRDefault="00EF0F78" w:rsidP="00C47AC8">
            <w:pPr>
              <w:rPr>
                <w:rFonts w:ascii="Arial" w:hAnsi="Arial"/>
                <w:lang w:val="en-IN"/>
              </w:rPr>
            </w:pPr>
            <w:r>
              <w:rPr>
                <w:rFonts w:ascii="Arial" w:hAnsi="Arial"/>
                <w:lang w:val="en-IN"/>
              </w:rPr>
              <w:t>Estimate socioeconomic differences in life expectancy and diabetes complications among Scottish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51BA747" w14:textId="77777777" w:rsidR="00EF0F78" w:rsidRDefault="00EF0F78" w:rsidP="00C47AC8">
            <w:pPr>
              <w:rPr>
                <w:rFonts w:ascii="Arial" w:hAnsi="Arial"/>
                <w:lang w:val="en-IN"/>
              </w:rPr>
            </w:pPr>
            <w:r>
              <w:rPr>
                <w:rFonts w:ascii="Arial" w:hAnsi="Arial"/>
                <w:lang w:val="en-IN"/>
              </w:rPr>
              <w:t>Retrospective cohort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0ED2723" w14:textId="77777777" w:rsidR="00EF0F78" w:rsidRDefault="00EF0F78" w:rsidP="00C47AC8">
            <w:pPr>
              <w:rPr>
                <w:rFonts w:ascii="Arial" w:hAnsi="Arial"/>
                <w:lang w:val="en-IN"/>
              </w:rPr>
            </w:pPr>
            <w:r>
              <w:rPr>
                <w:rFonts w:ascii="Arial" w:hAnsi="Arial"/>
                <w:lang w:val="en-IN"/>
              </w:rPr>
              <w:t>8,591 Scottish adults aged 50 years or older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503231D" w14:textId="77777777" w:rsidR="00EF0F78" w:rsidRDefault="00EF0F78" w:rsidP="00C47AC8">
            <w:pPr>
              <w:rPr>
                <w:rFonts w:ascii="Arial" w:hAnsi="Arial"/>
                <w:lang w:val="en-IN"/>
              </w:rPr>
            </w:pPr>
            <w:r>
              <w:rPr>
                <w:rFonts w:ascii="Arial" w:hAnsi="Arial"/>
                <w:lang w:val="en-IN"/>
              </w:rPr>
              <w:t>Greater deprivation markedly reduced life expectancy and increased years living with complications.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466C843" w14:textId="77777777" w:rsidR="00EF0F78" w:rsidRDefault="00EF0F78" w:rsidP="00C47AC8">
            <w:pPr>
              <w:rPr>
                <w:rFonts w:ascii="Arial" w:hAnsi="Arial"/>
                <w:lang w:val="en-IN"/>
              </w:rPr>
            </w:pPr>
            <w:r>
              <w:rPr>
                <w:rFonts w:ascii="Arial" w:hAnsi="Arial"/>
                <w:lang w:val="en-IN"/>
              </w:rPr>
              <w:t>Findings are specific to Scotland and may not generalise internationally.</w:t>
            </w:r>
          </w:p>
        </w:tc>
      </w:tr>
      <w:tr w:rsidR="00EF0F78" w14:paraId="48E3289E"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FB411B9" w14:textId="77777777" w:rsidR="00EF0F78" w:rsidRDefault="00EF0F78" w:rsidP="00C47AC8">
            <w:pPr>
              <w:rPr>
                <w:rFonts w:ascii="Arial" w:hAnsi="Arial"/>
                <w:lang w:val="en-IN"/>
              </w:rPr>
            </w:pPr>
            <w:r>
              <w:rPr>
                <w:rFonts w:ascii="Arial" w:hAnsi="Arial"/>
                <w:lang w:val="en-IN"/>
              </w:rPr>
              <w:t>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A18CF2F" w14:textId="77777777" w:rsidR="00EF0F78" w:rsidRDefault="00EF0F78" w:rsidP="00C47AC8">
            <w:pPr>
              <w:rPr>
                <w:rFonts w:ascii="Arial" w:hAnsi="Arial"/>
                <w:lang w:val="en-IN"/>
              </w:rPr>
            </w:pPr>
            <w:r>
              <w:rPr>
                <w:rFonts w:ascii="Arial" w:hAnsi="Arial"/>
                <w:lang w:val="en-IN"/>
              </w:rPr>
              <w:t>Lindner et al. (2017)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4D103E8" w14:textId="77777777" w:rsidR="00EF0F78" w:rsidRDefault="00EF0F78" w:rsidP="00C47AC8">
            <w:pPr>
              <w:rPr>
                <w:rFonts w:ascii="Arial" w:hAnsi="Arial"/>
                <w:lang w:val="en-IN"/>
              </w:rPr>
            </w:pPr>
            <w:r>
              <w:rPr>
                <w:rFonts w:ascii="Arial" w:hAnsi="Arial"/>
                <w:lang w:val="en-IN"/>
              </w:rPr>
              <w:t>Examine socioeconomic inequalities affecting glycaemic control, hypoglycaemia and ketoacidosis in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18FC036" w14:textId="77777777" w:rsidR="00EF0F78" w:rsidRDefault="00EF0F78" w:rsidP="00C47AC8">
            <w:pPr>
              <w:rPr>
                <w:rFonts w:ascii="Arial" w:hAnsi="Arial"/>
                <w:lang w:val="en-IN"/>
              </w:rPr>
            </w:pPr>
            <w:r>
              <w:rPr>
                <w:rFonts w:ascii="Arial" w:hAnsi="Arial"/>
                <w:lang w:val="en-IN"/>
              </w:rPr>
              <w:t>Systematic literature review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2CDA4CC" w14:textId="77777777" w:rsidR="00EF0F78" w:rsidRDefault="00EF0F78" w:rsidP="00C47AC8">
            <w:pPr>
              <w:rPr>
                <w:rFonts w:ascii="Arial" w:hAnsi="Arial"/>
                <w:lang w:val="en-IN"/>
              </w:rPr>
            </w:pPr>
            <w:r>
              <w:rPr>
                <w:rFonts w:ascii="Arial" w:hAnsi="Arial"/>
                <w:lang w:val="en-IN"/>
              </w:rPr>
              <w:t>Twenty-two observational studies examining socioeconomic status and diabetes outcomes.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637DD08" w14:textId="77777777" w:rsidR="00EF0F78" w:rsidRDefault="00EF0F78" w:rsidP="00C47AC8">
            <w:pPr>
              <w:rPr>
                <w:rFonts w:ascii="Arial" w:hAnsi="Arial"/>
                <w:lang w:val="en-IN"/>
              </w:rPr>
            </w:pPr>
            <w:r>
              <w:rPr>
                <w:rFonts w:ascii="Arial" w:hAnsi="Arial"/>
                <w:lang w:val="en-IN"/>
              </w:rPr>
              <w:t>Lower socioeconomic status consistently increased diabetic ketoacidosis risk across included studies.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8275B37" w14:textId="77777777" w:rsidR="00EF0F78" w:rsidRDefault="00EF0F78" w:rsidP="00C47AC8">
            <w:pPr>
              <w:rPr>
                <w:rFonts w:ascii="Arial" w:hAnsi="Arial"/>
                <w:lang w:val="en-IN"/>
              </w:rPr>
            </w:pPr>
            <w:r>
              <w:rPr>
                <w:rFonts w:ascii="Arial" w:hAnsi="Arial"/>
                <w:lang w:val="en-IN"/>
              </w:rPr>
              <w:t>Evidence for glycaemic control and hypoglycaemia remained inconsistent across studies.</w:t>
            </w:r>
          </w:p>
        </w:tc>
      </w:tr>
      <w:tr w:rsidR="00EF0F78" w14:paraId="235EE9A5"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D9A14DB" w14:textId="77777777" w:rsidR="00EF0F78" w:rsidRDefault="00EF0F78" w:rsidP="00C47AC8">
            <w:pPr>
              <w:rPr>
                <w:rFonts w:ascii="Arial" w:hAnsi="Arial"/>
                <w:lang w:val="en-IN"/>
              </w:rPr>
            </w:pPr>
            <w:r>
              <w:rPr>
                <w:rFonts w:ascii="Arial" w:hAnsi="Arial"/>
                <w:lang w:val="en-IN"/>
              </w:rPr>
              <w:t>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B1EFF22" w14:textId="77777777" w:rsidR="00EF0F78" w:rsidRDefault="00EF0F78" w:rsidP="00C47AC8">
            <w:pPr>
              <w:rPr>
                <w:rFonts w:ascii="Arial" w:hAnsi="Arial"/>
                <w:lang w:val="en-IN"/>
              </w:rPr>
            </w:pPr>
            <w:r>
              <w:rPr>
                <w:rFonts w:ascii="Arial" w:hAnsi="Arial"/>
                <w:lang w:val="en-IN"/>
              </w:rPr>
              <w:t>Auzanneau et al.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F2E9291" w14:textId="77777777" w:rsidR="00EF0F78" w:rsidRDefault="00EF0F78" w:rsidP="00C47AC8">
            <w:pPr>
              <w:rPr>
                <w:rFonts w:ascii="Arial" w:hAnsi="Arial"/>
                <w:lang w:val="en-IN"/>
              </w:rPr>
            </w:pPr>
            <w:r>
              <w:rPr>
                <w:rFonts w:ascii="Arial" w:hAnsi="Arial"/>
                <w:lang w:val="en-IN"/>
              </w:rPr>
              <w:t>Investigate demographic and socioeconomic factors associated with diabetes technology use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8B9AF00" w14:textId="77777777" w:rsidR="00EF0F78" w:rsidRDefault="00EF0F78" w:rsidP="00C47AC8">
            <w:pPr>
              <w:rPr>
                <w:rFonts w:ascii="Arial" w:hAnsi="Arial"/>
                <w:lang w:val="en-IN"/>
              </w:rPr>
            </w:pPr>
            <w:r>
              <w:rPr>
                <w:rFonts w:ascii="Arial" w:hAnsi="Arial"/>
                <w:lang w:val="en-IN"/>
              </w:rPr>
              <w:t>Registry-based observational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67B632D" w14:textId="77777777" w:rsidR="00EF0F78" w:rsidRDefault="00EF0F78" w:rsidP="00C47AC8">
            <w:pPr>
              <w:rPr>
                <w:rFonts w:ascii="Arial" w:hAnsi="Arial"/>
                <w:lang w:val="en-IN"/>
              </w:rPr>
            </w:pPr>
            <w:r>
              <w:rPr>
                <w:rFonts w:ascii="Arial" w:hAnsi="Arial"/>
                <w:lang w:val="en-IN"/>
              </w:rPr>
              <w:t>13,351 adults with Type 1 diabetes from German DPV registry.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6987675" w14:textId="77777777" w:rsidR="00EF0F78" w:rsidRDefault="00EF0F78" w:rsidP="00C47AC8">
            <w:pPr>
              <w:rPr>
                <w:rFonts w:ascii="Arial" w:hAnsi="Arial"/>
                <w:lang w:val="en-IN"/>
              </w:rPr>
            </w:pPr>
            <w:r>
              <w:rPr>
                <w:rFonts w:ascii="Arial" w:hAnsi="Arial"/>
                <w:lang w:val="en-IN"/>
              </w:rPr>
              <w:t>Older age, migration background and deprivation reduced technology adoption despite proven clinical benefits.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20560CA" w14:textId="77777777" w:rsidR="00EF0F78" w:rsidRDefault="00EF0F78" w:rsidP="00C47AC8">
            <w:pPr>
              <w:rPr>
                <w:rFonts w:ascii="Arial" w:hAnsi="Arial"/>
                <w:lang w:val="en-IN"/>
              </w:rPr>
            </w:pPr>
            <w:r>
              <w:rPr>
                <w:rFonts w:ascii="Arial" w:hAnsi="Arial"/>
                <w:lang w:val="en-IN"/>
              </w:rPr>
              <w:t>Observational registry design limits causal interpretation and excludes patient-reported experiences.</w:t>
            </w:r>
          </w:p>
        </w:tc>
      </w:tr>
      <w:tr w:rsidR="00EF0F78" w14:paraId="275248EB"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B3624A1" w14:textId="77777777" w:rsidR="00EF0F78" w:rsidRDefault="00EF0F78" w:rsidP="00C47AC8">
            <w:pPr>
              <w:rPr>
                <w:rFonts w:ascii="Arial" w:hAnsi="Arial"/>
                <w:lang w:val="en-IN"/>
              </w:rPr>
            </w:pPr>
            <w:r>
              <w:rPr>
                <w:rFonts w:ascii="Arial" w:hAnsi="Arial"/>
                <w:lang w:val="en-IN"/>
              </w:rPr>
              <w:t>6</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727FC1F" w14:textId="77777777" w:rsidR="00EF0F78" w:rsidRDefault="00EF0F78" w:rsidP="00C47AC8">
            <w:pPr>
              <w:rPr>
                <w:rFonts w:ascii="Arial" w:hAnsi="Arial"/>
                <w:lang w:val="en-IN"/>
              </w:rPr>
            </w:pPr>
            <w:r>
              <w:rPr>
                <w:rFonts w:ascii="Arial" w:hAnsi="Arial"/>
                <w:lang w:val="en-IN"/>
              </w:rPr>
              <w:t xml:space="preserve">Ebekozien et al. </w:t>
            </w:r>
            <w:r>
              <w:rPr>
                <w:rFonts w:ascii="Arial" w:hAnsi="Arial"/>
                <w:lang w:val="en-IN"/>
              </w:rPr>
              <w:lastRenderedPageBreak/>
              <w:t>(2024)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3FFFD9E" w14:textId="77777777" w:rsidR="00EF0F78" w:rsidRDefault="00EF0F78" w:rsidP="00C47AC8">
            <w:pPr>
              <w:rPr>
                <w:rFonts w:ascii="Arial" w:hAnsi="Arial"/>
                <w:lang w:val="en-IN"/>
              </w:rPr>
            </w:pPr>
            <w:r>
              <w:rPr>
                <w:rFonts w:ascii="Arial" w:hAnsi="Arial"/>
                <w:lang w:val="en-IN"/>
              </w:rPr>
              <w:lastRenderedPageBreak/>
              <w:t xml:space="preserve">Examine barriers limiting </w:t>
            </w:r>
            <w:r>
              <w:rPr>
                <w:rFonts w:ascii="Arial" w:hAnsi="Arial"/>
                <w:lang w:val="en-IN"/>
              </w:rPr>
              <w:lastRenderedPageBreak/>
              <w:t>diabetes technology access and recommend equitable digital health solutions.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EB14D65" w14:textId="77777777" w:rsidR="00EF0F78" w:rsidRDefault="00EF0F78" w:rsidP="00C47AC8">
            <w:pPr>
              <w:rPr>
                <w:rFonts w:ascii="Arial" w:hAnsi="Arial"/>
                <w:lang w:val="en-IN"/>
              </w:rPr>
            </w:pPr>
            <w:r>
              <w:rPr>
                <w:rFonts w:ascii="Arial" w:hAnsi="Arial"/>
                <w:lang w:val="en-IN"/>
              </w:rPr>
              <w:lastRenderedPageBreak/>
              <w:t xml:space="preserve">Narrative </w:t>
            </w:r>
            <w:r>
              <w:rPr>
                <w:rFonts w:ascii="Arial" w:hAnsi="Arial"/>
                <w:lang w:val="en-IN"/>
              </w:rPr>
              <w:lastRenderedPageBreak/>
              <w:t>review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2F301F8" w14:textId="77777777" w:rsidR="00EF0F78" w:rsidRDefault="00EF0F78" w:rsidP="00C47AC8">
            <w:pPr>
              <w:rPr>
                <w:rFonts w:ascii="Arial" w:hAnsi="Arial"/>
                <w:lang w:val="en-IN"/>
              </w:rPr>
            </w:pPr>
            <w:r>
              <w:rPr>
                <w:rFonts w:ascii="Arial" w:hAnsi="Arial"/>
                <w:lang w:val="en-IN"/>
              </w:rPr>
              <w:lastRenderedPageBreak/>
              <w:t xml:space="preserve">Evidence from </w:t>
            </w:r>
            <w:r>
              <w:rPr>
                <w:rFonts w:ascii="Arial" w:hAnsi="Arial"/>
                <w:lang w:val="en-IN"/>
              </w:rPr>
              <w:lastRenderedPageBreak/>
              <w:t>underserved diabetes populations and digital health technologies.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F9F5E9C" w14:textId="77777777" w:rsidR="00EF0F78" w:rsidRDefault="00EF0F78" w:rsidP="00C47AC8">
            <w:pPr>
              <w:rPr>
                <w:rFonts w:ascii="Arial" w:hAnsi="Arial"/>
                <w:lang w:val="en-IN"/>
              </w:rPr>
            </w:pPr>
            <w:r>
              <w:rPr>
                <w:rFonts w:ascii="Arial" w:hAnsi="Arial"/>
                <w:lang w:val="en-IN"/>
              </w:rPr>
              <w:lastRenderedPageBreak/>
              <w:t xml:space="preserve">Digital divide restricts </w:t>
            </w:r>
            <w:r>
              <w:rPr>
                <w:rFonts w:ascii="Arial" w:hAnsi="Arial"/>
                <w:lang w:val="en-IN"/>
              </w:rPr>
              <w:lastRenderedPageBreak/>
              <w:t>technology benefits, requiring equitable access and targeted implementation strategies.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FFD6682" w14:textId="77777777" w:rsidR="00EF0F78" w:rsidRDefault="00EF0F78" w:rsidP="00C47AC8">
            <w:pPr>
              <w:rPr>
                <w:rFonts w:ascii="Arial" w:hAnsi="Arial"/>
                <w:lang w:val="en-IN"/>
              </w:rPr>
            </w:pPr>
            <w:r>
              <w:rPr>
                <w:rFonts w:ascii="Arial" w:hAnsi="Arial"/>
                <w:lang w:val="en-IN"/>
              </w:rPr>
              <w:lastRenderedPageBreak/>
              <w:t xml:space="preserve">Narrative review lacks </w:t>
            </w:r>
            <w:r>
              <w:rPr>
                <w:rFonts w:ascii="Arial" w:hAnsi="Arial"/>
                <w:lang w:val="en-IN"/>
              </w:rPr>
              <w:lastRenderedPageBreak/>
              <w:t>primary empirical data and quantitative outcome evaluation.</w:t>
            </w:r>
          </w:p>
        </w:tc>
      </w:tr>
      <w:tr w:rsidR="00EF0F78" w14:paraId="7FA24A3E"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AC421FC" w14:textId="77777777" w:rsidR="00EF0F78" w:rsidRDefault="00EF0F78" w:rsidP="00C47AC8">
            <w:pPr>
              <w:rPr>
                <w:rFonts w:ascii="Arial" w:hAnsi="Arial"/>
                <w:lang w:val="en-IN"/>
              </w:rPr>
            </w:pPr>
            <w:r>
              <w:rPr>
                <w:rFonts w:ascii="Arial" w:hAnsi="Arial"/>
                <w:lang w:val="en-IN"/>
              </w:rPr>
              <w:lastRenderedPageBreak/>
              <w:t>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1588661" w14:textId="77777777" w:rsidR="00EF0F78" w:rsidRDefault="00EF0F78" w:rsidP="00C47AC8">
            <w:pPr>
              <w:rPr>
                <w:rFonts w:ascii="Arial" w:hAnsi="Arial"/>
                <w:lang w:val="en-IN"/>
              </w:rPr>
            </w:pPr>
            <w:r>
              <w:rPr>
                <w:rFonts w:ascii="Arial" w:hAnsi="Arial"/>
                <w:lang w:val="en-IN"/>
              </w:rPr>
              <w:t>Harris et al. (2018)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C281C2A" w14:textId="77777777" w:rsidR="00EF0F78" w:rsidRDefault="00EF0F78" w:rsidP="00C47AC8">
            <w:pPr>
              <w:rPr>
                <w:rFonts w:ascii="Arial" w:hAnsi="Arial"/>
                <w:lang w:val="en-IN"/>
              </w:rPr>
            </w:pPr>
            <w:r>
              <w:rPr>
                <w:rFonts w:ascii="Arial" w:hAnsi="Arial"/>
                <w:lang w:val="en-IN"/>
              </w:rPr>
              <w:t>Identify barriers influencing attendance at structured diabetes self-management education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9CD6ADF" w14:textId="77777777" w:rsidR="00EF0F78" w:rsidRDefault="00EF0F78" w:rsidP="00C47AC8">
            <w:pPr>
              <w:rPr>
                <w:rFonts w:ascii="Arial" w:hAnsi="Arial"/>
                <w:lang w:val="en-IN"/>
              </w:rPr>
            </w:pPr>
            <w:r>
              <w:rPr>
                <w:rFonts w:ascii="Arial" w:hAnsi="Arial"/>
                <w:lang w:val="en-IN"/>
              </w:rPr>
              <w:t>Cross-sectional survey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889D157" w14:textId="77777777" w:rsidR="00EF0F78" w:rsidRDefault="00EF0F78" w:rsidP="00C47AC8">
            <w:pPr>
              <w:rPr>
                <w:rFonts w:ascii="Arial" w:hAnsi="Arial"/>
                <w:lang w:val="en-IN"/>
              </w:rPr>
            </w:pPr>
            <w:r>
              <w:rPr>
                <w:rFonts w:ascii="Arial" w:hAnsi="Arial"/>
                <w:lang w:val="en-IN"/>
              </w:rPr>
              <w:t>496 adults with Type 1 diabetes and 56 healthcare professionals.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A30D8C4" w14:textId="77777777" w:rsidR="00EF0F78" w:rsidRDefault="00EF0F78" w:rsidP="00C47AC8">
            <w:pPr>
              <w:rPr>
                <w:rFonts w:ascii="Arial" w:hAnsi="Arial"/>
                <w:lang w:val="en-IN"/>
              </w:rPr>
            </w:pPr>
            <w:r>
              <w:rPr>
                <w:rFonts w:ascii="Arial" w:hAnsi="Arial"/>
                <w:lang w:val="en-IN"/>
              </w:rPr>
              <w:t>Healthcare professional encouragement strongly increased attendance, while work commitments reduced participation.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EF888BB" w14:textId="77777777" w:rsidR="00EF0F78" w:rsidRDefault="00EF0F78" w:rsidP="00C47AC8">
            <w:pPr>
              <w:rPr>
                <w:rFonts w:ascii="Arial" w:hAnsi="Arial"/>
                <w:lang w:val="en-IN"/>
              </w:rPr>
            </w:pPr>
            <w:r>
              <w:rPr>
                <w:rFonts w:ascii="Arial" w:hAnsi="Arial"/>
                <w:lang w:val="en-IN"/>
              </w:rPr>
              <w:t>Cross-sectional design prevents establishing causal relationships between identified factors.</w:t>
            </w:r>
          </w:p>
        </w:tc>
      </w:tr>
      <w:tr w:rsidR="00EF0F78" w14:paraId="3D1B565F"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0072456" w14:textId="77777777" w:rsidR="00EF0F78" w:rsidRDefault="00EF0F78" w:rsidP="00C47AC8">
            <w:pPr>
              <w:rPr>
                <w:rFonts w:ascii="Arial" w:hAnsi="Arial"/>
                <w:lang w:val="en-IN"/>
              </w:rPr>
            </w:pPr>
            <w:r>
              <w:rPr>
                <w:rFonts w:ascii="Arial" w:hAnsi="Arial"/>
                <w:lang w:val="en-IN"/>
              </w:rPr>
              <w:t>8</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D09BBCC" w14:textId="77777777" w:rsidR="00EF0F78" w:rsidRDefault="00EF0F78" w:rsidP="00C47AC8">
            <w:pPr>
              <w:rPr>
                <w:rFonts w:ascii="Arial" w:hAnsi="Arial"/>
                <w:lang w:val="en-IN"/>
              </w:rPr>
            </w:pPr>
            <w:r>
              <w:rPr>
                <w:rFonts w:ascii="Arial" w:hAnsi="Arial"/>
                <w:lang w:val="en-IN"/>
              </w:rPr>
              <w:t>Hill-Briggs (2020)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9768907" w14:textId="77777777" w:rsidR="00EF0F78" w:rsidRDefault="00EF0F78" w:rsidP="00C47AC8">
            <w:pPr>
              <w:rPr>
                <w:rFonts w:ascii="Arial" w:hAnsi="Arial"/>
                <w:lang w:val="en-IN"/>
              </w:rPr>
            </w:pPr>
            <w:r>
              <w:rPr>
                <w:rFonts w:ascii="Arial" w:hAnsi="Arial"/>
                <w:lang w:val="en-IN"/>
              </w:rPr>
              <w:t>Review social determinants influencing diabetes outcomes and recommend strategies promoting health equity.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373BE90" w14:textId="77777777" w:rsidR="00EF0F78" w:rsidRDefault="00EF0F78" w:rsidP="00C47AC8">
            <w:pPr>
              <w:rPr>
                <w:rFonts w:ascii="Arial" w:hAnsi="Arial"/>
                <w:lang w:val="en-IN"/>
              </w:rPr>
            </w:pPr>
            <w:r>
              <w:rPr>
                <w:rFonts w:ascii="Arial" w:hAnsi="Arial"/>
                <w:lang w:val="en-IN"/>
              </w:rPr>
              <w:t>Scientific narrative review</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A627F3E" w14:textId="77777777" w:rsidR="00EF0F78" w:rsidRDefault="00EF0F78" w:rsidP="00C47AC8">
            <w:pPr>
              <w:rPr>
                <w:rFonts w:ascii="Arial" w:hAnsi="Arial"/>
                <w:lang w:val="en-IN"/>
              </w:rPr>
            </w:pPr>
            <w:r>
              <w:rPr>
                <w:rFonts w:ascii="Arial" w:hAnsi="Arial"/>
                <w:lang w:val="en-IN"/>
              </w:rPr>
              <w:t>Review of predominantly U.S. adult diabetes research across multiple populations.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FB83AB3" w14:textId="77777777" w:rsidR="00EF0F78" w:rsidRDefault="00EF0F78" w:rsidP="00C47AC8">
            <w:pPr>
              <w:rPr>
                <w:rFonts w:ascii="Arial" w:hAnsi="Arial"/>
                <w:lang w:val="en-IN"/>
              </w:rPr>
            </w:pPr>
            <w:r>
              <w:rPr>
                <w:rFonts w:ascii="Arial" w:hAnsi="Arial"/>
                <w:lang w:val="en-IN"/>
              </w:rPr>
              <w:t>Socioeconomic disadvantage, healthcare access and food insecurity substantially worsen diabetes outcomes.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9B0C250" w14:textId="77777777" w:rsidR="00EF0F78" w:rsidRDefault="00EF0F78" w:rsidP="00C47AC8">
            <w:pPr>
              <w:rPr>
                <w:rFonts w:ascii="Arial" w:hAnsi="Arial"/>
                <w:lang w:val="en-IN"/>
              </w:rPr>
            </w:pPr>
            <w:r>
              <w:rPr>
                <w:rFonts w:ascii="Arial" w:hAnsi="Arial"/>
                <w:lang w:val="en-IN"/>
              </w:rPr>
              <w:t>Primarily U.S.-focused evidence may limit international applicability of recommendations.</w:t>
            </w:r>
          </w:p>
        </w:tc>
      </w:tr>
      <w:tr w:rsidR="00EF0F78" w14:paraId="744814F1"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CCD5626" w14:textId="77777777" w:rsidR="00EF0F78" w:rsidRDefault="00EF0F78" w:rsidP="00C47AC8">
            <w:pPr>
              <w:rPr>
                <w:rFonts w:ascii="Arial" w:hAnsi="Arial"/>
                <w:lang w:val="en-IN"/>
              </w:rPr>
            </w:pPr>
            <w:r>
              <w:rPr>
                <w:rFonts w:ascii="Arial" w:hAnsi="Arial"/>
                <w:lang w:val="en-IN"/>
              </w:rPr>
              <w:t>9</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C6ECF43" w14:textId="77777777" w:rsidR="00EF0F78" w:rsidRDefault="00EF0F78" w:rsidP="00C47AC8">
            <w:pPr>
              <w:rPr>
                <w:rFonts w:ascii="Arial" w:hAnsi="Arial"/>
                <w:lang w:val="en-IN"/>
              </w:rPr>
            </w:pPr>
            <w:r>
              <w:rPr>
                <w:rFonts w:ascii="Arial" w:hAnsi="Arial"/>
                <w:lang w:val="en-IN"/>
              </w:rPr>
              <w:t>Walker et al. (2021)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21226EA" w14:textId="77777777" w:rsidR="00EF0F78" w:rsidRDefault="00EF0F78" w:rsidP="00C47AC8">
            <w:pPr>
              <w:rPr>
                <w:rFonts w:ascii="Arial" w:hAnsi="Arial"/>
                <w:lang w:val="en-IN"/>
              </w:rPr>
            </w:pPr>
            <w:r>
              <w:rPr>
                <w:rFonts w:ascii="Arial" w:hAnsi="Arial"/>
                <w:lang w:val="en-IN"/>
              </w:rPr>
              <w:t>Explore barriers to diabetes technology and endocrinology care within socioeconomically underserved Type 1 diabetes communities.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D6BB63A" w14:textId="77777777" w:rsidR="00EF0F78" w:rsidRDefault="00EF0F78" w:rsidP="00C47AC8">
            <w:pPr>
              <w:rPr>
                <w:rFonts w:ascii="Arial" w:hAnsi="Arial"/>
                <w:lang w:val="en-IN"/>
              </w:rPr>
            </w:pPr>
            <w:r>
              <w:rPr>
                <w:rFonts w:ascii="Arial" w:hAnsi="Arial"/>
                <w:lang w:val="en-IN"/>
              </w:rPr>
              <w:t>Qualitative focus-group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83A9308" w14:textId="77777777" w:rsidR="00EF0F78" w:rsidRDefault="00EF0F78" w:rsidP="00C47AC8">
            <w:pPr>
              <w:rPr>
                <w:rFonts w:ascii="Arial" w:hAnsi="Arial"/>
                <w:lang w:val="en-IN"/>
              </w:rPr>
            </w:pPr>
            <w:r>
              <w:rPr>
                <w:rFonts w:ascii="Arial" w:hAnsi="Arial"/>
                <w:lang w:val="en-IN"/>
              </w:rPr>
              <w:t>Sixteen English- or Spanish-language groups involving 86 adults from Florida and California.</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A276A15" w14:textId="77777777" w:rsidR="00EF0F78" w:rsidRDefault="00EF0F78" w:rsidP="00C47AC8">
            <w:pPr>
              <w:rPr>
                <w:rFonts w:ascii="Arial" w:hAnsi="Arial"/>
                <w:lang w:val="en-IN"/>
              </w:rPr>
            </w:pPr>
            <w:r>
              <w:rPr>
                <w:rFonts w:ascii="Arial" w:hAnsi="Arial"/>
                <w:lang w:val="en-IN"/>
              </w:rPr>
              <w:t>Negative provider encounters, financial coverage and individual preferences restricted technology and specialist-care access.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51D68BE" w14:textId="77777777" w:rsidR="00EF0F78" w:rsidRDefault="00EF0F78" w:rsidP="00C47AC8">
            <w:pPr>
              <w:rPr>
                <w:rFonts w:ascii="Arial" w:hAnsi="Arial"/>
                <w:lang w:val="en-IN"/>
              </w:rPr>
            </w:pPr>
            <w:r>
              <w:rPr>
                <w:rFonts w:ascii="Arial" w:hAnsi="Arial"/>
                <w:lang w:val="en-IN"/>
              </w:rPr>
              <w:t>Small, purposively recruited two-state sample may not represent all underserved communities.</w:t>
            </w:r>
          </w:p>
        </w:tc>
      </w:tr>
      <w:tr w:rsidR="00EF0F78" w14:paraId="67DFC8A2"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C584C2D" w14:textId="77777777" w:rsidR="00EF0F78" w:rsidRDefault="00EF0F78" w:rsidP="00C47AC8">
            <w:pPr>
              <w:rPr>
                <w:rFonts w:ascii="Arial" w:hAnsi="Arial"/>
                <w:lang w:val="en-IN"/>
              </w:rPr>
            </w:pPr>
            <w:r>
              <w:rPr>
                <w:rFonts w:ascii="Arial" w:hAnsi="Arial"/>
                <w:lang w:val="en-IN"/>
              </w:rPr>
              <w:t>10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26F201B" w14:textId="77777777" w:rsidR="00EF0F78" w:rsidRDefault="00EF0F78" w:rsidP="00C47AC8">
            <w:pPr>
              <w:rPr>
                <w:rFonts w:ascii="Arial" w:hAnsi="Arial"/>
                <w:lang w:val="en-IN"/>
              </w:rPr>
            </w:pPr>
            <w:r>
              <w:rPr>
                <w:rFonts w:ascii="Arial" w:hAnsi="Arial"/>
                <w:lang w:val="en-IN"/>
              </w:rPr>
              <w:t xml:space="preserve">Tanenbaum et al. </w:t>
            </w:r>
            <w:r>
              <w:rPr>
                <w:rFonts w:ascii="Arial" w:hAnsi="Arial"/>
                <w:lang w:val="en-IN"/>
              </w:rPr>
              <w:lastRenderedPageBreak/>
              <w:t>(2017)</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C2F89C4" w14:textId="77777777" w:rsidR="00EF0F78" w:rsidRDefault="00EF0F78" w:rsidP="00C47AC8">
            <w:pPr>
              <w:rPr>
                <w:rFonts w:ascii="Arial" w:hAnsi="Arial"/>
                <w:lang w:val="en-IN"/>
              </w:rPr>
            </w:pPr>
            <w:r>
              <w:rPr>
                <w:rFonts w:ascii="Arial" w:hAnsi="Arial"/>
                <w:lang w:val="en-IN"/>
              </w:rPr>
              <w:lastRenderedPageBreak/>
              <w:t xml:space="preserve">Identify modifiable barriers and </w:t>
            </w:r>
            <w:r>
              <w:rPr>
                <w:rFonts w:ascii="Arial" w:hAnsi="Arial"/>
                <w:lang w:val="en-IN"/>
              </w:rPr>
              <w:lastRenderedPageBreak/>
              <w:t>intervention targets affecting diabetes device uptake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6C51BDC" w14:textId="77777777" w:rsidR="00EF0F78" w:rsidRDefault="00EF0F78" w:rsidP="00C47AC8">
            <w:pPr>
              <w:rPr>
                <w:rFonts w:ascii="Arial" w:hAnsi="Arial"/>
                <w:lang w:val="en-IN"/>
              </w:rPr>
            </w:pPr>
            <w:r>
              <w:rPr>
                <w:rFonts w:ascii="Arial" w:hAnsi="Arial"/>
                <w:lang w:val="en-IN"/>
              </w:rPr>
              <w:lastRenderedPageBreak/>
              <w:t xml:space="preserve">Cross-sectional online </w:t>
            </w:r>
            <w:r>
              <w:rPr>
                <w:rFonts w:ascii="Arial" w:hAnsi="Arial"/>
                <w:lang w:val="en-IN"/>
              </w:rPr>
              <w:lastRenderedPageBreak/>
              <w:t>survey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2CACA46" w14:textId="77777777" w:rsidR="00EF0F78" w:rsidRDefault="00EF0F78" w:rsidP="00C47AC8">
            <w:pPr>
              <w:rPr>
                <w:rFonts w:ascii="Arial" w:hAnsi="Arial"/>
                <w:lang w:val="en-IN"/>
              </w:rPr>
            </w:pPr>
            <w:r>
              <w:rPr>
                <w:rFonts w:ascii="Arial" w:hAnsi="Arial"/>
                <w:lang w:val="en-IN"/>
              </w:rPr>
              <w:lastRenderedPageBreak/>
              <w:t xml:space="preserve">1,503 adults; mean age 35.3 years </w:t>
            </w:r>
            <w:r>
              <w:rPr>
                <w:rFonts w:ascii="Arial" w:hAnsi="Arial"/>
                <w:lang w:val="en-IN"/>
              </w:rPr>
              <w:lastRenderedPageBreak/>
              <w:t>and mean diabetes duration 20.4 years.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8BEA2F1" w14:textId="77777777" w:rsidR="00EF0F78" w:rsidRDefault="00EF0F78" w:rsidP="00C47AC8">
            <w:pPr>
              <w:rPr>
                <w:rFonts w:ascii="Arial" w:hAnsi="Arial"/>
                <w:lang w:val="en-IN"/>
              </w:rPr>
            </w:pPr>
            <w:r>
              <w:rPr>
                <w:rFonts w:ascii="Arial" w:hAnsi="Arial"/>
                <w:lang w:val="en-IN"/>
              </w:rPr>
              <w:lastRenderedPageBreak/>
              <w:t xml:space="preserve">Device inconvenience, body-wear </w:t>
            </w:r>
            <w:r>
              <w:rPr>
                <w:rFonts w:ascii="Arial" w:hAnsi="Arial"/>
                <w:lang w:val="en-IN"/>
              </w:rPr>
              <w:lastRenderedPageBreak/>
              <w:t>concerns and distress particularly reduced technology uptake among young adults.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47DC449" w14:textId="77777777" w:rsidR="00EF0F78" w:rsidRDefault="00EF0F78" w:rsidP="00C47AC8">
            <w:pPr>
              <w:rPr>
                <w:rFonts w:ascii="Arial" w:hAnsi="Arial"/>
                <w:lang w:val="en-IN"/>
              </w:rPr>
            </w:pPr>
            <w:r>
              <w:rPr>
                <w:rFonts w:ascii="Arial" w:hAnsi="Arial"/>
                <w:lang w:val="en-IN"/>
              </w:rPr>
              <w:lastRenderedPageBreak/>
              <w:t xml:space="preserve">Self-selected registry respondents </w:t>
            </w:r>
            <w:r>
              <w:rPr>
                <w:rFonts w:ascii="Arial" w:hAnsi="Arial"/>
                <w:lang w:val="en-IN"/>
              </w:rPr>
              <w:lastRenderedPageBreak/>
              <w:t>and cross-sectional data restrict generalisability and causal interpretation.</w:t>
            </w:r>
          </w:p>
        </w:tc>
      </w:tr>
      <w:tr w:rsidR="00EF0F78" w14:paraId="1CF7768F"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F20DDD3" w14:textId="77777777" w:rsidR="00EF0F78" w:rsidRDefault="00EF0F78" w:rsidP="00C47AC8">
            <w:pPr>
              <w:rPr>
                <w:rFonts w:ascii="Arial" w:hAnsi="Arial"/>
                <w:lang w:val="en-IN"/>
              </w:rPr>
            </w:pPr>
            <w:r>
              <w:rPr>
                <w:rFonts w:ascii="Arial" w:hAnsi="Arial"/>
                <w:lang w:val="en-IN"/>
              </w:rPr>
              <w:lastRenderedPageBreak/>
              <w:t>11</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AEA9B80" w14:textId="77777777" w:rsidR="00EF0F78" w:rsidRDefault="00EF0F78" w:rsidP="00C47AC8">
            <w:pPr>
              <w:rPr>
                <w:rFonts w:ascii="Arial" w:hAnsi="Arial"/>
                <w:lang w:val="en-IN"/>
              </w:rPr>
            </w:pPr>
            <w:r>
              <w:rPr>
                <w:rFonts w:ascii="Arial" w:hAnsi="Arial"/>
                <w:lang w:val="en-IN"/>
              </w:rPr>
              <w:t>Agarwal et al. (2020)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55C7204" w14:textId="77777777" w:rsidR="00EF0F78" w:rsidRDefault="00EF0F78" w:rsidP="00C47AC8">
            <w:pPr>
              <w:rPr>
                <w:rFonts w:ascii="Arial" w:hAnsi="Arial"/>
                <w:lang w:val="en-IN"/>
              </w:rPr>
            </w:pPr>
            <w:r>
              <w:rPr>
                <w:rFonts w:ascii="Arial" w:hAnsi="Arial"/>
                <w:lang w:val="en-IN"/>
              </w:rPr>
              <w:t>Examine racial and socioeconomic disparities influencing glycaemic outcomes among young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68EC851" w14:textId="77777777" w:rsidR="00EF0F78" w:rsidRDefault="00EF0F78" w:rsidP="00C47AC8">
            <w:pPr>
              <w:rPr>
                <w:rFonts w:ascii="Arial" w:hAnsi="Arial"/>
                <w:lang w:val="en-IN"/>
              </w:rPr>
            </w:pPr>
            <w:r>
              <w:rPr>
                <w:rFonts w:ascii="Arial" w:hAnsi="Arial"/>
                <w:lang w:val="en-IN"/>
              </w:rPr>
              <w:t>Cross-sectional multicentre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EA77C20" w14:textId="77777777" w:rsidR="00EF0F78" w:rsidRDefault="00EF0F78" w:rsidP="00C47AC8">
            <w:pPr>
              <w:rPr>
                <w:rFonts w:ascii="Arial" w:hAnsi="Arial"/>
                <w:lang w:val="en-IN"/>
              </w:rPr>
            </w:pPr>
            <w:r>
              <w:rPr>
                <w:rFonts w:ascii="Arial" w:hAnsi="Arial"/>
                <w:lang w:val="en-IN"/>
              </w:rPr>
              <w:t>300 young adults aged 18–28 years across six US diabetes centres.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A51DA5F" w14:textId="77777777" w:rsidR="00EF0F78" w:rsidRDefault="00EF0F78" w:rsidP="00C47AC8">
            <w:pPr>
              <w:rPr>
                <w:rFonts w:ascii="Arial" w:hAnsi="Arial"/>
                <w:lang w:val="en-IN"/>
              </w:rPr>
            </w:pPr>
            <w:r>
              <w:rPr>
                <w:rFonts w:ascii="Arial" w:hAnsi="Arial"/>
                <w:lang w:val="en-IN"/>
              </w:rPr>
              <w:t>Technology use, diabetes distress and self-management explained persistent ethnic disparities in HbA1c.</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1336D5E" w14:textId="77777777" w:rsidR="00EF0F78" w:rsidRDefault="00EF0F78" w:rsidP="00C47AC8">
            <w:pPr>
              <w:rPr>
                <w:rFonts w:ascii="Arial" w:hAnsi="Arial"/>
                <w:lang w:val="en-IN"/>
              </w:rPr>
            </w:pPr>
            <w:r>
              <w:rPr>
                <w:rFonts w:ascii="Arial" w:hAnsi="Arial"/>
                <w:lang w:val="en-IN"/>
              </w:rPr>
              <w:t>Cross-sectional design prevented causal inference.</w:t>
            </w:r>
          </w:p>
        </w:tc>
      </w:tr>
      <w:tr w:rsidR="00EF0F78" w14:paraId="4F81BF85"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C8C0365" w14:textId="77777777" w:rsidR="00EF0F78" w:rsidRDefault="00EF0F78" w:rsidP="00C47AC8">
            <w:pPr>
              <w:rPr>
                <w:rFonts w:ascii="Arial" w:hAnsi="Arial"/>
                <w:lang w:val="en-IN"/>
              </w:rPr>
            </w:pPr>
            <w:r>
              <w:rPr>
                <w:rFonts w:ascii="Arial" w:hAnsi="Arial"/>
                <w:lang w:val="en-IN"/>
              </w:rPr>
              <w:t>12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26B236B" w14:textId="77777777" w:rsidR="00EF0F78" w:rsidRDefault="00EF0F78" w:rsidP="00C47AC8">
            <w:pPr>
              <w:rPr>
                <w:rFonts w:ascii="Arial" w:hAnsi="Arial"/>
                <w:lang w:val="en-IN"/>
              </w:rPr>
            </w:pPr>
            <w:r>
              <w:rPr>
                <w:rFonts w:ascii="Arial" w:hAnsi="Arial"/>
                <w:lang w:val="en-IN"/>
              </w:rPr>
              <w:t>Grigorian et al. (2022)</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33A7EA9" w14:textId="77777777" w:rsidR="00EF0F78" w:rsidRDefault="00EF0F78" w:rsidP="00C47AC8">
            <w:pPr>
              <w:rPr>
                <w:rFonts w:ascii="Arial" w:hAnsi="Arial"/>
                <w:lang w:val="en-IN"/>
              </w:rPr>
            </w:pPr>
            <w:r>
              <w:rPr>
                <w:rFonts w:ascii="Arial" w:hAnsi="Arial"/>
                <w:lang w:val="en-IN"/>
              </w:rPr>
              <w:t>Explore financial barriers affecting diabetes self-management among emerging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619FB7A" w14:textId="77777777" w:rsidR="00EF0F78" w:rsidRDefault="00EF0F78" w:rsidP="00C47AC8">
            <w:pPr>
              <w:rPr>
                <w:rFonts w:ascii="Arial" w:hAnsi="Arial"/>
                <w:lang w:val="en-IN"/>
              </w:rPr>
            </w:pPr>
            <w:r>
              <w:rPr>
                <w:rFonts w:ascii="Arial" w:hAnsi="Arial"/>
                <w:lang w:val="en-IN"/>
              </w:rPr>
              <w:t>Qualitative interview analysis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DD15F3F" w14:textId="77777777" w:rsidR="00EF0F78" w:rsidRDefault="00EF0F78" w:rsidP="00C47AC8">
            <w:pPr>
              <w:rPr>
                <w:rFonts w:ascii="Arial" w:hAnsi="Arial"/>
                <w:lang w:val="en-IN"/>
              </w:rPr>
            </w:pPr>
            <w:r>
              <w:rPr>
                <w:rFonts w:ascii="Arial" w:hAnsi="Arial"/>
                <w:lang w:val="en-IN"/>
              </w:rPr>
              <w:t>33 emerging adults and 17 parents participated in semi-structured interviews.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43FCB41" w14:textId="77777777" w:rsidR="00EF0F78" w:rsidRDefault="00EF0F78" w:rsidP="00C47AC8">
            <w:pPr>
              <w:rPr>
                <w:rFonts w:ascii="Arial" w:hAnsi="Arial"/>
                <w:lang w:val="en-IN"/>
              </w:rPr>
            </w:pPr>
            <w:r>
              <w:rPr>
                <w:rFonts w:ascii="Arial" w:hAnsi="Arial"/>
                <w:lang w:val="en-IN"/>
              </w:rPr>
              <w:t>Financial hardship, insurance complexity and emotional stress hindered effective diabetes self-management.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E654E83" w14:textId="77777777" w:rsidR="00EF0F78" w:rsidRDefault="00EF0F78" w:rsidP="00C47AC8">
            <w:pPr>
              <w:rPr>
                <w:rFonts w:ascii="Arial" w:hAnsi="Arial"/>
                <w:lang w:val="en-IN"/>
              </w:rPr>
            </w:pPr>
            <w:r>
              <w:rPr>
                <w:rFonts w:ascii="Arial" w:hAnsi="Arial"/>
                <w:lang w:val="en-IN"/>
              </w:rPr>
              <w:t>Small qualitative sample limits wider generalisation across healthcare settings.</w:t>
            </w:r>
          </w:p>
        </w:tc>
      </w:tr>
      <w:tr w:rsidR="00EF0F78" w14:paraId="41FFEA24"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F9D398B" w14:textId="77777777" w:rsidR="00EF0F78" w:rsidRDefault="00EF0F78" w:rsidP="00C47AC8">
            <w:pPr>
              <w:rPr>
                <w:rFonts w:ascii="Arial" w:hAnsi="Arial"/>
                <w:lang w:val="en-IN"/>
              </w:rPr>
            </w:pPr>
            <w:r>
              <w:rPr>
                <w:rFonts w:ascii="Arial" w:hAnsi="Arial"/>
                <w:lang w:val="en-IN"/>
              </w:rPr>
              <w:t>13</w:t>
            </w:r>
          </w:p>
        </w:tc>
        <w:tc>
          <w:tcPr>
            <w:tcW w:w="0" w:type="auto"/>
            <w:tcBorders>
              <w:top w:val="single" w:sz="6" w:space="0" w:color="CCCCCC"/>
              <w:left w:val="single" w:sz="6" w:space="0" w:color="CCCCCC"/>
              <w:bottom w:val="single" w:sz="6" w:space="0" w:color="CCCCCC"/>
              <w:right w:val="single" w:sz="6" w:space="0" w:color="CCCCCC"/>
            </w:tcBorders>
            <w:shd w:val="clear" w:color="auto" w:fill="FFFFFF"/>
            <w:tcMar>
              <w:top w:w="30" w:type="dxa"/>
              <w:left w:w="45" w:type="dxa"/>
              <w:bottom w:w="30" w:type="dxa"/>
              <w:right w:w="45" w:type="dxa"/>
            </w:tcMar>
            <w:hideMark/>
          </w:tcPr>
          <w:p w14:paraId="0DB55660" w14:textId="77777777" w:rsidR="00EF0F78" w:rsidRDefault="00EF0F78" w:rsidP="00C47AC8">
            <w:pPr>
              <w:rPr>
                <w:rFonts w:ascii="Arial" w:hAnsi="Arial"/>
                <w:lang w:val="en-IN"/>
              </w:rPr>
            </w:pPr>
            <w:r>
              <w:rPr>
                <w:rFonts w:ascii="Arial" w:hAnsi="Arial"/>
                <w:lang w:val="en-IN"/>
              </w:rPr>
              <w:t>Conway et al. (2023)</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0BF624B" w14:textId="77777777" w:rsidR="00EF0F78" w:rsidRDefault="00EF0F78" w:rsidP="00C47AC8">
            <w:pPr>
              <w:rPr>
                <w:rFonts w:ascii="Arial" w:hAnsi="Arial"/>
                <w:lang w:val="en-IN"/>
              </w:rPr>
            </w:pPr>
            <w:r>
              <w:rPr>
                <w:rFonts w:ascii="Arial" w:hAnsi="Arial"/>
                <w:lang w:val="en-IN"/>
              </w:rPr>
              <w:t>Examine racial disparities in diabetes technology use and associations with HbA1c and diabetic ketoacidosis.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92A7A50" w14:textId="77777777" w:rsidR="00EF0F78" w:rsidRDefault="00EF0F78" w:rsidP="00C47AC8">
            <w:pPr>
              <w:rPr>
                <w:rFonts w:ascii="Arial" w:hAnsi="Arial"/>
                <w:lang w:val="en-IN"/>
              </w:rPr>
            </w:pPr>
            <w:r>
              <w:rPr>
                <w:rFonts w:ascii="Arial" w:hAnsi="Arial"/>
                <w:lang w:val="en-IN"/>
              </w:rPr>
              <w:t>Retrospective observational study</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DA32933" w14:textId="77777777" w:rsidR="00EF0F78" w:rsidRDefault="00EF0F78" w:rsidP="00C47AC8">
            <w:pPr>
              <w:rPr>
                <w:rFonts w:ascii="Arial" w:hAnsi="Arial"/>
                <w:lang w:val="en-IN"/>
              </w:rPr>
            </w:pPr>
            <w:r>
              <w:rPr>
                <w:rFonts w:ascii="Arial" w:hAnsi="Arial"/>
                <w:lang w:val="en-IN"/>
              </w:rPr>
              <w:t>5,539 patients aged ≥12 years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7708289" w14:textId="77777777" w:rsidR="00EF0F78" w:rsidRDefault="00EF0F78" w:rsidP="00C47AC8">
            <w:pPr>
              <w:rPr>
                <w:rFonts w:ascii="Arial" w:hAnsi="Arial"/>
                <w:lang w:val="en-IN"/>
              </w:rPr>
            </w:pPr>
            <w:r>
              <w:rPr>
                <w:rFonts w:ascii="Arial" w:hAnsi="Arial"/>
                <w:lang w:val="en-IN"/>
              </w:rPr>
              <w:t>Technology improved HbA1c, but Black and Hispanic patients experienced significantly lower technology adoption.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24CA919" w14:textId="77777777" w:rsidR="00EF0F78" w:rsidRDefault="00EF0F78" w:rsidP="00C47AC8">
            <w:pPr>
              <w:rPr>
                <w:rFonts w:ascii="Arial" w:hAnsi="Arial"/>
                <w:lang w:val="en-IN"/>
              </w:rPr>
            </w:pPr>
            <w:r>
              <w:rPr>
                <w:rFonts w:ascii="Arial" w:hAnsi="Arial"/>
                <w:lang w:val="en-IN"/>
              </w:rPr>
              <w:t>Single-centre observational design limits causal inference and wider generalisability.</w:t>
            </w:r>
          </w:p>
        </w:tc>
      </w:tr>
      <w:tr w:rsidR="00EF0F78" w14:paraId="06146F01"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1C63A8D" w14:textId="77777777" w:rsidR="00EF0F78" w:rsidRDefault="00EF0F78" w:rsidP="00C47AC8">
            <w:pPr>
              <w:rPr>
                <w:rFonts w:ascii="Arial" w:hAnsi="Arial"/>
                <w:lang w:val="en-IN"/>
              </w:rPr>
            </w:pPr>
            <w:r>
              <w:rPr>
                <w:rFonts w:ascii="Arial" w:hAnsi="Arial"/>
                <w:lang w:val="en-IN"/>
              </w:rPr>
              <w:t>14</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CC0F408" w14:textId="77777777" w:rsidR="00EF0F78" w:rsidRDefault="00EF0F78" w:rsidP="00C47AC8">
            <w:pPr>
              <w:rPr>
                <w:rFonts w:ascii="Arial" w:hAnsi="Arial"/>
                <w:lang w:val="en-IN"/>
              </w:rPr>
            </w:pPr>
            <w:r>
              <w:rPr>
                <w:rFonts w:ascii="Arial" w:hAnsi="Arial"/>
                <w:lang w:val="en-IN"/>
              </w:rPr>
              <w:t>Joish et al. (2020)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15EDBAF" w14:textId="77777777" w:rsidR="00EF0F78" w:rsidRDefault="00EF0F78" w:rsidP="00C47AC8">
            <w:pPr>
              <w:rPr>
                <w:rFonts w:ascii="Arial" w:hAnsi="Arial"/>
                <w:lang w:val="en-IN"/>
              </w:rPr>
            </w:pPr>
            <w:r>
              <w:rPr>
                <w:rFonts w:ascii="Arial" w:hAnsi="Arial"/>
                <w:lang w:val="en-IN"/>
              </w:rPr>
              <w:t xml:space="preserve">Estimate annual healthcare </w:t>
            </w:r>
            <w:r>
              <w:rPr>
                <w:rFonts w:ascii="Arial" w:hAnsi="Arial"/>
                <w:lang w:val="en-IN"/>
              </w:rPr>
              <w:lastRenderedPageBreak/>
              <w:t>utilisation and costs among adults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7F1E76F4" w14:textId="77777777" w:rsidR="00EF0F78" w:rsidRDefault="00EF0F78" w:rsidP="00C47AC8">
            <w:pPr>
              <w:rPr>
                <w:rFonts w:ascii="Arial" w:hAnsi="Arial"/>
                <w:lang w:val="en-IN"/>
              </w:rPr>
            </w:pPr>
            <w:r>
              <w:rPr>
                <w:rFonts w:ascii="Arial" w:hAnsi="Arial"/>
                <w:lang w:val="en-IN"/>
              </w:rPr>
              <w:lastRenderedPageBreak/>
              <w:t xml:space="preserve">Retrospective claims </w:t>
            </w:r>
            <w:r>
              <w:rPr>
                <w:rFonts w:ascii="Arial" w:hAnsi="Arial"/>
                <w:lang w:val="en-IN"/>
              </w:rPr>
              <w:lastRenderedPageBreak/>
              <w:t>cohort</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EC65930" w14:textId="77777777" w:rsidR="00EF0F78" w:rsidRDefault="00EF0F78" w:rsidP="00C47AC8">
            <w:pPr>
              <w:rPr>
                <w:rFonts w:ascii="Arial" w:hAnsi="Arial"/>
                <w:lang w:val="en-IN"/>
              </w:rPr>
            </w:pPr>
            <w:r>
              <w:rPr>
                <w:rFonts w:ascii="Arial" w:hAnsi="Arial"/>
                <w:lang w:val="en-IN"/>
              </w:rPr>
              <w:lastRenderedPageBreak/>
              <w:t xml:space="preserve">10,103 matched adult Type 1 </w:t>
            </w:r>
            <w:r>
              <w:rPr>
                <w:rFonts w:ascii="Arial" w:hAnsi="Arial"/>
                <w:lang w:val="en-IN"/>
              </w:rPr>
              <w:lastRenderedPageBreak/>
              <w:t>and Type 2 diabetes patient pairs.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A586BAB" w14:textId="77777777" w:rsidR="00EF0F78" w:rsidRDefault="00EF0F78" w:rsidP="00C47AC8">
            <w:pPr>
              <w:rPr>
                <w:rFonts w:ascii="Arial" w:hAnsi="Arial"/>
                <w:lang w:val="en-IN"/>
              </w:rPr>
            </w:pPr>
            <w:r>
              <w:rPr>
                <w:rFonts w:ascii="Arial" w:hAnsi="Arial"/>
                <w:lang w:val="en-IN"/>
              </w:rPr>
              <w:lastRenderedPageBreak/>
              <w:t xml:space="preserve">Adults with Type 1 diabetes </w:t>
            </w:r>
            <w:r>
              <w:rPr>
                <w:rFonts w:ascii="Arial" w:hAnsi="Arial"/>
                <w:lang w:val="en-IN"/>
              </w:rPr>
              <w:lastRenderedPageBreak/>
              <w:t>incurred substantially higher annual healthcare costs than Type 2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1D2741CF" w14:textId="77777777" w:rsidR="00EF0F78" w:rsidRDefault="00EF0F78" w:rsidP="00C47AC8">
            <w:pPr>
              <w:rPr>
                <w:rFonts w:ascii="Arial" w:hAnsi="Arial"/>
                <w:lang w:val="en-IN"/>
              </w:rPr>
            </w:pPr>
            <w:r>
              <w:rPr>
                <w:rFonts w:ascii="Arial" w:hAnsi="Arial"/>
                <w:lang w:val="en-IN"/>
              </w:rPr>
              <w:lastRenderedPageBreak/>
              <w:t xml:space="preserve">Findings reflect U.S. insurance claims and may </w:t>
            </w:r>
            <w:r>
              <w:rPr>
                <w:rFonts w:ascii="Arial" w:hAnsi="Arial"/>
                <w:lang w:val="en-IN"/>
              </w:rPr>
              <w:lastRenderedPageBreak/>
              <w:t>not generalise internationally.</w:t>
            </w:r>
          </w:p>
        </w:tc>
      </w:tr>
      <w:tr w:rsidR="00EF0F78" w14:paraId="53375618" w14:textId="77777777" w:rsidTr="00C47AC8">
        <w:trPr>
          <w:trHeight w:val="315"/>
        </w:trPr>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58F333CE" w14:textId="77777777" w:rsidR="00EF0F78" w:rsidRDefault="00EF0F78" w:rsidP="00C47AC8">
            <w:pPr>
              <w:rPr>
                <w:rFonts w:ascii="Arial" w:hAnsi="Arial"/>
                <w:lang w:val="en-IN"/>
              </w:rPr>
            </w:pPr>
            <w:r>
              <w:rPr>
                <w:rFonts w:ascii="Arial" w:hAnsi="Arial"/>
                <w:lang w:val="en-IN"/>
              </w:rPr>
              <w:lastRenderedPageBreak/>
              <w:t>15</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051759C1" w14:textId="77777777" w:rsidR="00EF0F78" w:rsidRDefault="00EF0F78" w:rsidP="00C47AC8">
            <w:pPr>
              <w:rPr>
                <w:rFonts w:ascii="Arial" w:hAnsi="Arial"/>
                <w:lang w:val="en-IN"/>
              </w:rPr>
            </w:pPr>
            <w:r>
              <w:rPr>
                <w:rFonts w:ascii="Arial" w:hAnsi="Arial"/>
                <w:lang w:val="en-IN"/>
              </w:rPr>
              <w:t>Stedman et al. (2020)</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6BDAF483" w14:textId="77777777" w:rsidR="00EF0F78" w:rsidRDefault="00EF0F78" w:rsidP="00C47AC8">
            <w:pPr>
              <w:rPr>
                <w:rFonts w:ascii="Arial" w:hAnsi="Arial"/>
                <w:lang w:val="en-IN"/>
              </w:rPr>
            </w:pPr>
            <w:r>
              <w:rPr>
                <w:rFonts w:ascii="Arial" w:hAnsi="Arial"/>
                <w:lang w:val="en-IN"/>
              </w:rPr>
              <w:t>Quantify diabetes-related hospital activity and costs compared with England’s non-diabetes population.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49E336A8" w14:textId="77777777" w:rsidR="00EF0F78" w:rsidRDefault="00EF0F78" w:rsidP="00C47AC8">
            <w:pPr>
              <w:rPr>
                <w:rFonts w:ascii="Arial" w:hAnsi="Arial"/>
                <w:lang w:val="en-IN"/>
              </w:rPr>
            </w:pPr>
            <w:r>
              <w:rPr>
                <w:rFonts w:ascii="Arial" w:hAnsi="Arial"/>
                <w:lang w:val="en-IN"/>
              </w:rPr>
              <w:t>Retrospective economic evaluation</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CB4A89E" w14:textId="77777777" w:rsidR="00EF0F78" w:rsidRDefault="00EF0F78" w:rsidP="00C47AC8">
            <w:pPr>
              <w:rPr>
                <w:rFonts w:ascii="Arial" w:hAnsi="Arial"/>
                <w:lang w:val="en-IN"/>
              </w:rPr>
            </w:pPr>
            <w:r>
              <w:rPr>
                <w:rFonts w:ascii="Arial" w:hAnsi="Arial"/>
                <w:lang w:val="en-IN"/>
              </w:rPr>
              <w:t>National data covering 5,468 English GP practices, including 240,000 people with Type 1 diabetes.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29B58A38" w14:textId="77777777" w:rsidR="00EF0F78" w:rsidRDefault="00EF0F78" w:rsidP="00C47AC8">
            <w:pPr>
              <w:rPr>
                <w:rFonts w:ascii="Arial" w:hAnsi="Arial"/>
                <w:lang w:val="en-IN"/>
              </w:rPr>
            </w:pPr>
            <w:r>
              <w:rPr>
                <w:rFonts w:ascii="Arial" w:hAnsi="Arial"/>
                <w:lang w:val="en-IN"/>
              </w:rPr>
              <w:t>Type 1 diabetes required fivefold greater secondary care and generated substantially higher costs.</w:t>
            </w:r>
          </w:p>
        </w:tc>
        <w:tc>
          <w:tcPr>
            <w:tcW w:w="0" w:type="auto"/>
            <w:tcBorders>
              <w:top w:val="single" w:sz="6" w:space="0" w:color="CCCCCC"/>
              <w:left w:val="single" w:sz="6" w:space="0" w:color="CCCCCC"/>
              <w:bottom w:val="single" w:sz="6" w:space="0" w:color="CCCCCC"/>
              <w:right w:val="single" w:sz="6" w:space="0" w:color="CCCCCC"/>
            </w:tcBorders>
            <w:tcMar>
              <w:top w:w="30" w:type="dxa"/>
              <w:left w:w="45" w:type="dxa"/>
              <w:bottom w:w="30" w:type="dxa"/>
              <w:right w:w="45" w:type="dxa"/>
            </w:tcMar>
            <w:hideMark/>
          </w:tcPr>
          <w:p w14:paraId="3484517F" w14:textId="77777777" w:rsidR="00EF0F78" w:rsidRDefault="00EF0F78" w:rsidP="00C47AC8">
            <w:pPr>
              <w:rPr>
                <w:rFonts w:ascii="Arial" w:hAnsi="Arial"/>
                <w:lang w:val="en-IN"/>
              </w:rPr>
            </w:pPr>
            <w:r>
              <w:rPr>
                <w:rFonts w:ascii="Arial" w:hAnsi="Arial"/>
                <w:lang w:val="en-IN"/>
              </w:rPr>
              <w:t>Retrospective associations, residual confounding and aggregated practice-level data prevent definite causal conclusions.</w:t>
            </w:r>
          </w:p>
        </w:tc>
      </w:tr>
    </w:tbl>
    <w:p w14:paraId="0CEEB236" w14:textId="77777777" w:rsidR="00EF0F78" w:rsidRDefault="00EF0F78" w:rsidP="00EF0F78">
      <w:pPr>
        <w:spacing w:after="0" w:line="360" w:lineRule="auto"/>
        <w:jc w:val="both"/>
        <w:rPr>
          <w:rFonts w:ascii="Arial" w:hAnsi="Arial"/>
        </w:rPr>
      </w:pPr>
    </w:p>
    <w:p w14:paraId="0DE09619" w14:textId="77777777" w:rsidR="00EF0F78" w:rsidRPr="00EF0F78" w:rsidRDefault="00EF0F78" w:rsidP="00EF0F78"/>
    <w:sectPr w:rsidR="00EF0F78" w:rsidRPr="00EF0F78">
      <w:footerReference w:type="even" r:id="rId68"/>
      <w:footerReference w:type="default" r:id="rId69"/>
      <w:footerReference w:type="firs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040759" w14:textId="77777777" w:rsidR="009C24B3" w:rsidRDefault="009C24B3">
      <w:pPr>
        <w:spacing w:after="0" w:line="240" w:lineRule="auto"/>
      </w:pPr>
      <w:r>
        <w:separator/>
      </w:r>
    </w:p>
  </w:endnote>
  <w:endnote w:type="continuationSeparator" w:id="0">
    <w:p w14:paraId="5CC7354F" w14:textId="77777777" w:rsidR="009C24B3" w:rsidRDefault="009C24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Tahoma">
    <w:altName w:val="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Calibri Light (Headings)">
    <w:charset w:val="00"/>
    <w:family w:val="roman"/>
    <w:pitch w:val="default"/>
  </w:font>
  <w:font w:name="Cambria Math">
    <w:panose1 w:val="02040503050406030204"/>
    <w:charset w:val="00"/>
    <w:family w:val="roman"/>
    <w:pitch w:val="variable"/>
    <w:sig w:usb0="E00006FF" w:usb1="420024FF" w:usb2="02000000" w:usb3="00000000" w:csb0="0000019F" w:csb1="00000000"/>
  </w:font>
  <w:font w:name="Cambria">
    <w:altName w:val="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E7CEAA" w14:textId="77777777" w:rsidR="00874A36" w:rsidRDefault="00000000">
    <w:pPr>
      <w:spacing w:after="0"/>
      <w:ind w:right="-3"/>
      <w:jc w:val="right"/>
    </w:pPr>
    <w:r>
      <w:fldChar w:fldCharType="begin"/>
    </w:r>
    <w:r>
      <w:instrText xml:space="preserve"> PAGE   \* MERGEFORMAT </w:instrText>
    </w:r>
    <w:r>
      <w:fldChar w:fldCharType="separate"/>
    </w:r>
    <w:r>
      <w:rPr>
        <w:rFonts w:eastAsia="Calibri" w:cs="Calibri"/>
      </w:rPr>
      <w:t>1</w:t>
    </w:r>
    <w:r>
      <w:rPr>
        <w:rFonts w:eastAsia="Calibri" w:cs="Calibri"/>
      </w:rPr>
      <w:fldChar w:fldCharType="end"/>
    </w:r>
  </w:p>
  <w:p w14:paraId="37F038A9" w14:textId="77777777" w:rsidR="00874A36" w:rsidRDefault="00000000">
    <w:pPr>
      <w:tabs>
        <w:tab w:val="center" w:pos="4405"/>
      </w:tabs>
      <w:spacing w:after="0"/>
    </w:pPr>
    <w:r>
      <w:rPr>
        <w:rFonts w:eastAsia="Calibri" w:cs="Calibri"/>
      </w:rPr>
      <w:t xml:space="preserve">[Your Name] </w:t>
    </w:r>
    <w:r>
      <w:rPr>
        <w:rFonts w:eastAsia="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8B4F07" w14:textId="77777777" w:rsidR="00874A36" w:rsidRDefault="00000000">
    <w:pPr>
      <w:spacing w:after="0"/>
      <w:ind w:right="-3"/>
      <w:jc w:val="right"/>
    </w:pPr>
    <w:r>
      <w:fldChar w:fldCharType="begin"/>
    </w:r>
    <w:r>
      <w:instrText xml:space="preserve"> PAGE   \* MERGEFORMAT </w:instrText>
    </w:r>
    <w:r>
      <w:fldChar w:fldCharType="separate"/>
    </w:r>
    <w:r>
      <w:rPr>
        <w:rFonts w:eastAsia="Calibri" w:cs="Calibri"/>
        <w:noProof/>
      </w:rPr>
      <w:t>43</w:t>
    </w:r>
    <w:r>
      <w:rPr>
        <w:rFonts w:eastAsia="Calibri" w:cs="Calibri"/>
      </w:rPr>
      <w:fldChar w:fldCharType="end"/>
    </w:r>
  </w:p>
  <w:p w14:paraId="1A638C59" w14:textId="74789CBA" w:rsidR="00874A36" w:rsidRDefault="00E6150B">
    <w:pPr>
      <w:tabs>
        <w:tab w:val="center" w:pos="4405"/>
      </w:tabs>
      <w:spacing w:after="0"/>
    </w:pPr>
    <w:r>
      <w:rPr>
        <w:rFonts w:eastAsia="Calibri" w:cs="Calibri"/>
      </w:rPr>
      <w:t>Kashyap Kansara</w:t>
    </w:r>
    <w:r>
      <w:rPr>
        <w:rFonts w:eastAsia="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875BD7" w14:textId="77777777" w:rsidR="00874A36" w:rsidRDefault="00000000">
    <w:pPr>
      <w:spacing w:after="0"/>
      <w:ind w:right="-3"/>
      <w:jc w:val="right"/>
    </w:pPr>
    <w:r>
      <w:fldChar w:fldCharType="begin"/>
    </w:r>
    <w:r>
      <w:instrText xml:space="preserve"> PAGE   \* MERGEFORMAT </w:instrText>
    </w:r>
    <w:r>
      <w:fldChar w:fldCharType="separate"/>
    </w:r>
    <w:r>
      <w:rPr>
        <w:rFonts w:eastAsia="Calibri" w:cs="Calibri"/>
      </w:rPr>
      <w:t>1</w:t>
    </w:r>
    <w:r>
      <w:rPr>
        <w:rFonts w:eastAsia="Calibri" w:cs="Calibri"/>
      </w:rPr>
      <w:fldChar w:fldCharType="end"/>
    </w:r>
  </w:p>
  <w:p w14:paraId="6FDB474E" w14:textId="77777777" w:rsidR="00874A36" w:rsidRDefault="00000000">
    <w:pPr>
      <w:tabs>
        <w:tab w:val="center" w:pos="4405"/>
      </w:tabs>
      <w:spacing w:after="0"/>
    </w:pPr>
    <w:r>
      <w:rPr>
        <w:rFonts w:eastAsia="Calibri" w:cs="Calibri"/>
      </w:rPr>
      <w:t xml:space="preserve">[Your Name] </w:t>
    </w:r>
    <w:r>
      <w:rPr>
        <w:rFonts w:eastAsia="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4C4F8" w14:textId="77777777" w:rsidR="009C24B3" w:rsidRDefault="009C24B3">
      <w:pPr>
        <w:spacing w:after="0" w:line="240" w:lineRule="auto"/>
      </w:pPr>
      <w:r>
        <w:separator/>
      </w:r>
    </w:p>
  </w:footnote>
  <w:footnote w:type="continuationSeparator" w:id="0">
    <w:p w14:paraId="7A330A4C" w14:textId="77777777" w:rsidR="009C24B3" w:rsidRDefault="009C24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6B401198"/>
    <w:lvl w:ilvl="0" w:tplc="452AEF3A">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1" w15:restartNumberingAfterBreak="0">
    <w:nsid w:val="00000002"/>
    <w:multiLevelType w:val="hybridMultilevel"/>
    <w:tmpl w:val="4A8C6D60"/>
    <w:lvl w:ilvl="0" w:tplc="8DA8F106">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2" w15:restartNumberingAfterBreak="0">
    <w:nsid w:val="00000003"/>
    <w:multiLevelType w:val="hybridMultilevel"/>
    <w:tmpl w:val="A10E3BA0"/>
    <w:lvl w:ilvl="0" w:tplc="BEDED198">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3" w15:restartNumberingAfterBreak="0">
    <w:nsid w:val="00000004"/>
    <w:multiLevelType w:val="hybridMultilevel"/>
    <w:tmpl w:val="B7E0A7B4"/>
    <w:lvl w:ilvl="0" w:tplc="1F183620">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4" w15:restartNumberingAfterBreak="0">
    <w:nsid w:val="00000005"/>
    <w:multiLevelType w:val="multilevel"/>
    <w:tmpl w:val="10087C6C"/>
    <w:lvl w:ilvl="0">
      <w:start w:val="1"/>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00000006"/>
    <w:multiLevelType w:val="hybridMultilevel"/>
    <w:tmpl w:val="687020BE"/>
    <w:lvl w:ilvl="0" w:tplc="6DDE5B92">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6" w15:restartNumberingAfterBreak="0">
    <w:nsid w:val="00000007"/>
    <w:multiLevelType w:val="hybridMultilevel"/>
    <w:tmpl w:val="C4741B38"/>
    <w:lvl w:ilvl="0" w:tplc="2422B64C">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F3B2BA1E"/>
    <w:lvl w:ilvl="0" w:tplc="2422B64C">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0000009"/>
    <w:multiLevelType w:val="hybridMultilevel"/>
    <w:tmpl w:val="D2441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000000A"/>
    <w:multiLevelType w:val="hybridMultilevel"/>
    <w:tmpl w:val="0714CE50"/>
    <w:lvl w:ilvl="0" w:tplc="562AF748">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abstractNum w:abstractNumId="10" w15:restartNumberingAfterBreak="0">
    <w:nsid w:val="0000000B"/>
    <w:multiLevelType w:val="hybridMultilevel"/>
    <w:tmpl w:val="EC88C0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0000000C"/>
    <w:multiLevelType w:val="hybridMultilevel"/>
    <w:tmpl w:val="8D2E99E0"/>
    <w:lvl w:ilvl="0" w:tplc="C486FEFC">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000000D"/>
    <w:multiLevelType w:val="hybridMultilevel"/>
    <w:tmpl w:val="585E6526"/>
    <w:lvl w:ilvl="0" w:tplc="08090001">
      <w:start w:val="1"/>
      <w:numFmt w:val="bullet"/>
      <w:lvlText w:val=""/>
      <w:lvlJc w:val="left"/>
      <w:pPr>
        <w:ind w:left="742" w:hanging="360"/>
      </w:pPr>
      <w:rPr>
        <w:rFonts w:ascii="Symbol" w:hAnsi="Symbol"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13" w15:restartNumberingAfterBreak="0">
    <w:nsid w:val="0000000E"/>
    <w:multiLevelType w:val="hybridMultilevel"/>
    <w:tmpl w:val="2F1EEEDC"/>
    <w:lvl w:ilvl="0" w:tplc="13E46CEC">
      <w:start w:val="1"/>
      <w:numFmt w:val="bullet"/>
      <w:lvlText w:val=""/>
      <w:lvlJc w:val="left"/>
      <w:pPr>
        <w:ind w:left="720" w:hanging="360"/>
      </w:pPr>
      <w:rPr>
        <w:rFonts w:ascii="Arial" w:eastAsia="DengXi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0000000F"/>
    <w:multiLevelType w:val="hybridMultilevel"/>
    <w:tmpl w:val="EA3453A2"/>
    <w:lvl w:ilvl="0" w:tplc="40090001">
      <w:start w:val="1"/>
      <w:numFmt w:val="bullet"/>
      <w:lvlText w:val=""/>
      <w:lvlJc w:val="left"/>
      <w:pPr>
        <w:ind w:left="720" w:hanging="360"/>
      </w:pPr>
      <w:rPr>
        <w:rFonts w:ascii="Symbol" w:hAnsi="Symbol" w:hint="default"/>
      </w:rPr>
    </w:lvl>
    <w:lvl w:ilvl="1" w:tplc="44ECA17C" w:tentative="1">
      <w:start w:val="1"/>
      <w:numFmt w:val="lowerLetter"/>
      <w:lvlText w:val="%2."/>
      <w:lvlJc w:val="left"/>
      <w:pPr>
        <w:ind w:left="1440" w:hanging="360"/>
      </w:pPr>
    </w:lvl>
    <w:lvl w:ilvl="2" w:tplc="8FC60B24" w:tentative="1">
      <w:start w:val="1"/>
      <w:numFmt w:val="lowerRoman"/>
      <w:lvlText w:val="%3."/>
      <w:lvlJc w:val="right"/>
      <w:pPr>
        <w:ind w:left="2160" w:hanging="180"/>
      </w:pPr>
    </w:lvl>
    <w:lvl w:ilvl="3" w:tplc="C7DCF31E" w:tentative="1">
      <w:start w:val="1"/>
      <w:numFmt w:val="decimal"/>
      <w:lvlText w:val="%4."/>
      <w:lvlJc w:val="left"/>
      <w:pPr>
        <w:ind w:left="2880" w:hanging="360"/>
      </w:pPr>
    </w:lvl>
    <w:lvl w:ilvl="4" w:tplc="89AAA0AE" w:tentative="1">
      <w:start w:val="1"/>
      <w:numFmt w:val="lowerLetter"/>
      <w:lvlText w:val="%5."/>
      <w:lvlJc w:val="left"/>
      <w:pPr>
        <w:ind w:left="3600" w:hanging="360"/>
      </w:pPr>
    </w:lvl>
    <w:lvl w:ilvl="5" w:tplc="A51ED89C" w:tentative="1">
      <w:start w:val="1"/>
      <w:numFmt w:val="lowerRoman"/>
      <w:lvlText w:val="%6."/>
      <w:lvlJc w:val="right"/>
      <w:pPr>
        <w:ind w:left="4320" w:hanging="180"/>
      </w:pPr>
    </w:lvl>
    <w:lvl w:ilvl="6" w:tplc="638EBE2C" w:tentative="1">
      <w:start w:val="1"/>
      <w:numFmt w:val="decimal"/>
      <w:lvlText w:val="%7."/>
      <w:lvlJc w:val="left"/>
      <w:pPr>
        <w:ind w:left="5040" w:hanging="360"/>
      </w:pPr>
    </w:lvl>
    <w:lvl w:ilvl="7" w:tplc="3A64726A" w:tentative="1">
      <w:start w:val="1"/>
      <w:numFmt w:val="lowerLetter"/>
      <w:lvlText w:val="%8."/>
      <w:lvlJc w:val="left"/>
      <w:pPr>
        <w:ind w:left="5760" w:hanging="360"/>
      </w:pPr>
    </w:lvl>
    <w:lvl w:ilvl="8" w:tplc="E5EE5826" w:tentative="1">
      <w:start w:val="1"/>
      <w:numFmt w:val="lowerRoman"/>
      <w:lvlText w:val="%9."/>
      <w:lvlJc w:val="right"/>
      <w:pPr>
        <w:ind w:left="6480" w:hanging="180"/>
      </w:pPr>
    </w:lvl>
  </w:abstractNum>
  <w:abstractNum w:abstractNumId="15" w15:restartNumberingAfterBreak="0">
    <w:nsid w:val="00000010"/>
    <w:multiLevelType w:val="hybridMultilevel"/>
    <w:tmpl w:val="98568C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00000011"/>
    <w:multiLevelType w:val="hybridMultilevel"/>
    <w:tmpl w:val="735ABB0C"/>
    <w:lvl w:ilvl="0" w:tplc="6BBC8388">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0000012"/>
    <w:multiLevelType w:val="hybridMultilevel"/>
    <w:tmpl w:val="C7D6E7A0"/>
    <w:lvl w:ilvl="0" w:tplc="ABE63E5C">
      <w:start w:val="1"/>
      <w:numFmt w:val="bullet"/>
      <w:lvlText w:val=""/>
      <w:lvlJc w:val="left"/>
      <w:pPr>
        <w:ind w:left="720" w:hanging="360"/>
      </w:pPr>
      <w:rPr>
        <w:rFonts w:ascii="Symbol" w:hAnsi="Symbol"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9D0"/>
    <w:multiLevelType w:val="hybridMultilevel"/>
    <w:tmpl w:val="E87A3684"/>
    <w:lvl w:ilvl="0" w:tplc="C6C27F2E">
      <w:start w:val="1"/>
      <w:numFmt w:val="bullet"/>
      <w:lvlText w:val="•"/>
      <w:lvlJc w:val="left"/>
      <w:pPr>
        <w:ind w:left="705"/>
      </w:pPr>
      <w:rPr>
        <w:rFonts w:ascii="Arial" w:eastAsia="Arial" w:hAnsi="Arial" w:cs="Arial"/>
        <w:b w:val="0"/>
        <w:i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color w:val="000000"/>
        <w:sz w:val="24"/>
        <w:szCs w:val="24"/>
        <w:u w:val="none" w:color="000000"/>
        <w:bdr w:val="none" w:sz="0" w:space="0" w:color="auto"/>
        <w:shd w:val="clear" w:color="auto" w:fill="auto"/>
        <w:vertAlign w:val="baseline"/>
      </w:rPr>
    </w:lvl>
  </w:abstractNum>
  <w:num w:numId="1" w16cid:durableId="1740591182">
    <w:abstractNumId w:val="4"/>
  </w:num>
  <w:num w:numId="2" w16cid:durableId="1064253835">
    <w:abstractNumId w:val="3"/>
  </w:num>
  <w:num w:numId="3" w16cid:durableId="1621689456">
    <w:abstractNumId w:val="0"/>
  </w:num>
  <w:num w:numId="4" w16cid:durableId="473372845">
    <w:abstractNumId w:val="5"/>
  </w:num>
  <w:num w:numId="5" w16cid:durableId="1064178526">
    <w:abstractNumId w:val="9"/>
  </w:num>
  <w:num w:numId="6" w16cid:durableId="1558054861">
    <w:abstractNumId w:val="1"/>
  </w:num>
  <w:num w:numId="7" w16cid:durableId="371348618">
    <w:abstractNumId w:val="2"/>
  </w:num>
  <w:num w:numId="8" w16cid:durableId="1966958443">
    <w:abstractNumId w:val="18"/>
  </w:num>
  <w:num w:numId="9" w16cid:durableId="1275165143">
    <w:abstractNumId w:val="6"/>
  </w:num>
  <w:num w:numId="10" w16cid:durableId="1650939101">
    <w:abstractNumId w:val="11"/>
  </w:num>
  <w:num w:numId="11" w16cid:durableId="1800101599">
    <w:abstractNumId w:val="7"/>
  </w:num>
  <w:num w:numId="12" w16cid:durableId="1665358026">
    <w:abstractNumId w:val="17"/>
  </w:num>
  <w:num w:numId="13" w16cid:durableId="387580855">
    <w:abstractNumId w:val="8"/>
  </w:num>
  <w:num w:numId="14" w16cid:durableId="1802336747">
    <w:abstractNumId w:val="12"/>
  </w:num>
  <w:num w:numId="15" w16cid:durableId="942347539">
    <w:abstractNumId w:val="16"/>
  </w:num>
  <w:num w:numId="16" w16cid:durableId="1683555597">
    <w:abstractNumId w:val="14"/>
  </w:num>
  <w:num w:numId="17" w16cid:durableId="2061634440">
    <w:abstractNumId w:val="15"/>
  </w:num>
  <w:num w:numId="18" w16cid:durableId="895749011">
    <w:abstractNumId w:val="10"/>
  </w:num>
  <w:num w:numId="19" w16cid:durableId="165159720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74A36"/>
    <w:rsid w:val="00077C9C"/>
    <w:rsid w:val="001532CD"/>
    <w:rsid w:val="001D030D"/>
    <w:rsid w:val="00393F29"/>
    <w:rsid w:val="004F7BD9"/>
    <w:rsid w:val="00516275"/>
    <w:rsid w:val="00546F66"/>
    <w:rsid w:val="0061027D"/>
    <w:rsid w:val="00874A36"/>
    <w:rsid w:val="009C24B3"/>
    <w:rsid w:val="00A262AB"/>
    <w:rsid w:val="00AA5D48"/>
    <w:rsid w:val="00B5306C"/>
    <w:rsid w:val="00BE30F3"/>
    <w:rsid w:val="00C40B41"/>
    <w:rsid w:val="00D43CD7"/>
    <w:rsid w:val="00E6150B"/>
    <w:rsid w:val="00EF0F78"/>
    <w:rsid w:val="00FA0B89"/>
    <w:rsid w:val="00FE053C"/>
  </w:rsids>
  <m:mathPr>
    <m:mathFont m:val="Cambria Math"/>
    <m:brkBin m:val="before"/>
    <m:brkBinSub m:val="--"/>
    <m:smallFrac/>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27D7D00"/>
  <w15:docId w15:val="{41A2D55F-FFB9-446F-B0C0-1FE3197EC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DengXian" w:hAnsi="Calibri" w:cs="Arial"/>
        <w:kern w:val="2"/>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pPr>
      <w:keepNext/>
      <w:keepLines/>
      <w:tabs>
        <w:tab w:val="left" w:pos="993"/>
      </w:tabs>
      <w:spacing w:after="152" w:line="360" w:lineRule="auto"/>
      <w:ind w:left="12" w:right="1" w:hanging="10"/>
      <w:jc w:val="both"/>
      <w:outlineLvl w:val="0"/>
    </w:pPr>
    <w:rPr>
      <w:rFonts w:ascii="Arial" w:eastAsia="Times New Roman" w:hAnsi="Arial"/>
      <w:b/>
      <w:color w:val="000000"/>
    </w:rPr>
  </w:style>
  <w:style w:type="paragraph" w:styleId="Heading2">
    <w:name w:val="heading 2"/>
    <w:next w:val="Normal"/>
    <w:link w:val="Heading2Char"/>
    <w:uiPriority w:val="9"/>
    <w:unhideWhenUsed/>
    <w:qFormat/>
    <w:pPr>
      <w:keepNext/>
      <w:keepLines/>
      <w:spacing w:after="0" w:line="360" w:lineRule="auto"/>
      <w:ind w:left="10" w:right="2" w:hanging="10"/>
      <w:jc w:val="both"/>
      <w:outlineLvl w:val="1"/>
    </w:pPr>
    <w:rPr>
      <w:rFonts w:ascii="Arial" w:eastAsia="Times New Roman" w:hAnsi="Arial"/>
      <w:b/>
      <w:color w:val="000000"/>
      <w:lang w:val="en-US"/>
    </w:rPr>
  </w:style>
  <w:style w:type="paragraph" w:styleId="Heading3">
    <w:name w:val="heading 3"/>
    <w:next w:val="Normal"/>
    <w:link w:val="Heading3Char"/>
    <w:uiPriority w:val="9"/>
    <w:unhideWhenUsed/>
    <w:qFormat/>
    <w:pPr>
      <w:keepNext/>
      <w:keepLines/>
      <w:spacing w:after="181"/>
      <w:outlineLvl w:val="2"/>
    </w:pPr>
    <w:rPr>
      <w:rFonts w:ascii="Times New Roman" w:eastAsia="Times New Roman" w:hAnsi="Times New Roman" w:cs="Times New Roman"/>
      <w:color w:val="000000"/>
      <w:sz w:val="24"/>
      <w:u w:val="single" w:color="000000"/>
    </w:rPr>
  </w:style>
  <w:style w:type="paragraph" w:styleId="Heading4">
    <w:name w:val="heading 4"/>
    <w:basedOn w:val="Normal"/>
    <w:next w:val="Normal"/>
    <w:link w:val="Heading4Char"/>
    <w:uiPriority w:val="9"/>
    <w:unhideWhenUsed/>
    <w:qFormat/>
    <w:pPr>
      <w:keepNext/>
      <w:keepLines/>
      <w:spacing w:before="40" w:after="0" w:line="360" w:lineRule="auto"/>
      <w:jc w:val="center"/>
      <w:outlineLvl w:val="3"/>
    </w:pPr>
    <w:rPr>
      <w:rFonts w:ascii="Arial" w:eastAsia="SimSun" w:hAnsi="Arial"/>
      <w:b/>
      <w:bCs/>
      <w:lang w:val="en-IN"/>
    </w:rPr>
  </w:style>
  <w:style w:type="paragraph" w:styleId="Heading5">
    <w:name w:val="heading 5"/>
    <w:basedOn w:val="Normal"/>
    <w:next w:val="Normal"/>
    <w:link w:val="Heading5Char"/>
    <w:uiPriority w:val="9"/>
    <w:unhideWhenUsed/>
    <w:qFormat/>
    <w:pPr>
      <w:keepNext/>
      <w:keepLines/>
      <w:spacing w:before="40" w:after="0" w:line="360" w:lineRule="auto"/>
      <w:jc w:val="center"/>
      <w:outlineLvl w:val="4"/>
    </w:pPr>
    <w:rPr>
      <w:rFonts w:ascii="Arial" w:eastAsia="SimSun" w:hAnsi="Arial"/>
      <w:b/>
      <w:bCs/>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rial" w:eastAsia="Times New Roman" w:hAnsi="Arial"/>
      <w:b/>
      <w:color w:val="000000"/>
    </w:rPr>
  </w:style>
  <w:style w:type="character" w:customStyle="1" w:styleId="Heading2Char">
    <w:name w:val="Heading 2 Char"/>
    <w:basedOn w:val="DefaultParagraphFont"/>
    <w:link w:val="Heading2"/>
    <w:uiPriority w:val="9"/>
    <w:rPr>
      <w:rFonts w:ascii="Arial" w:eastAsia="Times New Roman" w:hAnsi="Arial"/>
      <w:b/>
      <w:color w:val="000000"/>
      <w:lang w:val="en-US"/>
    </w:rPr>
  </w:style>
  <w:style w:type="character" w:customStyle="1" w:styleId="Heading3Char">
    <w:name w:val="Heading 3 Char"/>
    <w:basedOn w:val="DefaultParagraphFont"/>
    <w:link w:val="Heading3"/>
    <w:uiPriority w:val="9"/>
    <w:rPr>
      <w:rFonts w:ascii="Times New Roman" w:eastAsia="Times New Roman" w:hAnsi="Times New Roman" w:cs="Times New Roman"/>
      <w:color w:val="000000"/>
      <w:sz w:val="24"/>
      <w:u w:val="single" w:color="000000"/>
    </w:rPr>
  </w:style>
  <w:style w:type="paragraph" w:styleId="TOC1">
    <w:name w:val="toc 1"/>
    <w:uiPriority w:val="39"/>
    <w:pPr>
      <w:spacing w:after="109" w:line="249" w:lineRule="auto"/>
      <w:ind w:left="25" w:right="19" w:hanging="10"/>
    </w:pPr>
    <w:rPr>
      <w:rFonts w:ascii="Times New Roman" w:eastAsia="Times New Roman" w:hAnsi="Times New Roman" w:cs="Times New Roman"/>
      <w:color w:val="000000"/>
      <w:sz w:val="24"/>
    </w:rPr>
  </w:style>
  <w:style w:type="character" w:customStyle="1" w:styleId="Heading4Char">
    <w:name w:val="Heading 4 Char"/>
    <w:basedOn w:val="DefaultParagraphFont"/>
    <w:link w:val="Heading4"/>
    <w:uiPriority w:val="9"/>
    <w:rPr>
      <w:rFonts w:ascii="Arial" w:eastAsia="SimSun" w:hAnsi="Arial"/>
      <w:b/>
      <w:bCs/>
      <w:lang w:val="en-IN"/>
    </w:rPr>
  </w:style>
  <w:style w:type="paragraph" w:styleId="TableofFigures">
    <w:name w:val="table of figures"/>
    <w:basedOn w:val="Normal"/>
    <w:next w:val="Normal"/>
    <w:uiPriority w:val="99"/>
    <w:pPr>
      <w:spacing w:after="0"/>
    </w:pPr>
  </w:style>
  <w:style w:type="character" w:styleId="Hyperlink">
    <w:name w:val="Hyperlink"/>
    <w:basedOn w:val="DefaultParagraphFont"/>
    <w:uiPriority w:val="99"/>
    <w:rPr>
      <w:color w:val="0000FF"/>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paragraph" w:customStyle="1" w:styleId="Normal1">
    <w:name w:val="Normal1"/>
    <w:pPr>
      <w:spacing w:after="0" w:line="276" w:lineRule="auto"/>
    </w:pPr>
    <w:rPr>
      <w:rFonts w:ascii="Arial" w:eastAsia="Arial" w:hAnsi="Arial"/>
      <w:kern w:val="0"/>
      <w:lang w:val="en-US" w:eastAsia="en-US"/>
    </w:rPr>
  </w:style>
  <w:style w:type="character" w:customStyle="1" w:styleId="UnresolvedMention1">
    <w:name w:val="Unresolved Mention1"/>
    <w:basedOn w:val="DefaultParagraphFont"/>
    <w:uiPriority w:val="99"/>
    <w:rPr>
      <w:color w:val="605E5C"/>
      <w:shd w:val="clear" w:color="auto" w:fill="E1DFDD"/>
    </w:rPr>
  </w:style>
  <w:style w:type="paragraph" w:customStyle="1" w:styleId="msonormal0">
    <w:name w:val="msonormal"/>
    <w:basedOn w:val="Normal"/>
    <w:pPr>
      <w:spacing w:before="100" w:beforeAutospacing="1" w:after="100" w:afterAutospacing="1" w:line="240" w:lineRule="auto"/>
    </w:pPr>
    <w:rPr>
      <w:rFonts w:ascii="Times New Roman" w:eastAsia="Times New Roman" w:hAnsi="Times New Roman" w:cs="Times New Roman"/>
      <w:kern w:val="0"/>
      <w:sz w:val="24"/>
      <w:szCs w:val="24"/>
      <w:lang w:val="en-IN" w:eastAsia="en-IN"/>
    </w:rPr>
  </w:style>
  <w:style w:type="character" w:customStyle="1" w:styleId="Heading5Char">
    <w:name w:val="Heading 5 Char"/>
    <w:basedOn w:val="DefaultParagraphFont"/>
    <w:link w:val="Heading5"/>
    <w:uiPriority w:val="9"/>
    <w:rPr>
      <w:rFonts w:ascii="Arial" w:eastAsia="SimSun" w:hAnsi="Arial"/>
      <w:b/>
      <w:bCs/>
      <w:lang w:val="en-IN"/>
    </w:rPr>
  </w:style>
  <w:style w:type="paragraph" w:styleId="ListParagraph">
    <w:name w:val="List Paragraph"/>
    <w:basedOn w:val="Normal"/>
    <w:uiPriority w:val="34"/>
    <w:qFormat/>
    <w:pPr>
      <w:spacing w:after="0" w:line="240" w:lineRule="auto"/>
      <w:ind w:left="720"/>
      <w:contextualSpacing/>
    </w:pPr>
    <w:rPr>
      <w:rFonts w:ascii="Times New Roman" w:eastAsia="Times New Roman" w:hAnsi="Times New Roman" w:cs="Times New Roman"/>
      <w:kern w:val="0"/>
      <w:sz w:val="20"/>
      <w:szCs w:val="20"/>
      <w:lang w:eastAsia="en-US"/>
    </w:rPr>
  </w:style>
  <w:style w:type="table" w:styleId="TableGrid">
    <w:name w:val="Table Grid"/>
    <w:basedOn w:val="TableNormal"/>
    <w:uiPriority w:val="59"/>
    <w:pPr>
      <w:spacing w:after="0" w:line="240" w:lineRule="auto"/>
    </w:pPr>
    <w:rPr>
      <w:rFonts w:ascii="Calibri Light" w:eastAsia="Calibri" w:hAnsi="Calibri Light" w:cs="Calibri Light (Headings)"/>
      <w:color w:val="000000"/>
      <w:kern w:val="0"/>
      <w:szCs w:val="21"/>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kern w:val="0"/>
      <w:sz w:val="24"/>
      <w:szCs w:val="24"/>
      <w:lang w:val="en-US" w:eastAsia="en-US" w:bidi="hi-IN"/>
    </w:rPr>
  </w:style>
  <w:style w:type="paragraph" w:styleId="Header">
    <w:name w:val="header"/>
    <w:basedOn w:val="Normal"/>
    <w:link w:val="HeaderChar"/>
    <w:uiPriority w:val="99"/>
    <w:unhideWhenUsed/>
    <w:rsid w:val="00E61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50B"/>
  </w:style>
  <w:style w:type="character" w:styleId="FollowedHyperlink">
    <w:name w:val="FollowedHyperlink"/>
    <w:basedOn w:val="DefaultParagraphFont"/>
    <w:uiPriority w:val="99"/>
    <w:semiHidden/>
    <w:unhideWhenUsed/>
    <w:rsid w:val="0061027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3389/fcdhc.2024.1348104" TargetMode="External"/><Relationship Id="rId21" Type="http://schemas.openxmlformats.org/officeDocument/2006/relationships/image" Target="media/image5.png"/><Relationship Id="rId42" Type="http://schemas.openxmlformats.org/officeDocument/2006/relationships/hyperlink" Target="https://doi.org/10.1111/dme.14706" TargetMode="External"/><Relationship Id="rId47" Type="http://schemas.openxmlformats.org/officeDocument/2006/relationships/hyperlink" Target="https://doi.org/10.1007/s11096-025-01941-z" TargetMode="External"/><Relationship Id="rId63" Type="http://schemas.openxmlformats.org/officeDocument/2006/relationships/hyperlink" Target="https://onlinelibrary.wiley.com/doi/abs/10.1111/dme.15259" TargetMode="External"/><Relationship Id="rId68" Type="http://schemas.openxmlformats.org/officeDocument/2006/relationships/footer" Target="footer1.xml"/><Relationship Id="rId7" Type="http://schemas.openxmlformats.org/officeDocument/2006/relationships/styles" Target="styles.xml"/><Relationship Id="rId71"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Layout" Target="diagrams/layout1.xml"/><Relationship Id="rId29" Type="http://schemas.openxmlformats.org/officeDocument/2006/relationships/hyperlink" Target="https://doi.org/10.1007/s13300-023-01527-w" TargetMode="External"/><Relationship Id="rId11" Type="http://schemas.openxmlformats.org/officeDocument/2006/relationships/endnotes" Target="endnotes.xml"/><Relationship Id="rId24" Type="http://schemas.openxmlformats.org/officeDocument/2006/relationships/image" Target="media/image8.png"/><Relationship Id="rId32" Type="http://schemas.openxmlformats.org/officeDocument/2006/relationships/hyperlink" Target="https://doi.org/10.1210/jendso/bvae210" TargetMode="External"/><Relationship Id="rId37" Type="http://schemas.openxmlformats.org/officeDocument/2006/relationships/hyperlink" Target="https://books.google.com/books?hl=en&amp;lr=&amp;id=_4UxEAAAQBAJ&amp;oi=fnd&amp;pg=PA42&amp;dq=interpretivist+philosophy+enables+the+amalgamation+of+qualitative+as+well+as+quantitative+evidence,+hence+providing+the+capacity+to+derive+an+exhaustive+conceptualisation+of+experienced+lives&amp;ots=av3t4z2gV9&amp;sig=iCe6XyaiAu7WWLrmcxu0piTFkbs" TargetMode="External"/><Relationship Id="rId40" Type="http://schemas.openxmlformats.org/officeDocument/2006/relationships/hyperlink" Target="https://doi.org/10.1016/j.ejon.2024.102733" TargetMode="External"/><Relationship Id="rId45" Type="http://schemas.openxmlformats.org/officeDocument/2006/relationships/hyperlink" Target="https://psu.pb.unizin.org/kines082/chapter/the-health-belief-model/" TargetMode="External"/><Relationship Id="rId53" Type="http://schemas.openxmlformats.org/officeDocument/2006/relationships/hyperlink" Target="https://doi.org/10.3389/fcdhc.2024.1348104" TargetMode="External"/><Relationship Id="rId58" Type="http://schemas.openxmlformats.org/officeDocument/2006/relationships/hyperlink" Target="https://www.mdpi.com/1660-4601/18/14/7623" TargetMode="External"/><Relationship Id="rId66" Type="http://schemas.openxmlformats.org/officeDocument/2006/relationships/hyperlink" Target="https://www.latunisiemedicale.com/index.php/tunismed/article/view/3797" TargetMode="External"/><Relationship Id="rId5" Type="http://schemas.openxmlformats.org/officeDocument/2006/relationships/customXml" Target="../customXml/item5.xml"/><Relationship Id="rId61" Type="http://schemas.openxmlformats.org/officeDocument/2006/relationships/hyperlink" Target="https://www.mdpi.com/2227-9032/12/14/1457" TargetMode="External"/><Relationship Id="rId19" Type="http://schemas.microsoft.com/office/2007/relationships/diagramDrawing" Target="diagrams/drawing1.xml"/><Relationship Id="rId14" Type="http://schemas.openxmlformats.org/officeDocument/2006/relationships/image" Target="media/image3.png"/><Relationship Id="rId22" Type="http://schemas.openxmlformats.org/officeDocument/2006/relationships/image" Target="media/image6.png"/><Relationship Id="rId27" Type="http://schemas.openxmlformats.org/officeDocument/2006/relationships/hyperlink" Target="https://yadda.icm.edu.pl/baztech/element/bwmeta1.element.baztech-12a05f97-6339-4215-a0a7-cb6e0963c108" TargetMode="External"/><Relationship Id="rId30" Type="http://schemas.openxmlformats.org/officeDocument/2006/relationships/hyperlink" Target="https://doi.org/10.1016/j.cmet.2023.06.018" TargetMode="External"/><Relationship Id="rId35" Type="http://schemas.openxmlformats.org/officeDocument/2006/relationships/hyperlink" Target="https://doi.org/10.1186/s13012-024-01398-0" TargetMode="External"/><Relationship Id="rId43" Type="http://schemas.openxmlformats.org/officeDocument/2006/relationships/hyperlink" Target="https://journals.sagepub.com/doi/abs/10.1089/dia.2019.0417" TargetMode="External"/><Relationship Id="rId48" Type="http://schemas.openxmlformats.org/officeDocument/2006/relationships/hyperlink" Target="https://onlinelibrary.wiley.com/doi/pdf/10.1002/wps.20996" TargetMode="External"/><Relationship Id="rId56" Type="http://schemas.openxmlformats.org/officeDocument/2006/relationships/hyperlink" Target="https://doi.org/10.1016/j.cmet.2023.06.018" TargetMode="External"/><Relationship Id="rId64" Type="http://schemas.openxmlformats.org/officeDocument/2006/relationships/hyperlink" Target="https://doi.org/10.1007/s11096-025-01941-z" TargetMode="External"/><Relationship Id="rId69" Type="http://schemas.openxmlformats.org/officeDocument/2006/relationships/footer" Target="footer2.xml"/><Relationship Id="rId8" Type="http://schemas.openxmlformats.org/officeDocument/2006/relationships/settings" Target="settings.xml"/><Relationship Id="rId51" Type="http://schemas.openxmlformats.org/officeDocument/2006/relationships/hyperlink" Target="https://doi.org/10.22543/2392-7674.1445" TargetMode="External"/><Relationship Id="rId72"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diagramQuickStyle" Target="diagrams/quickStyle1.xml"/><Relationship Id="rId25" Type="http://schemas.openxmlformats.org/officeDocument/2006/relationships/hyperlink" Target="https://doi.org/10.4239/wjd.v16.i8.110088" TargetMode="External"/><Relationship Id="rId33" Type="http://schemas.openxmlformats.org/officeDocument/2006/relationships/hyperlink" Target="https://doi.org/10.1210/jendso/bvae210" TargetMode="External"/><Relationship Id="rId38" Type="http://schemas.openxmlformats.org/officeDocument/2006/relationships/hyperlink" Target="https://doi.org/10.1210/clinem/dgac278" TargetMode="External"/><Relationship Id="rId46" Type="http://schemas.openxmlformats.org/officeDocument/2006/relationships/hyperlink" Target="https://doi.org/10.1007/s11096-025-01941-z" TargetMode="External"/><Relationship Id="rId59" Type="http://schemas.openxmlformats.org/officeDocument/2006/relationships/hyperlink" Target="https://doi.org/10.1186/s13012-024-01398-0" TargetMode="External"/><Relationship Id="rId67" Type="http://schemas.openxmlformats.org/officeDocument/2006/relationships/hyperlink" Target="https://www.thelancet.com/journals/lancet/article/PIIS0140-6736(25)01438-2/fulltext" TargetMode="External"/><Relationship Id="rId20" Type="http://schemas.openxmlformats.org/officeDocument/2006/relationships/image" Target="media/image4.png"/><Relationship Id="rId41" Type="http://schemas.openxmlformats.org/officeDocument/2006/relationships/hyperlink" Target="https://www.mdpi.com/2227-9032/12/14/1457" TargetMode="External"/><Relationship Id="rId54" Type="http://schemas.openxmlformats.org/officeDocument/2006/relationships/hyperlink" Target="https://formative.jmir.org/2024/1/e64463/" TargetMode="External"/><Relationship Id="rId62" Type="http://schemas.openxmlformats.org/officeDocument/2006/relationships/hyperlink" Target="https://journals.sagepub.com/doi/abs/10.1089/dia.2019.0417" TargetMode="External"/><Relationship Id="rId7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diagramData" Target="diagrams/data1.xml"/><Relationship Id="rId23" Type="http://schemas.openxmlformats.org/officeDocument/2006/relationships/image" Target="media/image7.png"/><Relationship Id="rId28" Type="http://schemas.openxmlformats.org/officeDocument/2006/relationships/hyperlink" Target="https://doi.org/10.1007/s13300-023-01527-w" TargetMode="External"/><Relationship Id="rId36" Type="http://schemas.openxmlformats.org/officeDocument/2006/relationships/hyperlink" Target="https://doi.org/10.1186/s13012-024-01398-0" TargetMode="External"/><Relationship Id="rId49" Type="http://schemas.openxmlformats.org/officeDocument/2006/relationships/hyperlink" Target="https://onlinelibrary.wiley.com/doi/pdf/10.1002/wps.20996" TargetMode="External"/><Relationship Id="rId57" Type="http://schemas.openxmlformats.org/officeDocument/2006/relationships/hyperlink" Target="https://discobolulunefs.ro/media/December2021.1.pdf" TargetMode="External"/><Relationship Id="rId10" Type="http://schemas.openxmlformats.org/officeDocument/2006/relationships/footnotes" Target="footnotes.xml"/><Relationship Id="rId31" Type="http://schemas.openxmlformats.org/officeDocument/2006/relationships/hyperlink" Target="https://breakthrought1d.org.uk/wp-content/uploads/2023/06/bt1d-Type-1-Diabetes-Research-Roadmap_report.pdf" TargetMode="External"/><Relationship Id="rId44" Type="http://schemas.openxmlformats.org/officeDocument/2006/relationships/hyperlink" Target="https://onlinelibrary.wiley.com/doi/abs/10.1111/dme.15259" TargetMode="External"/><Relationship Id="rId52" Type="http://schemas.openxmlformats.org/officeDocument/2006/relationships/hyperlink" Target="https://www.thelancet.com/journals/lancet/article/PIIS0140-6736(25)01438-2/fulltext" TargetMode="External"/><Relationship Id="rId60" Type="http://schemas.openxmlformats.org/officeDocument/2006/relationships/hyperlink" Target="https://www.sciencedirect.com/science/article/abs/pii/S0168822720307944" TargetMode="External"/><Relationship Id="rId65" Type="http://schemas.openxmlformats.org/officeDocument/2006/relationships/hyperlink" Target="https://doi.org/10.22543/2392-7674.1445"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diagramColors" Target="diagrams/colors1.xml"/><Relationship Id="rId39" Type="http://schemas.openxmlformats.org/officeDocument/2006/relationships/hyperlink" Target="https://doi.org/10.1210/clinem/dgac278" TargetMode="External"/><Relationship Id="rId34" Type="http://schemas.openxmlformats.org/officeDocument/2006/relationships/hyperlink" Target="https://europeanpainfederation.eu/what-is-the-bio-psycho-social-model-of-pain/" TargetMode="External"/><Relationship Id="rId50" Type="http://schemas.openxmlformats.org/officeDocument/2006/relationships/hyperlink" Target="https://doi.org/10.22543/2392-7674.1445" TargetMode="External"/><Relationship Id="rId55" Type="http://schemas.openxmlformats.org/officeDocument/2006/relationships/hyperlink" Target="https://doi.org/10.1007/s13300-023-01527-w" TargetMode="External"/></Relationships>
</file>

<file path=word/diagrams/colors1.xml><?xml version="1.0" encoding="utf-8"?>
<dgm:colorsDef xmlns:dgm="http://schemas.openxmlformats.org/drawingml/2006/diagram" xmlns:a="http://schemas.openxmlformats.org/drawingml/2006/main" uniqueId="urn:microsoft.com/office/officeart/2005/8/colors/colorful4#1">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AF538B4-D763-42DA-8755-E8490AE25A91}" type="doc">
      <dgm:prSet loTypeId="urn:microsoft.com/office/officeart/2005/8/layout/hProcess9" loCatId="process" qsTypeId="urn:microsoft.com/office/officeart/2005/8/quickstyle/simple1#1" qsCatId="simple" csTypeId="urn:microsoft.com/office/officeart/2005/8/colors/colorful4#1" csCatId="colorful" phldr="1"/>
      <dgm:spPr/>
      <dgm:t>
        <a:bodyPr/>
        <a:lstStyle/>
        <a:p>
          <a:endParaRPr lang="en-IN"/>
        </a:p>
      </dgm:t>
    </dgm:pt>
    <dgm:pt modelId="{CC419AB6-0273-40E2-BAED-EC75EF468BCD}">
      <dgm:prSet phldrT="[Text]"/>
      <dgm:spPr/>
      <dgm:t>
        <a:bodyPr/>
        <a:lstStyle/>
        <a:p>
          <a:pPr>
            <a:buNone/>
          </a:pPr>
          <a:r>
            <a:rPr lang="en-IN" b="1"/>
            <a:t>Chapter 1: Introduction</a:t>
          </a:r>
        </a:p>
        <a:p>
          <a:pPr>
            <a:buNone/>
          </a:pPr>
          <a:r>
            <a:rPr lang="en-IN"/>
            <a:t>Introduces the research background, research problem, scope of the study, aims, objectives and research questions related to Type 1 Diabetes management and quality of life in the UK.</a:t>
          </a:r>
        </a:p>
      </dgm:t>
    </dgm:pt>
    <dgm:pt modelId="{661F6647-4C4F-4978-98EA-0C9BFC5F91E5}" type="parTrans" cxnId="{3985E1CD-7FA9-47A4-93EB-B64630C02843}">
      <dgm:prSet/>
      <dgm:spPr/>
      <dgm:t>
        <a:bodyPr/>
        <a:lstStyle/>
        <a:p>
          <a:endParaRPr lang="en-IN"/>
        </a:p>
      </dgm:t>
    </dgm:pt>
    <dgm:pt modelId="{C1F91F97-43C7-4352-84C4-A09656F9CD2C}" type="sibTrans" cxnId="{3985E1CD-7FA9-47A4-93EB-B64630C02843}">
      <dgm:prSet/>
      <dgm:spPr/>
      <dgm:t>
        <a:bodyPr/>
        <a:lstStyle/>
        <a:p>
          <a:endParaRPr lang="en-IN"/>
        </a:p>
      </dgm:t>
    </dgm:pt>
    <dgm:pt modelId="{BCABAC50-1A3B-47A3-8D67-630439A7C26C}">
      <dgm:prSet phldrT="[Text]"/>
      <dgm:spPr/>
      <dgm:t>
        <a:bodyPr/>
        <a:lstStyle/>
        <a:p>
          <a:pPr>
            <a:buNone/>
          </a:pPr>
          <a:r>
            <a:rPr lang="en-IN" b="1"/>
            <a:t>Chapter 2: Literature Review and Theoretical Framework</a:t>
          </a:r>
        </a:p>
        <a:p>
          <a:pPr>
            <a:buNone/>
          </a:pPr>
          <a:r>
            <a:rPr lang="en-IN"/>
            <a:t>Reviews existing literature, identifies research gaps and presents the theories and concepts underpinning the study.</a:t>
          </a:r>
        </a:p>
      </dgm:t>
    </dgm:pt>
    <dgm:pt modelId="{AAAC6E3C-944A-42A9-929B-C86ACE537917}" type="parTrans" cxnId="{2B589746-AAEE-4F8A-B00C-819CE8F5521F}">
      <dgm:prSet/>
      <dgm:spPr/>
      <dgm:t>
        <a:bodyPr/>
        <a:lstStyle/>
        <a:p>
          <a:endParaRPr lang="en-IN"/>
        </a:p>
      </dgm:t>
    </dgm:pt>
    <dgm:pt modelId="{9880ABA5-7716-42A8-BCD0-4A6FD9FA1C1E}" type="sibTrans" cxnId="{2B589746-AAEE-4F8A-B00C-819CE8F5521F}">
      <dgm:prSet/>
      <dgm:spPr/>
      <dgm:t>
        <a:bodyPr/>
        <a:lstStyle/>
        <a:p>
          <a:endParaRPr lang="en-IN"/>
        </a:p>
      </dgm:t>
    </dgm:pt>
    <dgm:pt modelId="{A9E74D05-8C2C-4FF6-BBA6-5E132E46E26F}">
      <dgm:prSet phldrT="[Text]"/>
      <dgm:spPr/>
      <dgm:t>
        <a:bodyPr/>
        <a:lstStyle/>
        <a:p>
          <a:pPr>
            <a:buNone/>
          </a:pPr>
          <a:r>
            <a:rPr lang="en-IN" b="1"/>
            <a:t>Chapter 3: Methodology</a:t>
          </a:r>
        </a:p>
        <a:p>
          <a:pPr>
            <a:buNone/>
          </a:pPr>
          <a:r>
            <a:rPr lang="en-IN"/>
            <a:t>Explains the systematic review methodology, search strategy, inclusion criteria and data analysis approach.</a:t>
          </a:r>
        </a:p>
      </dgm:t>
    </dgm:pt>
    <dgm:pt modelId="{E9C8B1EF-8D43-47E6-9E1F-5D7F9502E771}" type="parTrans" cxnId="{DB9B2589-AD7A-411C-BA4B-DF22FA348035}">
      <dgm:prSet/>
      <dgm:spPr/>
      <dgm:t>
        <a:bodyPr/>
        <a:lstStyle/>
        <a:p>
          <a:endParaRPr lang="en-IN"/>
        </a:p>
      </dgm:t>
    </dgm:pt>
    <dgm:pt modelId="{956C05AA-DDB0-4ED8-95C9-57E2B72DAEC5}" type="sibTrans" cxnId="{DB9B2589-AD7A-411C-BA4B-DF22FA348035}">
      <dgm:prSet/>
      <dgm:spPr/>
      <dgm:t>
        <a:bodyPr/>
        <a:lstStyle/>
        <a:p>
          <a:endParaRPr lang="en-IN"/>
        </a:p>
      </dgm:t>
    </dgm:pt>
    <dgm:pt modelId="{5E954E8E-68E2-4784-90FA-87EBC5C02771}">
      <dgm:prSet phldrT="[Text]"/>
      <dgm:spPr/>
      <dgm:t>
        <a:bodyPr/>
        <a:lstStyle/>
        <a:p>
          <a:pPr>
            <a:buNone/>
          </a:pPr>
          <a:r>
            <a:rPr lang="en-IN" b="1"/>
            <a:t>Chapter 4: Results</a:t>
          </a:r>
        </a:p>
        <a:p>
          <a:pPr>
            <a:buNone/>
          </a:pPr>
          <a:r>
            <a:rPr lang="en-IN"/>
            <a:t>Presents the findings obtained from the selected studies included in the review.</a:t>
          </a:r>
        </a:p>
      </dgm:t>
    </dgm:pt>
    <dgm:pt modelId="{D5346FB1-38C4-4037-BD0F-5EB3E40AC3CB}" type="parTrans" cxnId="{3D145AD2-D8D6-4DEE-88D0-96851A3643DA}">
      <dgm:prSet/>
      <dgm:spPr/>
      <dgm:t>
        <a:bodyPr/>
        <a:lstStyle/>
        <a:p>
          <a:endParaRPr lang="en-IN"/>
        </a:p>
      </dgm:t>
    </dgm:pt>
    <dgm:pt modelId="{3B3D6F89-EE3A-438D-8E1E-5913F3E073B7}" type="sibTrans" cxnId="{3D145AD2-D8D6-4DEE-88D0-96851A3643DA}">
      <dgm:prSet/>
      <dgm:spPr/>
      <dgm:t>
        <a:bodyPr/>
        <a:lstStyle/>
        <a:p>
          <a:endParaRPr lang="en-IN"/>
        </a:p>
      </dgm:t>
    </dgm:pt>
    <dgm:pt modelId="{4F5B068A-23DA-4CAE-BB75-AA7F298EA18E}">
      <dgm:prSet phldrT="[Text]"/>
      <dgm:spPr/>
      <dgm:t>
        <a:bodyPr/>
        <a:lstStyle/>
        <a:p>
          <a:pPr>
            <a:buNone/>
          </a:pPr>
          <a:r>
            <a:rPr lang="en-IN" b="1"/>
            <a:t>Chapter 5: Discussion</a:t>
          </a:r>
        </a:p>
        <a:p>
          <a:pPr>
            <a:buNone/>
          </a:pPr>
          <a:r>
            <a:rPr lang="en-IN"/>
            <a:t>Interprets the findings in relation to previous research, theory and practice.</a:t>
          </a:r>
        </a:p>
      </dgm:t>
    </dgm:pt>
    <dgm:pt modelId="{D23C4FBC-B07D-4B98-8700-B95A212661D1}" type="parTrans" cxnId="{7995B7E2-630E-4537-AC2F-6F268AB3733C}">
      <dgm:prSet/>
      <dgm:spPr/>
      <dgm:t>
        <a:bodyPr/>
        <a:lstStyle/>
        <a:p>
          <a:endParaRPr lang="en-IN"/>
        </a:p>
      </dgm:t>
    </dgm:pt>
    <dgm:pt modelId="{58638E5F-D11E-4E1F-81CE-FDAF9CB2441C}" type="sibTrans" cxnId="{7995B7E2-630E-4537-AC2F-6F268AB3733C}">
      <dgm:prSet/>
      <dgm:spPr/>
      <dgm:t>
        <a:bodyPr/>
        <a:lstStyle/>
        <a:p>
          <a:endParaRPr lang="en-IN"/>
        </a:p>
      </dgm:t>
    </dgm:pt>
    <dgm:pt modelId="{4A90A084-B1A3-429A-B6EC-ACE19FD2F09B}">
      <dgm:prSet phldrT="[Text]"/>
      <dgm:spPr/>
      <dgm:t>
        <a:bodyPr/>
        <a:lstStyle/>
        <a:p>
          <a:pPr>
            <a:buNone/>
          </a:pPr>
          <a:r>
            <a:rPr lang="en-IN" b="1"/>
            <a:t>Chapter 6: Conclusion</a:t>
          </a:r>
        </a:p>
        <a:p>
          <a:pPr>
            <a:buNone/>
          </a:pPr>
          <a:r>
            <a:rPr lang="en-IN"/>
            <a:t>Summarises the study findings and provides recommendations for practice and future research.</a:t>
          </a:r>
        </a:p>
      </dgm:t>
    </dgm:pt>
    <dgm:pt modelId="{75E8B539-4B06-4E2B-8DFD-24BB1F737DC0}" type="parTrans" cxnId="{08186DDE-B368-44D9-9603-3E19FA918988}">
      <dgm:prSet/>
      <dgm:spPr/>
      <dgm:t>
        <a:bodyPr/>
        <a:lstStyle/>
        <a:p>
          <a:endParaRPr lang="en-IN"/>
        </a:p>
      </dgm:t>
    </dgm:pt>
    <dgm:pt modelId="{1DBF4794-154F-463B-9982-E0144253DFA8}" type="sibTrans" cxnId="{08186DDE-B368-44D9-9603-3E19FA918988}">
      <dgm:prSet/>
      <dgm:spPr/>
      <dgm:t>
        <a:bodyPr/>
        <a:lstStyle/>
        <a:p>
          <a:endParaRPr lang="en-IN"/>
        </a:p>
      </dgm:t>
    </dgm:pt>
    <dgm:pt modelId="{93CF07EE-4E3A-4A47-85C8-423C1FA4F23A}" type="pres">
      <dgm:prSet presAssocID="{CAF538B4-D763-42DA-8755-E8490AE25A91}" presName="CompostProcess" presStyleCnt="0">
        <dgm:presLayoutVars>
          <dgm:dir/>
          <dgm:resizeHandles val="exact"/>
        </dgm:presLayoutVars>
      </dgm:prSet>
      <dgm:spPr/>
    </dgm:pt>
    <dgm:pt modelId="{55922D77-752D-4328-9027-2182262673B7}" type="pres">
      <dgm:prSet presAssocID="{CAF538B4-D763-42DA-8755-E8490AE25A91}" presName="arrow" presStyleLbl="bgShp" presStyleIdx="0" presStyleCnt="1"/>
      <dgm:spPr/>
    </dgm:pt>
    <dgm:pt modelId="{2458A897-5B41-4BBB-8517-092E4B83368A}" type="pres">
      <dgm:prSet presAssocID="{CAF538B4-D763-42DA-8755-E8490AE25A91}" presName="linearProcess" presStyleCnt="0"/>
      <dgm:spPr/>
    </dgm:pt>
    <dgm:pt modelId="{DC1C7BDC-2678-4AFA-B425-BB796C8375AA}" type="pres">
      <dgm:prSet presAssocID="{CC419AB6-0273-40E2-BAED-EC75EF468BCD}" presName="textNode" presStyleLbl="node1" presStyleIdx="0" presStyleCnt="6">
        <dgm:presLayoutVars>
          <dgm:bulletEnabled val="1"/>
        </dgm:presLayoutVars>
      </dgm:prSet>
      <dgm:spPr/>
    </dgm:pt>
    <dgm:pt modelId="{14AF42BE-91B3-4C3D-B3D7-2DEB94923B67}" type="pres">
      <dgm:prSet presAssocID="{C1F91F97-43C7-4352-84C4-A09656F9CD2C}" presName="sibTrans" presStyleCnt="0"/>
      <dgm:spPr/>
    </dgm:pt>
    <dgm:pt modelId="{8D1BD3F9-C6F2-42A0-AB2A-3274314F2BC7}" type="pres">
      <dgm:prSet presAssocID="{BCABAC50-1A3B-47A3-8D67-630439A7C26C}" presName="textNode" presStyleLbl="node1" presStyleIdx="1" presStyleCnt="6">
        <dgm:presLayoutVars>
          <dgm:bulletEnabled val="1"/>
        </dgm:presLayoutVars>
      </dgm:prSet>
      <dgm:spPr/>
    </dgm:pt>
    <dgm:pt modelId="{253484B3-A13E-4307-A6F5-B4A73222AD6A}" type="pres">
      <dgm:prSet presAssocID="{9880ABA5-7716-42A8-BCD0-4A6FD9FA1C1E}" presName="sibTrans" presStyleCnt="0"/>
      <dgm:spPr/>
    </dgm:pt>
    <dgm:pt modelId="{077A28BC-9CD9-4959-A708-2E784FED7586}" type="pres">
      <dgm:prSet presAssocID="{A9E74D05-8C2C-4FF6-BBA6-5E132E46E26F}" presName="textNode" presStyleLbl="node1" presStyleIdx="2" presStyleCnt="6">
        <dgm:presLayoutVars>
          <dgm:bulletEnabled val="1"/>
        </dgm:presLayoutVars>
      </dgm:prSet>
      <dgm:spPr/>
    </dgm:pt>
    <dgm:pt modelId="{2A9091AC-091B-492F-9503-AD55D03DCC40}" type="pres">
      <dgm:prSet presAssocID="{956C05AA-DDB0-4ED8-95C9-57E2B72DAEC5}" presName="sibTrans" presStyleCnt="0"/>
      <dgm:spPr/>
    </dgm:pt>
    <dgm:pt modelId="{E123FE08-17C8-413B-86A4-F53597C888A4}" type="pres">
      <dgm:prSet presAssocID="{5E954E8E-68E2-4784-90FA-87EBC5C02771}" presName="textNode" presStyleLbl="node1" presStyleIdx="3" presStyleCnt="6">
        <dgm:presLayoutVars>
          <dgm:bulletEnabled val="1"/>
        </dgm:presLayoutVars>
      </dgm:prSet>
      <dgm:spPr/>
    </dgm:pt>
    <dgm:pt modelId="{5A6F2E34-B7A1-4A18-A1C4-5A838117E256}" type="pres">
      <dgm:prSet presAssocID="{3B3D6F89-EE3A-438D-8E1E-5913F3E073B7}" presName="sibTrans" presStyleCnt="0"/>
      <dgm:spPr/>
    </dgm:pt>
    <dgm:pt modelId="{1B34DFEF-70D5-4F8E-96ED-FD04A03F58A4}" type="pres">
      <dgm:prSet presAssocID="{4F5B068A-23DA-4CAE-BB75-AA7F298EA18E}" presName="textNode" presStyleLbl="node1" presStyleIdx="4" presStyleCnt="6">
        <dgm:presLayoutVars>
          <dgm:bulletEnabled val="1"/>
        </dgm:presLayoutVars>
      </dgm:prSet>
      <dgm:spPr/>
    </dgm:pt>
    <dgm:pt modelId="{E26DCCCF-0A38-4359-AD48-F08EAA596815}" type="pres">
      <dgm:prSet presAssocID="{58638E5F-D11E-4E1F-81CE-FDAF9CB2441C}" presName="sibTrans" presStyleCnt="0"/>
      <dgm:spPr/>
    </dgm:pt>
    <dgm:pt modelId="{C2F206E2-B842-4DFB-A461-AEF4FE4019C7}" type="pres">
      <dgm:prSet presAssocID="{4A90A084-B1A3-429A-B6EC-ACE19FD2F09B}" presName="textNode" presStyleLbl="node1" presStyleIdx="5" presStyleCnt="6">
        <dgm:presLayoutVars>
          <dgm:bulletEnabled val="1"/>
        </dgm:presLayoutVars>
      </dgm:prSet>
      <dgm:spPr/>
    </dgm:pt>
  </dgm:ptLst>
  <dgm:cxnLst>
    <dgm:cxn modelId="{0957553D-1E40-43B4-A706-B99E42E8B2CA}" type="presOf" srcId="{4A90A084-B1A3-429A-B6EC-ACE19FD2F09B}" destId="{C2F206E2-B842-4DFB-A461-AEF4FE4019C7}" srcOrd="0" destOrd="0" presId="urn:microsoft.com/office/officeart/2005/8/layout/hProcess9"/>
    <dgm:cxn modelId="{CF24875C-E499-4865-9ECE-38816F8740A4}" type="presOf" srcId="{5E954E8E-68E2-4784-90FA-87EBC5C02771}" destId="{E123FE08-17C8-413B-86A4-F53597C888A4}" srcOrd="0" destOrd="0" presId="urn:microsoft.com/office/officeart/2005/8/layout/hProcess9"/>
    <dgm:cxn modelId="{2B589746-AAEE-4F8A-B00C-819CE8F5521F}" srcId="{CAF538B4-D763-42DA-8755-E8490AE25A91}" destId="{BCABAC50-1A3B-47A3-8D67-630439A7C26C}" srcOrd="1" destOrd="0" parTransId="{AAAC6E3C-944A-42A9-929B-C86ACE537917}" sibTransId="{9880ABA5-7716-42A8-BCD0-4A6FD9FA1C1E}"/>
    <dgm:cxn modelId="{476AAC4A-8108-4DA1-BDC4-57A8BA0F5EB6}" type="presOf" srcId="{4F5B068A-23DA-4CAE-BB75-AA7F298EA18E}" destId="{1B34DFEF-70D5-4F8E-96ED-FD04A03F58A4}" srcOrd="0" destOrd="0" presId="urn:microsoft.com/office/officeart/2005/8/layout/hProcess9"/>
    <dgm:cxn modelId="{DB9B2589-AD7A-411C-BA4B-DF22FA348035}" srcId="{CAF538B4-D763-42DA-8755-E8490AE25A91}" destId="{A9E74D05-8C2C-4FF6-BBA6-5E132E46E26F}" srcOrd="2" destOrd="0" parTransId="{E9C8B1EF-8D43-47E6-9E1F-5D7F9502E771}" sibTransId="{956C05AA-DDB0-4ED8-95C9-57E2B72DAEC5}"/>
    <dgm:cxn modelId="{25B7B0AB-7AFF-4A37-99A7-C7BBB40FBB69}" type="presOf" srcId="{A9E74D05-8C2C-4FF6-BBA6-5E132E46E26F}" destId="{077A28BC-9CD9-4959-A708-2E784FED7586}" srcOrd="0" destOrd="0" presId="urn:microsoft.com/office/officeart/2005/8/layout/hProcess9"/>
    <dgm:cxn modelId="{1E3D3EAE-C180-42AA-B83F-5992286E5DF2}" type="presOf" srcId="{CAF538B4-D763-42DA-8755-E8490AE25A91}" destId="{93CF07EE-4E3A-4A47-85C8-423C1FA4F23A}" srcOrd="0" destOrd="0" presId="urn:microsoft.com/office/officeart/2005/8/layout/hProcess9"/>
    <dgm:cxn modelId="{3D2E31B4-50A5-400D-B25C-76A84EFD2769}" type="presOf" srcId="{BCABAC50-1A3B-47A3-8D67-630439A7C26C}" destId="{8D1BD3F9-C6F2-42A0-AB2A-3274314F2BC7}" srcOrd="0" destOrd="0" presId="urn:microsoft.com/office/officeart/2005/8/layout/hProcess9"/>
    <dgm:cxn modelId="{C71A53C7-A96D-4549-A4A4-D3D7F43AA30D}" type="presOf" srcId="{CC419AB6-0273-40E2-BAED-EC75EF468BCD}" destId="{DC1C7BDC-2678-4AFA-B425-BB796C8375AA}" srcOrd="0" destOrd="0" presId="urn:microsoft.com/office/officeart/2005/8/layout/hProcess9"/>
    <dgm:cxn modelId="{3985E1CD-7FA9-47A4-93EB-B64630C02843}" srcId="{CAF538B4-D763-42DA-8755-E8490AE25A91}" destId="{CC419AB6-0273-40E2-BAED-EC75EF468BCD}" srcOrd="0" destOrd="0" parTransId="{661F6647-4C4F-4978-98EA-0C9BFC5F91E5}" sibTransId="{C1F91F97-43C7-4352-84C4-A09656F9CD2C}"/>
    <dgm:cxn modelId="{3D145AD2-D8D6-4DEE-88D0-96851A3643DA}" srcId="{CAF538B4-D763-42DA-8755-E8490AE25A91}" destId="{5E954E8E-68E2-4784-90FA-87EBC5C02771}" srcOrd="3" destOrd="0" parTransId="{D5346FB1-38C4-4037-BD0F-5EB3E40AC3CB}" sibTransId="{3B3D6F89-EE3A-438D-8E1E-5913F3E073B7}"/>
    <dgm:cxn modelId="{08186DDE-B368-44D9-9603-3E19FA918988}" srcId="{CAF538B4-D763-42DA-8755-E8490AE25A91}" destId="{4A90A084-B1A3-429A-B6EC-ACE19FD2F09B}" srcOrd="5" destOrd="0" parTransId="{75E8B539-4B06-4E2B-8DFD-24BB1F737DC0}" sibTransId="{1DBF4794-154F-463B-9982-E0144253DFA8}"/>
    <dgm:cxn modelId="{7995B7E2-630E-4537-AC2F-6F268AB3733C}" srcId="{CAF538B4-D763-42DA-8755-E8490AE25A91}" destId="{4F5B068A-23DA-4CAE-BB75-AA7F298EA18E}" srcOrd="4" destOrd="0" parTransId="{D23C4FBC-B07D-4B98-8700-B95A212661D1}" sibTransId="{58638E5F-D11E-4E1F-81CE-FDAF9CB2441C}"/>
    <dgm:cxn modelId="{61498472-E51C-4E25-90C5-BC0E1E8E247E}" type="presParOf" srcId="{93CF07EE-4E3A-4A47-85C8-423C1FA4F23A}" destId="{55922D77-752D-4328-9027-2182262673B7}" srcOrd="0" destOrd="0" presId="urn:microsoft.com/office/officeart/2005/8/layout/hProcess9"/>
    <dgm:cxn modelId="{BCD087D0-7E1C-489C-AD79-909AA5AFAE91}" type="presParOf" srcId="{93CF07EE-4E3A-4A47-85C8-423C1FA4F23A}" destId="{2458A897-5B41-4BBB-8517-092E4B83368A}" srcOrd="1" destOrd="0" presId="urn:microsoft.com/office/officeart/2005/8/layout/hProcess9"/>
    <dgm:cxn modelId="{8884D610-B393-41E2-97A9-CD877EE28F7C}" type="presParOf" srcId="{2458A897-5B41-4BBB-8517-092E4B83368A}" destId="{DC1C7BDC-2678-4AFA-B425-BB796C8375AA}" srcOrd="0" destOrd="0" presId="urn:microsoft.com/office/officeart/2005/8/layout/hProcess9"/>
    <dgm:cxn modelId="{BC17DD8C-F30E-4CD9-A112-6FB3043243D0}" type="presParOf" srcId="{2458A897-5B41-4BBB-8517-092E4B83368A}" destId="{14AF42BE-91B3-4C3D-B3D7-2DEB94923B67}" srcOrd="1" destOrd="0" presId="urn:microsoft.com/office/officeart/2005/8/layout/hProcess9"/>
    <dgm:cxn modelId="{C993CF2D-C2AC-4150-8FA7-0A525D09389F}" type="presParOf" srcId="{2458A897-5B41-4BBB-8517-092E4B83368A}" destId="{8D1BD3F9-C6F2-42A0-AB2A-3274314F2BC7}" srcOrd="2" destOrd="0" presId="urn:microsoft.com/office/officeart/2005/8/layout/hProcess9"/>
    <dgm:cxn modelId="{857BD64B-DD3A-417F-A781-141808C9AA04}" type="presParOf" srcId="{2458A897-5B41-4BBB-8517-092E4B83368A}" destId="{253484B3-A13E-4307-A6F5-B4A73222AD6A}" srcOrd="3" destOrd="0" presId="urn:microsoft.com/office/officeart/2005/8/layout/hProcess9"/>
    <dgm:cxn modelId="{916DFD63-506D-4A59-8880-A6AE0CD02ADE}" type="presParOf" srcId="{2458A897-5B41-4BBB-8517-092E4B83368A}" destId="{077A28BC-9CD9-4959-A708-2E784FED7586}" srcOrd="4" destOrd="0" presId="urn:microsoft.com/office/officeart/2005/8/layout/hProcess9"/>
    <dgm:cxn modelId="{BC0065AC-9980-4BEF-A257-23BA05737027}" type="presParOf" srcId="{2458A897-5B41-4BBB-8517-092E4B83368A}" destId="{2A9091AC-091B-492F-9503-AD55D03DCC40}" srcOrd="5" destOrd="0" presId="urn:microsoft.com/office/officeart/2005/8/layout/hProcess9"/>
    <dgm:cxn modelId="{6ED6CFEC-4AA1-47C0-BF17-2B53760F894D}" type="presParOf" srcId="{2458A897-5B41-4BBB-8517-092E4B83368A}" destId="{E123FE08-17C8-413B-86A4-F53597C888A4}" srcOrd="6" destOrd="0" presId="urn:microsoft.com/office/officeart/2005/8/layout/hProcess9"/>
    <dgm:cxn modelId="{B35E4B17-AEE8-4647-8EE9-8B9F66B8D22A}" type="presParOf" srcId="{2458A897-5B41-4BBB-8517-092E4B83368A}" destId="{5A6F2E34-B7A1-4A18-A1C4-5A838117E256}" srcOrd="7" destOrd="0" presId="urn:microsoft.com/office/officeart/2005/8/layout/hProcess9"/>
    <dgm:cxn modelId="{F2093FA6-D3A6-4514-ABF5-CEE72451573D}" type="presParOf" srcId="{2458A897-5B41-4BBB-8517-092E4B83368A}" destId="{1B34DFEF-70D5-4F8E-96ED-FD04A03F58A4}" srcOrd="8" destOrd="0" presId="urn:microsoft.com/office/officeart/2005/8/layout/hProcess9"/>
    <dgm:cxn modelId="{3C8E2FC4-167B-4D0F-94FF-9CAE7A967177}" type="presParOf" srcId="{2458A897-5B41-4BBB-8517-092E4B83368A}" destId="{E26DCCCF-0A38-4359-AD48-F08EAA596815}" srcOrd="9" destOrd="0" presId="urn:microsoft.com/office/officeart/2005/8/layout/hProcess9"/>
    <dgm:cxn modelId="{3471C62F-039E-4C5B-A1B0-BD518F0C043A}" type="presParOf" srcId="{2458A897-5B41-4BBB-8517-092E4B83368A}" destId="{C2F206E2-B842-4DFB-A461-AEF4FE4019C7}" srcOrd="10" destOrd="0" presId="urn:microsoft.com/office/officeart/2005/8/layout/hProcess9"/>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5922D77-752D-4328-9027-2182262673B7}">
      <dsp:nvSpPr>
        <dsp:cNvPr id="0" name=""/>
        <dsp:cNvSpPr/>
      </dsp:nvSpPr>
      <dsp:spPr>
        <a:xfrm>
          <a:off x="411479" y="0"/>
          <a:ext cx="4663440" cy="3200400"/>
        </a:xfrm>
        <a:prstGeom prst="rightArrow">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C1C7BDC-2678-4AFA-B425-BB796C8375AA}">
      <dsp:nvSpPr>
        <dsp:cNvPr id="0" name=""/>
        <dsp:cNvSpPr/>
      </dsp:nvSpPr>
      <dsp:spPr>
        <a:xfrm>
          <a:off x="1506" y="960120"/>
          <a:ext cx="877341" cy="128016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1: Introduction</a:t>
          </a:r>
        </a:p>
        <a:p>
          <a:pPr marL="0" lvl="0" indent="0" algn="ctr" defTabSz="266700">
            <a:lnSpc>
              <a:spcPct val="90000"/>
            </a:lnSpc>
            <a:spcBef>
              <a:spcPct val="0"/>
            </a:spcBef>
            <a:spcAft>
              <a:spcPct val="35000"/>
            </a:spcAft>
            <a:buNone/>
          </a:pPr>
          <a:r>
            <a:rPr lang="en-IN" sz="600" kern="1200"/>
            <a:t>Introduces the research background, research problem, scope of the study, aims, objectives and research questions related to Type 1 Diabetes management and quality of life in the UK.</a:t>
          </a:r>
        </a:p>
      </dsp:txBody>
      <dsp:txXfrm>
        <a:off x="44334" y="1002948"/>
        <a:ext cx="791685" cy="1194504"/>
      </dsp:txXfrm>
    </dsp:sp>
    <dsp:sp modelId="{8D1BD3F9-C6F2-42A0-AB2A-3274314F2BC7}">
      <dsp:nvSpPr>
        <dsp:cNvPr id="0" name=""/>
        <dsp:cNvSpPr/>
      </dsp:nvSpPr>
      <dsp:spPr>
        <a:xfrm>
          <a:off x="922715" y="960120"/>
          <a:ext cx="877341" cy="1280160"/>
        </a:xfrm>
        <a:prstGeom prst="roundRect">
          <a:avLst/>
        </a:prstGeom>
        <a:solidFill>
          <a:schemeClr val="accent4">
            <a:hueOff val="-892954"/>
            <a:satOff val="5380"/>
            <a:lumOff val="43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2: Literature Review and Theoretical Framework</a:t>
          </a:r>
        </a:p>
        <a:p>
          <a:pPr marL="0" lvl="0" indent="0" algn="ctr" defTabSz="266700">
            <a:lnSpc>
              <a:spcPct val="90000"/>
            </a:lnSpc>
            <a:spcBef>
              <a:spcPct val="0"/>
            </a:spcBef>
            <a:spcAft>
              <a:spcPct val="35000"/>
            </a:spcAft>
            <a:buNone/>
          </a:pPr>
          <a:r>
            <a:rPr lang="en-IN" sz="600" kern="1200"/>
            <a:t>Reviews existing literature, identifies research gaps and presents the theories and concepts underpinning the study.</a:t>
          </a:r>
        </a:p>
      </dsp:txBody>
      <dsp:txXfrm>
        <a:off x="965543" y="1002948"/>
        <a:ext cx="791685" cy="1194504"/>
      </dsp:txXfrm>
    </dsp:sp>
    <dsp:sp modelId="{077A28BC-9CD9-4959-A708-2E784FED7586}">
      <dsp:nvSpPr>
        <dsp:cNvPr id="0" name=""/>
        <dsp:cNvSpPr/>
      </dsp:nvSpPr>
      <dsp:spPr>
        <a:xfrm>
          <a:off x="1843924" y="960120"/>
          <a:ext cx="877341" cy="1280160"/>
        </a:xfrm>
        <a:prstGeom prst="roundRect">
          <a:avLst/>
        </a:prstGeom>
        <a:solidFill>
          <a:schemeClr val="accent4">
            <a:hueOff val="-1785908"/>
            <a:satOff val="10760"/>
            <a:lumOff val="86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3: Methodology</a:t>
          </a:r>
        </a:p>
        <a:p>
          <a:pPr marL="0" lvl="0" indent="0" algn="ctr" defTabSz="266700">
            <a:lnSpc>
              <a:spcPct val="90000"/>
            </a:lnSpc>
            <a:spcBef>
              <a:spcPct val="0"/>
            </a:spcBef>
            <a:spcAft>
              <a:spcPct val="35000"/>
            </a:spcAft>
            <a:buNone/>
          </a:pPr>
          <a:r>
            <a:rPr lang="en-IN" sz="600" kern="1200"/>
            <a:t>Explains the systematic review methodology, search strategy, inclusion criteria and data analysis approach.</a:t>
          </a:r>
        </a:p>
      </dsp:txBody>
      <dsp:txXfrm>
        <a:off x="1886752" y="1002948"/>
        <a:ext cx="791685" cy="1194504"/>
      </dsp:txXfrm>
    </dsp:sp>
    <dsp:sp modelId="{E123FE08-17C8-413B-86A4-F53597C888A4}">
      <dsp:nvSpPr>
        <dsp:cNvPr id="0" name=""/>
        <dsp:cNvSpPr/>
      </dsp:nvSpPr>
      <dsp:spPr>
        <a:xfrm>
          <a:off x="2765133" y="960120"/>
          <a:ext cx="877341" cy="1280160"/>
        </a:xfrm>
        <a:prstGeom prst="roundRect">
          <a:avLst/>
        </a:prstGeom>
        <a:solidFill>
          <a:schemeClr val="accent4">
            <a:hueOff val="-2678862"/>
            <a:satOff val="16139"/>
            <a:lumOff val="129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4: Results</a:t>
          </a:r>
        </a:p>
        <a:p>
          <a:pPr marL="0" lvl="0" indent="0" algn="ctr" defTabSz="266700">
            <a:lnSpc>
              <a:spcPct val="90000"/>
            </a:lnSpc>
            <a:spcBef>
              <a:spcPct val="0"/>
            </a:spcBef>
            <a:spcAft>
              <a:spcPct val="35000"/>
            </a:spcAft>
            <a:buNone/>
          </a:pPr>
          <a:r>
            <a:rPr lang="en-IN" sz="600" kern="1200"/>
            <a:t>Presents the findings obtained from the selected studies included in the review.</a:t>
          </a:r>
        </a:p>
      </dsp:txBody>
      <dsp:txXfrm>
        <a:off x="2807961" y="1002948"/>
        <a:ext cx="791685" cy="1194504"/>
      </dsp:txXfrm>
    </dsp:sp>
    <dsp:sp modelId="{1B34DFEF-70D5-4F8E-96ED-FD04A03F58A4}">
      <dsp:nvSpPr>
        <dsp:cNvPr id="0" name=""/>
        <dsp:cNvSpPr/>
      </dsp:nvSpPr>
      <dsp:spPr>
        <a:xfrm>
          <a:off x="3686342" y="960120"/>
          <a:ext cx="877341" cy="1280160"/>
        </a:xfrm>
        <a:prstGeom prst="roundRect">
          <a:avLst/>
        </a:prstGeom>
        <a:solidFill>
          <a:schemeClr val="accent4">
            <a:hueOff val="-3571816"/>
            <a:satOff val="21519"/>
            <a:lumOff val="17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5: Discussion</a:t>
          </a:r>
        </a:p>
        <a:p>
          <a:pPr marL="0" lvl="0" indent="0" algn="ctr" defTabSz="266700">
            <a:lnSpc>
              <a:spcPct val="90000"/>
            </a:lnSpc>
            <a:spcBef>
              <a:spcPct val="0"/>
            </a:spcBef>
            <a:spcAft>
              <a:spcPct val="35000"/>
            </a:spcAft>
            <a:buNone/>
          </a:pPr>
          <a:r>
            <a:rPr lang="en-IN" sz="600" kern="1200"/>
            <a:t>Interprets the findings in relation to previous research, theory and practice.</a:t>
          </a:r>
        </a:p>
      </dsp:txBody>
      <dsp:txXfrm>
        <a:off x="3729170" y="1002948"/>
        <a:ext cx="791685" cy="1194504"/>
      </dsp:txXfrm>
    </dsp:sp>
    <dsp:sp modelId="{C2F206E2-B842-4DFB-A461-AEF4FE4019C7}">
      <dsp:nvSpPr>
        <dsp:cNvPr id="0" name=""/>
        <dsp:cNvSpPr/>
      </dsp:nvSpPr>
      <dsp:spPr>
        <a:xfrm>
          <a:off x="4607551" y="960120"/>
          <a:ext cx="877341" cy="128016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IN" sz="600" b="1" kern="1200"/>
            <a:t>Chapter 6: Conclusion</a:t>
          </a:r>
        </a:p>
        <a:p>
          <a:pPr marL="0" lvl="0" indent="0" algn="ctr" defTabSz="266700">
            <a:lnSpc>
              <a:spcPct val="90000"/>
            </a:lnSpc>
            <a:spcBef>
              <a:spcPct val="0"/>
            </a:spcBef>
            <a:spcAft>
              <a:spcPct val="35000"/>
            </a:spcAft>
            <a:buNone/>
          </a:pPr>
          <a:r>
            <a:rPr lang="en-IN" sz="600" kern="1200"/>
            <a:t>Summarises the study findings and provides recommendations for practice and future research.</a:t>
          </a:r>
        </a:p>
      </dsp:txBody>
      <dsp:txXfrm>
        <a:off x="4650379" y="1002948"/>
        <a:ext cx="791685" cy="119450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customXml/item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customXml/item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customXml/itemProps1.xml><?xml version="1.0" encoding="utf-8"?>
<ds:datastoreItem xmlns:ds="http://schemas.openxmlformats.org/officeDocument/2006/customXml" ds:itemID="{1C3EE877-3015-4855-A982-AA5CB1C48210}">
  <ds:schemaRefs>
    <ds:schemaRef ds:uri="http://www.w3.org/2003/InkML"/>
  </ds:schemaRefs>
</ds:datastoreItem>
</file>

<file path=customXml/itemProps2.xml><?xml version="1.0" encoding="utf-8"?>
<ds:datastoreItem xmlns:ds="http://schemas.openxmlformats.org/officeDocument/2006/customXml" ds:itemID="{1C34EA53-83BD-4DE8-9510-13AFE15203CC}">
  <ds:schemaRefs>
    <ds:schemaRef ds:uri="http://www.w3.org/2003/InkML"/>
  </ds:schemaRefs>
</ds:datastoreItem>
</file>

<file path=customXml/itemProps3.xml><?xml version="1.0" encoding="utf-8"?>
<ds:datastoreItem xmlns:ds="http://schemas.openxmlformats.org/officeDocument/2006/customXml" ds:itemID="{3DBC702A-2EC3-4556-AC2F-140BD7CE810D}">
  <ds:schemaRefs>
    <ds:schemaRef ds:uri="http://schemas.openxmlformats.org/officeDocument/2006/bibliography"/>
  </ds:schemaRefs>
</ds:datastoreItem>
</file>

<file path=customXml/itemProps4.xml><?xml version="1.0" encoding="utf-8"?>
<ds:datastoreItem xmlns:ds="http://schemas.openxmlformats.org/officeDocument/2006/customXml" ds:itemID="{2131459F-D123-4052-9D74-3B313DDFA4FF}">
  <ds:schemaRefs>
    <ds:schemaRef ds:uri="http://www.w3.org/2003/InkML"/>
  </ds:schemaRefs>
</ds:datastoreItem>
</file>

<file path=customXml/itemProps5.xml><?xml version="1.0" encoding="utf-8"?>
<ds:datastoreItem xmlns:ds="http://schemas.openxmlformats.org/officeDocument/2006/customXml" ds:itemID="{F96C19C4-0A34-4249-A39E-DBB77D9D9ADD}">
  <ds:schemaRefs>
    <ds:schemaRef ds:uri="http://www.w3.org/2003/InkML"/>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80</Pages>
  <Words>25696</Words>
  <Characters>146468</Characters>
  <Application>Microsoft Office Word</Application>
  <DocSecurity>0</DocSecurity>
  <Lines>1220</Lines>
  <Paragraphs>343</Paragraphs>
  <ScaleCrop>false</ScaleCrop>
  <Company/>
  <LinksUpToDate>false</LinksUpToDate>
  <CharactersWithSpaces>171821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Kashyap Kanasara</cp:lastModifiedBy>
  <cp:revision>7</cp:revision>
  <cp:lastPrinted>2023-09-21T02:18:00Z</cp:lastPrinted>
  <dcterms:created xsi:type="dcterms:W3CDTF">2024-03-25T11:15:00Z</dcterms:created>
  <dcterms:modified xsi:type="dcterms:W3CDTF">2026-09-24T06:40:00Z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44e974cb5c2f48e1902479dae81485a4_23</vt:lpwstr>
  </property>
  <property fmtid="{D5CDD505-2E9C-101B-9397-08002B2CF9AE}" pid="3" name="GrammarlyDocumentId">
    <vt:lpwstr>2f573704-1589-4193-a1e9-107968c0b54d</vt:lpwstr>
  </property>
</Properties>
</file>