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E45" w:rsidRDefault="001B0E45" w:rsidP="001B0E45">
      <w:pPr>
        <w:jc w:val="right"/>
        <w:rPr>
          <w:rFonts w:ascii="Arial" w:hAnsi="Arial" w:cs="Arial"/>
          <w:b/>
          <w:bCs/>
          <w:color w:val="000000" w:themeColor="text1"/>
        </w:rPr>
      </w:pPr>
      <w:r>
        <w:rPr>
          <w:rFonts w:ascii="Arial" w:hAnsi="Arial" w:cs="Arial"/>
          <w:b/>
          <w:bCs/>
          <w:noProof/>
          <w:color w:val="000000" w:themeColor="text1"/>
          <w:lang w:val="en-US"/>
        </w:rPr>
        <w:drawing>
          <wp:inline distT="0" distB="0" distL="0" distR="0" wp14:anchorId="25BB4685" wp14:editId="1C8D25D3">
            <wp:extent cx="2857500" cy="1276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ales-TSD-1-300x134.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276350"/>
                    </a:xfrm>
                    <a:prstGeom prst="rect">
                      <a:avLst/>
                    </a:prstGeom>
                  </pic:spPr>
                </pic:pic>
              </a:graphicData>
            </a:graphic>
          </wp:inline>
        </w:drawing>
      </w:r>
    </w:p>
    <w:p w:rsidR="001B0E45" w:rsidRDefault="001B0E45" w:rsidP="001B0E45">
      <w:pPr>
        <w:rPr>
          <w:rFonts w:ascii="Arial" w:hAnsi="Arial" w:cs="Arial"/>
          <w:b/>
          <w:bCs/>
          <w:color w:val="000000" w:themeColor="text1"/>
        </w:rPr>
      </w:pPr>
    </w:p>
    <w:p w:rsidR="001B0E45" w:rsidRDefault="001B0E45" w:rsidP="001B0E45">
      <w:pPr>
        <w:rPr>
          <w:rFonts w:ascii="Arial" w:hAnsi="Arial" w:cs="Arial"/>
          <w:b/>
          <w:bCs/>
          <w:color w:val="000000" w:themeColor="text1"/>
        </w:rPr>
      </w:pPr>
    </w:p>
    <w:p w:rsidR="001B0E45" w:rsidRDefault="001B0E45" w:rsidP="001B0E45">
      <w:pPr>
        <w:rPr>
          <w:rFonts w:ascii="Arial" w:hAnsi="Arial" w:cs="Arial"/>
          <w:b/>
          <w:bCs/>
          <w:color w:val="000000" w:themeColor="text1"/>
        </w:rPr>
      </w:pPr>
    </w:p>
    <w:p w:rsidR="001B0E45" w:rsidRPr="00D32C39" w:rsidRDefault="001B0E45" w:rsidP="001B0E45">
      <w:pPr>
        <w:ind w:left="4320" w:hanging="2880"/>
        <w:rPr>
          <w:rFonts w:ascii="Arial" w:hAnsi="Arial" w:cs="Arial"/>
          <w:b/>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Pr="00785B6A">
        <w:rPr>
          <w:rFonts w:ascii="Arial" w:hAnsi="Arial" w:cs="Arial"/>
          <w:b/>
          <w:bCs/>
          <w:color w:val="000000" w:themeColor="text1"/>
        </w:rPr>
        <w:t>Promoting Equality and Diversity in the Legal Profession: A Comprehensive Analysis of Legal Frameworks and Regulatory Initiatives</w:t>
      </w:r>
    </w:p>
    <w:p w:rsidR="001B0E45" w:rsidRPr="00D32C39" w:rsidRDefault="001B0E45" w:rsidP="001B0E45">
      <w:pPr>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sidRPr="001C757D">
        <w:rPr>
          <w:rFonts w:ascii="Arial" w:hAnsi="Arial" w:cs="Arial"/>
          <w:b/>
          <w:bCs/>
          <w:color w:val="000000" w:themeColor="text1"/>
        </w:rPr>
        <w:t>Principles of Professional Legal Practice</w:t>
      </w:r>
    </w:p>
    <w:p w:rsidR="001B0E45" w:rsidRPr="00D32C39" w:rsidRDefault="001B0E45" w:rsidP="001B0E45">
      <w:pPr>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r>
      <w:r w:rsidRPr="001C757D">
        <w:rPr>
          <w:rFonts w:ascii="Arial" w:hAnsi="Arial" w:cs="Arial"/>
          <w:b/>
          <w:bCs/>
          <w:color w:val="000000" w:themeColor="text1"/>
        </w:rPr>
        <w:t>BMLW4001</w:t>
      </w:r>
    </w:p>
    <w:p w:rsidR="001B0E45" w:rsidRPr="00D32C39" w:rsidRDefault="001B0E45" w:rsidP="001B0E45">
      <w:pPr>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r>
      <w:r w:rsidRPr="001C757D">
        <w:rPr>
          <w:rFonts w:ascii="Arial" w:hAnsi="Arial" w:cs="Arial"/>
          <w:b/>
          <w:bCs/>
          <w:color w:val="000000" w:themeColor="text1"/>
        </w:rPr>
        <w:t>Law and Legal Practice</w:t>
      </w:r>
    </w:p>
    <w:p w:rsidR="001B0E45" w:rsidRPr="00D32C39" w:rsidRDefault="001B0E45" w:rsidP="001B0E45">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 xml:space="preserve">Ali </w:t>
      </w:r>
      <w:proofErr w:type="spellStart"/>
      <w:r>
        <w:rPr>
          <w:rFonts w:ascii="Arial" w:hAnsi="Arial" w:cs="Arial"/>
          <w:b/>
          <w:bCs/>
          <w:color w:val="000000" w:themeColor="text1"/>
        </w:rPr>
        <w:t>Fayyaz</w:t>
      </w:r>
      <w:proofErr w:type="spellEnd"/>
    </w:p>
    <w:p w:rsidR="001B0E45" w:rsidRDefault="001B0E45" w:rsidP="001B0E45">
      <w:pPr>
        <w:ind w:left="1440"/>
        <w:rPr>
          <w:rFonts w:ascii="Arial" w:hAnsi="Arial" w:cs="Arial"/>
          <w:color w:val="000000" w:themeColor="text1"/>
        </w:rPr>
      </w:pPr>
      <w:r>
        <w:rPr>
          <w:rFonts w:ascii="Arial" w:hAnsi="Arial" w:cs="Arial"/>
          <w:b/>
          <w:bCs/>
          <w:color w:val="000000" w:themeColor="text1"/>
        </w:rPr>
        <w:t xml:space="preserve">Student ID #: </w:t>
      </w:r>
      <w:r>
        <w:rPr>
          <w:rFonts w:ascii="Arial" w:hAnsi="Arial" w:cs="Arial"/>
          <w:b/>
          <w:bCs/>
          <w:color w:val="000000" w:themeColor="text1"/>
        </w:rPr>
        <w:tab/>
      </w:r>
      <w:r>
        <w:rPr>
          <w:rFonts w:ascii="Arial" w:hAnsi="Arial" w:cs="Arial"/>
          <w:b/>
          <w:bCs/>
          <w:color w:val="000000" w:themeColor="text1"/>
        </w:rPr>
        <w:tab/>
        <w:t>2243570</w:t>
      </w:r>
    </w:p>
    <w:p w:rsidR="001B0E45" w:rsidRPr="00CD4CDD" w:rsidRDefault="001B0E45" w:rsidP="001B0E45">
      <w:pPr>
        <w:ind w:left="1440"/>
        <w:rPr>
          <w:rFonts w:ascii="Arial" w:hAnsi="Arial" w:cs="Arial"/>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r>
      <w:proofErr w:type="spellStart"/>
      <w:r w:rsidR="005A265B">
        <w:rPr>
          <w:rFonts w:ascii="Arial" w:hAnsi="Arial" w:cs="Arial"/>
          <w:b/>
          <w:bCs/>
          <w:color w:val="000000" w:themeColor="text1"/>
        </w:rPr>
        <w:t>Ms</w:t>
      </w:r>
      <w:r>
        <w:rPr>
          <w:rFonts w:ascii="Arial" w:hAnsi="Arial" w:cs="Arial"/>
          <w:b/>
          <w:bCs/>
          <w:color w:val="000000" w:themeColor="text1"/>
        </w:rPr>
        <w:t>.</w:t>
      </w:r>
      <w:proofErr w:type="spellEnd"/>
      <w:r>
        <w:rPr>
          <w:rFonts w:ascii="Arial" w:hAnsi="Arial" w:cs="Arial"/>
          <w:b/>
          <w:bCs/>
          <w:color w:val="000000" w:themeColor="text1"/>
        </w:rPr>
        <w:t xml:space="preserve"> </w:t>
      </w:r>
      <w:r w:rsidR="005A265B">
        <w:rPr>
          <w:rFonts w:ascii="Arial" w:hAnsi="Arial" w:cs="Arial"/>
          <w:b/>
          <w:sz w:val="22"/>
        </w:rPr>
        <w:t>Ellie Brown</w:t>
      </w:r>
    </w:p>
    <w:p w:rsidR="005E24F9" w:rsidRDefault="005E24F9">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p w:rsidR="001B0E45" w:rsidRDefault="001B0E45">
      <w:pPr>
        <w:spacing w:line="259" w:lineRule="auto"/>
        <w:jc w:val="left"/>
        <w:rPr>
          <w:rFonts w:eastAsiaTheme="majorEastAsia" w:cstheme="majorBidi"/>
          <w:b/>
          <w:sz w:val="32"/>
          <w:szCs w:val="32"/>
        </w:rPr>
      </w:pPr>
    </w:p>
    <w:sdt>
      <w:sdtPr>
        <w:rPr>
          <w:rFonts w:asciiTheme="minorHAnsi" w:eastAsiaTheme="minorHAnsi" w:hAnsiTheme="minorHAnsi" w:cstheme="minorBidi"/>
          <w:color w:val="auto"/>
          <w:sz w:val="24"/>
          <w:szCs w:val="22"/>
        </w:rPr>
        <w:id w:val="1983498835"/>
        <w:docPartObj>
          <w:docPartGallery w:val="Table of Contents"/>
          <w:docPartUnique/>
        </w:docPartObj>
      </w:sdtPr>
      <w:sdtEndPr>
        <w:rPr>
          <w:b/>
          <w:bCs/>
          <w:noProof/>
        </w:rPr>
      </w:sdtEndPr>
      <w:sdtContent>
        <w:p w:rsidR="007D0040" w:rsidRDefault="007D0040">
          <w:pPr>
            <w:pStyle w:val="TOCHeading"/>
          </w:pPr>
          <w:r>
            <w:t>Table of Contents</w:t>
          </w:r>
        </w:p>
        <w:p w:rsidR="007D0040" w:rsidRDefault="007D0040">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153550415" w:history="1">
            <w:r w:rsidRPr="008745E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_Toc153550415 \h </w:instrText>
            </w:r>
            <w:r>
              <w:rPr>
                <w:noProof/>
                <w:webHidden/>
              </w:rPr>
            </w:r>
            <w:r>
              <w:rPr>
                <w:noProof/>
                <w:webHidden/>
              </w:rPr>
              <w:fldChar w:fldCharType="separate"/>
            </w:r>
            <w:r>
              <w:rPr>
                <w:noProof/>
                <w:webHidden/>
              </w:rPr>
              <w:t>3</w:t>
            </w:r>
            <w:r>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16" w:history="1">
            <w:r w:rsidR="007D0040" w:rsidRPr="008745E6">
              <w:rPr>
                <w:rStyle w:val="Hyperlink"/>
                <w:rFonts w:ascii="Arial" w:hAnsi="Arial" w:cs="Arial"/>
                <w:noProof/>
              </w:rPr>
              <w:t>Promoting Equality and Diversity: A Legal Imperative</w:t>
            </w:r>
            <w:r w:rsidR="007D0040">
              <w:rPr>
                <w:noProof/>
                <w:webHidden/>
              </w:rPr>
              <w:tab/>
            </w:r>
            <w:r w:rsidR="007D0040">
              <w:rPr>
                <w:noProof/>
                <w:webHidden/>
              </w:rPr>
              <w:fldChar w:fldCharType="begin"/>
            </w:r>
            <w:r w:rsidR="007D0040">
              <w:rPr>
                <w:noProof/>
                <w:webHidden/>
              </w:rPr>
              <w:instrText xml:space="preserve"> PAGEREF _Toc153550416 \h </w:instrText>
            </w:r>
            <w:r w:rsidR="007D0040">
              <w:rPr>
                <w:noProof/>
                <w:webHidden/>
              </w:rPr>
            </w:r>
            <w:r w:rsidR="007D0040">
              <w:rPr>
                <w:noProof/>
                <w:webHidden/>
              </w:rPr>
              <w:fldChar w:fldCharType="separate"/>
            </w:r>
            <w:r w:rsidR="007D0040">
              <w:rPr>
                <w:noProof/>
                <w:webHidden/>
              </w:rPr>
              <w:t>3</w:t>
            </w:r>
            <w:r w:rsidR="007D0040">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17" w:history="1">
            <w:r w:rsidR="007D0040" w:rsidRPr="008745E6">
              <w:rPr>
                <w:rStyle w:val="Hyperlink"/>
                <w:rFonts w:ascii="Arial" w:hAnsi="Arial" w:cs="Arial"/>
                <w:noProof/>
              </w:rPr>
              <w:t>Regulatory Bodies and Equality: The Role of the SRA, BSB, and CILEX Regulation</w:t>
            </w:r>
            <w:r w:rsidR="007D0040">
              <w:rPr>
                <w:noProof/>
                <w:webHidden/>
              </w:rPr>
              <w:tab/>
            </w:r>
            <w:r w:rsidR="007D0040">
              <w:rPr>
                <w:noProof/>
                <w:webHidden/>
              </w:rPr>
              <w:fldChar w:fldCharType="begin"/>
            </w:r>
            <w:r w:rsidR="007D0040">
              <w:rPr>
                <w:noProof/>
                <w:webHidden/>
              </w:rPr>
              <w:instrText xml:space="preserve"> PAGEREF _Toc153550417 \h </w:instrText>
            </w:r>
            <w:r w:rsidR="007D0040">
              <w:rPr>
                <w:noProof/>
                <w:webHidden/>
              </w:rPr>
            </w:r>
            <w:r w:rsidR="007D0040">
              <w:rPr>
                <w:noProof/>
                <w:webHidden/>
              </w:rPr>
              <w:fldChar w:fldCharType="separate"/>
            </w:r>
            <w:r w:rsidR="007D0040">
              <w:rPr>
                <w:noProof/>
                <w:webHidden/>
              </w:rPr>
              <w:t>3</w:t>
            </w:r>
            <w:r w:rsidR="007D0040">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18" w:history="1">
            <w:r w:rsidR="007D0040" w:rsidRPr="008745E6">
              <w:rPr>
                <w:rStyle w:val="Hyperlink"/>
                <w:rFonts w:ascii="Arial" w:hAnsi="Arial" w:cs="Arial"/>
                <w:noProof/>
              </w:rPr>
              <w:t>Professional Practice and Principles: A Holistic Approach</w:t>
            </w:r>
            <w:r w:rsidR="007D0040">
              <w:rPr>
                <w:noProof/>
                <w:webHidden/>
              </w:rPr>
              <w:tab/>
            </w:r>
            <w:r w:rsidR="007D0040">
              <w:rPr>
                <w:noProof/>
                <w:webHidden/>
              </w:rPr>
              <w:fldChar w:fldCharType="begin"/>
            </w:r>
            <w:r w:rsidR="007D0040">
              <w:rPr>
                <w:noProof/>
                <w:webHidden/>
              </w:rPr>
              <w:instrText xml:space="preserve"> PAGEREF _Toc153550418 \h </w:instrText>
            </w:r>
            <w:r w:rsidR="007D0040">
              <w:rPr>
                <w:noProof/>
                <w:webHidden/>
              </w:rPr>
            </w:r>
            <w:r w:rsidR="007D0040">
              <w:rPr>
                <w:noProof/>
                <w:webHidden/>
              </w:rPr>
              <w:fldChar w:fldCharType="separate"/>
            </w:r>
            <w:r w:rsidR="007D0040">
              <w:rPr>
                <w:noProof/>
                <w:webHidden/>
              </w:rPr>
              <w:t>5</w:t>
            </w:r>
            <w:r w:rsidR="007D0040">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19" w:history="1">
            <w:r w:rsidR="007D0040" w:rsidRPr="008745E6">
              <w:rPr>
                <w:rStyle w:val="Hyperlink"/>
                <w:rFonts w:ascii="Arial" w:hAnsi="Arial" w:cs="Arial"/>
                <w:noProof/>
              </w:rPr>
              <w:t>Critical Analysis of Ethical Requirements: SRA Principles of Regulation and Code of Conduct</w:t>
            </w:r>
            <w:r w:rsidR="007D0040">
              <w:rPr>
                <w:noProof/>
                <w:webHidden/>
              </w:rPr>
              <w:tab/>
            </w:r>
            <w:r w:rsidR="007D0040">
              <w:rPr>
                <w:noProof/>
                <w:webHidden/>
              </w:rPr>
              <w:fldChar w:fldCharType="begin"/>
            </w:r>
            <w:r w:rsidR="007D0040">
              <w:rPr>
                <w:noProof/>
                <w:webHidden/>
              </w:rPr>
              <w:instrText xml:space="preserve"> PAGEREF _Toc153550419 \h </w:instrText>
            </w:r>
            <w:r w:rsidR="007D0040">
              <w:rPr>
                <w:noProof/>
                <w:webHidden/>
              </w:rPr>
            </w:r>
            <w:r w:rsidR="007D0040">
              <w:rPr>
                <w:noProof/>
                <w:webHidden/>
              </w:rPr>
              <w:fldChar w:fldCharType="separate"/>
            </w:r>
            <w:r w:rsidR="007D0040">
              <w:rPr>
                <w:noProof/>
                <w:webHidden/>
              </w:rPr>
              <w:t>6</w:t>
            </w:r>
            <w:r w:rsidR="007D0040">
              <w:rPr>
                <w:noProof/>
                <w:webHidden/>
              </w:rPr>
              <w:fldChar w:fldCharType="end"/>
            </w:r>
          </w:hyperlink>
        </w:p>
        <w:p w:rsidR="007D0040" w:rsidRDefault="008E2429">
          <w:pPr>
            <w:pStyle w:val="TOC2"/>
            <w:tabs>
              <w:tab w:val="right" w:leader="dot" w:pos="9350"/>
            </w:tabs>
            <w:rPr>
              <w:rFonts w:eastAsiaTheme="minorEastAsia"/>
              <w:noProof/>
              <w:sz w:val="22"/>
            </w:rPr>
          </w:pPr>
          <w:hyperlink w:anchor="_Toc153550420" w:history="1">
            <w:r w:rsidR="007D0040" w:rsidRPr="008745E6">
              <w:rPr>
                <w:rStyle w:val="Hyperlink"/>
                <w:rFonts w:ascii="Arial" w:hAnsi="Arial" w:cs="Arial"/>
                <w:noProof/>
              </w:rPr>
              <w:t>Principle 2: Acting with Integrity</w:t>
            </w:r>
            <w:r w:rsidR="007D0040">
              <w:rPr>
                <w:noProof/>
                <w:webHidden/>
              </w:rPr>
              <w:tab/>
            </w:r>
            <w:r w:rsidR="007D0040">
              <w:rPr>
                <w:noProof/>
                <w:webHidden/>
              </w:rPr>
              <w:fldChar w:fldCharType="begin"/>
            </w:r>
            <w:r w:rsidR="007D0040">
              <w:rPr>
                <w:noProof/>
                <w:webHidden/>
              </w:rPr>
              <w:instrText xml:space="preserve"> PAGEREF _Toc153550420 \h </w:instrText>
            </w:r>
            <w:r w:rsidR="007D0040">
              <w:rPr>
                <w:noProof/>
                <w:webHidden/>
              </w:rPr>
            </w:r>
            <w:r w:rsidR="007D0040">
              <w:rPr>
                <w:noProof/>
                <w:webHidden/>
              </w:rPr>
              <w:fldChar w:fldCharType="separate"/>
            </w:r>
            <w:r w:rsidR="007D0040">
              <w:rPr>
                <w:noProof/>
                <w:webHidden/>
              </w:rPr>
              <w:t>6</w:t>
            </w:r>
            <w:r w:rsidR="007D0040">
              <w:rPr>
                <w:noProof/>
                <w:webHidden/>
              </w:rPr>
              <w:fldChar w:fldCharType="end"/>
            </w:r>
          </w:hyperlink>
        </w:p>
        <w:p w:rsidR="007D0040" w:rsidRDefault="008E2429">
          <w:pPr>
            <w:pStyle w:val="TOC2"/>
            <w:tabs>
              <w:tab w:val="right" w:leader="dot" w:pos="9350"/>
            </w:tabs>
            <w:rPr>
              <w:rFonts w:eastAsiaTheme="minorEastAsia"/>
              <w:noProof/>
              <w:sz w:val="22"/>
            </w:rPr>
          </w:pPr>
          <w:hyperlink w:anchor="_Toc153550421" w:history="1">
            <w:r w:rsidR="007D0040" w:rsidRPr="008745E6">
              <w:rPr>
                <w:rStyle w:val="Hyperlink"/>
                <w:rFonts w:ascii="Arial" w:hAnsi="Arial" w:cs="Arial"/>
                <w:noProof/>
              </w:rPr>
              <w:t>Principle 6: Behaving in a way that maintains the trust the public places in you and in the provision of legal services</w:t>
            </w:r>
            <w:r w:rsidR="007D0040">
              <w:rPr>
                <w:noProof/>
                <w:webHidden/>
              </w:rPr>
              <w:tab/>
            </w:r>
            <w:r w:rsidR="007D0040">
              <w:rPr>
                <w:noProof/>
                <w:webHidden/>
              </w:rPr>
              <w:fldChar w:fldCharType="begin"/>
            </w:r>
            <w:r w:rsidR="007D0040">
              <w:rPr>
                <w:noProof/>
                <w:webHidden/>
              </w:rPr>
              <w:instrText xml:space="preserve"> PAGEREF _Toc153550421 \h </w:instrText>
            </w:r>
            <w:r w:rsidR="007D0040">
              <w:rPr>
                <w:noProof/>
                <w:webHidden/>
              </w:rPr>
            </w:r>
            <w:r w:rsidR="007D0040">
              <w:rPr>
                <w:noProof/>
                <w:webHidden/>
              </w:rPr>
              <w:fldChar w:fldCharType="separate"/>
            </w:r>
            <w:r w:rsidR="007D0040">
              <w:rPr>
                <w:noProof/>
                <w:webHidden/>
              </w:rPr>
              <w:t>6</w:t>
            </w:r>
            <w:r w:rsidR="007D0040">
              <w:rPr>
                <w:noProof/>
                <w:webHidden/>
              </w:rPr>
              <w:fldChar w:fldCharType="end"/>
            </w:r>
          </w:hyperlink>
        </w:p>
        <w:p w:rsidR="007D0040" w:rsidRDefault="008E2429">
          <w:pPr>
            <w:pStyle w:val="TOC2"/>
            <w:tabs>
              <w:tab w:val="right" w:leader="dot" w:pos="9350"/>
            </w:tabs>
            <w:rPr>
              <w:rFonts w:eastAsiaTheme="minorEastAsia"/>
              <w:noProof/>
              <w:sz w:val="22"/>
            </w:rPr>
          </w:pPr>
          <w:hyperlink w:anchor="_Toc153550422" w:history="1">
            <w:r w:rsidR="007D0040" w:rsidRPr="008745E6">
              <w:rPr>
                <w:rStyle w:val="Hyperlink"/>
                <w:rFonts w:ascii="Arial" w:hAnsi="Arial" w:cs="Arial"/>
                <w:noProof/>
              </w:rPr>
              <w:t>Principle 9: Ongoing compliance</w:t>
            </w:r>
            <w:r w:rsidR="007D0040">
              <w:rPr>
                <w:noProof/>
                <w:webHidden/>
              </w:rPr>
              <w:tab/>
            </w:r>
            <w:r w:rsidR="007D0040">
              <w:rPr>
                <w:noProof/>
                <w:webHidden/>
              </w:rPr>
              <w:fldChar w:fldCharType="begin"/>
            </w:r>
            <w:r w:rsidR="007D0040">
              <w:rPr>
                <w:noProof/>
                <w:webHidden/>
              </w:rPr>
              <w:instrText xml:space="preserve"> PAGEREF _Toc153550422 \h </w:instrText>
            </w:r>
            <w:r w:rsidR="007D0040">
              <w:rPr>
                <w:noProof/>
                <w:webHidden/>
              </w:rPr>
            </w:r>
            <w:r w:rsidR="007D0040">
              <w:rPr>
                <w:noProof/>
                <w:webHidden/>
              </w:rPr>
              <w:fldChar w:fldCharType="separate"/>
            </w:r>
            <w:r w:rsidR="007D0040">
              <w:rPr>
                <w:noProof/>
                <w:webHidden/>
              </w:rPr>
              <w:t>6</w:t>
            </w:r>
            <w:r w:rsidR="007D0040">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23" w:history="1">
            <w:r w:rsidR="007D0040" w:rsidRPr="008745E6">
              <w:rPr>
                <w:rStyle w:val="Hyperlink"/>
                <w:rFonts w:ascii="Arial" w:hAnsi="Arial" w:cs="Arial"/>
                <w:noProof/>
              </w:rPr>
              <w:t>Conclusion</w:t>
            </w:r>
            <w:r w:rsidR="007D0040">
              <w:rPr>
                <w:noProof/>
                <w:webHidden/>
              </w:rPr>
              <w:tab/>
            </w:r>
            <w:r w:rsidR="007D0040">
              <w:rPr>
                <w:noProof/>
                <w:webHidden/>
              </w:rPr>
              <w:fldChar w:fldCharType="begin"/>
            </w:r>
            <w:r w:rsidR="007D0040">
              <w:rPr>
                <w:noProof/>
                <w:webHidden/>
              </w:rPr>
              <w:instrText xml:space="preserve"> PAGEREF _Toc153550423 \h </w:instrText>
            </w:r>
            <w:r w:rsidR="007D0040">
              <w:rPr>
                <w:noProof/>
                <w:webHidden/>
              </w:rPr>
            </w:r>
            <w:r w:rsidR="007D0040">
              <w:rPr>
                <w:noProof/>
                <w:webHidden/>
              </w:rPr>
              <w:fldChar w:fldCharType="separate"/>
            </w:r>
            <w:r w:rsidR="007D0040">
              <w:rPr>
                <w:noProof/>
                <w:webHidden/>
              </w:rPr>
              <w:t>7</w:t>
            </w:r>
            <w:r w:rsidR="007D0040">
              <w:rPr>
                <w:noProof/>
                <w:webHidden/>
              </w:rPr>
              <w:fldChar w:fldCharType="end"/>
            </w:r>
          </w:hyperlink>
        </w:p>
        <w:p w:rsidR="007D0040" w:rsidRDefault="008E2429">
          <w:pPr>
            <w:pStyle w:val="TOC1"/>
            <w:tabs>
              <w:tab w:val="right" w:leader="dot" w:pos="9350"/>
            </w:tabs>
            <w:rPr>
              <w:rFonts w:eastAsiaTheme="minorEastAsia"/>
              <w:noProof/>
              <w:sz w:val="22"/>
            </w:rPr>
          </w:pPr>
          <w:hyperlink w:anchor="_Toc153550424" w:history="1">
            <w:r w:rsidR="007D0040" w:rsidRPr="008745E6">
              <w:rPr>
                <w:rStyle w:val="Hyperlink"/>
                <w:noProof/>
              </w:rPr>
              <w:t>References</w:t>
            </w:r>
            <w:r w:rsidR="007D0040">
              <w:rPr>
                <w:noProof/>
                <w:webHidden/>
              </w:rPr>
              <w:tab/>
            </w:r>
            <w:r w:rsidR="007D0040">
              <w:rPr>
                <w:noProof/>
                <w:webHidden/>
              </w:rPr>
              <w:fldChar w:fldCharType="begin"/>
            </w:r>
            <w:r w:rsidR="007D0040">
              <w:rPr>
                <w:noProof/>
                <w:webHidden/>
              </w:rPr>
              <w:instrText xml:space="preserve"> PAGEREF _Toc153550424 \h </w:instrText>
            </w:r>
            <w:r w:rsidR="007D0040">
              <w:rPr>
                <w:noProof/>
                <w:webHidden/>
              </w:rPr>
            </w:r>
            <w:r w:rsidR="007D0040">
              <w:rPr>
                <w:noProof/>
                <w:webHidden/>
              </w:rPr>
              <w:fldChar w:fldCharType="separate"/>
            </w:r>
            <w:r w:rsidR="007D0040">
              <w:rPr>
                <w:noProof/>
                <w:webHidden/>
              </w:rPr>
              <w:t>8</w:t>
            </w:r>
            <w:r w:rsidR="007D0040">
              <w:rPr>
                <w:noProof/>
                <w:webHidden/>
              </w:rPr>
              <w:fldChar w:fldCharType="end"/>
            </w:r>
          </w:hyperlink>
        </w:p>
        <w:p w:rsidR="007D0040" w:rsidRDefault="007D0040">
          <w:r>
            <w:rPr>
              <w:b/>
              <w:bCs/>
              <w:noProof/>
            </w:rPr>
            <w:fldChar w:fldCharType="end"/>
          </w:r>
        </w:p>
      </w:sdtContent>
    </w:sdt>
    <w:p w:rsidR="005E24F9" w:rsidRDefault="005E24F9">
      <w:pPr>
        <w:spacing w:line="259" w:lineRule="auto"/>
        <w:jc w:val="left"/>
        <w:rPr>
          <w:rFonts w:eastAsiaTheme="majorEastAsia" w:cstheme="majorBidi"/>
          <w:b/>
          <w:sz w:val="32"/>
          <w:szCs w:val="32"/>
        </w:rPr>
      </w:pPr>
      <w:r>
        <w:br w:type="page"/>
      </w:r>
    </w:p>
    <w:p w:rsidR="00076816" w:rsidRPr="007D0040" w:rsidRDefault="00076816" w:rsidP="00076816">
      <w:pPr>
        <w:pStyle w:val="Heading1"/>
        <w:rPr>
          <w:rFonts w:ascii="Arial" w:hAnsi="Arial" w:cs="Arial"/>
          <w:sz w:val="24"/>
          <w:szCs w:val="24"/>
        </w:rPr>
      </w:pPr>
      <w:bookmarkStart w:id="0" w:name="_Toc153553972"/>
      <w:bookmarkStart w:id="1" w:name="_Toc153550415"/>
      <w:r w:rsidRPr="007D0040">
        <w:rPr>
          <w:rFonts w:ascii="Arial" w:hAnsi="Arial" w:cs="Arial"/>
          <w:sz w:val="24"/>
          <w:szCs w:val="24"/>
        </w:rPr>
        <w:lastRenderedPageBreak/>
        <w:t>Introduction</w:t>
      </w:r>
      <w:bookmarkEnd w:id="0"/>
      <w:bookmarkEnd w:id="1"/>
    </w:p>
    <w:p w:rsidR="00076816" w:rsidRPr="007D0040" w:rsidRDefault="00076816" w:rsidP="00076816">
      <w:pPr>
        <w:rPr>
          <w:rFonts w:ascii="Arial" w:hAnsi="Arial" w:cs="Arial"/>
          <w:szCs w:val="24"/>
        </w:rPr>
      </w:pPr>
      <w:r w:rsidRPr="007D0040">
        <w:rPr>
          <w:rFonts w:ascii="Arial" w:hAnsi="Arial" w:cs="Arial"/>
          <w:szCs w:val="24"/>
        </w:rPr>
        <w:t xml:space="preserve">The legal profession in the United Kingdom plays a crucial role in upholding justice and maintaining the rule of law. In recent years, there has been a growing recognition of the importance of promoting equality and diversity within the legal profession and in the provision of legal services. This essay explores how individuals working in the legal profession, along with regulatory bodies such as the Solicitors Regulation Authority (SRA), Bar Standards Board (BSB), and CILEX Regulation, contribute to advancing these principles. It also critically examines the ethical requirements outlined in the SRA Principles of Regulation and Code of Conduct and their application in fostering equality and diversity </w:t>
      </w:r>
      <w:r w:rsidR="00FB62EA" w:rsidRPr="007D0040">
        <w:rPr>
          <w:rFonts w:ascii="Arial" w:hAnsi="Arial" w:cs="Arial"/>
          <w:noProof/>
          <w:szCs w:val="24"/>
        </w:rPr>
        <w:t>(Armour</w:t>
      </w:r>
      <w:r w:rsidR="00B33BEE">
        <w:rPr>
          <w:rFonts w:ascii="Arial" w:hAnsi="Arial" w:cs="Arial"/>
          <w:noProof/>
          <w:szCs w:val="24"/>
        </w:rPr>
        <w:t xml:space="preserve"> and Sako</w:t>
      </w:r>
      <w:r w:rsidR="00FB62EA" w:rsidRPr="007D0040">
        <w:rPr>
          <w:rFonts w:ascii="Arial" w:hAnsi="Arial" w:cs="Arial"/>
          <w:noProof/>
          <w:szCs w:val="24"/>
        </w:rPr>
        <w:t>, 2020)</w:t>
      </w:r>
      <w:r w:rsidRPr="007D0040">
        <w:rPr>
          <w:rFonts w:ascii="Arial" w:hAnsi="Arial" w:cs="Arial"/>
          <w:szCs w:val="24"/>
        </w:rPr>
        <w:t>.</w:t>
      </w:r>
    </w:p>
    <w:p w:rsidR="00076816" w:rsidRPr="007D0040" w:rsidRDefault="00076816" w:rsidP="00076816">
      <w:pPr>
        <w:pStyle w:val="Heading1"/>
        <w:rPr>
          <w:rFonts w:ascii="Arial" w:hAnsi="Arial" w:cs="Arial"/>
          <w:sz w:val="24"/>
          <w:szCs w:val="24"/>
        </w:rPr>
      </w:pPr>
      <w:bookmarkStart w:id="2" w:name="_Toc153553973"/>
      <w:bookmarkStart w:id="3" w:name="_Toc153550416"/>
      <w:r w:rsidRPr="007D0040">
        <w:rPr>
          <w:rFonts w:ascii="Arial" w:hAnsi="Arial" w:cs="Arial"/>
          <w:sz w:val="24"/>
          <w:szCs w:val="24"/>
        </w:rPr>
        <w:t>Promoting Equality and Diversity: A Legal Imperative</w:t>
      </w:r>
      <w:bookmarkEnd w:id="2"/>
      <w:bookmarkEnd w:id="3"/>
    </w:p>
    <w:p w:rsidR="00076816" w:rsidRPr="007D0040" w:rsidRDefault="00076816" w:rsidP="00076816">
      <w:pPr>
        <w:rPr>
          <w:rFonts w:ascii="Arial" w:hAnsi="Arial" w:cs="Arial"/>
          <w:szCs w:val="24"/>
        </w:rPr>
      </w:pPr>
      <w:r w:rsidRPr="007D0040">
        <w:rPr>
          <w:rFonts w:ascii="Arial" w:hAnsi="Arial" w:cs="Arial"/>
          <w:szCs w:val="24"/>
        </w:rPr>
        <w:t>Fostering equality and diversity in the legal field is not just an ethical imperative</w:t>
      </w:r>
      <w:r w:rsidR="001C3BEC">
        <w:rPr>
          <w:rFonts w:ascii="Arial" w:hAnsi="Arial" w:cs="Arial"/>
          <w:szCs w:val="24"/>
        </w:rPr>
        <w:t>,</w:t>
      </w:r>
      <w:r w:rsidRPr="007D0040">
        <w:rPr>
          <w:rFonts w:ascii="Arial" w:hAnsi="Arial" w:cs="Arial"/>
          <w:szCs w:val="24"/>
        </w:rPr>
        <w:t xml:space="preserve"> but a legal obligation. The Equality Act 2010, a pivotal legislation in the UK, mandates the prohibition of discrimination based on </w:t>
      </w:r>
      <w:r w:rsidR="001C3BEC">
        <w:rPr>
          <w:rFonts w:ascii="Arial" w:hAnsi="Arial" w:cs="Arial"/>
          <w:szCs w:val="24"/>
        </w:rPr>
        <w:t xml:space="preserve">the </w:t>
      </w:r>
      <w:r w:rsidRPr="007D0040">
        <w:rPr>
          <w:rFonts w:ascii="Arial" w:hAnsi="Arial" w:cs="Arial"/>
          <w:szCs w:val="24"/>
        </w:rPr>
        <w:t xml:space="preserve">diverse characteristics such as age, disability, gender, race, religion, and sexual orientation. Compliance with this act is crucial for legal practitioners and regulatory bodies, as it sets the standard for eliminating bias and promoting fair treatment and representation in the legal profession. Adhering to the principles of the Equality Act ensures that the legal sector reflects the diversity of society, upholds fundamental rights, and contributes to a more inclusive and just legal environment. Legal professionals play a pivotal role in upholding these standards and fostering an environment that champions equality and diversity </w:t>
      </w:r>
      <w:r w:rsidR="00FB62EA" w:rsidRPr="007D0040">
        <w:rPr>
          <w:rFonts w:ascii="Arial" w:hAnsi="Arial" w:cs="Arial"/>
          <w:noProof/>
          <w:szCs w:val="24"/>
        </w:rPr>
        <w:t>(Blackwell, 2019)</w:t>
      </w:r>
      <w:r w:rsidRPr="007D0040">
        <w:rPr>
          <w:rFonts w:ascii="Arial" w:hAnsi="Arial" w:cs="Arial"/>
          <w:szCs w:val="24"/>
        </w:rPr>
        <w:t>.</w:t>
      </w:r>
    </w:p>
    <w:p w:rsidR="00076816" w:rsidRPr="007D0040" w:rsidRDefault="00076816" w:rsidP="00076816">
      <w:pPr>
        <w:pStyle w:val="Heading1"/>
        <w:rPr>
          <w:rFonts w:ascii="Arial" w:hAnsi="Arial" w:cs="Arial"/>
          <w:sz w:val="24"/>
          <w:szCs w:val="24"/>
        </w:rPr>
      </w:pPr>
      <w:bookmarkStart w:id="4" w:name="_Toc153553974"/>
      <w:bookmarkStart w:id="5" w:name="_Toc153550417"/>
      <w:r w:rsidRPr="007D0040">
        <w:rPr>
          <w:rFonts w:ascii="Arial" w:hAnsi="Arial" w:cs="Arial"/>
          <w:sz w:val="24"/>
          <w:szCs w:val="24"/>
        </w:rPr>
        <w:t>Regulatory Bodies and Equality: The Role of the SRA, BSB, and CILEX Regulation</w:t>
      </w:r>
      <w:bookmarkEnd w:id="4"/>
      <w:bookmarkEnd w:id="5"/>
    </w:p>
    <w:p w:rsidR="00076816" w:rsidRPr="007D0040" w:rsidRDefault="00076816" w:rsidP="00076816">
      <w:pPr>
        <w:rPr>
          <w:rFonts w:ascii="Arial" w:hAnsi="Arial" w:cs="Arial"/>
          <w:szCs w:val="24"/>
        </w:rPr>
      </w:pPr>
      <w:r w:rsidRPr="007D0040">
        <w:rPr>
          <w:rFonts w:ascii="Arial" w:hAnsi="Arial" w:cs="Arial"/>
          <w:szCs w:val="24"/>
        </w:rPr>
        <w:t xml:space="preserve">In the dynamic landscape of the UK legal sector, regulatory bodies wield substantial influence, serving as custodians of standards and architects of ethical and professional guidelines. The Solicitors Regulation Authority (SRA), the Bar Standards Board (BSB), and CILEX Regulation collectively form the triumvirate responsible for shaping and maintaining the integrity of the legal profession. Crucially, each entity has taken concerted measures to champion equality and diversity within its jurisdiction, reflecting a commitment to fostering a legal landscape that is not only ethically sound but also inclusive </w:t>
      </w:r>
      <w:r w:rsidR="00280D52" w:rsidRPr="007D0040">
        <w:rPr>
          <w:rFonts w:ascii="Arial" w:hAnsi="Arial" w:cs="Arial"/>
          <w:noProof/>
          <w:szCs w:val="24"/>
        </w:rPr>
        <w:t>(Boon, 2011)</w:t>
      </w:r>
      <w:r w:rsidRPr="007D0040">
        <w:rPr>
          <w:rFonts w:ascii="Arial" w:hAnsi="Arial" w:cs="Arial"/>
          <w:szCs w:val="24"/>
        </w:rPr>
        <w:t>.</w:t>
      </w:r>
    </w:p>
    <w:p w:rsidR="00076816" w:rsidRPr="007D0040" w:rsidRDefault="00076816" w:rsidP="00076816">
      <w:pPr>
        <w:rPr>
          <w:rFonts w:ascii="Arial" w:hAnsi="Arial" w:cs="Arial"/>
          <w:szCs w:val="24"/>
        </w:rPr>
      </w:pPr>
      <w:r w:rsidRPr="007D0040">
        <w:rPr>
          <w:rFonts w:ascii="Arial" w:hAnsi="Arial" w:cs="Arial"/>
          <w:szCs w:val="24"/>
        </w:rPr>
        <w:lastRenderedPageBreak/>
        <w:t xml:space="preserve">The SRA, at the vanguard of these efforts, has instituted a comprehensive Equality, Diversity, and Inclusion (EDI) Strategy. This strategic framework is designed to </w:t>
      </w:r>
      <w:proofErr w:type="spellStart"/>
      <w:r w:rsidRPr="007D0040">
        <w:rPr>
          <w:rFonts w:ascii="Arial" w:hAnsi="Arial" w:cs="Arial"/>
          <w:szCs w:val="24"/>
        </w:rPr>
        <w:t>instill</w:t>
      </w:r>
      <w:proofErr w:type="spellEnd"/>
      <w:r w:rsidRPr="007D0040">
        <w:rPr>
          <w:rFonts w:ascii="Arial" w:hAnsi="Arial" w:cs="Arial"/>
          <w:szCs w:val="24"/>
        </w:rPr>
        <w:t xml:space="preserve"> a sense of inclusivity within the legal profession, with a focus on tangible outcomes. Specific objectives outlined in the strategy include the augmentation of diversity in leadership roles and vigilant monitoring of the demographic composition of the legal workforce. Furthermore, the SRA mandates regulated entities to actively collect and transparently publish diversity data. By doing so, the SRA promotes transparency and holds entities accountable, underlining a commitment to creating an environment that embraces diversity and shuns discrimination.</w:t>
      </w:r>
    </w:p>
    <w:p w:rsidR="00076816" w:rsidRPr="007D0040" w:rsidRDefault="00076816" w:rsidP="00076816">
      <w:pPr>
        <w:rPr>
          <w:rFonts w:ascii="Arial" w:hAnsi="Arial" w:cs="Arial"/>
          <w:szCs w:val="24"/>
        </w:rPr>
      </w:pPr>
      <w:r w:rsidRPr="007D0040">
        <w:rPr>
          <w:rFonts w:ascii="Arial" w:hAnsi="Arial" w:cs="Arial"/>
          <w:szCs w:val="24"/>
        </w:rPr>
        <w:t>The BSB, entrusted with the regulation of barristers in England and Wales, has its own set of Equality and Diversity Rules. These rules mandate chambers and organizations within its purview to enact policies geared towards ensuring equal opportunities. In addition to these rules, the BSB conducts periodic surveys aimed at assessing the diversity within the barrister</w:t>
      </w:r>
      <w:r w:rsidR="001C3BEC">
        <w:rPr>
          <w:rFonts w:ascii="Arial" w:hAnsi="Arial" w:cs="Arial"/>
          <w:szCs w:val="24"/>
        </w:rPr>
        <w:t>’s</w:t>
      </w:r>
      <w:r w:rsidRPr="007D0040">
        <w:rPr>
          <w:rFonts w:ascii="Arial" w:hAnsi="Arial" w:cs="Arial"/>
          <w:szCs w:val="24"/>
        </w:rPr>
        <w:t xml:space="preserve"> profession. The results of these surveys serve as a diagnostic tool, enabling the identification of any existing disparities, which the BSB then </w:t>
      </w:r>
      <w:proofErr w:type="spellStart"/>
      <w:r w:rsidRPr="007D0040">
        <w:rPr>
          <w:rFonts w:ascii="Arial" w:hAnsi="Arial" w:cs="Arial"/>
          <w:szCs w:val="24"/>
        </w:rPr>
        <w:t>endeavors</w:t>
      </w:r>
      <w:proofErr w:type="spellEnd"/>
      <w:r w:rsidRPr="007D0040">
        <w:rPr>
          <w:rFonts w:ascii="Arial" w:hAnsi="Arial" w:cs="Arial"/>
          <w:szCs w:val="24"/>
        </w:rPr>
        <w:t xml:space="preserve"> to rectify through targeted interventions </w:t>
      </w:r>
      <w:r w:rsidR="00280D52" w:rsidRPr="007D0040">
        <w:rPr>
          <w:rFonts w:ascii="Arial" w:hAnsi="Arial" w:cs="Arial"/>
          <w:noProof/>
          <w:szCs w:val="24"/>
        </w:rPr>
        <w:t>(Butler, 2016)</w:t>
      </w:r>
      <w:r w:rsidRPr="007D0040">
        <w:rPr>
          <w:rFonts w:ascii="Arial" w:hAnsi="Arial" w:cs="Arial"/>
          <w:szCs w:val="24"/>
        </w:rPr>
        <w:t>.</w:t>
      </w:r>
    </w:p>
    <w:p w:rsidR="00076816" w:rsidRPr="007D0040" w:rsidRDefault="00076816" w:rsidP="00076816">
      <w:pPr>
        <w:rPr>
          <w:rFonts w:ascii="Arial" w:hAnsi="Arial" w:cs="Arial"/>
          <w:szCs w:val="24"/>
        </w:rPr>
      </w:pPr>
      <w:r w:rsidRPr="007D0040">
        <w:rPr>
          <w:rFonts w:ascii="Arial" w:hAnsi="Arial" w:cs="Arial"/>
          <w:szCs w:val="24"/>
        </w:rPr>
        <w:t>Meanwhile, CILEX Regulation, responsible for overseeing Chartered Legal Executives and other legal professionals, has devised its own robust Equality, Diversity, and Inclusion Policy. This policy is a testament to CILEX Regulation's commitment to upholding principles of fairness and equal opportunity. It unequivocally emphasizes the imperative of providing equitable treatment and opportunities to individuals, irrespective of their background. Moreover, the policy underscores the pivotal role that diversity plays in enriching the legal profession, positioning it as a driving force behind innovation, inclusivity, and progress.</w:t>
      </w:r>
    </w:p>
    <w:p w:rsidR="00076816" w:rsidRPr="007D0040" w:rsidRDefault="00076816" w:rsidP="00076816">
      <w:pPr>
        <w:rPr>
          <w:rFonts w:ascii="Arial" w:hAnsi="Arial" w:cs="Arial"/>
          <w:szCs w:val="24"/>
        </w:rPr>
      </w:pPr>
      <w:r w:rsidRPr="007D0040">
        <w:rPr>
          <w:rFonts w:ascii="Arial" w:hAnsi="Arial" w:cs="Arial"/>
          <w:szCs w:val="24"/>
        </w:rPr>
        <w:t>In summation, the regulatory bodies in the UK legal sector, represented by the SRA, BSB, and CILEX Regulation, stand as stalwarts in the pursuit of an inclusive and ethically grounded legal profession. Through their respective strategies and policies, these entities actively shape the narrative of diversity and equality, contributing to the evolution of a legal landscape that is not only legally robust bu</w:t>
      </w:r>
      <w:r w:rsidR="001C3BEC">
        <w:rPr>
          <w:rFonts w:ascii="Arial" w:hAnsi="Arial" w:cs="Arial"/>
          <w:szCs w:val="24"/>
        </w:rPr>
        <w:t>t also reflective of the broad</w:t>
      </w:r>
      <w:r w:rsidRPr="007D0040">
        <w:rPr>
          <w:rFonts w:ascii="Arial" w:hAnsi="Arial" w:cs="Arial"/>
          <w:szCs w:val="24"/>
        </w:rPr>
        <w:t xml:space="preserve"> spectrum of human experiences and perspectives </w:t>
      </w:r>
      <w:r w:rsidR="00280D52" w:rsidRPr="007D0040">
        <w:rPr>
          <w:rFonts w:ascii="Arial" w:hAnsi="Arial" w:cs="Arial"/>
          <w:noProof/>
          <w:szCs w:val="24"/>
        </w:rPr>
        <w:t>(Stephen, 2008)</w:t>
      </w:r>
      <w:r w:rsidRPr="007D0040">
        <w:rPr>
          <w:rFonts w:ascii="Arial" w:hAnsi="Arial" w:cs="Arial"/>
          <w:szCs w:val="24"/>
        </w:rPr>
        <w:t>.</w:t>
      </w:r>
    </w:p>
    <w:p w:rsidR="00076816" w:rsidRPr="007D0040" w:rsidRDefault="00076816" w:rsidP="00076816">
      <w:pPr>
        <w:pStyle w:val="Heading1"/>
        <w:rPr>
          <w:rFonts w:ascii="Arial" w:hAnsi="Arial" w:cs="Arial"/>
          <w:sz w:val="24"/>
          <w:szCs w:val="24"/>
        </w:rPr>
      </w:pPr>
      <w:bookmarkStart w:id="6" w:name="_Toc153553975"/>
      <w:bookmarkStart w:id="7" w:name="_Toc153550418"/>
      <w:r w:rsidRPr="007D0040">
        <w:rPr>
          <w:rFonts w:ascii="Arial" w:hAnsi="Arial" w:cs="Arial"/>
          <w:sz w:val="24"/>
          <w:szCs w:val="24"/>
        </w:rPr>
        <w:lastRenderedPageBreak/>
        <w:t>Professional Practice and Principles: A Holistic Approach</w:t>
      </w:r>
      <w:bookmarkEnd w:id="6"/>
      <w:bookmarkEnd w:id="7"/>
    </w:p>
    <w:p w:rsidR="00076816" w:rsidRPr="007D0040" w:rsidRDefault="00076816" w:rsidP="00076816">
      <w:pPr>
        <w:rPr>
          <w:rFonts w:ascii="Arial" w:hAnsi="Arial" w:cs="Arial"/>
          <w:szCs w:val="24"/>
        </w:rPr>
      </w:pPr>
      <w:r w:rsidRPr="007D0040">
        <w:rPr>
          <w:rFonts w:ascii="Arial" w:hAnsi="Arial" w:cs="Arial"/>
          <w:szCs w:val="24"/>
        </w:rPr>
        <w:t xml:space="preserve">In the realm of professional practice, the bedrock principles governing legal practitioners underscore the paramount significance of championing equality and diversity. Beyond the mere adherence to legal requirements, legal professionals are tethered to ethical obligations that intricately shape their </w:t>
      </w:r>
      <w:r w:rsidR="00432FEB" w:rsidRPr="007D0040">
        <w:rPr>
          <w:rFonts w:ascii="Arial" w:hAnsi="Arial" w:cs="Arial"/>
          <w:szCs w:val="24"/>
        </w:rPr>
        <w:t>behaviour</w:t>
      </w:r>
      <w:r w:rsidRPr="007D0040">
        <w:rPr>
          <w:rFonts w:ascii="Arial" w:hAnsi="Arial" w:cs="Arial"/>
          <w:szCs w:val="24"/>
        </w:rPr>
        <w:t xml:space="preserve"> across various dimensions of their work.</w:t>
      </w:r>
    </w:p>
    <w:p w:rsidR="00076816" w:rsidRPr="007D0040" w:rsidRDefault="00076816" w:rsidP="00076816">
      <w:pPr>
        <w:rPr>
          <w:rFonts w:ascii="Arial" w:hAnsi="Arial" w:cs="Arial"/>
          <w:szCs w:val="24"/>
        </w:rPr>
      </w:pPr>
      <w:r w:rsidRPr="007D0040">
        <w:rPr>
          <w:rFonts w:ascii="Arial" w:hAnsi="Arial" w:cs="Arial"/>
          <w:szCs w:val="24"/>
        </w:rPr>
        <w:t xml:space="preserve">At the core of these principles is the imperative duty to uphold the rule of law and advance the cause of justice. Within the legal profession, practitioners are not merely tasked with dispensing legal services but are obligated to do so in a manner that ensures unfettered access to justice for every individual, regardless of their socio-cultural background. This encompasses the provision of legal services that are not only legally sound but also accessible, affordable, and intricately tailored to cater to the diverse and unique needs of each client </w:t>
      </w:r>
      <w:r w:rsidR="00280D52" w:rsidRPr="007D0040">
        <w:rPr>
          <w:rFonts w:ascii="Arial" w:hAnsi="Arial" w:cs="Arial"/>
          <w:noProof/>
          <w:szCs w:val="24"/>
        </w:rPr>
        <w:t>(</w:t>
      </w:r>
      <w:bookmarkStart w:id="8" w:name="_GoBack"/>
      <w:r w:rsidR="00280D52" w:rsidRPr="007D0040">
        <w:rPr>
          <w:rFonts w:ascii="Arial" w:hAnsi="Arial" w:cs="Arial"/>
          <w:noProof/>
          <w:szCs w:val="24"/>
        </w:rPr>
        <w:t>Wadham</w:t>
      </w:r>
      <w:bookmarkEnd w:id="8"/>
      <w:r w:rsidR="00432FEB">
        <w:rPr>
          <w:rFonts w:ascii="Arial" w:hAnsi="Arial" w:cs="Arial"/>
          <w:noProof/>
          <w:szCs w:val="24"/>
        </w:rPr>
        <w:t xml:space="preserve"> et al.</w:t>
      </w:r>
      <w:r w:rsidR="00280D52" w:rsidRPr="007D0040">
        <w:rPr>
          <w:rFonts w:ascii="Arial" w:hAnsi="Arial" w:cs="Arial"/>
          <w:noProof/>
          <w:szCs w:val="24"/>
        </w:rPr>
        <w:t>, 2010)</w:t>
      </w:r>
      <w:r w:rsidRPr="007D0040">
        <w:rPr>
          <w:rFonts w:ascii="Arial" w:hAnsi="Arial" w:cs="Arial"/>
          <w:szCs w:val="24"/>
        </w:rPr>
        <w:t>.</w:t>
      </w:r>
    </w:p>
    <w:p w:rsidR="00076816" w:rsidRPr="007D0040" w:rsidRDefault="00076816" w:rsidP="00076816">
      <w:pPr>
        <w:rPr>
          <w:rFonts w:ascii="Arial" w:hAnsi="Arial" w:cs="Arial"/>
          <w:szCs w:val="24"/>
        </w:rPr>
      </w:pPr>
      <w:r w:rsidRPr="007D0040">
        <w:rPr>
          <w:rFonts w:ascii="Arial" w:hAnsi="Arial" w:cs="Arial"/>
          <w:szCs w:val="24"/>
        </w:rPr>
        <w:t xml:space="preserve">Integrity </w:t>
      </w:r>
      <w:r w:rsidR="001C3BEC">
        <w:rPr>
          <w:rFonts w:ascii="Arial" w:hAnsi="Arial" w:cs="Arial"/>
          <w:szCs w:val="24"/>
        </w:rPr>
        <w:t>has emerged</w:t>
      </w:r>
      <w:r w:rsidRPr="007D0040">
        <w:rPr>
          <w:rFonts w:ascii="Arial" w:hAnsi="Arial" w:cs="Arial"/>
          <w:szCs w:val="24"/>
        </w:rPr>
        <w:t xml:space="preserve"> as yet another foundational principle, demanding legal professionals to navigate their responsibilities with a compass of honesty and ethical conduct. Extending beyond individual actions, this duty encompasses the cultivation of an inclusive legal workplace that actively eradicates discriminatory practices. It mandates the treatment of all individuals within the legal sphere with the utmost respect and dignity, fostering an environment wherein diversity is not merely acknowledged but celebrated.</w:t>
      </w:r>
    </w:p>
    <w:p w:rsidR="00076816" w:rsidRPr="007D0040" w:rsidRDefault="00076816" w:rsidP="00076816">
      <w:pPr>
        <w:rPr>
          <w:rFonts w:ascii="Arial" w:hAnsi="Arial" w:cs="Arial"/>
          <w:szCs w:val="24"/>
        </w:rPr>
      </w:pPr>
      <w:r w:rsidRPr="007D0040">
        <w:rPr>
          <w:rFonts w:ascii="Arial" w:hAnsi="Arial" w:cs="Arial"/>
          <w:szCs w:val="24"/>
        </w:rPr>
        <w:t xml:space="preserve">Furthermore, the duty of maintaining client confidentiality dovetails with the overarching objective of promoting equality and diversity. Legal professionals are entrusted with creating a safe space wherein clients can openly share pertinent information, including aspects related to their personal background, without apprehension of judgment or discrimination. This ensures that the legal process remains a beacon of impartiality and fairness, wherein every client feels secure in disclosing the details necessary for a thorough and just legal representation </w:t>
      </w:r>
      <w:r w:rsidR="00280D52" w:rsidRPr="007D0040">
        <w:rPr>
          <w:rFonts w:ascii="Arial" w:hAnsi="Arial" w:cs="Arial"/>
          <w:noProof/>
          <w:szCs w:val="24"/>
        </w:rPr>
        <w:t>(Armour</w:t>
      </w:r>
      <w:r w:rsidR="00B33BEE">
        <w:rPr>
          <w:rFonts w:ascii="Arial" w:hAnsi="Arial" w:cs="Arial"/>
          <w:noProof/>
          <w:szCs w:val="24"/>
        </w:rPr>
        <w:t xml:space="preserve"> and Sako</w:t>
      </w:r>
      <w:r w:rsidR="00280D52" w:rsidRPr="007D0040">
        <w:rPr>
          <w:rFonts w:ascii="Arial" w:hAnsi="Arial" w:cs="Arial"/>
          <w:noProof/>
          <w:szCs w:val="24"/>
        </w:rPr>
        <w:t>, 2020)</w:t>
      </w:r>
      <w:r w:rsidRPr="007D0040">
        <w:rPr>
          <w:rFonts w:ascii="Arial" w:hAnsi="Arial" w:cs="Arial"/>
          <w:szCs w:val="24"/>
        </w:rPr>
        <w:t>.</w:t>
      </w:r>
    </w:p>
    <w:p w:rsidR="00076816" w:rsidRPr="007D0040" w:rsidRDefault="00076816" w:rsidP="00076816">
      <w:pPr>
        <w:rPr>
          <w:rFonts w:ascii="Arial" w:hAnsi="Arial" w:cs="Arial"/>
          <w:szCs w:val="24"/>
        </w:rPr>
      </w:pPr>
      <w:r w:rsidRPr="007D0040">
        <w:rPr>
          <w:rFonts w:ascii="Arial" w:hAnsi="Arial" w:cs="Arial"/>
          <w:szCs w:val="24"/>
        </w:rPr>
        <w:t>In essence, the principles of professional practice within the legal domain coalesce to form a robust framework that not only emphasizes compliance with legal norms but, more significantly, underscores a commitment to fostering an equitable and diverse legal landscape.</w:t>
      </w:r>
    </w:p>
    <w:p w:rsidR="00076816" w:rsidRPr="007D0040" w:rsidRDefault="00076816" w:rsidP="00076816">
      <w:pPr>
        <w:pStyle w:val="Heading1"/>
        <w:rPr>
          <w:rFonts w:ascii="Arial" w:hAnsi="Arial" w:cs="Arial"/>
          <w:sz w:val="24"/>
          <w:szCs w:val="24"/>
        </w:rPr>
      </w:pPr>
      <w:bookmarkStart w:id="9" w:name="_Toc153553976"/>
      <w:bookmarkStart w:id="10" w:name="_Toc153550419"/>
      <w:r w:rsidRPr="007D0040">
        <w:rPr>
          <w:rFonts w:ascii="Arial" w:hAnsi="Arial" w:cs="Arial"/>
          <w:sz w:val="24"/>
          <w:szCs w:val="24"/>
        </w:rPr>
        <w:lastRenderedPageBreak/>
        <w:t>Critical Analysis of Ethical Requirements: SRA Principles of Regulation and Code of Conduct</w:t>
      </w:r>
      <w:bookmarkEnd w:id="9"/>
      <w:bookmarkEnd w:id="10"/>
    </w:p>
    <w:p w:rsidR="00076816" w:rsidRPr="007D0040" w:rsidRDefault="00076816" w:rsidP="00076816">
      <w:pPr>
        <w:rPr>
          <w:rFonts w:ascii="Arial" w:hAnsi="Arial" w:cs="Arial"/>
          <w:szCs w:val="24"/>
        </w:rPr>
      </w:pPr>
      <w:r w:rsidRPr="007D0040">
        <w:rPr>
          <w:rFonts w:ascii="Arial" w:hAnsi="Arial" w:cs="Arial"/>
          <w:szCs w:val="24"/>
        </w:rPr>
        <w:t xml:space="preserve">The SRA Principles of Regulation and Code of Conduct form a robust ethical framework for the legal profession. Emphasizing equality and diversity, these principles guide practitioners toward responsible </w:t>
      </w:r>
      <w:r w:rsidR="00B33BEE" w:rsidRPr="007D0040">
        <w:rPr>
          <w:rFonts w:ascii="Arial" w:hAnsi="Arial" w:cs="Arial"/>
          <w:szCs w:val="24"/>
        </w:rPr>
        <w:t>behaviour</w:t>
      </w:r>
      <w:r w:rsidRPr="007D0040">
        <w:rPr>
          <w:rFonts w:ascii="Arial" w:hAnsi="Arial" w:cs="Arial"/>
          <w:szCs w:val="24"/>
        </w:rPr>
        <w:t xml:space="preserve">. By fostering an inclusive environment, the regulations align with contemporary standards, ensuring lawyers adhere to ethical standards that promote equality and diversity in their professional practices </w:t>
      </w:r>
      <w:r w:rsidR="00280D52" w:rsidRPr="007D0040">
        <w:rPr>
          <w:rFonts w:ascii="Arial" w:hAnsi="Arial" w:cs="Arial"/>
          <w:noProof/>
          <w:szCs w:val="24"/>
        </w:rPr>
        <w:t>(Blackwell, 2019)</w:t>
      </w:r>
      <w:r w:rsidRPr="007D0040">
        <w:rPr>
          <w:rFonts w:ascii="Arial" w:hAnsi="Arial" w:cs="Arial"/>
          <w:szCs w:val="24"/>
        </w:rPr>
        <w:t>.</w:t>
      </w:r>
    </w:p>
    <w:p w:rsidR="00076816" w:rsidRPr="007D0040" w:rsidRDefault="00076816" w:rsidP="00076816">
      <w:pPr>
        <w:pStyle w:val="Heading2"/>
        <w:rPr>
          <w:rFonts w:ascii="Arial" w:hAnsi="Arial" w:cs="Arial"/>
          <w:sz w:val="24"/>
          <w:szCs w:val="24"/>
        </w:rPr>
      </w:pPr>
      <w:bookmarkStart w:id="11" w:name="_Toc153553977"/>
      <w:bookmarkStart w:id="12" w:name="_Toc153550420"/>
      <w:r w:rsidRPr="007D0040">
        <w:rPr>
          <w:rFonts w:ascii="Arial" w:hAnsi="Arial" w:cs="Arial"/>
          <w:sz w:val="24"/>
          <w:szCs w:val="24"/>
        </w:rPr>
        <w:t>Principle 2: Acting with Integrity</w:t>
      </w:r>
      <w:bookmarkEnd w:id="11"/>
      <w:bookmarkEnd w:id="12"/>
    </w:p>
    <w:p w:rsidR="00076816" w:rsidRPr="007D0040" w:rsidRDefault="00076816" w:rsidP="00076816">
      <w:pPr>
        <w:rPr>
          <w:rFonts w:ascii="Arial" w:hAnsi="Arial" w:cs="Arial"/>
          <w:szCs w:val="24"/>
        </w:rPr>
      </w:pPr>
      <w:r w:rsidRPr="007D0040">
        <w:rPr>
          <w:rFonts w:ascii="Arial" w:hAnsi="Arial" w:cs="Arial"/>
          <w:szCs w:val="24"/>
        </w:rPr>
        <w:t xml:space="preserve">Legal professionals must adhere to the principle of honesty and integrity, especially in promoting equality and diversity. This entails confronting discriminatory practices and cultivating an inclusive environment within the legal workplace. Upholding </w:t>
      </w:r>
      <w:r w:rsidR="001C3BEC">
        <w:rPr>
          <w:rFonts w:ascii="Arial" w:hAnsi="Arial" w:cs="Arial"/>
          <w:szCs w:val="24"/>
        </w:rPr>
        <w:t xml:space="preserve">the </w:t>
      </w:r>
      <w:r w:rsidRPr="007D0040">
        <w:rPr>
          <w:rFonts w:ascii="Arial" w:hAnsi="Arial" w:cs="Arial"/>
          <w:szCs w:val="24"/>
        </w:rPr>
        <w:t xml:space="preserve">integrity involves not only ethical conduct but actively working towards eradicating bias and fostering a diverse, welcoming atmosphere. By embodying these values, legal practitioners contribute to a fair and just legal system that reflects the principles of equality and </w:t>
      </w:r>
      <w:r w:rsidR="00B21030" w:rsidRPr="007D0040">
        <w:rPr>
          <w:rFonts w:ascii="Arial" w:hAnsi="Arial" w:cs="Arial"/>
          <w:szCs w:val="24"/>
        </w:rPr>
        <w:t>non-discrimination</w:t>
      </w:r>
      <w:r w:rsidRPr="007D0040">
        <w:rPr>
          <w:rFonts w:ascii="Arial" w:hAnsi="Arial" w:cs="Arial"/>
          <w:szCs w:val="24"/>
        </w:rPr>
        <w:t>.</w:t>
      </w:r>
    </w:p>
    <w:p w:rsidR="00076816" w:rsidRPr="007D0040" w:rsidRDefault="00076816" w:rsidP="00076816">
      <w:pPr>
        <w:pStyle w:val="Heading2"/>
        <w:rPr>
          <w:rFonts w:ascii="Arial" w:hAnsi="Arial" w:cs="Arial"/>
          <w:sz w:val="24"/>
          <w:szCs w:val="24"/>
        </w:rPr>
      </w:pPr>
      <w:bookmarkStart w:id="13" w:name="_Toc153553978"/>
      <w:bookmarkStart w:id="14" w:name="_Toc153550421"/>
      <w:r w:rsidRPr="007D0040">
        <w:rPr>
          <w:rFonts w:ascii="Arial" w:hAnsi="Arial" w:cs="Arial"/>
          <w:sz w:val="24"/>
          <w:szCs w:val="24"/>
        </w:rPr>
        <w:t xml:space="preserve">Principle 6: Behaving in a way that maintains the trust the public places </w:t>
      </w:r>
      <w:r w:rsidR="001C3BEC">
        <w:rPr>
          <w:rFonts w:ascii="Arial" w:hAnsi="Arial" w:cs="Arial"/>
          <w:sz w:val="24"/>
          <w:szCs w:val="24"/>
        </w:rPr>
        <w:t>on</w:t>
      </w:r>
      <w:r w:rsidRPr="007D0040">
        <w:rPr>
          <w:rFonts w:ascii="Arial" w:hAnsi="Arial" w:cs="Arial"/>
          <w:sz w:val="24"/>
          <w:szCs w:val="24"/>
        </w:rPr>
        <w:t xml:space="preserve"> you and in the provision of legal services</w:t>
      </w:r>
      <w:bookmarkEnd w:id="13"/>
      <w:bookmarkEnd w:id="14"/>
    </w:p>
    <w:p w:rsidR="00076816" w:rsidRPr="007D0040" w:rsidRDefault="00076816" w:rsidP="00076816">
      <w:pPr>
        <w:rPr>
          <w:rFonts w:ascii="Arial" w:hAnsi="Arial" w:cs="Arial"/>
          <w:szCs w:val="24"/>
        </w:rPr>
      </w:pPr>
      <w:r w:rsidRPr="007D0040">
        <w:rPr>
          <w:rFonts w:ascii="Arial" w:hAnsi="Arial" w:cs="Arial"/>
          <w:szCs w:val="24"/>
        </w:rPr>
        <w:t xml:space="preserve">This principle underscores the paramount significance of public trust within the legal profession. Practitioners are urged to be mindful of the diverse demographics they serve, striving for inclusivity and avoiding the perpetuation of stereotypes or biases. Upholding </w:t>
      </w:r>
      <w:r w:rsidR="001C3BEC">
        <w:rPr>
          <w:rFonts w:ascii="Arial" w:hAnsi="Arial" w:cs="Arial"/>
          <w:szCs w:val="24"/>
        </w:rPr>
        <w:t xml:space="preserve">the </w:t>
      </w:r>
      <w:r w:rsidRPr="007D0040">
        <w:rPr>
          <w:rFonts w:ascii="Arial" w:hAnsi="Arial" w:cs="Arial"/>
          <w:szCs w:val="24"/>
        </w:rPr>
        <w:t xml:space="preserve">public trust involves a commitment to fairness, impartiality, and respect for all individuals, fostering a legal environment that reflects the pluralistic nature of society. By embracing these values, legal professionals contribute to a more just and equitable legal system, reinforcing the public's confidence in the integrity and accessibility of justice </w:t>
      </w:r>
      <w:r w:rsidR="00280D52" w:rsidRPr="007D0040">
        <w:rPr>
          <w:rFonts w:ascii="Arial" w:hAnsi="Arial" w:cs="Arial"/>
          <w:noProof/>
          <w:szCs w:val="24"/>
        </w:rPr>
        <w:t>(Blackwell, 2019)</w:t>
      </w:r>
      <w:r w:rsidRPr="007D0040">
        <w:rPr>
          <w:rFonts w:ascii="Arial" w:hAnsi="Arial" w:cs="Arial"/>
          <w:szCs w:val="24"/>
        </w:rPr>
        <w:t>.</w:t>
      </w:r>
    </w:p>
    <w:p w:rsidR="00076816" w:rsidRPr="007D0040" w:rsidRDefault="00076816" w:rsidP="00076816">
      <w:pPr>
        <w:pStyle w:val="Heading2"/>
        <w:rPr>
          <w:rFonts w:ascii="Arial" w:hAnsi="Arial" w:cs="Arial"/>
          <w:sz w:val="24"/>
          <w:szCs w:val="24"/>
        </w:rPr>
      </w:pPr>
      <w:bookmarkStart w:id="15" w:name="_Toc153553979"/>
      <w:bookmarkStart w:id="16" w:name="_Toc153550422"/>
      <w:r w:rsidRPr="007D0040">
        <w:rPr>
          <w:rFonts w:ascii="Arial" w:hAnsi="Arial" w:cs="Arial"/>
          <w:sz w:val="24"/>
          <w:szCs w:val="24"/>
        </w:rPr>
        <w:t>Principle 9: Ongoing compliance</w:t>
      </w:r>
      <w:bookmarkEnd w:id="15"/>
      <w:bookmarkEnd w:id="16"/>
    </w:p>
    <w:p w:rsidR="00076816" w:rsidRPr="007D0040" w:rsidRDefault="00076816" w:rsidP="00076816">
      <w:pPr>
        <w:rPr>
          <w:rFonts w:ascii="Arial" w:hAnsi="Arial" w:cs="Arial"/>
          <w:szCs w:val="24"/>
        </w:rPr>
      </w:pPr>
      <w:r w:rsidRPr="007D0040">
        <w:rPr>
          <w:rFonts w:ascii="Arial" w:hAnsi="Arial" w:cs="Arial"/>
          <w:szCs w:val="24"/>
        </w:rPr>
        <w:t xml:space="preserve">Legal professionals must adhere to the SRA's regulatory arrangements, ensuring compliance with equality and diversity policies. They are obligated to engage in training programs and consistently enhance practices, fostering a more inclusive legal profession. </w:t>
      </w:r>
      <w:r w:rsidRPr="007D0040">
        <w:rPr>
          <w:rFonts w:ascii="Arial" w:hAnsi="Arial" w:cs="Arial"/>
          <w:szCs w:val="24"/>
        </w:rPr>
        <w:lastRenderedPageBreak/>
        <w:t xml:space="preserve">This commitment reflects a dedication to upholding ethical standards, promoting diversity, and advancing professional growth within the legal community </w:t>
      </w:r>
      <w:r w:rsidR="00280D52" w:rsidRPr="007D0040">
        <w:rPr>
          <w:rFonts w:ascii="Arial" w:hAnsi="Arial" w:cs="Arial"/>
          <w:noProof/>
          <w:szCs w:val="24"/>
        </w:rPr>
        <w:t>(Butler, 2016)</w:t>
      </w:r>
      <w:r w:rsidRPr="007D0040">
        <w:rPr>
          <w:rFonts w:ascii="Arial" w:hAnsi="Arial" w:cs="Arial"/>
          <w:szCs w:val="24"/>
        </w:rPr>
        <w:t>.</w:t>
      </w:r>
    </w:p>
    <w:p w:rsidR="00076816" w:rsidRPr="007D0040" w:rsidRDefault="00076816" w:rsidP="00076816">
      <w:pPr>
        <w:pStyle w:val="Heading1"/>
        <w:rPr>
          <w:rFonts w:ascii="Arial" w:hAnsi="Arial" w:cs="Arial"/>
          <w:sz w:val="24"/>
          <w:szCs w:val="24"/>
        </w:rPr>
      </w:pPr>
      <w:bookmarkStart w:id="17" w:name="_Toc153553980"/>
      <w:bookmarkStart w:id="18" w:name="_Toc153550423"/>
      <w:r w:rsidRPr="007D0040">
        <w:rPr>
          <w:rFonts w:ascii="Arial" w:hAnsi="Arial" w:cs="Arial"/>
          <w:sz w:val="24"/>
          <w:szCs w:val="24"/>
        </w:rPr>
        <w:t>Conclusion</w:t>
      </w:r>
      <w:bookmarkEnd w:id="17"/>
      <w:bookmarkEnd w:id="18"/>
    </w:p>
    <w:p w:rsidR="00076816" w:rsidRPr="007D0040" w:rsidRDefault="00076816" w:rsidP="00076816">
      <w:pPr>
        <w:rPr>
          <w:rFonts w:ascii="Arial" w:hAnsi="Arial" w:cs="Arial"/>
          <w:szCs w:val="24"/>
        </w:rPr>
      </w:pPr>
      <w:r w:rsidRPr="007D0040">
        <w:rPr>
          <w:rFonts w:ascii="Arial" w:hAnsi="Arial" w:cs="Arial"/>
          <w:szCs w:val="24"/>
        </w:rPr>
        <w:t xml:space="preserve">In summary, fostering equality and diversity in the UK legal profession demands a comprehensive strategy encompassing individual commitment and regulatory frameworks. The involvement of key entities such as the Solicitors Regulation Authority (SRA), Bar Standards Board (BSB), and CILEX Regulation is pivotal. These bodies establish benchmarks and oversee adherence to standards, acting as linchpins in the pursuit of a more inclusive legal landscape. Simultaneously, legal practitioners adhere to ethical guidelines, shaping their </w:t>
      </w:r>
      <w:r w:rsidR="00796544" w:rsidRPr="007D0040">
        <w:rPr>
          <w:rFonts w:ascii="Arial" w:hAnsi="Arial" w:cs="Arial"/>
          <w:szCs w:val="24"/>
        </w:rPr>
        <w:t>behaviour</w:t>
      </w:r>
      <w:r w:rsidRPr="007D0040">
        <w:rPr>
          <w:rFonts w:ascii="Arial" w:hAnsi="Arial" w:cs="Arial"/>
          <w:szCs w:val="24"/>
        </w:rPr>
        <w:t xml:space="preserve"> to cultivate an environment that embraces diversity </w:t>
      </w:r>
      <w:r w:rsidR="00280D52" w:rsidRPr="007D0040">
        <w:rPr>
          <w:rFonts w:ascii="Arial" w:hAnsi="Arial" w:cs="Arial"/>
          <w:noProof/>
          <w:szCs w:val="24"/>
        </w:rPr>
        <w:t>(Wadham</w:t>
      </w:r>
      <w:r w:rsidR="00796544">
        <w:rPr>
          <w:rFonts w:ascii="Arial" w:hAnsi="Arial" w:cs="Arial"/>
          <w:noProof/>
          <w:szCs w:val="24"/>
        </w:rPr>
        <w:t xml:space="preserve"> et al.</w:t>
      </w:r>
      <w:r w:rsidR="00280D52" w:rsidRPr="007D0040">
        <w:rPr>
          <w:rFonts w:ascii="Arial" w:hAnsi="Arial" w:cs="Arial"/>
          <w:noProof/>
          <w:szCs w:val="24"/>
        </w:rPr>
        <w:t>, 2010)</w:t>
      </w:r>
      <w:r w:rsidRPr="007D0040">
        <w:rPr>
          <w:rFonts w:ascii="Arial" w:hAnsi="Arial" w:cs="Arial"/>
          <w:szCs w:val="24"/>
        </w:rPr>
        <w:t>.</w:t>
      </w:r>
    </w:p>
    <w:p w:rsidR="00076816" w:rsidRPr="007D0040" w:rsidRDefault="00076816" w:rsidP="00076816">
      <w:pPr>
        <w:rPr>
          <w:rFonts w:ascii="Arial" w:hAnsi="Arial" w:cs="Arial"/>
          <w:szCs w:val="24"/>
        </w:rPr>
      </w:pPr>
      <w:r w:rsidRPr="007D0040">
        <w:rPr>
          <w:rFonts w:ascii="Arial" w:hAnsi="Arial" w:cs="Arial"/>
          <w:szCs w:val="24"/>
        </w:rPr>
        <w:t xml:space="preserve">The synergy between regulatory measures and ethical principles is fundamental for </w:t>
      </w:r>
      <w:r w:rsidR="00796544" w:rsidRPr="007D0040">
        <w:rPr>
          <w:rFonts w:ascii="Arial" w:hAnsi="Arial" w:cs="Arial"/>
          <w:szCs w:val="24"/>
        </w:rPr>
        <w:t>moulding</w:t>
      </w:r>
      <w:r w:rsidRPr="007D0040">
        <w:rPr>
          <w:rFonts w:ascii="Arial" w:hAnsi="Arial" w:cs="Arial"/>
          <w:szCs w:val="24"/>
        </w:rPr>
        <w:t xml:space="preserve"> a legal sector reflective of societal diversity, thereby reinforcing the bedrock principles of justice and equity. As legal professionals navigate their roles, these intertwined efforts not only signify a commitment to diversity but also ensure that the legal system remains a beacon of impartiality. Ultimately, the integration of individual and regulatory components forms a symbiotic relationship, essential for the evolution of a legal profession that not only mirrors the communities it serves</w:t>
      </w:r>
      <w:r w:rsidR="001C3BEC">
        <w:rPr>
          <w:rFonts w:ascii="Arial" w:hAnsi="Arial" w:cs="Arial"/>
          <w:szCs w:val="24"/>
        </w:rPr>
        <w:t>,</w:t>
      </w:r>
      <w:r w:rsidRPr="007D0040">
        <w:rPr>
          <w:rFonts w:ascii="Arial" w:hAnsi="Arial" w:cs="Arial"/>
          <w:szCs w:val="24"/>
        </w:rPr>
        <w:t xml:space="preserve"> but also champions the core tenets of fairness and justice.</w:t>
      </w:r>
    </w:p>
    <w:p w:rsidR="005E5251" w:rsidRDefault="005E5251" w:rsidP="00F23A01"/>
    <w:p w:rsidR="005E5251" w:rsidRDefault="005E5251" w:rsidP="005E5251">
      <w:r>
        <w:br w:type="page"/>
      </w:r>
    </w:p>
    <w:bookmarkStart w:id="19" w:name="_Toc153550424" w:displacedByCustomXml="next"/>
    <w:bookmarkStart w:id="20" w:name="_Toc153553981" w:displacedByCustomXml="next"/>
    <w:sdt>
      <w:sdtPr>
        <w:rPr>
          <w:rFonts w:eastAsiaTheme="minorHAnsi" w:cstheme="minorBidi"/>
          <w:b w:val="0"/>
          <w:sz w:val="24"/>
          <w:szCs w:val="22"/>
        </w:rPr>
        <w:id w:val="-871846160"/>
        <w:docPartObj>
          <w:docPartGallery w:val="Bibliographies"/>
          <w:docPartUnique/>
        </w:docPartObj>
      </w:sdtPr>
      <w:sdtEndPr/>
      <w:sdtContent>
        <w:p w:rsidR="005E5251" w:rsidRDefault="005E5251">
          <w:pPr>
            <w:pStyle w:val="Heading1"/>
          </w:pPr>
          <w:r>
            <w:t>References</w:t>
          </w:r>
          <w:bookmarkEnd w:id="20"/>
          <w:bookmarkEnd w:id="19"/>
        </w:p>
        <w:p w:rsidR="003F7FDF" w:rsidRPr="003F7FDF" w:rsidRDefault="00C859E4" w:rsidP="003F7FDF">
          <w:pPr>
            <w:pStyle w:val="Bibliography"/>
            <w:rPr>
              <w:noProof/>
            </w:rPr>
          </w:pPr>
          <w:r>
            <w:rPr>
              <w:noProof/>
            </w:rPr>
            <w:t>Armour, J.,</w:t>
          </w:r>
          <w:r w:rsidR="005E5251">
            <w:rPr>
              <w:noProof/>
            </w:rPr>
            <w:t xml:space="preserve"> </w:t>
          </w:r>
          <w:r>
            <w:rPr>
              <w:noProof/>
            </w:rPr>
            <w:t>and Sako, M. (</w:t>
          </w:r>
          <w:r w:rsidR="005E5251">
            <w:rPr>
              <w:noProof/>
            </w:rPr>
            <w:t>2020</w:t>
          </w:r>
          <w:r>
            <w:rPr>
              <w:noProof/>
            </w:rPr>
            <w:t>)</w:t>
          </w:r>
          <w:r w:rsidR="005E5251">
            <w:rPr>
              <w:noProof/>
            </w:rPr>
            <w:t>. AI-enabled business models in legal services: from traditional law firms to n</w:t>
          </w:r>
          <w:r>
            <w:rPr>
              <w:noProof/>
            </w:rPr>
            <w:t>ext-generation law companies?</w:t>
          </w:r>
          <w:r w:rsidR="005E5251">
            <w:rPr>
              <w:noProof/>
            </w:rPr>
            <w:t xml:space="preserve"> </w:t>
          </w:r>
          <w:r w:rsidR="005E5251">
            <w:rPr>
              <w:i/>
              <w:iCs/>
              <w:noProof/>
            </w:rPr>
            <w:t xml:space="preserve">Journal of Professions and Organization, </w:t>
          </w:r>
          <w:r w:rsidR="005E5251">
            <w:rPr>
              <w:noProof/>
            </w:rPr>
            <w:t>7(1), pp. 27-46.</w:t>
          </w:r>
          <w:r>
            <w:rPr>
              <w:noProof/>
            </w:rPr>
            <w:t xml:space="preserve"> </w:t>
          </w:r>
          <w:hyperlink r:id="rId9" w:tgtFrame="_blank" w:history="1">
            <w:r w:rsidR="003F7FDF" w:rsidRPr="003F7FDF">
              <w:rPr>
                <w:noProof/>
              </w:rPr>
              <w:t>http://dx.doi.org/10.2139/ssrn.3418810</w:t>
            </w:r>
          </w:hyperlink>
          <w:r w:rsidR="003F7FDF">
            <w:rPr>
              <w:noProof/>
            </w:rPr>
            <w:t xml:space="preserve"> </w:t>
          </w:r>
        </w:p>
        <w:p w:rsidR="003F7FDF" w:rsidRPr="003F7FDF" w:rsidRDefault="005E5251" w:rsidP="003F7FDF">
          <w:pPr>
            <w:pStyle w:val="Bibliography"/>
          </w:pPr>
          <w:r>
            <w:rPr>
              <w:noProof/>
            </w:rPr>
            <w:t xml:space="preserve">Blackwell, M., </w:t>
          </w:r>
          <w:r w:rsidR="007B3595">
            <w:rPr>
              <w:noProof/>
            </w:rPr>
            <w:t>(</w:t>
          </w:r>
          <w:r>
            <w:rPr>
              <w:noProof/>
            </w:rPr>
            <w:t>2019</w:t>
          </w:r>
          <w:r w:rsidR="007B3595">
            <w:rPr>
              <w:noProof/>
            </w:rPr>
            <w:t>)</w:t>
          </w:r>
          <w:r>
            <w:rPr>
              <w:noProof/>
            </w:rPr>
            <w:t xml:space="preserve">. Conduct Unbefitting: Solicitors, the SRA and Tax Avoidance. </w:t>
          </w:r>
          <w:r>
            <w:rPr>
              <w:i/>
              <w:iCs/>
              <w:noProof/>
            </w:rPr>
            <w:t xml:space="preserve">British Tax Review , </w:t>
          </w:r>
          <w:r>
            <w:rPr>
              <w:noProof/>
            </w:rPr>
            <w:t>Volume 1, pp. 31-54.</w:t>
          </w:r>
          <w:r w:rsidR="003F7FDF">
            <w:rPr>
              <w:noProof/>
            </w:rPr>
            <w:t xml:space="preserve"> </w:t>
          </w:r>
          <w:r w:rsidR="003F7FDF" w:rsidRPr="003F7FDF">
            <w:rPr>
              <w:noProof/>
            </w:rPr>
            <w:t>Available at SSRN: </w:t>
          </w:r>
          <w:hyperlink r:id="rId10" w:tgtFrame="_blank" w:history="1">
            <w:r w:rsidR="003F7FDF" w:rsidRPr="003F7FDF">
              <w:rPr>
                <w:noProof/>
              </w:rPr>
              <w:t>https://ssrn.com/abstract=3354776</w:t>
            </w:r>
          </w:hyperlink>
          <w:r w:rsidR="003F7FDF">
            <w:t xml:space="preserve"> </w:t>
          </w:r>
        </w:p>
        <w:p w:rsidR="009465F2" w:rsidRDefault="005E5251" w:rsidP="009465F2">
          <w:pPr>
            <w:numPr>
              <w:ilvl w:val="0"/>
              <w:numId w:val="1"/>
            </w:numPr>
            <w:spacing w:beforeAutospacing="1" w:after="0" w:afterAutospacing="1"/>
            <w:ind w:left="0"/>
            <w:jc w:val="left"/>
            <w:rPr>
              <w:rFonts w:ascii="Arial" w:hAnsi="Arial" w:cs="Arial"/>
              <w:color w:val="333333"/>
              <w:sz w:val="20"/>
              <w:szCs w:val="20"/>
            </w:rPr>
          </w:pPr>
          <w:r>
            <w:rPr>
              <w:noProof/>
            </w:rPr>
            <w:t xml:space="preserve">Boon, A., </w:t>
          </w:r>
          <w:r w:rsidR="007B3595">
            <w:rPr>
              <w:noProof/>
            </w:rPr>
            <w:t>(</w:t>
          </w:r>
          <w:r>
            <w:rPr>
              <w:noProof/>
            </w:rPr>
            <w:t>2011</w:t>
          </w:r>
          <w:r w:rsidR="007B3595">
            <w:rPr>
              <w:noProof/>
            </w:rPr>
            <w:t>)</w:t>
          </w:r>
          <w:r>
            <w:rPr>
              <w:noProof/>
            </w:rPr>
            <w:t xml:space="preserve">. Professionalism under the Legal Services Act 2007. </w:t>
          </w:r>
          <w:r>
            <w:rPr>
              <w:i/>
              <w:iCs/>
              <w:noProof/>
            </w:rPr>
            <w:t xml:space="preserve">International Journal of the Legal Profession , </w:t>
          </w:r>
          <w:r>
            <w:rPr>
              <w:noProof/>
            </w:rPr>
            <w:t>17(3), pp. 195-232.</w:t>
          </w:r>
          <w:r w:rsidR="009465F2">
            <w:rPr>
              <w:noProof/>
            </w:rPr>
            <w:t xml:space="preserve"> </w:t>
          </w:r>
          <w:r w:rsidR="003F7FDF">
            <w:rPr>
              <w:rFonts w:ascii="Arial" w:hAnsi="Arial" w:cs="Arial"/>
              <w:color w:val="333333"/>
              <w:shd w:val="clear" w:color="auto" w:fill="FFFFFF"/>
            </w:rPr>
            <w:t>DOI: </w:t>
          </w:r>
          <w:hyperlink r:id="rId11" w:history="1">
            <w:r w:rsidR="003F7FDF">
              <w:rPr>
                <w:rStyle w:val="Hyperlink"/>
                <w:rFonts w:ascii="Arial" w:hAnsi="Arial" w:cs="Arial"/>
                <w:color w:val="333333"/>
                <w:shd w:val="clear" w:color="auto" w:fill="FFFFFF"/>
              </w:rPr>
              <w:t>10.1080/09695958.2011.580561</w:t>
            </w:r>
          </w:hyperlink>
          <w:r w:rsidR="003F7FDF">
            <w:t xml:space="preserve"> </w:t>
          </w:r>
        </w:p>
        <w:p w:rsidR="005E5251" w:rsidRDefault="009465F2" w:rsidP="005E5251">
          <w:pPr>
            <w:pStyle w:val="Bibliography"/>
            <w:rPr>
              <w:noProof/>
            </w:rPr>
          </w:pPr>
          <w:r>
            <w:rPr>
              <w:noProof/>
            </w:rPr>
            <w:t>Butler, M.</w:t>
          </w:r>
          <w:r w:rsidR="005E5251">
            <w:rPr>
              <w:noProof/>
            </w:rPr>
            <w:t xml:space="preserve"> </w:t>
          </w:r>
          <w:r>
            <w:rPr>
              <w:noProof/>
            </w:rPr>
            <w:t>(</w:t>
          </w:r>
          <w:r w:rsidR="005E5251">
            <w:rPr>
              <w:noProof/>
            </w:rPr>
            <w:t>2016</w:t>
          </w:r>
          <w:r>
            <w:rPr>
              <w:noProof/>
            </w:rPr>
            <w:t>)</w:t>
          </w:r>
          <w:r w:rsidR="005E5251">
            <w:rPr>
              <w:noProof/>
            </w:rPr>
            <w:t xml:space="preserve">. </w:t>
          </w:r>
          <w:r w:rsidR="005E5251">
            <w:rPr>
              <w:i/>
              <w:iCs/>
              <w:noProof/>
            </w:rPr>
            <w:t xml:space="preserve">Equality and Anti-Discrimination Law: The Equality Act 2010. </w:t>
          </w:r>
          <w:r w:rsidR="005E5251">
            <w:rPr>
              <w:noProof/>
            </w:rPr>
            <w:t>1 ed. London: Spiramus Press Ltd.</w:t>
          </w:r>
        </w:p>
        <w:p w:rsidR="005E5251" w:rsidRDefault="009465F2" w:rsidP="005E5251">
          <w:pPr>
            <w:pStyle w:val="Bibliography"/>
            <w:rPr>
              <w:noProof/>
            </w:rPr>
          </w:pPr>
          <w:r>
            <w:rPr>
              <w:noProof/>
            </w:rPr>
            <w:t>Stephen, F. H.</w:t>
          </w:r>
          <w:r w:rsidR="005E5251">
            <w:rPr>
              <w:noProof/>
            </w:rPr>
            <w:t xml:space="preserve"> </w:t>
          </w:r>
          <w:r>
            <w:rPr>
              <w:noProof/>
            </w:rPr>
            <w:t>(</w:t>
          </w:r>
          <w:r w:rsidR="005E5251">
            <w:rPr>
              <w:noProof/>
            </w:rPr>
            <w:t>2008</w:t>
          </w:r>
          <w:r>
            <w:rPr>
              <w:noProof/>
            </w:rPr>
            <w:t>)</w:t>
          </w:r>
          <w:r w:rsidR="005E5251">
            <w:rPr>
              <w:noProof/>
            </w:rPr>
            <w:t xml:space="preserve">. Regulation of the Legal Professions or Regulation of Markets for Legal Services: Potential Implications of the Legal Services Act 2007. </w:t>
          </w:r>
          <w:r w:rsidR="005E5251">
            <w:rPr>
              <w:i/>
              <w:iCs/>
              <w:noProof/>
            </w:rPr>
            <w:t xml:space="preserve">European Business Law Review , </w:t>
          </w:r>
          <w:r w:rsidR="005E5251">
            <w:rPr>
              <w:noProof/>
            </w:rPr>
            <w:t>19(6), p. 1129 – 1139.</w:t>
          </w:r>
          <w:r w:rsidR="00636E81">
            <w:rPr>
              <w:noProof/>
            </w:rPr>
            <w:t xml:space="preserve"> </w:t>
          </w:r>
          <w:hyperlink r:id="rId12" w:history="1">
            <w:r w:rsidR="00837ED0" w:rsidRPr="00F65BC0">
              <w:rPr>
                <w:rStyle w:val="Hyperlink"/>
                <w:rFonts w:ascii="Fira Sans" w:hAnsi="Fira Sans"/>
                <w:shd w:val="clear" w:color="auto" w:fill="FFFFFF"/>
              </w:rPr>
              <w:t>https://doi.org/10.54648/eulr2008052</w:t>
            </w:r>
          </w:hyperlink>
          <w:r w:rsidR="00837ED0">
            <w:rPr>
              <w:rFonts w:ascii="Fira Sans" w:hAnsi="Fira Sans"/>
              <w:color w:val="474747"/>
              <w:shd w:val="clear" w:color="auto" w:fill="FFFFFF"/>
            </w:rPr>
            <w:t xml:space="preserve"> </w:t>
          </w:r>
        </w:p>
        <w:p w:rsidR="005E5251" w:rsidRDefault="005E5251" w:rsidP="005E5251">
          <w:pPr>
            <w:pStyle w:val="Bibliography"/>
            <w:rPr>
              <w:noProof/>
            </w:rPr>
          </w:pPr>
          <w:r>
            <w:rPr>
              <w:noProof/>
            </w:rPr>
            <w:t xml:space="preserve">Wadham, J., </w:t>
          </w:r>
          <w:r w:rsidR="001B0C13">
            <w:rPr>
              <w:noProof/>
            </w:rPr>
            <w:t>Ruebain, D., Robinson, A., and Uppal, S. (</w:t>
          </w:r>
          <w:r>
            <w:rPr>
              <w:noProof/>
            </w:rPr>
            <w:t>2010</w:t>
          </w:r>
          <w:r w:rsidR="001B0C13">
            <w:rPr>
              <w:noProof/>
            </w:rPr>
            <w:t>)</w:t>
          </w:r>
          <w:r>
            <w:rPr>
              <w:noProof/>
            </w:rPr>
            <w:t xml:space="preserve">. </w:t>
          </w:r>
          <w:r>
            <w:rPr>
              <w:i/>
              <w:iCs/>
              <w:noProof/>
            </w:rPr>
            <w:t xml:space="preserve">Blackstone's Guide to the Equality Act 2010. </w:t>
          </w:r>
          <w:r>
            <w:rPr>
              <w:noProof/>
            </w:rPr>
            <w:t>1 ed.</w:t>
          </w:r>
          <w:r w:rsidR="001B0C13">
            <w:rPr>
              <w:noProof/>
            </w:rPr>
            <w:t>USA: Oxford University Press</w:t>
          </w:r>
          <w:r>
            <w:rPr>
              <w:noProof/>
            </w:rPr>
            <w:t>.</w:t>
          </w:r>
        </w:p>
        <w:p w:rsidR="005E5251" w:rsidRDefault="008E2429" w:rsidP="005E5251"/>
      </w:sdtContent>
    </w:sdt>
    <w:p w:rsidR="00563BF5" w:rsidRDefault="00563BF5" w:rsidP="00F23A01"/>
    <w:sectPr w:rsidR="00563BF5" w:rsidSect="00785B6A">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429" w:rsidRDefault="008E2429" w:rsidP="00785B6A">
      <w:pPr>
        <w:spacing w:after="0" w:line="240" w:lineRule="auto"/>
      </w:pPr>
      <w:r>
        <w:separator/>
      </w:r>
    </w:p>
  </w:endnote>
  <w:endnote w:type="continuationSeparator" w:id="0">
    <w:p w:rsidR="008E2429" w:rsidRDefault="008E2429" w:rsidP="00785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429" w:rsidRDefault="008E2429" w:rsidP="00785B6A">
      <w:pPr>
        <w:spacing w:after="0" w:line="240" w:lineRule="auto"/>
      </w:pPr>
      <w:r>
        <w:separator/>
      </w:r>
    </w:p>
  </w:footnote>
  <w:footnote w:type="continuationSeparator" w:id="0">
    <w:p w:rsidR="008E2429" w:rsidRDefault="008E2429" w:rsidP="00785B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850531"/>
      <w:docPartObj>
        <w:docPartGallery w:val="Page Numbers (Top of Page)"/>
        <w:docPartUnique/>
      </w:docPartObj>
    </w:sdtPr>
    <w:sdtEndPr>
      <w:rPr>
        <w:noProof/>
      </w:rPr>
    </w:sdtEndPr>
    <w:sdtContent>
      <w:p w:rsidR="00785B6A" w:rsidRDefault="00785B6A">
        <w:pPr>
          <w:pStyle w:val="Header"/>
          <w:jc w:val="right"/>
        </w:pPr>
        <w:r>
          <w:fldChar w:fldCharType="begin"/>
        </w:r>
        <w:r>
          <w:instrText xml:space="preserve"> PAGE   \* MERGEFORMAT </w:instrText>
        </w:r>
        <w:r>
          <w:fldChar w:fldCharType="separate"/>
        </w:r>
        <w:r w:rsidR="00432FEB">
          <w:rPr>
            <w:noProof/>
          </w:rPr>
          <w:t>8</w:t>
        </w:r>
        <w:r>
          <w:rPr>
            <w:noProof/>
          </w:rPr>
          <w:fldChar w:fldCharType="end"/>
        </w:r>
      </w:p>
    </w:sdtContent>
  </w:sdt>
  <w:p w:rsidR="00785B6A" w:rsidRDefault="00785B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274B59"/>
    <w:multiLevelType w:val="multilevel"/>
    <w:tmpl w:val="9162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A01"/>
    <w:rsid w:val="0001602A"/>
    <w:rsid w:val="0007377D"/>
    <w:rsid w:val="00076816"/>
    <w:rsid w:val="000C1E0B"/>
    <w:rsid w:val="000E0D9A"/>
    <w:rsid w:val="001B0C13"/>
    <w:rsid w:val="001B0E45"/>
    <w:rsid w:val="001C3BEC"/>
    <w:rsid w:val="00202740"/>
    <w:rsid w:val="00280D52"/>
    <w:rsid w:val="002C3F57"/>
    <w:rsid w:val="00314423"/>
    <w:rsid w:val="00325FD6"/>
    <w:rsid w:val="003806AA"/>
    <w:rsid w:val="003F7FDF"/>
    <w:rsid w:val="00432FEB"/>
    <w:rsid w:val="004A3451"/>
    <w:rsid w:val="00563BF5"/>
    <w:rsid w:val="00584C3C"/>
    <w:rsid w:val="005A265B"/>
    <w:rsid w:val="005E24F9"/>
    <w:rsid w:val="005E5251"/>
    <w:rsid w:val="00636E81"/>
    <w:rsid w:val="00785B6A"/>
    <w:rsid w:val="00796544"/>
    <w:rsid w:val="007B3595"/>
    <w:rsid w:val="007D0040"/>
    <w:rsid w:val="00817A7B"/>
    <w:rsid w:val="00837ED0"/>
    <w:rsid w:val="008E2429"/>
    <w:rsid w:val="008F1130"/>
    <w:rsid w:val="009465F2"/>
    <w:rsid w:val="0097156B"/>
    <w:rsid w:val="00984602"/>
    <w:rsid w:val="009F55E1"/>
    <w:rsid w:val="009F5AA4"/>
    <w:rsid w:val="00A42581"/>
    <w:rsid w:val="00B21030"/>
    <w:rsid w:val="00B33BEE"/>
    <w:rsid w:val="00B64F29"/>
    <w:rsid w:val="00B75E32"/>
    <w:rsid w:val="00C832EE"/>
    <w:rsid w:val="00C859E4"/>
    <w:rsid w:val="00D06823"/>
    <w:rsid w:val="00D46E7C"/>
    <w:rsid w:val="00DB3269"/>
    <w:rsid w:val="00DE26A5"/>
    <w:rsid w:val="00E34735"/>
    <w:rsid w:val="00E94F4A"/>
    <w:rsid w:val="00F176E9"/>
    <w:rsid w:val="00F23A01"/>
    <w:rsid w:val="00FB6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203737-AC1E-4028-BBB4-441649FF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A7B"/>
    <w:pPr>
      <w:spacing w:line="360" w:lineRule="auto"/>
      <w:jc w:val="both"/>
    </w:pPr>
    <w:rPr>
      <w:sz w:val="24"/>
      <w:lang w:val="en-GB"/>
    </w:rPr>
  </w:style>
  <w:style w:type="paragraph" w:styleId="Heading1">
    <w:name w:val="heading 1"/>
    <w:basedOn w:val="Normal"/>
    <w:next w:val="Normal"/>
    <w:link w:val="Heading1Char"/>
    <w:autoRedefine/>
    <w:uiPriority w:val="9"/>
    <w:qFormat/>
    <w:rsid w:val="000C1E0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1B0E45"/>
    <w:pPr>
      <w:keepNext/>
      <w:keepLines/>
      <w:spacing w:before="40" w:after="0"/>
      <w:outlineLvl w:val="1"/>
    </w:pPr>
    <w:rPr>
      <w:rFonts w:eastAsiaTheme="majorEastAsia" w:cs="Segoe UI"/>
      <w:b/>
      <w:color w:val="000000" w:themeColor="text1"/>
      <w:sz w:val="28"/>
      <w:szCs w:val="26"/>
      <w:bdr w:val="single" w:sz="2" w:space="0" w:color="D9D9E3" w:frame="1"/>
    </w:rPr>
  </w:style>
  <w:style w:type="paragraph" w:styleId="Heading3">
    <w:name w:val="heading 3"/>
    <w:basedOn w:val="Normal"/>
    <w:next w:val="Normal"/>
    <w:link w:val="Heading3Char"/>
    <w:autoRedefine/>
    <w:uiPriority w:val="9"/>
    <w:semiHidden/>
    <w:unhideWhenUsed/>
    <w:qFormat/>
    <w:rsid w:val="003806AA"/>
    <w:pPr>
      <w:keepNext/>
      <w:keepLines/>
      <w:spacing w:before="280" w:after="24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E0B"/>
    <w:rPr>
      <w:rFonts w:eastAsiaTheme="majorEastAsia" w:cstheme="majorBidi"/>
      <w:b/>
      <w:sz w:val="32"/>
      <w:szCs w:val="32"/>
    </w:rPr>
  </w:style>
  <w:style w:type="character" w:customStyle="1" w:styleId="Heading2Char">
    <w:name w:val="Heading 2 Char"/>
    <w:basedOn w:val="DefaultParagraphFont"/>
    <w:link w:val="Heading2"/>
    <w:uiPriority w:val="9"/>
    <w:rsid w:val="001B0E45"/>
    <w:rPr>
      <w:rFonts w:eastAsiaTheme="majorEastAsia" w:cs="Segoe UI"/>
      <w:b/>
      <w:color w:val="000000" w:themeColor="text1"/>
      <w:sz w:val="28"/>
      <w:szCs w:val="26"/>
      <w:bdr w:val="single" w:sz="2" w:space="0" w:color="D9D9E3" w:frame="1"/>
    </w:rPr>
  </w:style>
  <w:style w:type="character" w:customStyle="1" w:styleId="Heading3Char">
    <w:name w:val="Heading 3 Char"/>
    <w:basedOn w:val="DefaultParagraphFont"/>
    <w:link w:val="Heading3"/>
    <w:uiPriority w:val="9"/>
    <w:semiHidden/>
    <w:rsid w:val="003806AA"/>
    <w:rPr>
      <w:rFonts w:eastAsiaTheme="majorEastAsia" w:cstheme="majorBidi"/>
      <w:b/>
      <w:sz w:val="26"/>
      <w:szCs w:val="24"/>
    </w:rPr>
  </w:style>
  <w:style w:type="paragraph" w:styleId="Title">
    <w:name w:val="Title"/>
    <w:basedOn w:val="Normal"/>
    <w:next w:val="Normal"/>
    <w:link w:val="TitleChar"/>
    <w:uiPriority w:val="10"/>
    <w:qFormat/>
    <w:rsid w:val="00F23A0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3A0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E24F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E24F9"/>
    <w:pPr>
      <w:spacing w:after="100"/>
    </w:pPr>
  </w:style>
  <w:style w:type="paragraph" w:styleId="TOC2">
    <w:name w:val="toc 2"/>
    <w:basedOn w:val="Normal"/>
    <w:next w:val="Normal"/>
    <w:autoRedefine/>
    <w:uiPriority w:val="39"/>
    <w:unhideWhenUsed/>
    <w:rsid w:val="005E24F9"/>
    <w:pPr>
      <w:spacing w:after="100"/>
      <w:ind w:left="240"/>
    </w:pPr>
  </w:style>
  <w:style w:type="character" w:styleId="Hyperlink">
    <w:name w:val="Hyperlink"/>
    <w:basedOn w:val="DefaultParagraphFont"/>
    <w:uiPriority w:val="99"/>
    <w:unhideWhenUsed/>
    <w:rsid w:val="005E24F9"/>
    <w:rPr>
      <w:color w:val="0563C1" w:themeColor="hyperlink"/>
      <w:u w:val="single"/>
    </w:rPr>
  </w:style>
  <w:style w:type="paragraph" w:styleId="Bibliography">
    <w:name w:val="Bibliography"/>
    <w:basedOn w:val="Normal"/>
    <w:next w:val="Normal"/>
    <w:uiPriority w:val="37"/>
    <w:unhideWhenUsed/>
    <w:rsid w:val="005E5251"/>
  </w:style>
  <w:style w:type="paragraph" w:styleId="Header">
    <w:name w:val="header"/>
    <w:basedOn w:val="Normal"/>
    <w:link w:val="HeaderChar"/>
    <w:uiPriority w:val="99"/>
    <w:unhideWhenUsed/>
    <w:rsid w:val="00785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B6A"/>
    <w:rPr>
      <w:sz w:val="24"/>
    </w:rPr>
  </w:style>
  <w:style w:type="paragraph" w:styleId="Footer">
    <w:name w:val="footer"/>
    <w:basedOn w:val="Normal"/>
    <w:link w:val="FooterChar"/>
    <w:uiPriority w:val="99"/>
    <w:unhideWhenUsed/>
    <w:rsid w:val="00785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B6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6338">
      <w:bodyDiv w:val="1"/>
      <w:marLeft w:val="0"/>
      <w:marRight w:val="0"/>
      <w:marTop w:val="0"/>
      <w:marBottom w:val="0"/>
      <w:divBdr>
        <w:top w:val="none" w:sz="0" w:space="0" w:color="auto"/>
        <w:left w:val="none" w:sz="0" w:space="0" w:color="auto"/>
        <w:bottom w:val="none" w:sz="0" w:space="0" w:color="auto"/>
        <w:right w:val="none" w:sz="0" w:space="0" w:color="auto"/>
      </w:divBdr>
    </w:div>
    <w:div w:id="4791365">
      <w:bodyDiv w:val="1"/>
      <w:marLeft w:val="0"/>
      <w:marRight w:val="0"/>
      <w:marTop w:val="0"/>
      <w:marBottom w:val="0"/>
      <w:divBdr>
        <w:top w:val="none" w:sz="0" w:space="0" w:color="auto"/>
        <w:left w:val="none" w:sz="0" w:space="0" w:color="auto"/>
        <w:bottom w:val="none" w:sz="0" w:space="0" w:color="auto"/>
        <w:right w:val="none" w:sz="0" w:space="0" w:color="auto"/>
      </w:divBdr>
    </w:div>
    <w:div w:id="40789594">
      <w:bodyDiv w:val="1"/>
      <w:marLeft w:val="0"/>
      <w:marRight w:val="0"/>
      <w:marTop w:val="0"/>
      <w:marBottom w:val="0"/>
      <w:divBdr>
        <w:top w:val="none" w:sz="0" w:space="0" w:color="auto"/>
        <w:left w:val="none" w:sz="0" w:space="0" w:color="auto"/>
        <w:bottom w:val="none" w:sz="0" w:space="0" w:color="auto"/>
        <w:right w:val="none" w:sz="0" w:space="0" w:color="auto"/>
      </w:divBdr>
    </w:div>
    <w:div w:id="69734117">
      <w:bodyDiv w:val="1"/>
      <w:marLeft w:val="0"/>
      <w:marRight w:val="0"/>
      <w:marTop w:val="0"/>
      <w:marBottom w:val="0"/>
      <w:divBdr>
        <w:top w:val="none" w:sz="0" w:space="0" w:color="auto"/>
        <w:left w:val="none" w:sz="0" w:space="0" w:color="auto"/>
        <w:bottom w:val="none" w:sz="0" w:space="0" w:color="auto"/>
        <w:right w:val="none" w:sz="0" w:space="0" w:color="auto"/>
      </w:divBdr>
    </w:div>
    <w:div w:id="120659220">
      <w:bodyDiv w:val="1"/>
      <w:marLeft w:val="0"/>
      <w:marRight w:val="0"/>
      <w:marTop w:val="0"/>
      <w:marBottom w:val="0"/>
      <w:divBdr>
        <w:top w:val="none" w:sz="0" w:space="0" w:color="auto"/>
        <w:left w:val="none" w:sz="0" w:space="0" w:color="auto"/>
        <w:bottom w:val="none" w:sz="0" w:space="0" w:color="auto"/>
        <w:right w:val="none" w:sz="0" w:space="0" w:color="auto"/>
      </w:divBdr>
    </w:div>
    <w:div w:id="189995153">
      <w:bodyDiv w:val="1"/>
      <w:marLeft w:val="0"/>
      <w:marRight w:val="0"/>
      <w:marTop w:val="0"/>
      <w:marBottom w:val="0"/>
      <w:divBdr>
        <w:top w:val="none" w:sz="0" w:space="0" w:color="auto"/>
        <w:left w:val="none" w:sz="0" w:space="0" w:color="auto"/>
        <w:bottom w:val="none" w:sz="0" w:space="0" w:color="auto"/>
        <w:right w:val="none" w:sz="0" w:space="0" w:color="auto"/>
      </w:divBdr>
    </w:div>
    <w:div w:id="305820935">
      <w:bodyDiv w:val="1"/>
      <w:marLeft w:val="0"/>
      <w:marRight w:val="0"/>
      <w:marTop w:val="0"/>
      <w:marBottom w:val="0"/>
      <w:divBdr>
        <w:top w:val="none" w:sz="0" w:space="0" w:color="auto"/>
        <w:left w:val="none" w:sz="0" w:space="0" w:color="auto"/>
        <w:bottom w:val="none" w:sz="0" w:space="0" w:color="auto"/>
        <w:right w:val="none" w:sz="0" w:space="0" w:color="auto"/>
      </w:divBdr>
    </w:div>
    <w:div w:id="601035483">
      <w:bodyDiv w:val="1"/>
      <w:marLeft w:val="0"/>
      <w:marRight w:val="0"/>
      <w:marTop w:val="0"/>
      <w:marBottom w:val="0"/>
      <w:divBdr>
        <w:top w:val="none" w:sz="0" w:space="0" w:color="auto"/>
        <w:left w:val="none" w:sz="0" w:space="0" w:color="auto"/>
        <w:bottom w:val="none" w:sz="0" w:space="0" w:color="auto"/>
        <w:right w:val="none" w:sz="0" w:space="0" w:color="auto"/>
      </w:divBdr>
    </w:div>
    <w:div w:id="628583884">
      <w:bodyDiv w:val="1"/>
      <w:marLeft w:val="0"/>
      <w:marRight w:val="0"/>
      <w:marTop w:val="0"/>
      <w:marBottom w:val="0"/>
      <w:divBdr>
        <w:top w:val="none" w:sz="0" w:space="0" w:color="auto"/>
        <w:left w:val="none" w:sz="0" w:space="0" w:color="auto"/>
        <w:bottom w:val="none" w:sz="0" w:space="0" w:color="auto"/>
        <w:right w:val="none" w:sz="0" w:space="0" w:color="auto"/>
      </w:divBdr>
    </w:div>
    <w:div w:id="823396277">
      <w:bodyDiv w:val="1"/>
      <w:marLeft w:val="0"/>
      <w:marRight w:val="0"/>
      <w:marTop w:val="0"/>
      <w:marBottom w:val="0"/>
      <w:divBdr>
        <w:top w:val="none" w:sz="0" w:space="0" w:color="auto"/>
        <w:left w:val="none" w:sz="0" w:space="0" w:color="auto"/>
        <w:bottom w:val="none" w:sz="0" w:space="0" w:color="auto"/>
        <w:right w:val="none" w:sz="0" w:space="0" w:color="auto"/>
      </w:divBdr>
    </w:div>
    <w:div w:id="879170668">
      <w:bodyDiv w:val="1"/>
      <w:marLeft w:val="0"/>
      <w:marRight w:val="0"/>
      <w:marTop w:val="0"/>
      <w:marBottom w:val="0"/>
      <w:divBdr>
        <w:top w:val="none" w:sz="0" w:space="0" w:color="auto"/>
        <w:left w:val="none" w:sz="0" w:space="0" w:color="auto"/>
        <w:bottom w:val="none" w:sz="0" w:space="0" w:color="auto"/>
        <w:right w:val="none" w:sz="0" w:space="0" w:color="auto"/>
      </w:divBdr>
    </w:div>
    <w:div w:id="993684950">
      <w:bodyDiv w:val="1"/>
      <w:marLeft w:val="0"/>
      <w:marRight w:val="0"/>
      <w:marTop w:val="0"/>
      <w:marBottom w:val="0"/>
      <w:divBdr>
        <w:top w:val="none" w:sz="0" w:space="0" w:color="auto"/>
        <w:left w:val="none" w:sz="0" w:space="0" w:color="auto"/>
        <w:bottom w:val="none" w:sz="0" w:space="0" w:color="auto"/>
        <w:right w:val="none" w:sz="0" w:space="0" w:color="auto"/>
      </w:divBdr>
    </w:div>
    <w:div w:id="1078484476">
      <w:bodyDiv w:val="1"/>
      <w:marLeft w:val="0"/>
      <w:marRight w:val="0"/>
      <w:marTop w:val="0"/>
      <w:marBottom w:val="0"/>
      <w:divBdr>
        <w:top w:val="none" w:sz="0" w:space="0" w:color="auto"/>
        <w:left w:val="none" w:sz="0" w:space="0" w:color="auto"/>
        <w:bottom w:val="none" w:sz="0" w:space="0" w:color="auto"/>
        <w:right w:val="none" w:sz="0" w:space="0" w:color="auto"/>
      </w:divBdr>
    </w:div>
    <w:div w:id="1087075063">
      <w:bodyDiv w:val="1"/>
      <w:marLeft w:val="0"/>
      <w:marRight w:val="0"/>
      <w:marTop w:val="0"/>
      <w:marBottom w:val="0"/>
      <w:divBdr>
        <w:top w:val="none" w:sz="0" w:space="0" w:color="auto"/>
        <w:left w:val="none" w:sz="0" w:space="0" w:color="auto"/>
        <w:bottom w:val="none" w:sz="0" w:space="0" w:color="auto"/>
        <w:right w:val="none" w:sz="0" w:space="0" w:color="auto"/>
      </w:divBdr>
    </w:div>
    <w:div w:id="1098139459">
      <w:bodyDiv w:val="1"/>
      <w:marLeft w:val="0"/>
      <w:marRight w:val="0"/>
      <w:marTop w:val="0"/>
      <w:marBottom w:val="0"/>
      <w:divBdr>
        <w:top w:val="none" w:sz="0" w:space="0" w:color="auto"/>
        <w:left w:val="none" w:sz="0" w:space="0" w:color="auto"/>
        <w:bottom w:val="none" w:sz="0" w:space="0" w:color="auto"/>
        <w:right w:val="none" w:sz="0" w:space="0" w:color="auto"/>
      </w:divBdr>
    </w:div>
    <w:div w:id="1181091216">
      <w:bodyDiv w:val="1"/>
      <w:marLeft w:val="0"/>
      <w:marRight w:val="0"/>
      <w:marTop w:val="0"/>
      <w:marBottom w:val="0"/>
      <w:divBdr>
        <w:top w:val="none" w:sz="0" w:space="0" w:color="auto"/>
        <w:left w:val="none" w:sz="0" w:space="0" w:color="auto"/>
        <w:bottom w:val="none" w:sz="0" w:space="0" w:color="auto"/>
        <w:right w:val="none" w:sz="0" w:space="0" w:color="auto"/>
      </w:divBdr>
    </w:div>
    <w:div w:id="1247500431">
      <w:bodyDiv w:val="1"/>
      <w:marLeft w:val="0"/>
      <w:marRight w:val="0"/>
      <w:marTop w:val="0"/>
      <w:marBottom w:val="0"/>
      <w:divBdr>
        <w:top w:val="none" w:sz="0" w:space="0" w:color="auto"/>
        <w:left w:val="none" w:sz="0" w:space="0" w:color="auto"/>
        <w:bottom w:val="none" w:sz="0" w:space="0" w:color="auto"/>
        <w:right w:val="none" w:sz="0" w:space="0" w:color="auto"/>
      </w:divBdr>
    </w:div>
    <w:div w:id="1276912395">
      <w:bodyDiv w:val="1"/>
      <w:marLeft w:val="0"/>
      <w:marRight w:val="0"/>
      <w:marTop w:val="0"/>
      <w:marBottom w:val="0"/>
      <w:divBdr>
        <w:top w:val="none" w:sz="0" w:space="0" w:color="auto"/>
        <w:left w:val="none" w:sz="0" w:space="0" w:color="auto"/>
        <w:bottom w:val="none" w:sz="0" w:space="0" w:color="auto"/>
        <w:right w:val="none" w:sz="0" w:space="0" w:color="auto"/>
      </w:divBdr>
    </w:div>
    <w:div w:id="1314333449">
      <w:bodyDiv w:val="1"/>
      <w:marLeft w:val="0"/>
      <w:marRight w:val="0"/>
      <w:marTop w:val="0"/>
      <w:marBottom w:val="0"/>
      <w:divBdr>
        <w:top w:val="none" w:sz="0" w:space="0" w:color="auto"/>
        <w:left w:val="none" w:sz="0" w:space="0" w:color="auto"/>
        <w:bottom w:val="none" w:sz="0" w:space="0" w:color="auto"/>
        <w:right w:val="none" w:sz="0" w:space="0" w:color="auto"/>
      </w:divBdr>
    </w:div>
    <w:div w:id="1397977206">
      <w:bodyDiv w:val="1"/>
      <w:marLeft w:val="0"/>
      <w:marRight w:val="0"/>
      <w:marTop w:val="0"/>
      <w:marBottom w:val="0"/>
      <w:divBdr>
        <w:top w:val="none" w:sz="0" w:space="0" w:color="auto"/>
        <w:left w:val="none" w:sz="0" w:space="0" w:color="auto"/>
        <w:bottom w:val="none" w:sz="0" w:space="0" w:color="auto"/>
        <w:right w:val="none" w:sz="0" w:space="0" w:color="auto"/>
      </w:divBdr>
    </w:div>
    <w:div w:id="1468547461">
      <w:bodyDiv w:val="1"/>
      <w:marLeft w:val="0"/>
      <w:marRight w:val="0"/>
      <w:marTop w:val="0"/>
      <w:marBottom w:val="0"/>
      <w:divBdr>
        <w:top w:val="none" w:sz="0" w:space="0" w:color="auto"/>
        <w:left w:val="none" w:sz="0" w:space="0" w:color="auto"/>
        <w:bottom w:val="none" w:sz="0" w:space="0" w:color="auto"/>
        <w:right w:val="none" w:sz="0" w:space="0" w:color="auto"/>
      </w:divBdr>
    </w:div>
    <w:div w:id="1545947096">
      <w:bodyDiv w:val="1"/>
      <w:marLeft w:val="0"/>
      <w:marRight w:val="0"/>
      <w:marTop w:val="0"/>
      <w:marBottom w:val="0"/>
      <w:divBdr>
        <w:top w:val="none" w:sz="0" w:space="0" w:color="auto"/>
        <w:left w:val="none" w:sz="0" w:space="0" w:color="auto"/>
        <w:bottom w:val="none" w:sz="0" w:space="0" w:color="auto"/>
        <w:right w:val="none" w:sz="0" w:space="0" w:color="auto"/>
      </w:divBdr>
    </w:div>
    <w:div w:id="1604801538">
      <w:bodyDiv w:val="1"/>
      <w:marLeft w:val="0"/>
      <w:marRight w:val="0"/>
      <w:marTop w:val="0"/>
      <w:marBottom w:val="0"/>
      <w:divBdr>
        <w:top w:val="none" w:sz="0" w:space="0" w:color="auto"/>
        <w:left w:val="none" w:sz="0" w:space="0" w:color="auto"/>
        <w:bottom w:val="none" w:sz="0" w:space="0" w:color="auto"/>
        <w:right w:val="none" w:sz="0" w:space="0" w:color="auto"/>
      </w:divBdr>
    </w:div>
    <w:div w:id="1790390216">
      <w:bodyDiv w:val="1"/>
      <w:marLeft w:val="0"/>
      <w:marRight w:val="0"/>
      <w:marTop w:val="0"/>
      <w:marBottom w:val="0"/>
      <w:divBdr>
        <w:top w:val="none" w:sz="0" w:space="0" w:color="auto"/>
        <w:left w:val="none" w:sz="0" w:space="0" w:color="auto"/>
        <w:bottom w:val="none" w:sz="0" w:space="0" w:color="auto"/>
        <w:right w:val="none" w:sz="0" w:space="0" w:color="auto"/>
      </w:divBdr>
    </w:div>
    <w:div w:id="1974361148">
      <w:bodyDiv w:val="1"/>
      <w:marLeft w:val="0"/>
      <w:marRight w:val="0"/>
      <w:marTop w:val="0"/>
      <w:marBottom w:val="0"/>
      <w:divBdr>
        <w:top w:val="none" w:sz="0" w:space="0" w:color="auto"/>
        <w:left w:val="none" w:sz="0" w:space="0" w:color="auto"/>
        <w:bottom w:val="none" w:sz="0" w:space="0" w:color="auto"/>
        <w:right w:val="none" w:sz="0" w:space="0" w:color="auto"/>
      </w:divBdr>
    </w:div>
    <w:div w:id="1988119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4648/eulr200805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695958.2011.58056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srn.com/abstract=3354776" TargetMode="External"/><Relationship Id="rId4" Type="http://schemas.openxmlformats.org/officeDocument/2006/relationships/settings" Target="settings.xml"/><Relationship Id="rId9" Type="http://schemas.openxmlformats.org/officeDocument/2006/relationships/hyperlink" Target="https://dx.doi.org/10.2139/ssrn.341881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And11</b:Tag>
    <b:SourceType>JournalArticle</b:SourceType>
    <b:Guid>{6D984466-DAD5-4695-A8D6-5E8F53848247}</b:Guid>
    <b:Author>
      <b:Author>
        <b:NameList>
          <b:Person>
            <b:Last>Boon</b:Last>
            <b:First>Andrew</b:First>
          </b:Person>
        </b:NameList>
      </b:Author>
    </b:Author>
    <b:Title>Professionalism under the Legal Services Act 2007</b:Title>
    <b:JournalName>International Journal of the Legal Profession </b:JournalName>
    <b:Year>2011</b:Year>
    <b:Pages>195-232 </b:Pages>
    <b:Volume>17</b:Volume>
    <b:Issue>3</b:Issue>
    <b:RefOrder>3</b:RefOrder>
  </b:Source>
  <b:Source>
    <b:Tag>Fra08</b:Tag>
    <b:SourceType>JournalArticle</b:SourceType>
    <b:Guid>{9D8BEB42-C06A-4C78-A6A8-54118E0CA4E7}</b:Guid>
    <b:Author>
      <b:Author>
        <b:NameList>
          <b:Person>
            <b:Last>Stephen</b:Last>
            <b:First>Frank</b:First>
            <b:Middle>H.</b:Middle>
          </b:Person>
        </b:NameList>
      </b:Author>
    </b:Author>
    <b:Title>Regulation of the Legal Professions or Regulation of Markets for Legal Services: Potential Implications of the Legal Services Act 2007</b:Title>
    <b:JournalName>European Business Law Review </b:JournalName>
    <b:Year>2008</b:Year>
    <b:Pages>1129 – 1139</b:Pages>
    <b:Volume>19</b:Volume>
    <b:Issue>6</b:Issue>
    <b:RefOrder>5</b:RefOrder>
  </b:Source>
  <b:Source>
    <b:Tag>Joh20</b:Tag>
    <b:SourceType>JournalArticle</b:SourceType>
    <b:Guid>{9DA517D4-C042-4B50-A644-1AFCF06278F2}</b:Guid>
    <b:Author>
      <b:Author>
        <b:NameList>
          <b:Person>
            <b:Last>Armour</b:Last>
            <b:First>John</b:First>
          </b:Person>
        </b:NameList>
      </b:Author>
    </b:Author>
    <b:Title>AI-enabled business models in legal services: from traditional law firms to next-generation law companies? </b:Title>
    <b:JournalName>Journal of Professions and Organization</b:JournalName>
    <b:Year>2020</b:Year>
    <b:Pages>27-46</b:Pages>
    <b:Volume>7</b:Volume>
    <b:Issue>1</b:Issue>
    <b:RefOrder>1</b:RefOrder>
  </b:Source>
  <b:Source>
    <b:Tag>Joh10</b:Tag>
    <b:SourceType>Book</b:SourceType>
    <b:Guid>{30C5EF52-F407-4F07-8511-D3A408FA25E1}</b:Guid>
    <b:Title>Blackstone's Guide to the Equality Act 2010</b:Title>
    <b:Year>2010</b:Year>
    <b:Author>
      <b:Author>
        <b:NameList>
          <b:Person>
            <b:Last>Wadham</b:Last>
            <b:First>John</b:First>
          </b:Person>
        </b:NameList>
      </b:Author>
    </b:Author>
    <b:City>Oxford</b:City>
    <b:Publisher>Orford</b:Publisher>
    <b:Edition>1</b:Edition>
    <b:RefOrder>6</b:RefOrder>
  </b:Source>
  <b:Source>
    <b:Tag>Mar16</b:Tag>
    <b:SourceType>Book</b:SourceType>
    <b:Guid>{A66F0314-E7CC-44FE-9741-BE70348E6831}</b:Guid>
    <b:Author>
      <b:Author>
        <b:NameList>
          <b:Person>
            <b:Last>Butler</b:Last>
            <b:First>Mark</b:First>
          </b:Person>
        </b:NameList>
      </b:Author>
    </b:Author>
    <b:Title>Equality and Anti-Discrimination Law: The Equality Act 2010</b:Title>
    <b:Year>2016</b:Year>
    <b:City>London</b:City>
    <b:Publisher>Spiramus Press Ltd</b:Publisher>
    <b:Edition>1</b:Edition>
    <b:RefOrder>4</b:RefOrder>
  </b:Source>
  <b:Source>
    <b:Tag>Mic19</b:Tag>
    <b:SourceType>JournalArticle</b:SourceType>
    <b:Guid>{AA3DCB22-BF46-4A0B-B122-17795A3CC337}</b:Guid>
    <b:Title>Conduct Unbefitting: Solicitors, the SRA and Tax Avoidance</b:Title>
    <b:Year>2019</b:Year>
    <b:Author>
      <b:Author>
        <b:NameList>
          <b:Person>
            <b:Last>Blackwell</b:Last>
            <b:First>Michael</b:First>
          </b:Person>
        </b:NameList>
      </b:Author>
    </b:Author>
    <b:JournalName>British Tax Review </b:JournalName>
    <b:Pages>31-54</b:Pages>
    <b:Volume>1</b:Volume>
    <b:RefOrder>2</b:RefOrder>
  </b:Source>
</b:Sources>
</file>

<file path=customXml/itemProps1.xml><?xml version="1.0" encoding="utf-8"?>
<ds:datastoreItem xmlns:ds="http://schemas.openxmlformats.org/officeDocument/2006/customXml" ds:itemID="{EBD3365E-8552-43A7-9A51-1636BBE93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8</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Fayyaz</dc:creator>
  <cp:keywords/>
  <dc:description/>
  <cp:lastModifiedBy>Dell</cp:lastModifiedBy>
  <cp:revision>11</cp:revision>
  <dcterms:created xsi:type="dcterms:W3CDTF">2023-12-15T12:37:00Z</dcterms:created>
  <dcterms:modified xsi:type="dcterms:W3CDTF">2023-12-15T17:41:00Z</dcterms:modified>
</cp:coreProperties>
</file>