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B635A80" w14:textId="58AB455B" w:rsidR="006F01D4" w:rsidRPr="006F01D4" w:rsidRDefault="0061486E" w:rsidP="006F01D4">
      <w:pPr>
        <w:pStyle w:val="NoSpacing"/>
        <w:jc w:val="center"/>
        <w:rPr>
          <w:rFonts w:ascii="Times New Roman" w:hAnsi="Times New Roman" w:cs="Times New Roman"/>
          <w:b/>
          <w:bCs/>
          <w:color w:val="000000" w:themeColor="text1"/>
          <w:sz w:val="36"/>
          <w:szCs w:val="36"/>
        </w:rPr>
      </w:pPr>
      <w:r w:rsidRPr="0024040F">
        <w:rPr>
          <w:i/>
          <w:noProof/>
        </w:rPr>
        <w:drawing>
          <wp:anchor distT="0" distB="0" distL="114300" distR="114300" simplePos="0" relativeHeight="251658240" behindDoc="0" locked="0" layoutInCell="1" allowOverlap="1" wp14:anchorId="3D908EDF" wp14:editId="308F78BA">
            <wp:simplePos x="0" y="0"/>
            <wp:positionH relativeFrom="margin">
              <wp:align>left</wp:align>
            </wp:positionH>
            <wp:positionV relativeFrom="paragraph">
              <wp:posOffset>245</wp:posOffset>
            </wp:positionV>
            <wp:extent cx="2197100" cy="723900"/>
            <wp:effectExtent l="0" t="0" r="0" b="0"/>
            <wp:wrapSquare wrapText="bothSides"/>
            <wp:docPr id="1" name="Picture 1766337918"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6337918" descr="UWTSD 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06863" cy="72738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D939DA5" w14:textId="77777777" w:rsidR="006F01D4" w:rsidRPr="006F01D4" w:rsidRDefault="006F01D4" w:rsidP="006F01D4">
      <w:pPr>
        <w:pStyle w:val="NoSpacing"/>
        <w:jc w:val="center"/>
        <w:rPr>
          <w:rFonts w:ascii="Times New Roman" w:hAnsi="Times New Roman" w:cs="Times New Roman"/>
          <w:b/>
          <w:bCs/>
          <w:color w:val="000000" w:themeColor="text1"/>
          <w:sz w:val="36"/>
          <w:szCs w:val="36"/>
        </w:rPr>
      </w:pPr>
    </w:p>
    <w:p w14:paraId="43137ECF" w14:textId="77777777" w:rsidR="006F01D4" w:rsidRPr="006F01D4" w:rsidRDefault="006F01D4" w:rsidP="006F01D4">
      <w:pPr>
        <w:pStyle w:val="NoSpacing"/>
        <w:jc w:val="center"/>
        <w:rPr>
          <w:rFonts w:ascii="Times New Roman" w:hAnsi="Times New Roman" w:cs="Times New Roman"/>
          <w:b/>
          <w:bCs/>
          <w:color w:val="000000" w:themeColor="text1"/>
          <w:sz w:val="36"/>
          <w:szCs w:val="36"/>
        </w:rPr>
      </w:pPr>
    </w:p>
    <w:p w14:paraId="5DF4AA0F" w14:textId="77777777" w:rsidR="006F01D4" w:rsidRPr="006F01D4" w:rsidRDefault="006F01D4" w:rsidP="006F01D4">
      <w:pPr>
        <w:pStyle w:val="NoSpacing"/>
        <w:jc w:val="center"/>
        <w:rPr>
          <w:rFonts w:ascii="Times New Roman" w:hAnsi="Times New Roman" w:cs="Times New Roman"/>
          <w:b/>
          <w:bCs/>
          <w:color w:val="000000" w:themeColor="text1"/>
          <w:sz w:val="36"/>
          <w:szCs w:val="36"/>
        </w:rPr>
      </w:pPr>
    </w:p>
    <w:p w14:paraId="0E2CD9A5" w14:textId="77777777" w:rsidR="006F01D4" w:rsidRPr="006F01D4" w:rsidRDefault="006F01D4" w:rsidP="006F01D4">
      <w:pPr>
        <w:pStyle w:val="NoSpacing"/>
        <w:jc w:val="center"/>
        <w:rPr>
          <w:rFonts w:ascii="Times New Roman" w:hAnsi="Times New Roman" w:cs="Times New Roman"/>
          <w:b/>
          <w:bCs/>
          <w:color w:val="000000" w:themeColor="text1"/>
          <w:sz w:val="36"/>
          <w:szCs w:val="36"/>
        </w:rPr>
      </w:pPr>
    </w:p>
    <w:p w14:paraId="69A63A66" w14:textId="77777777" w:rsidR="006F01D4" w:rsidRPr="006F01D4" w:rsidRDefault="006F01D4" w:rsidP="006F01D4">
      <w:pPr>
        <w:pStyle w:val="NoSpacing"/>
        <w:jc w:val="center"/>
        <w:rPr>
          <w:rFonts w:ascii="Times New Roman" w:hAnsi="Times New Roman" w:cs="Times New Roman"/>
          <w:b/>
          <w:bCs/>
          <w:color w:val="000000" w:themeColor="text1"/>
          <w:sz w:val="36"/>
          <w:szCs w:val="36"/>
        </w:rPr>
      </w:pPr>
    </w:p>
    <w:p w14:paraId="291B4262" w14:textId="77777777" w:rsidR="006F01D4" w:rsidRPr="006F01D4" w:rsidRDefault="006F01D4" w:rsidP="006F01D4">
      <w:pPr>
        <w:pStyle w:val="NoSpacing"/>
        <w:jc w:val="center"/>
        <w:rPr>
          <w:rFonts w:ascii="Times New Roman" w:hAnsi="Times New Roman" w:cs="Times New Roman"/>
          <w:b/>
          <w:bCs/>
          <w:color w:val="000000" w:themeColor="text1"/>
          <w:sz w:val="36"/>
          <w:szCs w:val="36"/>
        </w:rPr>
      </w:pPr>
    </w:p>
    <w:p w14:paraId="15CE6F96" w14:textId="77777777" w:rsidR="006F01D4" w:rsidRPr="003523CE" w:rsidRDefault="006F01D4" w:rsidP="006F01D4">
      <w:pPr>
        <w:pStyle w:val="NoSpacing"/>
        <w:jc w:val="center"/>
        <w:rPr>
          <w:rFonts w:ascii="Times New Roman" w:hAnsi="Times New Roman" w:cs="Times New Roman"/>
          <w:b/>
          <w:bCs/>
          <w:color w:val="000000" w:themeColor="text1"/>
          <w:sz w:val="52"/>
          <w:szCs w:val="52"/>
        </w:rPr>
      </w:pPr>
    </w:p>
    <w:p w14:paraId="65607E33" w14:textId="77777777" w:rsidR="003523CE" w:rsidRDefault="003523CE" w:rsidP="006F01D4">
      <w:pPr>
        <w:pStyle w:val="NoSpacing"/>
        <w:jc w:val="center"/>
        <w:rPr>
          <w:rFonts w:ascii="Times New Roman" w:hAnsi="Times New Roman" w:cs="Times New Roman"/>
          <w:b/>
          <w:bCs/>
          <w:color w:val="000000" w:themeColor="text1"/>
          <w:sz w:val="52"/>
          <w:szCs w:val="52"/>
        </w:rPr>
      </w:pPr>
    </w:p>
    <w:p w14:paraId="5434B9E1" w14:textId="77777777" w:rsidR="003523CE" w:rsidRDefault="003523CE" w:rsidP="006F01D4">
      <w:pPr>
        <w:pStyle w:val="NoSpacing"/>
        <w:jc w:val="center"/>
        <w:rPr>
          <w:rFonts w:ascii="Times New Roman" w:hAnsi="Times New Roman" w:cs="Times New Roman"/>
          <w:b/>
          <w:bCs/>
          <w:color w:val="000000" w:themeColor="text1"/>
          <w:sz w:val="52"/>
          <w:szCs w:val="52"/>
        </w:rPr>
      </w:pPr>
    </w:p>
    <w:p w14:paraId="2B9B99FF" w14:textId="41D6457E" w:rsidR="006F01D4" w:rsidRPr="003523CE" w:rsidRDefault="00B71607" w:rsidP="006F01D4">
      <w:pPr>
        <w:pStyle w:val="NoSpacing"/>
        <w:jc w:val="center"/>
        <w:rPr>
          <w:rFonts w:ascii="Times New Roman" w:hAnsi="Times New Roman" w:cs="Times New Roman"/>
          <w:b/>
          <w:bCs/>
          <w:color w:val="000000" w:themeColor="text1"/>
          <w:sz w:val="52"/>
          <w:szCs w:val="52"/>
        </w:rPr>
      </w:pPr>
      <w:r w:rsidRPr="003523CE">
        <w:rPr>
          <w:rFonts w:ascii="Times New Roman" w:hAnsi="Times New Roman" w:cs="Times New Roman"/>
          <w:b/>
          <w:bCs/>
          <w:color w:val="000000" w:themeColor="text1"/>
          <w:sz w:val="52"/>
          <w:szCs w:val="52"/>
        </w:rPr>
        <w:t>COMMUNITY ENGAGEMENT</w:t>
      </w:r>
    </w:p>
    <w:p w14:paraId="0B6F9093" w14:textId="77777777" w:rsidR="006F01D4" w:rsidRPr="006F01D4" w:rsidRDefault="006F01D4" w:rsidP="006F01D4">
      <w:pPr>
        <w:pStyle w:val="NoSpacing"/>
        <w:jc w:val="center"/>
        <w:rPr>
          <w:rFonts w:ascii="Times New Roman" w:hAnsi="Times New Roman" w:cs="Times New Roman"/>
          <w:b/>
          <w:bCs/>
          <w:color w:val="000000" w:themeColor="text1"/>
          <w:sz w:val="36"/>
          <w:szCs w:val="36"/>
        </w:rPr>
      </w:pPr>
    </w:p>
    <w:p w14:paraId="62E31CE3" w14:textId="77777777" w:rsidR="0068057F" w:rsidRDefault="0068057F" w:rsidP="00557A47">
      <w:pPr>
        <w:pStyle w:val="NoSpacing"/>
        <w:jc w:val="both"/>
        <w:rPr>
          <w:rFonts w:ascii="Times New Roman" w:hAnsi="Times New Roman" w:cs="Times New Roman"/>
          <w:b/>
          <w:bCs/>
          <w:color w:val="000000" w:themeColor="text1"/>
          <w:sz w:val="36"/>
          <w:szCs w:val="36"/>
        </w:rPr>
      </w:pPr>
    </w:p>
    <w:p w14:paraId="279F5B03" w14:textId="77777777" w:rsidR="0068057F" w:rsidRDefault="0068057F" w:rsidP="00557A47">
      <w:pPr>
        <w:pStyle w:val="NoSpacing"/>
        <w:jc w:val="both"/>
        <w:rPr>
          <w:rFonts w:ascii="Times New Roman" w:hAnsi="Times New Roman" w:cs="Times New Roman"/>
          <w:b/>
          <w:bCs/>
          <w:color w:val="000000" w:themeColor="text1"/>
          <w:sz w:val="36"/>
          <w:szCs w:val="36"/>
        </w:rPr>
      </w:pPr>
    </w:p>
    <w:p w14:paraId="0F3BAF67" w14:textId="77777777" w:rsidR="0068057F" w:rsidRDefault="0068057F" w:rsidP="00557A47">
      <w:pPr>
        <w:pStyle w:val="NoSpacing"/>
        <w:jc w:val="both"/>
        <w:rPr>
          <w:rFonts w:ascii="Times New Roman" w:hAnsi="Times New Roman" w:cs="Times New Roman"/>
          <w:b/>
          <w:bCs/>
          <w:color w:val="000000" w:themeColor="text1"/>
          <w:sz w:val="36"/>
          <w:szCs w:val="36"/>
        </w:rPr>
      </w:pPr>
    </w:p>
    <w:p w14:paraId="3B93A08F" w14:textId="77777777" w:rsidR="0068057F" w:rsidRDefault="0068057F" w:rsidP="00557A47">
      <w:pPr>
        <w:pStyle w:val="NoSpacing"/>
        <w:jc w:val="both"/>
        <w:rPr>
          <w:rFonts w:ascii="Times New Roman" w:hAnsi="Times New Roman" w:cs="Times New Roman"/>
          <w:b/>
          <w:bCs/>
          <w:color w:val="000000" w:themeColor="text1"/>
          <w:sz w:val="36"/>
          <w:szCs w:val="36"/>
        </w:rPr>
      </w:pPr>
    </w:p>
    <w:p w14:paraId="2F43184D" w14:textId="77777777" w:rsidR="0068057F" w:rsidRDefault="0068057F" w:rsidP="00557A47">
      <w:pPr>
        <w:pStyle w:val="NoSpacing"/>
        <w:jc w:val="both"/>
        <w:rPr>
          <w:rFonts w:ascii="Times New Roman" w:hAnsi="Times New Roman" w:cs="Times New Roman"/>
          <w:b/>
          <w:bCs/>
          <w:color w:val="000000" w:themeColor="text1"/>
          <w:sz w:val="36"/>
          <w:szCs w:val="36"/>
        </w:rPr>
      </w:pPr>
    </w:p>
    <w:p w14:paraId="1B0C2FAC" w14:textId="77777777" w:rsidR="0068057F" w:rsidRDefault="0068057F" w:rsidP="00557A47">
      <w:pPr>
        <w:pStyle w:val="NoSpacing"/>
        <w:jc w:val="both"/>
        <w:rPr>
          <w:rFonts w:ascii="Times New Roman" w:hAnsi="Times New Roman" w:cs="Times New Roman"/>
          <w:b/>
          <w:bCs/>
          <w:color w:val="000000" w:themeColor="text1"/>
          <w:sz w:val="36"/>
          <w:szCs w:val="36"/>
        </w:rPr>
      </w:pPr>
    </w:p>
    <w:p w14:paraId="7CD26F1A" w14:textId="77777777" w:rsidR="0068057F" w:rsidRDefault="0068057F" w:rsidP="00557A47">
      <w:pPr>
        <w:pStyle w:val="NoSpacing"/>
        <w:jc w:val="both"/>
        <w:rPr>
          <w:rFonts w:ascii="Times New Roman" w:hAnsi="Times New Roman" w:cs="Times New Roman"/>
          <w:b/>
          <w:bCs/>
          <w:color w:val="000000" w:themeColor="text1"/>
          <w:sz w:val="36"/>
          <w:szCs w:val="36"/>
        </w:rPr>
      </w:pPr>
    </w:p>
    <w:p w14:paraId="1F36D848" w14:textId="77777777" w:rsidR="0068057F" w:rsidRDefault="0068057F" w:rsidP="00557A47">
      <w:pPr>
        <w:pStyle w:val="NoSpacing"/>
        <w:jc w:val="both"/>
        <w:rPr>
          <w:rFonts w:ascii="Times New Roman" w:hAnsi="Times New Roman" w:cs="Times New Roman"/>
          <w:b/>
          <w:bCs/>
          <w:color w:val="000000" w:themeColor="text1"/>
          <w:sz w:val="36"/>
          <w:szCs w:val="36"/>
        </w:rPr>
      </w:pPr>
    </w:p>
    <w:p w14:paraId="16AEFA6E" w14:textId="77777777" w:rsidR="0068057F" w:rsidRDefault="0068057F" w:rsidP="00557A47">
      <w:pPr>
        <w:pStyle w:val="NoSpacing"/>
        <w:jc w:val="both"/>
        <w:rPr>
          <w:rFonts w:ascii="Times New Roman" w:hAnsi="Times New Roman" w:cs="Times New Roman"/>
          <w:b/>
          <w:bCs/>
          <w:color w:val="000000" w:themeColor="text1"/>
          <w:sz w:val="36"/>
          <w:szCs w:val="36"/>
        </w:rPr>
      </w:pPr>
    </w:p>
    <w:p w14:paraId="51E76658" w14:textId="77777777" w:rsidR="0068057F" w:rsidRDefault="0068057F" w:rsidP="00557A47">
      <w:pPr>
        <w:pStyle w:val="NoSpacing"/>
        <w:jc w:val="both"/>
        <w:rPr>
          <w:rFonts w:ascii="Times New Roman" w:hAnsi="Times New Roman" w:cs="Times New Roman"/>
          <w:b/>
          <w:bCs/>
          <w:color w:val="000000" w:themeColor="text1"/>
          <w:sz w:val="36"/>
          <w:szCs w:val="36"/>
        </w:rPr>
      </w:pPr>
    </w:p>
    <w:p w14:paraId="11897FA4" w14:textId="77777777" w:rsidR="0068057F" w:rsidRDefault="0068057F" w:rsidP="00557A47">
      <w:pPr>
        <w:pStyle w:val="NoSpacing"/>
        <w:jc w:val="both"/>
        <w:rPr>
          <w:rFonts w:ascii="Times New Roman" w:hAnsi="Times New Roman" w:cs="Times New Roman"/>
          <w:b/>
          <w:bCs/>
          <w:color w:val="000000" w:themeColor="text1"/>
          <w:sz w:val="36"/>
          <w:szCs w:val="36"/>
        </w:rPr>
      </w:pPr>
    </w:p>
    <w:p w14:paraId="07F2973D" w14:textId="77777777" w:rsidR="0068057F" w:rsidRDefault="0068057F" w:rsidP="00557A47">
      <w:pPr>
        <w:pStyle w:val="NoSpacing"/>
        <w:jc w:val="both"/>
        <w:rPr>
          <w:rFonts w:ascii="Times New Roman" w:hAnsi="Times New Roman" w:cs="Times New Roman"/>
          <w:b/>
          <w:bCs/>
          <w:color w:val="000000" w:themeColor="text1"/>
          <w:sz w:val="36"/>
          <w:szCs w:val="36"/>
        </w:rPr>
      </w:pPr>
    </w:p>
    <w:p w14:paraId="2E28DD73" w14:textId="77777777" w:rsidR="0068057F" w:rsidRDefault="0068057F" w:rsidP="00557A47">
      <w:pPr>
        <w:pStyle w:val="NoSpacing"/>
        <w:jc w:val="both"/>
        <w:rPr>
          <w:rFonts w:ascii="Times New Roman" w:hAnsi="Times New Roman" w:cs="Times New Roman"/>
          <w:b/>
          <w:bCs/>
          <w:color w:val="000000" w:themeColor="text1"/>
          <w:sz w:val="36"/>
          <w:szCs w:val="36"/>
        </w:rPr>
      </w:pPr>
    </w:p>
    <w:p w14:paraId="38D34C0C" w14:textId="77777777" w:rsidR="0068057F" w:rsidRDefault="0068057F" w:rsidP="00557A47">
      <w:pPr>
        <w:pStyle w:val="NoSpacing"/>
        <w:jc w:val="both"/>
        <w:rPr>
          <w:rFonts w:ascii="Times New Roman" w:hAnsi="Times New Roman" w:cs="Times New Roman"/>
          <w:b/>
          <w:bCs/>
          <w:color w:val="000000" w:themeColor="text1"/>
          <w:sz w:val="36"/>
          <w:szCs w:val="36"/>
        </w:rPr>
      </w:pPr>
    </w:p>
    <w:p w14:paraId="520A0F13" w14:textId="6D204790" w:rsidR="006F01D4" w:rsidRPr="003523CE" w:rsidRDefault="006F01D4" w:rsidP="00557A47">
      <w:pPr>
        <w:pStyle w:val="NoSpacing"/>
        <w:jc w:val="both"/>
        <w:rPr>
          <w:rFonts w:ascii="Times New Roman" w:hAnsi="Times New Roman" w:cs="Times New Roman"/>
          <w:b/>
          <w:bCs/>
          <w:color w:val="000000" w:themeColor="text1"/>
          <w:sz w:val="36"/>
          <w:szCs w:val="36"/>
        </w:rPr>
      </w:pPr>
      <w:r w:rsidRPr="003523CE">
        <w:rPr>
          <w:rFonts w:ascii="Times New Roman" w:hAnsi="Times New Roman" w:cs="Times New Roman"/>
          <w:b/>
          <w:bCs/>
          <w:color w:val="000000" w:themeColor="text1"/>
          <w:sz w:val="36"/>
          <w:szCs w:val="36"/>
        </w:rPr>
        <w:t>Ivelina Georgieva-Draganova</w:t>
      </w:r>
    </w:p>
    <w:p w14:paraId="66F1242A" w14:textId="77777777" w:rsidR="006F01D4" w:rsidRPr="003523CE" w:rsidRDefault="006F01D4" w:rsidP="00557A47">
      <w:pPr>
        <w:pStyle w:val="NoSpacing"/>
        <w:jc w:val="both"/>
        <w:rPr>
          <w:rFonts w:ascii="Times New Roman" w:hAnsi="Times New Roman" w:cs="Times New Roman"/>
          <w:b/>
          <w:bCs/>
          <w:color w:val="000000" w:themeColor="text1"/>
          <w:sz w:val="36"/>
          <w:szCs w:val="36"/>
        </w:rPr>
      </w:pPr>
      <w:r w:rsidRPr="003523CE">
        <w:rPr>
          <w:rFonts w:ascii="Times New Roman" w:hAnsi="Times New Roman" w:cs="Times New Roman"/>
          <w:b/>
          <w:bCs/>
          <w:color w:val="000000" w:themeColor="text1"/>
          <w:sz w:val="36"/>
          <w:szCs w:val="36"/>
        </w:rPr>
        <w:t>Student ID: 2235428</w:t>
      </w:r>
    </w:p>
    <w:p w14:paraId="11E2CA42" w14:textId="6549890A" w:rsidR="4E9809B5" w:rsidRDefault="006F01D4" w:rsidP="007558DE">
      <w:pPr>
        <w:pStyle w:val="NoSpacing"/>
        <w:jc w:val="both"/>
        <w:rPr>
          <w:rFonts w:ascii="Times New Roman" w:hAnsi="Times New Roman" w:cs="Times New Roman"/>
          <w:b/>
          <w:bCs/>
          <w:color w:val="000000" w:themeColor="text1"/>
          <w:sz w:val="36"/>
          <w:szCs w:val="36"/>
        </w:rPr>
      </w:pPr>
      <w:r w:rsidRPr="003523CE">
        <w:rPr>
          <w:rFonts w:ascii="Times New Roman" w:hAnsi="Times New Roman" w:cs="Times New Roman"/>
          <w:b/>
          <w:bCs/>
          <w:color w:val="000000" w:themeColor="text1"/>
          <w:sz w:val="36"/>
          <w:szCs w:val="36"/>
        </w:rPr>
        <w:t>Lecturer</w:t>
      </w:r>
      <w:r w:rsidR="00087583" w:rsidRPr="003523CE">
        <w:rPr>
          <w:rFonts w:ascii="Times New Roman" w:hAnsi="Times New Roman" w:cs="Times New Roman"/>
          <w:b/>
          <w:bCs/>
          <w:color w:val="000000" w:themeColor="text1"/>
          <w:sz w:val="36"/>
          <w:szCs w:val="36"/>
        </w:rPr>
        <w:t>: Nadee</w:t>
      </w:r>
      <w:r w:rsidR="00557A47" w:rsidRPr="003523CE">
        <w:rPr>
          <w:rFonts w:ascii="Times New Roman" w:hAnsi="Times New Roman" w:cs="Times New Roman"/>
          <w:b/>
          <w:bCs/>
          <w:color w:val="000000" w:themeColor="text1"/>
          <w:sz w:val="36"/>
          <w:szCs w:val="36"/>
        </w:rPr>
        <w:t>m Mirza</w:t>
      </w:r>
    </w:p>
    <w:p w14:paraId="29D6B04F" w14:textId="59E40592" w:rsidR="00ED22AE" w:rsidRDefault="00ED22AE">
      <w:pPr>
        <w:pStyle w:val="NoSpacing"/>
        <w:pageBreakBefore/>
        <w:jc w:val="center"/>
      </w:pPr>
    </w:p>
    <w:p w14:paraId="22E0FC93" w14:textId="77777777" w:rsidR="00ED22AE" w:rsidRDefault="00ED22AE">
      <w:pPr>
        <w:pStyle w:val="ContentsHeading"/>
      </w:pPr>
      <w:r>
        <w:t>Table of Contents</w:t>
      </w:r>
    </w:p>
    <w:p w14:paraId="6F167E9D" w14:textId="18745EE6" w:rsidR="00ED22AE" w:rsidRDefault="00ED22AE">
      <w:pPr>
        <w:pStyle w:val="TOC1"/>
      </w:pPr>
      <w:r>
        <w:fldChar w:fldCharType="begin"/>
      </w:r>
      <w:r>
        <w:instrText xml:space="preserve"> TOC \f \o "1-9" \o "1-9" </w:instrText>
      </w:r>
      <w:r>
        <w:fldChar w:fldCharType="separate"/>
      </w:r>
      <w:r>
        <w:t>INTRODUCTION</w:t>
      </w:r>
      <w:r>
        <w:tab/>
      </w:r>
      <w:r w:rsidR="009C6C52">
        <w:rPr>
          <w:rStyle w:val="IndexLink"/>
        </w:rPr>
        <w:t>3</w:t>
      </w:r>
    </w:p>
    <w:p w14:paraId="07D0323B" w14:textId="009008F3" w:rsidR="00ED22AE" w:rsidRDefault="00ED22AE">
      <w:pPr>
        <w:pStyle w:val="TOC1"/>
      </w:pPr>
      <w:r>
        <w:t>MAIN BODY........................................................................................................................</w:t>
      </w:r>
      <w:r w:rsidR="0059602C">
        <w:t>4,5,6,7</w:t>
      </w:r>
    </w:p>
    <w:p w14:paraId="594B64F7" w14:textId="2C4E704F" w:rsidR="00ED22AE" w:rsidRDefault="00ED22AE">
      <w:pPr>
        <w:pStyle w:val="TOC1"/>
      </w:pPr>
      <w:r>
        <w:t>CONCLUSION</w:t>
      </w:r>
      <w:r>
        <w:tab/>
      </w:r>
      <w:hyperlink w:anchor="__RefHeading__18761_1565363234" w:history="1">
        <w:r w:rsidR="00760629">
          <w:rPr>
            <w:rStyle w:val="IndexLink"/>
          </w:rPr>
          <w:t>8</w:t>
        </w:r>
      </w:hyperlink>
    </w:p>
    <w:p w14:paraId="42F8BC40" w14:textId="4C75AEFD" w:rsidR="00ED22AE" w:rsidRDefault="00ED22AE">
      <w:pPr>
        <w:pStyle w:val="TOC1"/>
      </w:pPr>
      <w:r>
        <w:t>REFERENCES</w:t>
      </w:r>
      <w:r>
        <w:tab/>
      </w:r>
      <w:r w:rsidR="00BC05B7">
        <w:t>9</w:t>
      </w:r>
    </w:p>
    <w:p w14:paraId="672A6659" w14:textId="77777777" w:rsidR="00ED22AE" w:rsidRDefault="00ED22AE">
      <w:r>
        <w:fldChar w:fldCharType="end"/>
      </w:r>
    </w:p>
    <w:p w14:paraId="1BB0360A" w14:textId="6D70EA63" w:rsidR="3B16BBE2" w:rsidRDefault="3B16BBE2" w:rsidP="3B16BBE2"/>
    <w:p w14:paraId="345FAD4D" w14:textId="7461BDE2" w:rsidR="6D9F3AB6" w:rsidRDefault="6D9F3AB6" w:rsidP="6D9F3AB6"/>
    <w:p w14:paraId="57B39686" w14:textId="22E2186C" w:rsidR="6D9F3AB6" w:rsidRDefault="6D9F3AB6" w:rsidP="6D9F3AB6"/>
    <w:p w14:paraId="6C632A9C" w14:textId="456C0095" w:rsidR="6D9F3AB6" w:rsidRDefault="6D9F3AB6" w:rsidP="6D9F3AB6"/>
    <w:p w14:paraId="0D936868" w14:textId="7E2C51FE" w:rsidR="6D9F3AB6" w:rsidRDefault="6D9F3AB6" w:rsidP="6D9F3AB6"/>
    <w:p w14:paraId="4ED79DC2" w14:textId="39B296E5" w:rsidR="6D9F3AB6" w:rsidRDefault="6D9F3AB6" w:rsidP="6D9F3AB6"/>
    <w:p w14:paraId="51FAE251" w14:textId="4824C954" w:rsidR="6D9F3AB6" w:rsidRDefault="6D9F3AB6" w:rsidP="6D9F3AB6"/>
    <w:p w14:paraId="14E35490" w14:textId="7A17B22D" w:rsidR="6D9F3AB6" w:rsidRDefault="6D9F3AB6" w:rsidP="6D9F3AB6"/>
    <w:p w14:paraId="0584057F" w14:textId="27687676" w:rsidR="6D9F3AB6" w:rsidRDefault="6D9F3AB6" w:rsidP="6D9F3AB6"/>
    <w:p w14:paraId="65683535" w14:textId="4607E220" w:rsidR="6D9F3AB6" w:rsidRDefault="6D9F3AB6" w:rsidP="6D9F3AB6"/>
    <w:p w14:paraId="482BF67E" w14:textId="1937025C" w:rsidR="6D9F3AB6" w:rsidRDefault="6D9F3AB6" w:rsidP="6D9F3AB6"/>
    <w:p w14:paraId="04010B46" w14:textId="55451443" w:rsidR="6D9F3AB6" w:rsidRDefault="6D9F3AB6" w:rsidP="6D9F3AB6"/>
    <w:p w14:paraId="0EF855D3" w14:textId="758F96B2" w:rsidR="6D9F3AB6" w:rsidRDefault="6D9F3AB6" w:rsidP="6D9F3AB6"/>
    <w:p w14:paraId="609075FE" w14:textId="49023528" w:rsidR="6D9F3AB6" w:rsidRDefault="6D9F3AB6" w:rsidP="6D9F3AB6"/>
    <w:p w14:paraId="1614AF89" w14:textId="65AA75DA" w:rsidR="6D9F3AB6" w:rsidRDefault="6D9F3AB6" w:rsidP="6D9F3AB6"/>
    <w:p w14:paraId="42D24F98" w14:textId="634D2CD8" w:rsidR="6D9F3AB6" w:rsidRDefault="6D9F3AB6" w:rsidP="6D9F3AB6"/>
    <w:p w14:paraId="178CE632" w14:textId="2D0D2789" w:rsidR="6D9F3AB6" w:rsidRDefault="6D9F3AB6" w:rsidP="6D9F3AB6"/>
    <w:p w14:paraId="2A7324E6" w14:textId="3764F6D0" w:rsidR="6D9F3AB6" w:rsidRDefault="6D9F3AB6" w:rsidP="6D9F3AB6"/>
    <w:p w14:paraId="66F31E2A" w14:textId="720BBA08" w:rsidR="6D9F3AB6" w:rsidRDefault="6D9F3AB6" w:rsidP="6D9F3AB6"/>
    <w:p w14:paraId="7039ED74" w14:textId="64B942BF" w:rsidR="6D9F3AB6" w:rsidRDefault="6D9F3AB6" w:rsidP="6D9F3AB6"/>
    <w:p w14:paraId="285866D3" w14:textId="77777777" w:rsidR="00A87C9A" w:rsidRDefault="00A87C9A" w:rsidP="6D9F3AB6"/>
    <w:p w14:paraId="1ABCD044" w14:textId="77777777" w:rsidR="00A87C9A" w:rsidRDefault="00A87C9A" w:rsidP="6D9F3AB6"/>
    <w:p w14:paraId="6B53E2A8" w14:textId="77777777" w:rsidR="00A87C9A" w:rsidRDefault="00A87C9A" w:rsidP="6D9F3AB6"/>
    <w:p w14:paraId="3776BDA8" w14:textId="77777777" w:rsidR="00ED22AE" w:rsidRDefault="00ED22AE">
      <w:pPr>
        <w:pStyle w:val="Heading1"/>
        <w:pageBreakBefore/>
      </w:pPr>
      <w:r>
        <w:lastRenderedPageBreak/>
        <w:t xml:space="preserve">INTRODUCTION </w:t>
      </w:r>
    </w:p>
    <w:p w14:paraId="2F0A7EC4" w14:textId="77777777" w:rsidR="00B86E10" w:rsidRDefault="00B86E10" w:rsidP="00B86E10">
      <w:r>
        <w:t>The community involvement project that was carried out by the Newham London Borough Council is the focus of this study. This article provides an in-depth analysis of the approaches taken by the initiative, as well as its results, with the stated objective of enhancing the living conditions of individuals, as well as their opportunities for education and work, and overall quality of life. The decisions on the project that were taken by the council are intended to be beneficial, effective, and long-lasting; as a result, they encourage participation from all relevant stakeholders. The study discusses a variety of topics, including research methodologies, implementation tactics, participatory planning techniques, and a post-project strategy for continuous communication and involvement from the community. This analysis of the report's conclusions, which was carried out with the help of the Gibbs Reflective Model, sheds light on the objectives, procedures, and outcomes of the community engagement effort that was carried out by the Newham London Borough Council.</w:t>
      </w:r>
    </w:p>
    <w:p w14:paraId="0A37501D" w14:textId="04661AEC" w:rsidR="00B86E10" w:rsidRDefault="00A87C9A" w:rsidP="00B86E10">
      <w:r>
        <w:t xml:space="preserve"> </w:t>
      </w:r>
    </w:p>
    <w:p w14:paraId="58BB5F4D" w14:textId="77777777" w:rsidR="00A87C9A" w:rsidRDefault="00A87C9A" w:rsidP="00B86E10"/>
    <w:p w14:paraId="730EAA54" w14:textId="77777777" w:rsidR="00A87C9A" w:rsidRDefault="00A87C9A" w:rsidP="00B86E10"/>
    <w:p w14:paraId="1071EED9" w14:textId="77777777" w:rsidR="00E534DE" w:rsidRDefault="00E534DE" w:rsidP="00B86E10"/>
    <w:p w14:paraId="4BBD3ED1" w14:textId="77777777" w:rsidR="00E534DE" w:rsidRDefault="00E534DE" w:rsidP="00B86E10"/>
    <w:p w14:paraId="77B18C5B" w14:textId="77777777" w:rsidR="00E534DE" w:rsidRDefault="00E534DE" w:rsidP="00B86E10"/>
    <w:p w14:paraId="6AD5BDCB" w14:textId="77777777" w:rsidR="00E534DE" w:rsidRDefault="00E534DE" w:rsidP="00B86E10"/>
    <w:p w14:paraId="18037BC7" w14:textId="77777777" w:rsidR="00E534DE" w:rsidRDefault="00E534DE" w:rsidP="00B86E10"/>
    <w:p w14:paraId="79BD288E" w14:textId="77777777" w:rsidR="00E534DE" w:rsidRDefault="00E534DE" w:rsidP="00B86E10"/>
    <w:p w14:paraId="2182E6B7" w14:textId="77777777" w:rsidR="00E534DE" w:rsidRDefault="00E534DE" w:rsidP="00B86E10"/>
    <w:p w14:paraId="7D8B63CC" w14:textId="77777777" w:rsidR="00E534DE" w:rsidRDefault="00E534DE" w:rsidP="00B86E10"/>
    <w:p w14:paraId="4A206839" w14:textId="77777777" w:rsidR="00E534DE" w:rsidRDefault="00E534DE" w:rsidP="00B86E10"/>
    <w:p w14:paraId="3B596F15" w14:textId="77777777" w:rsidR="00A87C9A" w:rsidRDefault="00A87C9A" w:rsidP="00B86E10"/>
    <w:p w14:paraId="464BAD7F" w14:textId="5007760C" w:rsidR="44FB0D33" w:rsidRDefault="00E534DE" w:rsidP="44FB0D33">
      <w:r>
        <w:rPr>
          <w:noProof/>
        </w:rPr>
        <w:lastRenderedPageBreak/>
        <w:drawing>
          <wp:inline distT="0" distB="0" distL="0" distR="0" wp14:anchorId="3B94A01F" wp14:editId="5C6C315D">
            <wp:extent cx="4037162" cy="2018581"/>
            <wp:effectExtent l="0" t="0" r="0" b="0"/>
            <wp:docPr id="1248678716" name="Picture 2" descr="A logo with a pink and grey 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678716" name="Picture 2" descr="A logo with a pink and grey line&#10;&#10;Description automatically generated with medium confidence"/>
                    <pic:cNvPicPr/>
                  </pic:nvPicPr>
                  <pic:blipFill>
                    <a:blip r:embed="rId12">
                      <a:extLst>
                        <a:ext uri="{28A0092B-C50C-407E-A947-70E740481C1C}">
                          <a14:useLocalDpi xmlns:a14="http://schemas.microsoft.com/office/drawing/2010/main" val="0"/>
                        </a:ext>
                      </a:extLst>
                    </a:blip>
                    <a:stretch>
                      <a:fillRect/>
                    </a:stretch>
                  </pic:blipFill>
                  <pic:spPr>
                    <a:xfrm>
                      <a:off x="0" y="0"/>
                      <a:ext cx="4067992" cy="2033996"/>
                    </a:xfrm>
                    <a:prstGeom prst="rect">
                      <a:avLst/>
                    </a:prstGeom>
                  </pic:spPr>
                </pic:pic>
              </a:graphicData>
            </a:graphic>
          </wp:inline>
        </w:drawing>
      </w:r>
    </w:p>
    <w:p w14:paraId="7C1EA00D" w14:textId="0F4CE7C8" w:rsidR="00E534DE" w:rsidRDefault="00E534DE" w:rsidP="44FB0D33">
      <w:r>
        <w:t xml:space="preserve">Source: </w:t>
      </w:r>
      <w:sdt>
        <w:sdtPr>
          <w:id w:val="1490279411"/>
          <w:citation/>
        </w:sdtPr>
        <w:sdtContent>
          <w:r w:rsidR="00290B2A">
            <w:fldChar w:fldCharType="begin"/>
          </w:r>
          <w:r w:rsidR="00290B2A">
            <w:instrText xml:space="preserve"> CITATION Esr15 \l 2057 </w:instrText>
          </w:r>
          <w:r w:rsidR="00290B2A">
            <w:fldChar w:fldCharType="separate"/>
          </w:r>
          <w:r w:rsidR="00290B2A" w:rsidRPr="00290B2A">
            <w:rPr>
              <w:noProof/>
            </w:rPr>
            <w:t>(Esri UK&amp;Ireland, 2015)</w:t>
          </w:r>
          <w:r w:rsidR="00290B2A">
            <w:fldChar w:fldCharType="end"/>
          </w:r>
        </w:sdtContent>
      </w:sdt>
    </w:p>
    <w:p w14:paraId="5469DD14" w14:textId="4688BDAC" w:rsidR="44FB0D33" w:rsidRDefault="44FB0D33" w:rsidP="44FB0D33"/>
    <w:p w14:paraId="4CB0D7EB" w14:textId="77777777" w:rsidR="00ED22AE" w:rsidRDefault="00ED22AE">
      <w:pPr>
        <w:pStyle w:val="Heading1"/>
      </w:pPr>
      <w:r>
        <w:t>MAIN BODY</w:t>
      </w:r>
    </w:p>
    <w:p w14:paraId="454801D5" w14:textId="77777777" w:rsidR="00984F56" w:rsidRDefault="00984F56" w:rsidP="00984F56">
      <w:r w:rsidRPr="00984F56">
        <w:t>The six separate steps of the Gibbs Reflective Model are the following: Description, Feelings, Evaluation, Analysis, Conclusion, and Action Plan. The content supplied in the introduction, main body, and conclusion will be critically examined using the application of this model.</w:t>
      </w:r>
    </w:p>
    <w:p w14:paraId="70DF9866" w14:textId="77777777" w:rsidR="005B5038" w:rsidRDefault="00B86E10" w:rsidP="005B5038">
      <w:r>
        <w:t xml:space="preserve">At this stage in the report, the Newham London Borough Council's effort has been spelled out, and the fact that this is possible is a tribute to the council's commitment to reform efforts that affect the entire community. </w:t>
      </w:r>
      <w:r w:rsidR="003C44A3">
        <w:t>I have learned the</w:t>
      </w:r>
      <w:r>
        <w:t xml:space="preserve"> commitment of the council to comprehensive development is on full display in the efforts that it is making to improve the quality of housing, educational opportunities, employment chances, and the overall standard of living in the area. This forward thinking exemplifies a sensitive grasp of the complexities of the expectations placed on residents of the local community. The recommendation made in the study to make more decisions from the ground up as opposed to the top down is quite crucial.</w:t>
      </w:r>
      <w:r w:rsidR="00827A31">
        <w:t xml:space="preserve"> I have analysed </w:t>
      </w:r>
      <w:proofErr w:type="spellStart"/>
      <w:r w:rsidR="00827A31">
        <w:t>thatS</w:t>
      </w:r>
      <w:proofErr w:type="spellEnd"/>
      <w:r>
        <w:t xml:space="preserve"> </w:t>
      </w:r>
      <w:proofErr w:type="gramStart"/>
      <w:r>
        <w:t>The</w:t>
      </w:r>
      <w:proofErr w:type="gramEnd"/>
      <w:r>
        <w:t xml:space="preserve"> council has adopted a participatory strategy on purpose, and as part of this strategy, it has extended invitations to people of the community to take an active part in shaping the future of the project through the administration of surveys, participation in seminars, and membership on advisory boards. This strategic move does more than simply give residents a say in affairs; it also reflects the council's dedication to diversity and teamwork in a democratic atmosphere. This move was planned to accomplish </w:t>
      </w:r>
      <w:proofErr w:type="gramStart"/>
      <w:r>
        <w:t>both of these</w:t>
      </w:r>
      <w:proofErr w:type="gramEnd"/>
      <w:r>
        <w:t xml:space="preserve"> goals. Recognising the natural diversity that exists within the community has led to the deliberate implementation of a wide array of participation tools.</w:t>
      </w:r>
      <w:r w:rsidR="00F774F3">
        <w:t xml:space="preserve"> It is important for me to provide</w:t>
      </w:r>
      <w:r>
        <w:t xml:space="preserve"> different outlets for feedback, such as questionnaires that promote broad involvement and workshops that foster in-depth conversations, the council demonstrates a good </w:t>
      </w:r>
      <w:r>
        <w:lastRenderedPageBreak/>
        <w:t xml:space="preserve">knowledge of the varied communication preferences and degrees of engagement that exist among its citizens. In addition, the paper emphasises the importance of early participation, which draws attention to a significant discovery. If the council asks for the thoughts and concerns of the community members at an early stage in the planning process, it will be able to reap the many benefits of the residents' wealth of information as well as their hopes and worries. The foundations of long-lasting, </w:t>
      </w:r>
      <w:proofErr w:type="spellStart"/>
      <w:r>
        <w:t>neighborhood</w:t>
      </w:r>
      <w:proofErr w:type="spellEnd"/>
      <w:r>
        <w:t>-led efforts are the trust and mutual understanding that are developed by early participation at such an early stage.</w:t>
      </w:r>
      <w:r w:rsidR="008C2BBE">
        <w:t xml:space="preserve"> Upon further consideration,</w:t>
      </w:r>
      <w:r w:rsidR="00CC75FC">
        <w:t xml:space="preserve"> I have got a clear understanding</w:t>
      </w:r>
      <w:r w:rsidR="008C2BBE">
        <w:t xml:space="preserve"> that the incorporation of a diverse range of community participation initiatives into the report was an effort deserving of recognition. This </w:t>
      </w:r>
      <w:proofErr w:type="gramStart"/>
      <w:r w:rsidR="008C2BBE">
        <w:t>particular strategy</w:t>
      </w:r>
      <w:proofErr w:type="gramEnd"/>
      <w:r w:rsidR="008C2BBE">
        <w:t xml:space="preserve"> approach places a significant emphasis on including a wide variety of stakeholders and tailoring strategies to the specific requirements and perspectives of each stakeholder group. The council's commitment to democratic decision-making and its understanding of the varied perspectives held by members of the community are both bolstered by this policy of open engagement in the community's affairs. The study emphasises the thoughtful consideration that was given to the sentiments, ideas, and aspirations of community people. This well-planned strategy has been successful, as a result providing residents with an authentic sense of pride and agency. By allowing members of the community to have input into the direction that the project will go, the council has ignited an interest that goes above and beyond the typical level of participation. Any society can benefit tremendously from the development of a sense of civic pride and responsibility </w:t>
      </w:r>
      <w:proofErr w:type="gramStart"/>
      <w:r w:rsidR="008C2BBE">
        <w:t>similar to</w:t>
      </w:r>
      <w:proofErr w:type="gramEnd"/>
      <w:r w:rsidR="008C2BBE">
        <w:t xml:space="preserve"> this. Since they were given the opportunity to participate in the decision-making process, members of the community have demonstrated an outpouring of support that is unprecedented. As a result of the council's provision of a venue in which members of the community may make their views heard, the community members' true passion and enthusiasm for actively contributing to the project's realisation has been awakened. Because of the increased engagement,</w:t>
      </w:r>
      <w:r w:rsidR="00EF05C9">
        <w:t xml:space="preserve"> I have come to know</w:t>
      </w:r>
      <w:r w:rsidR="008C2BBE">
        <w:t xml:space="preserve"> that the council has been successful in creating an environment that encourages cooperation and gives people more agency. The study of community engagement strategies that is provided in the report turns out to be a helpful lens that can be used to look at the results produced by the strategies. The purpose of this evaluation is to highlight critical observations that provide light on the effectiveness of the efforts made by the Newham London Borough Council to stimulate vigorous community engagement. The conclusions of the evaluation highlight the importance of including voices from a variety of populations. An insightful analysis presented in the study </w:t>
      </w:r>
      <w:r w:rsidR="008C2BBE">
        <w:lastRenderedPageBreak/>
        <w:t xml:space="preserve">demonstrates that participation from a diverse group of individuals is necessary to ensure the success of the project. This thoughtful consideration is consistent with the Gibbs Reflective Model's emphasis on thoroughly analysing and having a complete comprehension of the consequences that community engagement tactics have. In addition, the study emphasises, as it should, the significance of comprehending and successfully negotiating linguistic and cultural disparities. Recognising and responding to these differences not only displays the council's commitment to diversity but also helps to cultivate an environment that is relevant to </w:t>
      </w:r>
      <w:proofErr w:type="gramStart"/>
      <w:r w:rsidR="008C2BBE">
        <w:t>each and every</w:t>
      </w:r>
      <w:proofErr w:type="gramEnd"/>
      <w:r w:rsidR="008C2BBE">
        <w:t xml:space="preserve"> member of the community. This evaluation</w:t>
      </w:r>
      <w:r w:rsidR="003D0B76">
        <w:t xml:space="preserve"> done by me</w:t>
      </w:r>
      <w:r w:rsidR="008C2BBE">
        <w:t xml:space="preserve"> summarises the significance of various facets in a manner that is analogous to how the Gibbs model places an emphasis on doing an all-encompassing investigation of occurrences </w:t>
      </w:r>
      <w:proofErr w:type="gramStart"/>
      <w:r w:rsidR="008C2BBE">
        <w:t>in order to</w:t>
      </w:r>
      <w:proofErr w:type="gramEnd"/>
      <w:r w:rsidR="008C2BBE">
        <w:t xml:space="preserve"> develop significant insights</w:t>
      </w:r>
      <w:r w:rsidR="008E160C">
        <w:t>. Through this reflective report I am putting more</w:t>
      </w:r>
      <w:r w:rsidR="008C2BBE">
        <w:t xml:space="preserve"> emphasis</w:t>
      </w:r>
      <w:r w:rsidR="00BD373E">
        <w:t xml:space="preserve"> on</w:t>
      </w:r>
      <w:r w:rsidR="008C2BBE">
        <w:t xml:space="preserve"> the significance of maintaining open communication, which reaches a satisfying middle ground. This comprehension </w:t>
      </w:r>
      <w:proofErr w:type="gramStart"/>
      <w:r w:rsidR="008C2BBE">
        <w:t>is a reflection of</w:t>
      </w:r>
      <w:proofErr w:type="gramEnd"/>
      <w:r w:rsidR="008C2BBE">
        <w:t xml:space="preserve"> the essence of the Gibbs Reflective Model, which asserts that continuous discussion is the driving force behind intentional decision making. The importance that the community places on maintaining open lines of communication is a linchpin in the structure that bolsters openness, trust, and engagement. A closer look at the project reveals that the Newham London Borough Council stands out as an example of how to use the transformative potential of community engagement to successfully address the intricate web of local issues. As is masterfully highlighted in the report's in-depth research, a comprehensive and collaborative strategy not only inspired the community but also yielded tangible benefits. </w:t>
      </w:r>
      <w:proofErr w:type="gramStart"/>
      <w:r w:rsidR="008C2BBE">
        <w:t>In order for</w:t>
      </w:r>
      <w:proofErr w:type="gramEnd"/>
      <w:r w:rsidR="008C2BBE">
        <w:t xml:space="preserve"> the programme to be successful, early engagement is stressed throughout the study. This strategic decision is in line with the principles of the Gibbs Reflective Model, which encourages a nuanced evaluation of the past. The council's structure is </w:t>
      </w:r>
      <w:proofErr w:type="gramStart"/>
      <w:r w:rsidR="008C2BBE">
        <w:t>actually influenced</w:t>
      </w:r>
      <w:proofErr w:type="gramEnd"/>
      <w:r w:rsidR="008C2BBE">
        <w:t xml:space="preserve"> by the needs and goals of all of its members because it was created with their input from the beginning. Additionally, the Gibbs model's guiding principles for understanding and making sense of one's experiences are congruent with the council's arsenal of methods. A more nuanced understanding of how various forms of community involvement might best reach their intended audiences is made possible </w:t>
      </w:r>
      <w:proofErr w:type="gramStart"/>
      <w:r w:rsidR="008C2BBE">
        <w:t>by the use of</w:t>
      </w:r>
      <w:proofErr w:type="gramEnd"/>
      <w:r w:rsidR="008C2BBE">
        <w:t xml:space="preserve"> a wide range of tools, including surveys, seminars, and advisory boards. This well-coordinated package of strategies not only broadens the project's scope but also demonstrates the council's commitment to democracy and diversity. One notable strength of the analysis is how well community ambassadors and design workshops were incorporated. These techniques highlight the significance of collaboration in participatory </w:t>
      </w:r>
      <w:r w:rsidR="008C2BBE">
        <w:lastRenderedPageBreak/>
        <w:t xml:space="preserve">planning. By bridging the gap between the council and the populace, the community ambassadors make it easier to include citizen perspectives. The design workshops similarly make it simpler for people to collaborate and incorporate community input into the project plan. Such examples demonstrate the potent synergy that collaborative methods may offer, which is in line with the Gibbs model's emphasis on experience-based learning. </w:t>
      </w:r>
      <w:r w:rsidR="005B5038">
        <w:t>The article</w:t>
      </w:r>
      <w:r w:rsidR="00C51E38">
        <w:t xml:space="preserve"> written by me</w:t>
      </w:r>
      <w:r w:rsidR="005B5038">
        <w:t xml:space="preserve"> concludes by summarising and praising the Newham London Borough Council's outstanding efforts to advance a paradigm of community-driven development. Through its thoughtful blending of multiple engagement strategies, the council has not only sparked involvement but also shown a path towards complete growth. The seamless incorporation of many participation options demonstrates the council's commitment to diversity and democratic decision-making. The council has provided </w:t>
      </w:r>
      <w:proofErr w:type="gramStart"/>
      <w:r w:rsidR="005B5038">
        <w:t>a number of</w:t>
      </w:r>
      <w:proofErr w:type="gramEnd"/>
      <w:r w:rsidR="005B5038">
        <w:t xml:space="preserve"> outlets for community feedback, ranging from surveys and workshops to advisory boards, in a way that effectively acknowledges the range of communication preferences and engagement levels within the community. This subtle tactic reveals a deep acquaintance with the diverse range of viewpoints that make up the group. A revitalising action plan is taking shape as the Newham London Borough Council initiative advances, paving the way for the subsequent phase of community-driven change. This strategy is well-positioned to enhance community involvement and boost the effectiveness of future efforts since it is based on the principles of flexibility, transparency, and persistent improvement. The council is ready to advance and improve these procedures using a wide range of interaction tactics as a foundation. This necessitates a detailed evaluation of the effectiveness of alternative techniques, highlighting their benefits and potential for improvement. If the council perfects these techniques such that they are constantly in refine unison with the shifting needs and preferences of the community, it will orchestrate a symphony of engagement that is felt strongly in every corner of the borough.</w:t>
      </w:r>
    </w:p>
    <w:p w14:paraId="6A05A809" w14:textId="77777777" w:rsidR="005B5038" w:rsidRDefault="005B5038" w:rsidP="005B5038"/>
    <w:p w14:paraId="5A39BBE3" w14:textId="77777777" w:rsidR="00984F56" w:rsidRDefault="00984F56" w:rsidP="00984F56"/>
    <w:p w14:paraId="41C8F396" w14:textId="77777777" w:rsidR="00ED22AE" w:rsidRDefault="00ED22AE" w:rsidP="00BF2B89">
      <w:pPr>
        <w:pStyle w:val="Heading2"/>
        <w:numPr>
          <w:ilvl w:val="0"/>
          <w:numId w:val="0"/>
        </w:numPr>
        <w:rPr>
          <w:b/>
        </w:rPr>
      </w:pPr>
    </w:p>
    <w:p w14:paraId="72A3D3EC" w14:textId="77777777" w:rsidR="00ED22AE" w:rsidRDefault="00ED22AE">
      <w:pPr>
        <w:pageBreakBefore/>
        <w:rPr>
          <w:b/>
          <w:bCs/>
        </w:rPr>
      </w:pPr>
    </w:p>
    <w:p w14:paraId="1A3863D6" w14:textId="77777777" w:rsidR="00ED22AE" w:rsidRPr="00DF6067" w:rsidRDefault="00ED22AE" w:rsidP="2724A88E">
      <w:pPr>
        <w:pStyle w:val="Heading1"/>
        <w:numPr>
          <w:ilvl w:val="0"/>
          <w:numId w:val="0"/>
        </w:numPr>
      </w:pPr>
      <w:r w:rsidRPr="00DF6067">
        <w:t xml:space="preserve"> CONCLUSION</w:t>
      </w:r>
    </w:p>
    <w:p w14:paraId="6BF22F9A" w14:textId="717EE83E" w:rsidR="00B86E10" w:rsidRPr="00B86E10" w:rsidRDefault="00B86E10" w:rsidP="00B86E10">
      <w:r w:rsidRPr="00B86E10">
        <w:t xml:space="preserve">In conclusion, </w:t>
      </w:r>
      <w:r w:rsidR="00671A74">
        <w:t>I have learned that</w:t>
      </w:r>
      <w:r w:rsidRPr="00B86E10">
        <w:t xml:space="preserve"> the community involvement initiative that was undertaken by the Newham London Borough Council illustrates the value of participation, cooperation, and transparency in the process of attaining long-term community growth. </w:t>
      </w:r>
      <w:r w:rsidR="008B04BF">
        <w:t>In my opinion,</w:t>
      </w:r>
      <w:r w:rsidR="00D82882">
        <w:t xml:space="preserve"> </w:t>
      </w:r>
      <w:r w:rsidR="008B04BF">
        <w:t>t</w:t>
      </w:r>
      <w:r w:rsidRPr="00B86E10">
        <w:t>he examination of strategies, key takeaways, and recommendations for next steps in the study brings to light the commitment of the council to diversity and flexibility. The Gibbs Reflective Model has proven to be a significant tool in deconstructing the report's contents, making it possible for the reader to gain a deeper understanding of the value of community participation within the larger framework of local governance and development. The activities of the council will continue to have an impact on the future of Newham, with the incorporation of community voices and active participation playing an essential role in the promotion of social progress, economic prosperity, and an improved quality of life for all people.</w:t>
      </w:r>
    </w:p>
    <w:p w14:paraId="0D0B940D" w14:textId="77777777" w:rsidR="00ED22AE" w:rsidRDefault="00ED22AE">
      <w:pPr>
        <w:pStyle w:val="Heading2"/>
        <w:pageBreakBefore/>
      </w:pPr>
    </w:p>
    <w:p w14:paraId="7797E7DE" w14:textId="77777777" w:rsidR="00ED22AE" w:rsidRDefault="00ED22AE">
      <w:pPr>
        <w:pStyle w:val="Heading1"/>
      </w:pPr>
      <w:bookmarkStart w:id="0" w:name="__RefHeading__18763_1565363234"/>
      <w:bookmarkStart w:id="1" w:name="__RefHeading__22554_1539326481"/>
      <w:bookmarkStart w:id="2" w:name="__RefHeading__20338_2086583235"/>
      <w:bookmarkEnd w:id="0"/>
      <w:bookmarkEnd w:id="1"/>
      <w:bookmarkEnd w:id="2"/>
      <w:r>
        <w:t>REFERENCES</w:t>
      </w:r>
    </w:p>
    <w:p w14:paraId="0CAA68A7" w14:textId="77777777" w:rsidR="00ED22AE" w:rsidRDefault="00ED22AE" w:rsidP="005D6D3C">
      <w:r>
        <w:t xml:space="preserve">Books and Journal </w:t>
      </w:r>
      <w:bookmarkStart w:id="3" w:name="__RefHeading__9543_166173563"/>
      <w:bookmarkStart w:id="4" w:name="__RefHeading__1092_277916077"/>
      <w:bookmarkEnd w:id="3"/>
      <w:bookmarkEnd w:id="4"/>
    </w:p>
    <w:p w14:paraId="12A5188D" w14:textId="77777777" w:rsidR="00A71CDE" w:rsidRPr="005D6D3C" w:rsidRDefault="00A71CDE" w:rsidP="44A6D3AB">
      <w:pPr>
        <w:pStyle w:val="BodyText"/>
        <w:spacing w:before="6"/>
        <w:ind w:left="720" w:hanging="720"/>
        <w:rPr>
          <w:color w:val="222222"/>
          <w:shd w:val="clear" w:color="auto" w:fill="FFFFFF"/>
        </w:rPr>
      </w:pPr>
      <w:r w:rsidRPr="118CDF15">
        <w:rPr>
          <w:color w:val="222222"/>
          <w:shd w:val="clear" w:color="auto" w:fill="FFFFFF"/>
        </w:rPr>
        <w:t>Al-Jubouri, M.M.M., Al-</w:t>
      </w:r>
      <w:proofErr w:type="spellStart"/>
      <w:r w:rsidRPr="118CDF15">
        <w:rPr>
          <w:color w:val="222222"/>
          <w:shd w:val="clear" w:color="auto" w:fill="FFFFFF"/>
        </w:rPr>
        <w:t>Khikani</w:t>
      </w:r>
      <w:proofErr w:type="spellEnd"/>
      <w:r w:rsidRPr="118CDF15">
        <w:rPr>
          <w:color w:val="222222"/>
          <w:shd w:val="clear" w:color="auto" w:fill="FFFFFF"/>
        </w:rPr>
        <w:t xml:space="preserve">, A.S.A. and </w:t>
      </w:r>
      <w:proofErr w:type="spellStart"/>
      <w:r w:rsidRPr="118CDF15">
        <w:rPr>
          <w:color w:val="222222"/>
          <w:shd w:val="clear" w:color="auto" w:fill="FFFFFF"/>
        </w:rPr>
        <w:t>Obayes</w:t>
      </w:r>
      <w:proofErr w:type="spellEnd"/>
      <w:r w:rsidRPr="118CDF15">
        <w:rPr>
          <w:color w:val="222222"/>
          <w:shd w:val="clear" w:color="auto" w:fill="FFFFFF"/>
        </w:rPr>
        <w:t>, R.A., 2022. The Effect of the Gibbs Model on the Achievement of Fifth-grade Literary Students in Arabic Language. </w:t>
      </w:r>
      <w:r w:rsidRPr="118CDF15">
        <w:rPr>
          <w:i/>
          <w:color w:val="222222"/>
          <w:shd w:val="clear" w:color="auto" w:fill="FFFFFF"/>
        </w:rPr>
        <w:t>International Journal of Early Childhood Special Education</w:t>
      </w:r>
      <w:r w:rsidRPr="118CDF15">
        <w:rPr>
          <w:color w:val="222222"/>
          <w:shd w:val="clear" w:color="auto" w:fill="FFFFFF"/>
        </w:rPr>
        <w:t>, </w:t>
      </w:r>
      <w:r w:rsidRPr="118CDF15">
        <w:rPr>
          <w:i/>
          <w:color w:val="222222"/>
          <w:shd w:val="clear" w:color="auto" w:fill="FFFFFF"/>
        </w:rPr>
        <w:t>14</w:t>
      </w:r>
      <w:r w:rsidRPr="118CDF15">
        <w:rPr>
          <w:color w:val="222222"/>
          <w:shd w:val="clear" w:color="auto" w:fill="FFFFFF"/>
        </w:rPr>
        <w:t>(5).</w:t>
      </w:r>
    </w:p>
    <w:p w14:paraId="6E34BCA5" w14:textId="77777777" w:rsidR="00A71CDE" w:rsidRPr="005D6D3C" w:rsidRDefault="00A71CDE" w:rsidP="44A6D3AB">
      <w:pPr>
        <w:pStyle w:val="BodyText"/>
        <w:spacing w:before="6"/>
        <w:ind w:left="720" w:hanging="720"/>
        <w:rPr>
          <w:color w:val="222222"/>
          <w:shd w:val="clear" w:color="auto" w:fill="FFFFFF"/>
        </w:rPr>
      </w:pPr>
      <w:r w:rsidRPr="118CDF15">
        <w:rPr>
          <w:color w:val="222222"/>
          <w:shd w:val="clear" w:color="auto" w:fill="FFFFFF"/>
        </w:rPr>
        <w:t>Allison, D., 2019. </w:t>
      </w:r>
      <w:r w:rsidRPr="118CDF15">
        <w:rPr>
          <w:i/>
          <w:color w:val="222222"/>
          <w:shd w:val="clear" w:color="auto" w:fill="FFFFFF"/>
        </w:rPr>
        <w:t xml:space="preserve">Engaging communities in museums: Sharing vision, </w:t>
      </w:r>
      <w:proofErr w:type="gramStart"/>
      <w:r w:rsidRPr="118CDF15">
        <w:rPr>
          <w:i/>
          <w:color w:val="222222"/>
          <w:shd w:val="clear" w:color="auto" w:fill="FFFFFF"/>
        </w:rPr>
        <w:t>creation</w:t>
      </w:r>
      <w:proofErr w:type="gramEnd"/>
      <w:r w:rsidRPr="118CDF15">
        <w:rPr>
          <w:i/>
          <w:color w:val="222222"/>
          <w:shd w:val="clear" w:color="auto" w:fill="FFFFFF"/>
        </w:rPr>
        <w:t xml:space="preserve"> and development</w:t>
      </w:r>
      <w:r w:rsidRPr="118CDF15">
        <w:rPr>
          <w:color w:val="222222"/>
          <w:shd w:val="clear" w:color="auto" w:fill="FFFFFF"/>
        </w:rPr>
        <w:t>. Routledge.</w:t>
      </w:r>
    </w:p>
    <w:p w14:paraId="6F3C24A8" w14:textId="77777777" w:rsidR="00A71CDE" w:rsidRPr="005D6D3C" w:rsidRDefault="00A71CDE" w:rsidP="44A6D3AB">
      <w:pPr>
        <w:pStyle w:val="BodyText"/>
        <w:spacing w:before="6"/>
        <w:ind w:left="720" w:hanging="720"/>
        <w:rPr>
          <w:color w:val="222222"/>
          <w:shd w:val="clear" w:color="auto" w:fill="FFFFFF"/>
        </w:rPr>
      </w:pPr>
      <w:r w:rsidRPr="118CDF15">
        <w:rPr>
          <w:color w:val="222222"/>
          <w:shd w:val="clear" w:color="auto" w:fill="FFFFFF"/>
        </w:rPr>
        <w:t>Baiocchi, G. and Ganuza, E., 2020. </w:t>
      </w:r>
      <w:r w:rsidRPr="118CDF15">
        <w:rPr>
          <w:i/>
          <w:color w:val="222222"/>
          <w:shd w:val="clear" w:color="auto" w:fill="FFFFFF"/>
        </w:rPr>
        <w:t>Popular democracy: The paradox of participation</w:t>
      </w:r>
      <w:r w:rsidRPr="118CDF15">
        <w:rPr>
          <w:color w:val="222222"/>
          <w:shd w:val="clear" w:color="auto" w:fill="FFFFFF"/>
        </w:rPr>
        <w:t>. Stanford University Press.</w:t>
      </w:r>
    </w:p>
    <w:p w14:paraId="2868D2F9" w14:textId="77777777" w:rsidR="00A71CDE" w:rsidRPr="005D6D3C" w:rsidRDefault="00A71CDE" w:rsidP="44A6D3AB">
      <w:pPr>
        <w:pStyle w:val="BodyText"/>
        <w:spacing w:before="6"/>
        <w:ind w:left="720" w:hanging="720"/>
        <w:rPr>
          <w:color w:val="222222"/>
          <w:shd w:val="clear" w:color="auto" w:fill="FFFFFF"/>
        </w:rPr>
      </w:pPr>
      <w:proofErr w:type="spellStart"/>
      <w:r w:rsidRPr="118CDF15">
        <w:rPr>
          <w:color w:val="222222"/>
          <w:shd w:val="clear" w:color="auto" w:fill="FFFFFF"/>
        </w:rPr>
        <w:t>Brosens</w:t>
      </w:r>
      <w:proofErr w:type="spellEnd"/>
      <w:r w:rsidRPr="118CDF15">
        <w:rPr>
          <w:color w:val="222222"/>
          <w:shd w:val="clear" w:color="auto" w:fill="FFFFFF"/>
        </w:rPr>
        <w:t xml:space="preserve">, D., </w:t>
      </w:r>
      <w:proofErr w:type="spellStart"/>
      <w:r w:rsidRPr="118CDF15">
        <w:rPr>
          <w:color w:val="222222"/>
          <w:shd w:val="clear" w:color="auto" w:fill="FFFFFF"/>
        </w:rPr>
        <w:t>Schaillée</w:t>
      </w:r>
      <w:proofErr w:type="spellEnd"/>
      <w:r w:rsidRPr="118CDF15">
        <w:rPr>
          <w:color w:val="222222"/>
          <w:shd w:val="clear" w:color="auto" w:fill="FFFFFF"/>
        </w:rPr>
        <w:t xml:space="preserve">, H., </w:t>
      </w:r>
      <w:proofErr w:type="spellStart"/>
      <w:r w:rsidRPr="118CDF15">
        <w:rPr>
          <w:color w:val="222222"/>
          <w:shd w:val="clear" w:color="auto" w:fill="FFFFFF"/>
        </w:rPr>
        <w:t>Theeboom</w:t>
      </w:r>
      <w:proofErr w:type="spellEnd"/>
      <w:r w:rsidRPr="118CDF15">
        <w:rPr>
          <w:color w:val="222222"/>
          <w:shd w:val="clear" w:color="auto" w:fill="FFFFFF"/>
        </w:rPr>
        <w:t xml:space="preserve">, M. and </w:t>
      </w:r>
      <w:proofErr w:type="spellStart"/>
      <w:r w:rsidRPr="118CDF15">
        <w:rPr>
          <w:color w:val="222222"/>
          <w:shd w:val="clear" w:color="auto" w:fill="FFFFFF"/>
        </w:rPr>
        <w:t>Debognies</w:t>
      </w:r>
      <w:proofErr w:type="spellEnd"/>
      <w:r w:rsidRPr="118CDF15">
        <w:rPr>
          <w:color w:val="222222"/>
          <w:shd w:val="clear" w:color="auto" w:fill="FFFFFF"/>
        </w:rPr>
        <w:t xml:space="preserve">, P., 2021. 3 Reflective practices in a volunteer community sport </w:t>
      </w:r>
      <w:proofErr w:type="spellStart"/>
      <w:r w:rsidRPr="118CDF15">
        <w:rPr>
          <w:color w:val="222222"/>
          <w:shd w:val="clear" w:color="auto" w:fill="FFFFFF"/>
        </w:rPr>
        <w:t>coa</w:t>
      </w:r>
      <w:proofErr w:type="spellEnd"/>
      <w:r w:rsidRPr="118CDF15">
        <w:rPr>
          <w:color w:val="222222"/>
          <w:shd w:val="clear" w:color="auto" w:fill="FFFFFF"/>
        </w:rPr>
        <w:t> training programme. </w:t>
      </w:r>
      <w:r w:rsidRPr="118CDF15">
        <w:rPr>
          <w:i/>
          <w:color w:val="222222"/>
          <w:shd w:val="clear" w:color="auto" w:fill="FFFFFF"/>
        </w:rPr>
        <w:t>Community Sport and Social Inclusion: Enhancing Strategies for Promoting Personal Development, Health and Social Cohesion</w:t>
      </w:r>
      <w:r w:rsidRPr="118CDF15">
        <w:rPr>
          <w:color w:val="222222"/>
          <w:shd w:val="clear" w:color="auto" w:fill="FFFFFF"/>
        </w:rPr>
        <w:t>, p.3.</w:t>
      </w:r>
    </w:p>
    <w:p w14:paraId="7D67881F" w14:textId="77777777" w:rsidR="00A71CDE" w:rsidRPr="005D6D3C" w:rsidRDefault="00A71CDE" w:rsidP="44A6D3AB">
      <w:pPr>
        <w:pStyle w:val="BodyText"/>
        <w:spacing w:before="6"/>
        <w:ind w:left="720" w:hanging="720"/>
        <w:rPr>
          <w:b/>
        </w:rPr>
      </w:pPr>
      <w:r w:rsidRPr="118CDF15">
        <w:rPr>
          <w:color w:val="222222"/>
          <w:shd w:val="clear" w:color="auto" w:fill="FFFFFF"/>
        </w:rPr>
        <w:t>Butler, H., 2023. Understanding the territory of reflective practice. </w:t>
      </w:r>
      <w:r w:rsidRPr="118CDF15">
        <w:rPr>
          <w:i/>
          <w:color w:val="222222"/>
          <w:shd w:val="clear" w:color="auto" w:fill="FFFFFF"/>
        </w:rPr>
        <w:t>Creating the Reflective Habit</w:t>
      </w:r>
      <w:r w:rsidRPr="118CDF15">
        <w:rPr>
          <w:color w:val="222222"/>
          <w:shd w:val="clear" w:color="auto" w:fill="FFFFFF"/>
        </w:rPr>
        <w:t>, pp.4-24.</w:t>
      </w:r>
    </w:p>
    <w:p w14:paraId="260504CC" w14:textId="77777777" w:rsidR="00A71CDE" w:rsidRPr="00A71CDE" w:rsidRDefault="00A71CDE" w:rsidP="44A6D3AB">
      <w:pPr>
        <w:pStyle w:val="BodyText"/>
        <w:spacing w:before="6"/>
        <w:ind w:left="720" w:hanging="720"/>
        <w:rPr>
          <w:color w:val="222222"/>
          <w:shd w:val="clear" w:color="auto" w:fill="FFFFFF"/>
        </w:rPr>
      </w:pPr>
      <w:r w:rsidRPr="118CDF15">
        <w:rPr>
          <w:color w:val="222222"/>
          <w:shd w:val="clear" w:color="auto" w:fill="FFFFFF"/>
        </w:rPr>
        <w:t xml:space="preserve">Gingrich, N., </w:t>
      </w:r>
      <w:proofErr w:type="spellStart"/>
      <w:r w:rsidRPr="118CDF15">
        <w:rPr>
          <w:color w:val="222222"/>
          <w:shd w:val="clear" w:color="auto" w:fill="FFFFFF"/>
        </w:rPr>
        <w:t>Bosancich</w:t>
      </w:r>
      <w:proofErr w:type="spellEnd"/>
      <w:r w:rsidRPr="118CDF15">
        <w:rPr>
          <w:color w:val="222222"/>
          <w:shd w:val="clear" w:color="auto" w:fill="FFFFFF"/>
        </w:rPr>
        <w:t xml:space="preserve">, J., Schmidt, </w:t>
      </w:r>
      <w:proofErr w:type="gramStart"/>
      <w:r w:rsidRPr="118CDF15">
        <w:rPr>
          <w:color w:val="222222"/>
          <w:shd w:val="clear" w:color="auto" w:fill="FFFFFF"/>
        </w:rPr>
        <w:t>J.</w:t>
      </w:r>
      <w:proofErr w:type="gramEnd"/>
      <w:r w:rsidRPr="118CDF15">
        <w:rPr>
          <w:color w:val="222222"/>
          <w:shd w:val="clear" w:color="auto" w:fill="FFFFFF"/>
        </w:rPr>
        <w:t xml:space="preserve"> and Sakakibara, B.M., 2023. Capability, opportunity, motivation, and social participation after stroke. </w:t>
      </w:r>
      <w:r w:rsidRPr="118CDF15">
        <w:rPr>
          <w:i/>
          <w:color w:val="222222"/>
          <w:shd w:val="clear" w:color="auto" w:fill="FFFFFF"/>
        </w:rPr>
        <w:t>Topics in Stroke Rehabilitation</w:t>
      </w:r>
      <w:r w:rsidRPr="118CDF15">
        <w:rPr>
          <w:color w:val="222222"/>
          <w:shd w:val="clear" w:color="auto" w:fill="FFFFFF"/>
        </w:rPr>
        <w:t>, </w:t>
      </w:r>
      <w:r w:rsidRPr="118CDF15">
        <w:rPr>
          <w:i/>
          <w:color w:val="222222"/>
          <w:shd w:val="clear" w:color="auto" w:fill="FFFFFF"/>
        </w:rPr>
        <w:t>30</w:t>
      </w:r>
      <w:r w:rsidRPr="118CDF15">
        <w:rPr>
          <w:color w:val="222222"/>
          <w:shd w:val="clear" w:color="auto" w:fill="FFFFFF"/>
        </w:rPr>
        <w:t>(5), pp.423-435.</w:t>
      </w:r>
    </w:p>
    <w:p w14:paraId="74AB1969" w14:textId="77777777" w:rsidR="00A71CDE" w:rsidRPr="00A71CDE" w:rsidRDefault="00A71CDE" w:rsidP="44A6D3AB">
      <w:pPr>
        <w:pStyle w:val="BodyText"/>
        <w:spacing w:before="6"/>
        <w:ind w:left="720" w:hanging="720"/>
        <w:rPr>
          <w:color w:val="222222"/>
          <w:shd w:val="clear" w:color="auto" w:fill="FFFFFF"/>
        </w:rPr>
      </w:pPr>
      <w:r w:rsidRPr="118CDF15">
        <w:rPr>
          <w:color w:val="222222"/>
          <w:shd w:val="clear" w:color="auto" w:fill="FFFFFF"/>
        </w:rPr>
        <w:t xml:space="preserve">Kim, D.J., Salvacion, M., </w:t>
      </w:r>
      <w:proofErr w:type="spellStart"/>
      <w:r w:rsidRPr="118CDF15">
        <w:rPr>
          <w:color w:val="222222"/>
          <w:shd w:val="clear" w:color="auto" w:fill="FFFFFF"/>
        </w:rPr>
        <w:t>Salehan</w:t>
      </w:r>
      <w:proofErr w:type="spellEnd"/>
      <w:r w:rsidRPr="118CDF15">
        <w:rPr>
          <w:color w:val="222222"/>
          <w:shd w:val="clear" w:color="auto" w:fill="FFFFFF"/>
        </w:rPr>
        <w:t>, M. and Kim, D.W., 2023. An empirical study of community cohesiveness, community attachment, and their roles in virtual community participation. </w:t>
      </w:r>
      <w:r w:rsidRPr="118CDF15">
        <w:rPr>
          <w:i/>
          <w:color w:val="222222"/>
          <w:shd w:val="clear" w:color="auto" w:fill="FFFFFF"/>
        </w:rPr>
        <w:t>European Journal of Information Systems</w:t>
      </w:r>
      <w:r w:rsidRPr="118CDF15">
        <w:rPr>
          <w:color w:val="222222"/>
          <w:shd w:val="clear" w:color="auto" w:fill="FFFFFF"/>
        </w:rPr>
        <w:t>, </w:t>
      </w:r>
      <w:r w:rsidRPr="118CDF15">
        <w:rPr>
          <w:i/>
          <w:color w:val="222222"/>
          <w:shd w:val="clear" w:color="auto" w:fill="FFFFFF"/>
        </w:rPr>
        <w:t>32</w:t>
      </w:r>
      <w:r w:rsidRPr="118CDF15">
        <w:rPr>
          <w:color w:val="222222"/>
          <w:shd w:val="clear" w:color="auto" w:fill="FFFFFF"/>
        </w:rPr>
        <w:t>(3), pp.573-600.</w:t>
      </w:r>
    </w:p>
    <w:p w14:paraId="39035207" w14:textId="77777777" w:rsidR="00A71CDE" w:rsidRDefault="00A71CDE" w:rsidP="44A6D3AB">
      <w:pPr>
        <w:pStyle w:val="BodyText"/>
        <w:spacing w:before="6"/>
        <w:ind w:left="720" w:hanging="720"/>
        <w:rPr>
          <w:color w:val="222222"/>
          <w:shd w:val="clear" w:color="auto" w:fill="FFFFFF"/>
        </w:rPr>
      </w:pPr>
      <w:r w:rsidRPr="118CDF15">
        <w:rPr>
          <w:color w:val="222222"/>
          <w:shd w:val="clear" w:color="auto" w:fill="FFFFFF"/>
        </w:rPr>
        <w:t>Mukhopadhyay, M., 2022. Reflective Diary on Communication Theories. </w:t>
      </w:r>
      <w:r w:rsidRPr="118CDF15">
        <w:rPr>
          <w:i/>
          <w:color w:val="222222"/>
          <w:shd w:val="clear" w:color="auto" w:fill="FFFFFF"/>
        </w:rPr>
        <w:t>Available at SSRN</w:t>
      </w:r>
      <w:r w:rsidRPr="118CDF15">
        <w:rPr>
          <w:color w:val="222222"/>
          <w:shd w:val="clear" w:color="auto" w:fill="FFFFFF"/>
        </w:rPr>
        <w:t>.</w:t>
      </w:r>
    </w:p>
    <w:sectPr w:rsidR="00A71CDE">
      <w:headerReference w:type="even" r:id="rId13"/>
      <w:headerReference w:type="default" r:id="rId14"/>
      <w:footerReference w:type="even" r:id="rId15"/>
      <w:footerReference w:type="default" r:id="rId16"/>
      <w:headerReference w:type="first" r:id="rId17"/>
      <w:footerReference w:type="first" r:id="rId18"/>
      <w:pgSz w:w="12240" w:h="15840"/>
      <w:pgMar w:top="1440" w:right="1440" w:bottom="1440" w:left="1440"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695723" w14:textId="77777777" w:rsidR="00036B87" w:rsidRDefault="00036B87" w:rsidP="00E4342A">
      <w:pPr>
        <w:spacing w:line="240" w:lineRule="auto"/>
      </w:pPr>
      <w:r>
        <w:separator/>
      </w:r>
    </w:p>
  </w:endnote>
  <w:endnote w:type="continuationSeparator" w:id="0">
    <w:p w14:paraId="3D66D79C" w14:textId="77777777" w:rsidR="00036B87" w:rsidRDefault="00036B87" w:rsidP="00E4342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MS Gothic"/>
    <w:charset w:val="80"/>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altName w:val="MS Gothic"/>
    <w:charset w:val="80"/>
    <w:family w:val="auto"/>
    <w:pitch w:val="variable"/>
  </w:font>
  <w:font w:name="DejaVu Sans">
    <w:altName w:val="MS Gothic"/>
    <w:charset w:val="80"/>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nos">
    <w:altName w:val="MS Gothic"/>
    <w:charset w:val="80"/>
    <w:family w:val="roman"/>
    <w:pitch w:val="variable"/>
  </w:font>
  <w:font w:name="Arial MT">
    <w:charset w:val="80"/>
    <w:family w:val="swiss"/>
    <w:pitch w:val="variable"/>
  </w:font>
  <w:font w:name="Noto Sans CJK SC">
    <w:altName w:val="MS Gothic"/>
    <w:charset w:val="80"/>
    <w:family w:val="auto"/>
    <w:pitch w:val="variable"/>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E184CD" w14:textId="77777777" w:rsidR="00844FD7" w:rsidRDefault="00844FD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7614384"/>
      <w:docPartObj>
        <w:docPartGallery w:val="Page Numbers (Bottom of Page)"/>
        <w:docPartUnique/>
      </w:docPartObj>
    </w:sdtPr>
    <w:sdtEndPr>
      <w:rPr>
        <w:noProof/>
      </w:rPr>
    </w:sdtEndPr>
    <w:sdtContent>
      <w:p w14:paraId="541A3689" w14:textId="4CD3103E" w:rsidR="00844FD7" w:rsidRDefault="00844FD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F1EF34A" w14:textId="77777777" w:rsidR="00334F81" w:rsidRDefault="00334F8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4552F0" w14:textId="77777777" w:rsidR="00844FD7" w:rsidRDefault="00844F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06FA67" w14:textId="77777777" w:rsidR="00036B87" w:rsidRDefault="00036B87" w:rsidP="00E4342A">
      <w:pPr>
        <w:spacing w:line="240" w:lineRule="auto"/>
      </w:pPr>
      <w:r>
        <w:separator/>
      </w:r>
    </w:p>
  </w:footnote>
  <w:footnote w:type="continuationSeparator" w:id="0">
    <w:p w14:paraId="396D8294" w14:textId="77777777" w:rsidR="00036B87" w:rsidRDefault="00036B87" w:rsidP="00E4342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4CF34E" w14:textId="77777777" w:rsidR="00844FD7" w:rsidRDefault="00844FD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264A36" w14:textId="77777777" w:rsidR="00844FD7" w:rsidRDefault="00844FD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57FF36" w14:textId="77777777" w:rsidR="00844FD7" w:rsidRDefault="00844FD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pStyle w:val="Heading8"/>
      <w:suff w:val="nothing"/>
      <w:lvlText w:val=""/>
      <w:lvlJc w:val="left"/>
      <w:pPr>
        <w:tabs>
          <w:tab w:val="num" w:pos="0"/>
        </w:tabs>
        <w:ind w:left="1440" w:hanging="1440"/>
      </w:pPr>
    </w:lvl>
    <w:lvl w:ilvl="8">
      <w:start w:val="1"/>
      <w:numFmt w:val="none"/>
      <w:pStyle w:val="Heading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none"/>
      <w:pStyle w:val="Heading10"/>
      <w:suff w:val="nothing"/>
      <w:lvlText w:val=""/>
      <w:lvlJc w:val="left"/>
      <w:pPr>
        <w:tabs>
          <w:tab w:val="num" w:pos="0"/>
        </w:tabs>
        <w:ind w:left="432" w:hanging="432"/>
      </w:pPr>
      <w:rPr>
        <w:rFonts w:ascii="Symbol" w:hAnsi="Symbol" w:cs="OpenSymbol"/>
      </w:rPr>
    </w:lvl>
    <w:lvl w:ilvl="1">
      <w:start w:val="1"/>
      <w:numFmt w:val="none"/>
      <w:suff w:val="nothing"/>
      <w:lvlText w:val=""/>
      <w:lvlJc w:val="left"/>
      <w:pPr>
        <w:tabs>
          <w:tab w:val="num" w:pos="0"/>
        </w:tabs>
        <w:ind w:left="576" w:hanging="576"/>
      </w:pPr>
      <w:rPr>
        <w:rFonts w:ascii="OpenSymbol" w:hAnsi="OpenSymbol" w:cs="OpenSymbol"/>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16cid:durableId="1629511855">
    <w:abstractNumId w:val="0"/>
  </w:num>
  <w:num w:numId="2" w16cid:durableId="17878904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0F92"/>
    <w:rsid w:val="00036B87"/>
    <w:rsid w:val="00063042"/>
    <w:rsid w:val="00087583"/>
    <w:rsid w:val="000B34A9"/>
    <w:rsid w:val="000E03F5"/>
    <w:rsid w:val="0014146A"/>
    <w:rsid w:val="00145B87"/>
    <w:rsid w:val="0015472F"/>
    <w:rsid w:val="00154F17"/>
    <w:rsid w:val="00170694"/>
    <w:rsid w:val="00191DF6"/>
    <w:rsid w:val="00195139"/>
    <w:rsid w:val="001B662B"/>
    <w:rsid w:val="001F6F91"/>
    <w:rsid w:val="00203C8F"/>
    <w:rsid w:val="0021090B"/>
    <w:rsid w:val="0024632A"/>
    <w:rsid w:val="00282A07"/>
    <w:rsid w:val="00290B2A"/>
    <w:rsid w:val="00291BCC"/>
    <w:rsid w:val="00295DF7"/>
    <w:rsid w:val="0029642C"/>
    <w:rsid w:val="002B2145"/>
    <w:rsid w:val="002C2013"/>
    <w:rsid w:val="002D21BB"/>
    <w:rsid w:val="002D2D20"/>
    <w:rsid w:val="00305790"/>
    <w:rsid w:val="00334F81"/>
    <w:rsid w:val="00344F7A"/>
    <w:rsid w:val="003523CE"/>
    <w:rsid w:val="00354AD5"/>
    <w:rsid w:val="00396EA3"/>
    <w:rsid w:val="003A261B"/>
    <w:rsid w:val="003C0DF2"/>
    <w:rsid w:val="003C44A3"/>
    <w:rsid w:val="003D0561"/>
    <w:rsid w:val="003D0B76"/>
    <w:rsid w:val="003D746D"/>
    <w:rsid w:val="003D74B1"/>
    <w:rsid w:val="003E0CCB"/>
    <w:rsid w:val="00413648"/>
    <w:rsid w:val="00424437"/>
    <w:rsid w:val="00473B82"/>
    <w:rsid w:val="004950BC"/>
    <w:rsid w:val="004967B8"/>
    <w:rsid w:val="004B2199"/>
    <w:rsid w:val="004B3514"/>
    <w:rsid w:val="004C1C95"/>
    <w:rsid w:val="00557A47"/>
    <w:rsid w:val="0059602C"/>
    <w:rsid w:val="005968F5"/>
    <w:rsid w:val="005A2FE8"/>
    <w:rsid w:val="005B5038"/>
    <w:rsid w:val="005D6D3C"/>
    <w:rsid w:val="0061486E"/>
    <w:rsid w:val="00614B5D"/>
    <w:rsid w:val="0061799F"/>
    <w:rsid w:val="00620B21"/>
    <w:rsid w:val="00632391"/>
    <w:rsid w:val="00647130"/>
    <w:rsid w:val="006578A1"/>
    <w:rsid w:val="006672B2"/>
    <w:rsid w:val="006677F0"/>
    <w:rsid w:val="00671A74"/>
    <w:rsid w:val="0068057F"/>
    <w:rsid w:val="00685107"/>
    <w:rsid w:val="006E296A"/>
    <w:rsid w:val="006F01D4"/>
    <w:rsid w:val="006F7687"/>
    <w:rsid w:val="006F7B3B"/>
    <w:rsid w:val="0072003C"/>
    <w:rsid w:val="007558DE"/>
    <w:rsid w:val="00760629"/>
    <w:rsid w:val="00770EAC"/>
    <w:rsid w:val="007C1729"/>
    <w:rsid w:val="007C5420"/>
    <w:rsid w:val="007F6E66"/>
    <w:rsid w:val="00810230"/>
    <w:rsid w:val="00810AEF"/>
    <w:rsid w:val="00827A31"/>
    <w:rsid w:val="00844FD7"/>
    <w:rsid w:val="0084634B"/>
    <w:rsid w:val="008800B7"/>
    <w:rsid w:val="008A2E14"/>
    <w:rsid w:val="008A6EC8"/>
    <w:rsid w:val="008B04BF"/>
    <w:rsid w:val="008C2BBE"/>
    <w:rsid w:val="008C6C5A"/>
    <w:rsid w:val="008C7E92"/>
    <w:rsid w:val="008D49B1"/>
    <w:rsid w:val="008E160C"/>
    <w:rsid w:val="008F59B2"/>
    <w:rsid w:val="009055A4"/>
    <w:rsid w:val="00910F92"/>
    <w:rsid w:val="00931336"/>
    <w:rsid w:val="00952D96"/>
    <w:rsid w:val="00957BEE"/>
    <w:rsid w:val="00970BF4"/>
    <w:rsid w:val="0097781F"/>
    <w:rsid w:val="00984CA9"/>
    <w:rsid w:val="00984F56"/>
    <w:rsid w:val="00995E9E"/>
    <w:rsid w:val="009A2158"/>
    <w:rsid w:val="009C6C52"/>
    <w:rsid w:val="009D64C6"/>
    <w:rsid w:val="009F1A1A"/>
    <w:rsid w:val="00A16027"/>
    <w:rsid w:val="00A35B15"/>
    <w:rsid w:val="00A52D78"/>
    <w:rsid w:val="00A54149"/>
    <w:rsid w:val="00A56109"/>
    <w:rsid w:val="00A71CDE"/>
    <w:rsid w:val="00A87C9A"/>
    <w:rsid w:val="00AF2C03"/>
    <w:rsid w:val="00B30AE6"/>
    <w:rsid w:val="00B45582"/>
    <w:rsid w:val="00B71607"/>
    <w:rsid w:val="00B76218"/>
    <w:rsid w:val="00B77EDC"/>
    <w:rsid w:val="00B86E10"/>
    <w:rsid w:val="00B96C7F"/>
    <w:rsid w:val="00BC05B7"/>
    <w:rsid w:val="00BC294E"/>
    <w:rsid w:val="00BC78EF"/>
    <w:rsid w:val="00BD373E"/>
    <w:rsid w:val="00BE6AB9"/>
    <w:rsid w:val="00BF2B89"/>
    <w:rsid w:val="00C25EEE"/>
    <w:rsid w:val="00C4406F"/>
    <w:rsid w:val="00C47DD2"/>
    <w:rsid w:val="00C51E38"/>
    <w:rsid w:val="00C6107E"/>
    <w:rsid w:val="00CA385B"/>
    <w:rsid w:val="00CC6B7A"/>
    <w:rsid w:val="00CC75FC"/>
    <w:rsid w:val="00CF7559"/>
    <w:rsid w:val="00D10819"/>
    <w:rsid w:val="00D318EE"/>
    <w:rsid w:val="00D33372"/>
    <w:rsid w:val="00D735D0"/>
    <w:rsid w:val="00D8129B"/>
    <w:rsid w:val="00D82882"/>
    <w:rsid w:val="00D83A0B"/>
    <w:rsid w:val="00D84093"/>
    <w:rsid w:val="00DF6067"/>
    <w:rsid w:val="00E4342A"/>
    <w:rsid w:val="00E534DE"/>
    <w:rsid w:val="00E63FB9"/>
    <w:rsid w:val="00E64953"/>
    <w:rsid w:val="00E81E0E"/>
    <w:rsid w:val="00ED22AE"/>
    <w:rsid w:val="00EE00D2"/>
    <w:rsid w:val="00EF05C9"/>
    <w:rsid w:val="00EF708E"/>
    <w:rsid w:val="00F13156"/>
    <w:rsid w:val="00F157EC"/>
    <w:rsid w:val="00F15BF9"/>
    <w:rsid w:val="00F20040"/>
    <w:rsid w:val="00F52672"/>
    <w:rsid w:val="00F774F3"/>
    <w:rsid w:val="00F9672D"/>
    <w:rsid w:val="00FB004C"/>
    <w:rsid w:val="00FF6EF0"/>
    <w:rsid w:val="023F7C46"/>
    <w:rsid w:val="07BC6716"/>
    <w:rsid w:val="09878EAC"/>
    <w:rsid w:val="0D7BDC4A"/>
    <w:rsid w:val="118CDF15"/>
    <w:rsid w:val="11B6E73F"/>
    <w:rsid w:val="1A003278"/>
    <w:rsid w:val="22744F29"/>
    <w:rsid w:val="22C32BB0"/>
    <w:rsid w:val="24E723B3"/>
    <w:rsid w:val="2672828B"/>
    <w:rsid w:val="270CAF21"/>
    <w:rsid w:val="2724A88E"/>
    <w:rsid w:val="2A85BA02"/>
    <w:rsid w:val="2B2838C5"/>
    <w:rsid w:val="335FE385"/>
    <w:rsid w:val="36CCA125"/>
    <w:rsid w:val="3B16BBE2"/>
    <w:rsid w:val="3CCFAFB4"/>
    <w:rsid w:val="40B6B3F2"/>
    <w:rsid w:val="416D9F52"/>
    <w:rsid w:val="41C07719"/>
    <w:rsid w:val="43D85480"/>
    <w:rsid w:val="44A6D3AB"/>
    <w:rsid w:val="44FB0D33"/>
    <w:rsid w:val="45C66530"/>
    <w:rsid w:val="4846831A"/>
    <w:rsid w:val="498E4CC4"/>
    <w:rsid w:val="4CE6064F"/>
    <w:rsid w:val="4DD7D009"/>
    <w:rsid w:val="4E9809B5"/>
    <w:rsid w:val="4EDD00A4"/>
    <w:rsid w:val="511CDCB7"/>
    <w:rsid w:val="524F1B19"/>
    <w:rsid w:val="56778A79"/>
    <w:rsid w:val="57814300"/>
    <w:rsid w:val="579E9942"/>
    <w:rsid w:val="57DBD57C"/>
    <w:rsid w:val="5D3453B0"/>
    <w:rsid w:val="6021C5BB"/>
    <w:rsid w:val="60BAC361"/>
    <w:rsid w:val="67BB1600"/>
    <w:rsid w:val="6D9F3AB6"/>
    <w:rsid w:val="7129E610"/>
    <w:rsid w:val="72FB6AC7"/>
    <w:rsid w:val="7AB3A4E5"/>
    <w:rsid w:val="7B8F3B9A"/>
    <w:rsid w:val="7D96A778"/>
    <w:rsid w:val="7EEC51F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593BF5B0"/>
  <w15:chartTrackingRefBased/>
  <w15:docId w15:val="{3549C2F7-F604-4C54-A806-8AD87FEB26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val="en-GB"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Heading"/>
    <w:next w:val="BodyText"/>
    <w:qFormat/>
    <w:pPr>
      <w:numPr>
        <w:ilvl w:val="3"/>
        <w:numId w:val="1"/>
      </w:numPr>
      <w:outlineLvl w:val="3"/>
    </w:pPr>
    <w:rPr>
      <w:b/>
      <w:bCs/>
      <w:i/>
      <w:iCs/>
      <w:sz w:val="24"/>
      <w:szCs w:val="24"/>
    </w:rPr>
  </w:style>
  <w:style w:type="paragraph" w:styleId="Heading5">
    <w:name w:val="heading 5"/>
    <w:basedOn w:val="Heading"/>
    <w:next w:val="BodyText"/>
    <w:qFormat/>
    <w:pPr>
      <w:numPr>
        <w:ilvl w:val="4"/>
        <w:numId w:val="1"/>
      </w:numPr>
      <w:outlineLvl w:val="4"/>
    </w:pPr>
    <w:rPr>
      <w:b/>
      <w:bCs/>
      <w:sz w:val="24"/>
      <w:szCs w:val="24"/>
    </w:rPr>
  </w:style>
  <w:style w:type="paragraph" w:styleId="Heading6">
    <w:name w:val="heading 6"/>
    <w:basedOn w:val="Heading"/>
    <w:next w:val="BodyText"/>
    <w:qFormat/>
    <w:pPr>
      <w:numPr>
        <w:ilvl w:val="5"/>
        <w:numId w:val="1"/>
      </w:numPr>
      <w:outlineLvl w:val="5"/>
    </w:pPr>
    <w:rPr>
      <w:b/>
      <w:bCs/>
      <w:sz w:val="21"/>
      <w:szCs w:val="21"/>
    </w:rPr>
  </w:style>
  <w:style w:type="paragraph" w:styleId="Heading7">
    <w:name w:val="heading 7"/>
    <w:basedOn w:val="Heading"/>
    <w:next w:val="BodyText"/>
    <w:qFormat/>
    <w:pPr>
      <w:numPr>
        <w:ilvl w:val="6"/>
        <w:numId w:val="1"/>
      </w:numPr>
      <w:outlineLvl w:val="6"/>
    </w:pPr>
    <w:rPr>
      <w:b/>
      <w:bCs/>
      <w:sz w:val="21"/>
      <w:szCs w:val="21"/>
    </w:rPr>
  </w:style>
  <w:style w:type="paragraph" w:styleId="Heading8">
    <w:name w:val="heading 8"/>
    <w:basedOn w:val="Heading"/>
    <w:next w:val="BodyText"/>
    <w:qFormat/>
    <w:pPr>
      <w:numPr>
        <w:ilvl w:val="7"/>
        <w:numId w:val="1"/>
      </w:numPr>
      <w:outlineLvl w:val="7"/>
    </w:pPr>
    <w:rPr>
      <w:b/>
      <w:bCs/>
      <w:sz w:val="21"/>
      <w:szCs w:val="21"/>
    </w:rPr>
  </w:style>
  <w:style w:type="paragraph" w:styleId="Heading9">
    <w:name w:val="heading 9"/>
    <w:basedOn w:val="Heading"/>
    <w:next w:val="BodyText"/>
    <w:qFormat/>
    <w:pPr>
      <w:numPr>
        <w:ilvl w:val="8"/>
        <w:numId w:val="1"/>
      </w:numPr>
      <w:outlineLvl w:val="8"/>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rPr>
  </w:style>
  <w:style w:type="character" w:customStyle="1" w:styleId="WW8Num2z1">
    <w:name w:val="WW8Num2z1"/>
    <w:rPr>
      <w:rFonts w:ascii="OpenSymbol" w:hAnsi="OpenSymbol" w:cs="OpenSymbol"/>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OpenSymbol"/>
      <w:b w:val="0"/>
      <w:bCs w:val="0"/>
      <w:caps w:val="0"/>
      <w:smallCaps w:val="0"/>
      <w:color w:val="000000"/>
      <w:spacing w:val="0"/>
      <w:sz w:val="26"/>
      <w:szCs w:val="24"/>
      <w:lang w:val="en-US"/>
    </w:rPr>
  </w:style>
  <w:style w:type="character" w:customStyle="1" w:styleId="WW8Num3z1">
    <w:name w:val="WW8Num3z1"/>
    <w:rPr>
      <w:rFonts w:ascii="OpenSymbol" w:hAnsi="OpenSymbol" w:cs="OpenSymbol"/>
    </w:rPr>
  </w:style>
  <w:style w:type="character" w:customStyle="1" w:styleId="WW8Num4z0">
    <w:name w:val="WW8Num4z0"/>
    <w:rPr>
      <w:rFonts w:ascii="Symbol" w:hAnsi="Symbol" w:cs="OpenSymbol"/>
      <w:color w:val="000000"/>
      <w:sz w:val="24"/>
      <w:szCs w:val="24"/>
      <w:lang w:val="en-US"/>
    </w:rPr>
  </w:style>
  <w:style w:type="character" w:customStyle="1" w:styleId="WW8Num4z1">
    <w:name w:val="WW8Num4z1"/>
    <w:rPr>
      <w:rFonts w:ascii="OpenSymbol" w:hAnsi="OpenSymbol" w:cs="OpenSymbol"/>
    </w:rPr>
  </w:style>
  <w:style w:type="character" w:customStyle="1" w:styleId="WW8Num5z0">
    <w:name w:val="WW8Num5z0"/>
    <w:rPr>
      <w:rFonts w:ascii="Symbol" w:hAnsi="Symbol" w:cs="OpenSymbol"/>
      <w:b w:val="0"/>
      <w:bCs w:val="0"/>
      <w:color w:val="000000"/>
      <w:sz w:val="24"/>
      <w:szCs w:val="24"/>
      <w:lang w:val="en-US"/>
    </w:rPr>
  </w:style>
  <w:style w:type="character" w:customStyle="1" w:styleId="WW8Num5z1">
    <w:name w:val="WW8Num5z1"/>
    <w:rPr>
      <w:rFonts w:ascii="OpenSymbol" w:hAnsi="OpenSymbol" w:cs="OpenSymbol"/>
    </w:rPr>
  </w:style>
  <w:style w:type="character" w:customStyle="1" w:styleId="WW8Num6z0">
    <w:name w:val="WW8Num6z0"/>
    <w:rPr>
      <w:rFonts w:ascii="Symbol" w:hAnsi="Symbol" w:cs="OpenSymbol"/>
      <w:b w:val="0"/>
      <w:bCs w:val="0"/>
      <w:color w:val="000000"/>
    </w:rPr>
  </w:style>
  <w:style w:type="character" w:customStyle="1" w:styleId="WW8Num6z1">
    <w:name w:val="WW8Num6z1"/>
    <w:rPr>
      <w:rFonts w:ascii="OpenSymbol" w:hAnsi="OpenSymbol" w:cs="OpenSymbol"/>
    </w:rPr>
  </w:style>
  <w:style w:type="character" w:customStyle="1" w:styleId="WW8Num7z0">
    <w:name w:val="WW8Num7z0"/>
    <w:rPr>
      <w:rFonts w:ascii="Symbol" w:hAnsi="Symbol" w:cs="OpenSymbol"/>
      <w:b w:val="0"/>
      <w:bCs w:val="0"/>
      <w:sz w:val="24"/>
      <w:szCs w:val="24"/>
    </w:rPr>
  </w:style>
  <w:style w:type="character" w:customStyle="1" w:styleId="WW8Num7z1">
    <w:name w:val="WW8Num7z1"/>
    <w:rPr>
      <w:rFonts w:ascii="OpenSymbol" w:hAnsi="OpenSymbol" w:cs="OpenSymbol"/>
    </w:rPr>
  </w:style>
  <w:style w:type="character" w:customStyle="1" w:styleId="WW8Num8z0">
    <w:name w:val="WW8Num8z0"/>
    <w:rPr>
      <w:rFonts w:ascii="Symbol" w:hAnsi="Symbol" w:cs="OpenSymbol"/>
      <w:sz w:val="24"/>
      <w:szCs w:val="24"/>
    </w:rPr>
  </w:style>
  <w:style w:type="character" w:customStyle="1" w:styleId="WW8Num8z1">
    <w:name w:val="WW8Num8z1"/>
    <w:rPr>
      <w:rFonts w:ascii="OpenSymbol" w:hAnsi="OpenSymbol" w:cs="OpenSymbol"/>
    </w:rPr>
  </w:style>
  <w:style w:type="character" w:customStyle="1" w:styleId="WW8Num9z0">
    <w:name w:val="WW8Num9z0"/>
    <w:rPr>
      <w:rFonts w:ascii="Symbol" w:hAnsi="Symbol" w:cs="Symbol"/>
      <w:color w:val="FF0000"/>
      <w:sz w:val="24"/>
      <w:szCs w:val="24"/>
      <w:shd w:val="clear" w:color="auto" w:fill="FFFFFF"/>
    </w:rPr>
  </w:style>
  <w:style w:type="character" w:customStyle="1" w:styleId="WW8Num9z1">
    <w:name w:val="WW8Num9z1"/>
    <w:rPr>
      <w:rFonts w:ascii="Courier New" w:hAnsi="Courier New" w:cs="Courier New"/>
    </w:rPr>
  </w:style>
  <w:style w:type="character" w:customStyle="1" w:styleId="WW8Num10z0">
    <w:name w:val="WW8Num10z0"/>
    <w:rPr>
      <w:rFonts w:ascii="Symbol" w:hAnsi="Symbol" w:cs="Symbol"/>
      <w:b w:val="0"/>
      <w:bCs w:val="0"/>
      <w:color w:val="FF0000"/>
    </w:rPr>
  </w:style>
  <w:style w:type="character" w:customStyle="1" w:styleId="WW8Num10z1">
    <w:name w:val="WW8Num10z1"/>
    <w:rPr>
      <w:rFonts w:ascii="Courier New" w:hAnsi="Courier New" w:cs="Courier New"/>
    </w:rPr>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10z2">
    <w:name w:val="WW8Num10z2"/>
    <w:rPr>
      <w:rFonts w:ascii="Wingdings" w:hAnsi="Wingdings" w:cs="Wingdings"/>
    </w:rPr>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3z2">
    <w:name w:val="WW8Num3z2"/>
  </w:style>
  <w:style w:type="character" w:customStyle="1" w:styleId="WW8Num4z2">
    <w:name w:val="WW8Num4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DefaultParagraphFont">
    <w:name w:val="WW-Default Paragraph Font"/>
  </w:style>
  <w:style w:type="character" w:customStyle="1" w:styleId="WW-DefaultParagraphFont1">
    <w:name w:val="WW-Default Paragraph Font1"/>
  </w:style>
  <w:style w:type="character" w:customStyle="1" w:styleId="WW-DefaultParagraphFont11">
    <w:name w:val="WW-Default Paragraph Font11"/>
  </w:style>
  <w:style w:type="character" w:customStyle="1" w:styleId="WW-DefaultParagraphFont111">
    <w:name w:val="WW-Default Paragraph Font111"/>
  </w:style>
  <w:style w:type="character" w:customStyle="1" w:styleId="HeaderChar">
    <w:name w:val="Header Char"/>
    <w:basedOn w:val="WW-DefaultParagraphFont111"/>
    <w:uiPriority w:val="99"/>
  </w:style>
  <w:style w:type="character" w:customStyle="1" w:styleId="FooterChar">
    <w:name w:val="Footer Char"/>
    <w:basedOn w:val="WW-DefaultParagraphFont111"/>
    <w:uiPriority w:val="99"/>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b/>
      <w:bCs/>
    </w:rPr>
  </w:style>
  <w:style w:type="character" w:styleId="Hyperlink">
    <w:name w:val="Hyperlink"/>
    <w:rPr>
      <w:color w:val="000080"/>
      <w:u w:val="single"/>
    </w:rPr>
  </w:style>
  <w:style w:type="character" w:customStyle="1" w:styleId="NumberingSymbols">
    <w:name w:val="Numbering Symbols"/>
  </w:style>
  <w:style w:type="character" w:customStyle="1" w:styleId="IndexLink">
    <w:name w:val="Index Link"/>
  </w:style>
  <w:style w:type="character" w:customStyle="1" w:styleId="ListLabel1">
    <w:name w:val="ListLabel 1"/>
    <w:rPr>
      <w:u w:val="none"/>
    </w:rPr>
  </w:style>
  <w:style w:type="character" w:customStyle="1" w:styleId="WW8Num9z2">
    <w:name w:val="WW8Num9z2"/>
    <w:rPr>
      <w:rFonts w:ascii="Wingdings" w:hAnsi="Wingdings" w:cs="Wingdings"/>
    </w:rPr>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uiPriority w:val="99"/>
    <w:pPr>
      <w:tabs>
        <w:tab w:val="center" w:pos="4680"/>
        <w:tab w:val="right" w:pos="9360"/>
      </w:tabs>
      <w:spacing w:line="240" w:lineRule="auto"/>
    </w:pPr>
  </w:style>
  <w:style w:type="paragraph" w:styleId="Footer">
    <w:name w:val="footer"/>
    <w:basedOn w:val="Normal"/>
    <w:uiPriority w:val="99"/>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val="en-GB" w:eastAsia="hi-IN" w:bidi="hi-IN"/>
    </w:rPr>
  </w:style>
  <w:style w:type="paragraph" w:customStyle="1" w:styleId="Heading10">
    <w:name w:val="Heading 10"/>
    <w:basedOn w:val="Heading"/>
    <w:next w:val="BodyText"/>
    <w:pPr>
      <w:numPr>
        <w:numId w:val="2"/>
      </w:numPr>
    </w:pPr>
    <w:rPr>
      <w:b/>
      <w:bCs/>
      <w:sz w:val="21"/>
      <w:szCs w:val="21"/>
    </w:rPr>
  </w:style>
  <w:style w:type="paragraph" w:styleId="TOC1">
    <w:name w:val="toc 1"/>
    <w:basedOn w:val="Index"/>
    <w:pPr>
      <w:tabs>
        <w:tab w:val="right" w:leader="dot" w:pos="9360"/>
      </w:tabs>
    </w:pPr>
  </w:style>
  <w:style w:type="paragraph" w:styleId="TOC2">
    <w:name w:val="toc 2"/>
    <w:basedOn w:val="Index"/>
    <w:pPr>
      <w:tabs>
        <w:tab w:val="right" w:leader="dot" w:pos="9355"/>
      </w:tabs>
      <w:ind w:left="283"/>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styleId="ListParagraph">
    <w:name w:val="List Paragraph"/>
    <w:basedOn w:val="Normal"/>
    <w:qFormat/>
    <w:pPr>
      <w:ind w:left="720"/>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Standard">
    <w:name w:val="Standard"/>
    <w:pPr>
      <w:suppressAutoHyphens/>
      <w:spacing w:line="360" w:lineRule="auto"/>
      <w:jc w:val="both"/>
      <w:textAlignment w:val="baseline"/>
    </w:pPr>
    <w:rPr>
      <w:rFonts w:eastAsia="Calibri"/>
      <w:color w:val="000000"/>
      <w:kern w:val="1"/>
      <w:sz w:val="24"/>
      <w:szCs w:val="22"/>
      <w:lang w:val="en-GB" w:eastAsia="ar-SA"/>
    </w:rPr>
  </w:style>
  <w:style w:type="paragraph" w:customStyle="1" w:styleId="TableParagraph">
    <w:name w:val="Table Paragraph"/>
    <w:basedOn w:val="Normal"/>
    <w:rPr>
      <w:rFonts w:ascii="Arial MT" w:eastAsia="Arial MT" w:hAnsi="Arial MT" w:cs="Arial MT"/>
      <w:lang w:val="en-US"/>
    </w:rPr>
  </w:style>
  <w:style w:type="character" w:customStyle="1" w:styleId="DefaultParagraphFont0">
    <w:name w:val="Default Paragraph Font0"/>
    <w:rsid w:val="00B77EDC"/>
  </w:style>
  <w:style w:type="paragraph" w:customStyle="1" w:styleId="Normal0">
    <w:name w:val="Normal0"/>
    <w:rsid w:val="00B77EDC"/>
    <w:pPr>
      <w:widowControl w:val="0"/>
      <w:suppressAutoHyphens/>
    </w:pPr>
    <w:rPr>
      <w:rFonts w:ascii="Tinos" w:eastAsia="Noto Sans CJK SC" w:hAnsi="Tinos" w:cs="DejaVu Sans"/>
      <w:sz w:val="24"/>
      <w:szCs w:val="24"/>
      <w:lang w:val="en-GB"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7181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Esr15</b:Tag>
    <b:SourceType>InternetSite</b:SourceType>
    <b:Guid>{A70B83DB-E1E8-42AF-8AAE-BFC0346D1E3C}</b:Guid>
    <b:Author>
      <b:Author>
        <b:Corporate>Esri UK&amp;Ireland</b:Corporate>
      </b:Author>
    </b:Author>
    <b:Title>Newham Council</b:Title>
    <b:Year>2015</b:Year>
    <b:YearAccessed>2023</b:YearAccessed>
    <b:MonthAccessed>08</b:MonthAccessed>
    <b:DayAccessed>20</b:DayAccessed>
    <b:URL>https://resource.esriuk.com/esri-resources/newham-council/</b:URL>
    <b:RefOrder>1</b:RefOrder>
  </b:Source>
</b:Sources>
</file>

<file path=customXml/item3.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8" ma:contentTypeDescription="Create a new document." ma:contentTypeScope="" ma:versionID="68366da12fa61eed40687bbd6f2b7404">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90619d96cd80b18380ee4377855d027b"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21B5ED7-C3B8-4878-9527-E92CB5F87F3B}">
  <ds:schemaRefs>
    <ds:schemaRef ds:uri="http://schemas.microsoft.com/office/2006/metadata/properties"/>
    <ds:schemaRef ds:uri="http://schemas.microsoft.com/office/infopath/2007/PartnerControls"/>
    <ds:schemaRef ds:uri="d8e79d84-78fb-44a9-92e9-d04bdd8f0359"/>
  </ds:schemaRefs>
</ds:datastoreItem>
</file>

<file path=customXml/itemProps2.xml><?xml version="1.0" encoding="utf-8"?>
<ds:datastoreItem xmlns:ds="http://schemas.openxmlformats.org/officeDocument/2006/customXml" ds:itemID="{6BF94C81-93FE-4202-853A-B6E2B46021C8}">
  <ds:schemaRefs>
    <ds:schemaRef ds:uri="http://schemas.openxmlformats.org/officeDocument/2006/bibliography"/>
  </ds:schemaRefs>
</ds:datastoreItem>
</file>

<file path=customXml/itemProps3.xml><?xml version="1.0" encoding="utf-8"?>
<ds:datastoreItem xmlns:ds="http://schemas.openxmlformats.org/officeDocument/2006/customXml" ds:itemID="{A023E281-7EE7-488C-84D1-B604B20653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90124E4-CD94-43CB-A2D8-576828789A4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9</Pages>
  <Words>2082</Words>
  <Characters>11872</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13927</CharactersWithSpaces>
  <SharedDoc>false</SharedDoc>
  <HLinks>
    <vt:vector size="12" baseType="variant">
      <vt:variant>
        <vt:i4>196730</vt:i4>
      </vt:variant>
      <vt:variant>
        <vt:i4>5</vt:i4>
      </vt:variant>
      <vt:variant>
        <vt:i4>0</vt:i4>
      </vt:variant>
      <vt:variant>
        <vt:i4>5</vt:i4>
      </vt:variant>
      <vt:variant>
        <vt:lpwstr/>
      </vt:variant>
      <vt:variant>
        <vt:lpwstr>__RefHeading__18763_1565363234</vt:lpwstr>
      </vt:variant>
      <vt:variant>
        <vt:i4>196728</vt:i4>
      </vt:variant>
      <vt:variant>
        <vt:i4>2</vt:i4>
      </vt:variant>
      <vt:variant>
        <vt:i4>0</vt:i4>
      </vt:variant>
      <vt:variant>
        <vt:i4>5</vt:i4>
      </vt:variant>
      <vt:variant>
        <vt:lpwstr/>
      </vt:variant>
      <vt:variant>
        <vt:lpwstr>__RefHeading__18761_1565363234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Ivelina Georgieva-Draganova (2235428)</cp:lastModifiedBy>
  <cp:revision>12</cp:revision>
  <cp:lastPrinted>1900-01-01T08:00:00Z</cp:lastPrinted>
  <dcterms:created xsi:type="dcterms:W3CDTF">2023-08-25T18:51:00Z</dcterms:created>
  <dcterms:modified xsi:type="dcterms:W3CDTF">2023-08-27T18:15:00Z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