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hint="default" w:ascii="Arial" w:hAnsi="Arial" w:cs="Arial"/>
          <w:sz w:val="22"/>
          <w:szCs w:val="22"/>
        </w:rPr>
      </w:pPr>
      <w:r>
        <w:rPr>
          <w:rFonts w:hint="default" w:ascii="Arial" w:hAnsi="Arial" w:cs="Arial"/>
          <w:sz w:val="22"/>
          <w:szCs w:val="22"/>
        </w:rPr>
        <w:drawing>
          <wp:anchor distT="0" distB="0" distL="114300" distR="114300" simplePos="0" relativeHeight="251659264" behindDoc="0" locked="0" layoutInCell="1" allowOverlap="1">
            <wp:simplePos x="0" y="0"/>
            <wp:positionH relativeFrom="column">
              <wp:posOffset>0</wp:posOffset>
            </wp:positionH>
            <wp:positionV relativeFrom="paragraph">
              <wp:posOffset>292100</wp:posOffset>
            </wp:positionV>
            <wp:extent cx="1809750" cy="72390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tabs>
          <w:tab w:val="left" w:pos="6540"/>
        </w:tabs>
        <w:spacing w:line="360" w:lineRule="auto"/>
        <w:jc w:val="both"/>
        <w:rPr>
          <w:rFonts w:hint="default" w:ascii="Arial" w:hAnsi="Arial" w:cs="Arial"/>
          <w:sz w:val="22"/>
          <w:szCs w:val="22"/>
        </w:rPr>
      </w:pPr>
    </w:p>
    <w:p>
      <w:pPr>
        <w:tabs>
          <w:tab w:val="left" w:pos="6540"/>
        </w:tabs>
        <w:spacing w:line="360" w:lineRule="auto"/>
        <w:jc w:val="both"/>
        <w:rPr>
          <w:rFonts w:hint="default" w:ascii="Arial" w:hAnsi="Arial" w:cs="Arial"/>
          <w:b/>
          <w:bCs/>
          <w:sz w:val="22"/>
          <w:szCs w:val="22"/>
          <w:lang w:val="nl-NL"/>
        </w:rPr>
      </w:pPr>
      <w:r>
        <w:rPr>
          <w:rFonts w:hint="default" w:ascii="Arial" w:hAnsi="Arial" w:cs="Arial"/>
          <w:b/>
          <w:bCs/>
          <w:sz w:val="22"/>
          <w:szCs w:val="22"/>
          <w:lang w:val="nl-NL"/>
        </w:rPr>
        <w:t xml:space="preserve">Module name: </w:t>
      </w:r>
      <w:r>
        <w:rPr>
          <w:rFonts w:hint="default" w:ascii="Arial" w:hAnsi="Arial" w:cs="Arial"/>
          <w:b/>
          <w:bCs/>
          <w:sz w:val="22"/>
          <w:szCs w:val="22"/>
          <w:lang w:val="en-US"/>
        </w:rPr>
        <w:t xml:space="preserve">   </w:t>
      </w:r>
      <w:r>
        <w:rPr>
          <w:rFonts w:hint="default" w:ascii="Arial" w:hAnsi="Arial" w:cs="Arial"/>
          <w:b/>
          <w:bCs/>
          <w:sz w:val="22"/>
          <w:szCs w:val="22"/>
        </w:rPr>
        <w:t xml:space="preserve">Introduction to </w:t>
      </w:r>
      <w:r>
        <w:rPr>
          <w:rFonts w:hint="default" w:ascii="Arial" w:hAnsi="Arial" w:cs="Arial"/>
          <w:b/>
          <w:bCs/>
          <w:sz w:val="22"/>
          <w:szCs w:val="22"/>
          <w:lang w:val="en-US"/>
        </w:rPr>
        <w:t>Public Health</w:t>
      </w:r>
    </w:p>
    <w:p>
      <w:pPr>
        <w:tabs>
          <w:tab w:val="left" w:pos="6540"/>
        </w:tabs>
        <w:spacing w:line="360" w:lineRule="auto"/>
        <w:jc w:val="both"/>
        <w:rPr>
          <w:rStyle w:val="7"/>
          <w:rFonts w:hint="default" w:ascii="Arial" w:hAnsi="Arial" w:eastAsia="Segoe UI" w:cs="Arial"/>
          <w:b/>
          <w:bCs/>
          <w:i w:val="0"/>
          <w:iCs w:val="0"/>
          <w:caps w:val="0"/>
          <w:color w:val="1D2125"/>
          <w:spacing w:val="0"/>
          <w:sz w:val="22"/>
          <w:szCs w:val="22"/>
          <w:shd w:val="clear" w:fill="FFFFFF"/>
          <w:lang w:val="en-US"/>
        </w:rPr>
      </w:pPr>
      <w:r>
        <w:rPr>
          <w:rFonts w:hint="default" w:ascii="Arial" w:hAnsi="Arial" w:cs="Arial"/>
          <w:b/>
          <w:bCs/>
          <w:sz w:val="22"/>
          <w:szCs w:val="22"/>
        </w:rPr>
        <w:t>Module code</w:t>
      </w:r>
      <w:r>
        <w:rPr>
          <w:rFonts w:hint="default" w:ascii="Arial" w:hAnsi="Arial" w:cs="Arial"/>
          <w:sz w:val="22"/>
          <w:szCs w:val="22"/>
        </w:rPr>
        <w:t>:</w:t>
      </w:r>
      <w:r>
        <w:rPr>
          <w:rFonts w:hint="default" w:ascii="Arial" w:hAnsi="Arial" w:cs="Arial"/>
          <w:sz w:val="22"/>
          <w:szCs w:val="22"/>
          <w:lang w:val="en-US"/>
        </w:rPr>
        <w:t xml:space="preserve">     </w:t>
      </w:r>
      <w:r>
        <w:rPr>
          <w:rStyle w:val="7"/>
          <w:rFonts w:hint="default" w:ascii="Arial" w:hAnsi="Arial" w:eastAsia="Segoe UI" w:cs="Arial"/>
          <w:b/>
          <w:bCs/>
          <w:i w:val="0"/>
          <w:iCs w:val="0"/>
          <w:caps w:val="0"/>
          <w:color w:val="1D2125"/>
          <w:spacing w:val="0"/>
          <w:sz w:val="22"/>
          <w:szCs w:val="22"/>
          <w:shd w:val="clear" w:fill="FFFFFF"/>
        </w:rPr>
        <w:t>LCHS400</w:t>
      </w:r>
      <w:r>
        <w:rPr>
          <w:rStyle w:val="7"/>
          <w:rFonts w:hint="default" w:ascii="Arial" w:hAnsi="Arial" w:eastAsia="Segoe UI" w:cs="Arial"/>
          <w:b/>
          <w:bCs/>
          <w:i w:val="0"/>
          <w:iCs w:val="0"/>
          <w:caps w:val="0"/>
          <w:color w:val="1D2125"/>
          <w:spacing w:val="0"/>
          <w:sz w:val="22"/>
          <w:szCs w:val="22"/>
          <w:shd w:val="clear" w:fill="FFFFFF"/>
          <w:lang w:val="en-US"/>
        </w:rPr>
        <w:t>8</w:t>
      </w:r>
    </w:p>
    <w:p>
      <w:pPr>
        <w:tabs>
          <w:tab w:val="left" w:pos="6540"/>
        </w:tabs>
        <w:spacing w:line="360" w:lineRule="auto"/>
        <w:jc w:val="both"/>
        <w:rPr>
          <w:rStyle w:val="7"/>
          <w:rFonts w:hint="default" w:ascii="Arial" w:hAnsi="Arial" w:eastAsia="Segoe UI" w:cs="Arial"/>
          <w:b/>
          <w:bCs/>
          <w:i w:val="0"/>
          <w:iCs w:val="0"/>
          <w:caps w:val="0"/>
          <w:color w:val="1D2125"/>
          <w:spacing w:val="0"/>
          <w:sz w:val="22"/>
          <w:szCs w:val="22"/>
          <w:shd w:val="clear" w:fill="FFFFFF"/>
          <w:lang w:val="en-US"/>
        </w:rPr>
      </w:pPr>
      <w:r>
        <w:rPr>
          <w:rStyle w:val="7"/>
          <w:rFonts w:hint="default" w:ascii="Arial" w:hAnsi="Arial" w:eastAsia="Segoe UI" w:cs="Arial"/>
          <w:b/>
          <w:bCs/>
          <w:i w:val="0"/>
          <w:iCs w:val="0"/>
          <w:caps w:val="0"/>
          <w:color w:val="1D2125"/>
          <w:spacing w:val="0"/>
          <w:sz w:val="22"/>
          <w:szCs w:val="22"/>
          <w:shd w:val="clear" w:fill="FFFFFF"/>
          <w:lang w:val="en-US"/>
        </w:rPr>
        <w:t>Assignment Title:     Write a report of a chosen disease</w:t>
      </w:r>
    </w:p>
    <w:p>
      <w:pPr>
        <w:tabs>
          <w:tab w:val="left" w:pos="6540"/>
        </w:tabs>
        <w:spacing w:line="360" w:lineRule="auto"/>
        <w:jc w:val="both"/>
        <w:rPr>
          <w:rFonts w:hint="default" w:ascii="Arial" w:hAnsi="Arial" w:cs="Arial"/>
          <w:b/>
          <w:bCs/>
          <w:sz w:val="22"/>
          <w:szCs w:val="22"/>
          <w:lang w:val="nl-NL"/>
        </w:rPr>
      </w:pPr>
    </w:p>
    <w:p>
      <w:pPr>
        <w:tabs>
          <w:tab w:val="left" w:pos="6540"/>
        </w:tabs>
        <w:spacing w:line="360" w:lineRule="auto"/>
        <w:jc w:val="both"/>
        <w:rPr>
          <w:rFonts w:hint="default" w:ascii="Arial" w:hAnsi="Arial" w:cs="Arial"/>
          <w:sz w:val="22"/>
          <w:szCs w:val="22"/>
          <w:lang w:val="nl-NL"/>
        </w:rPr>
      </w:pPr>
      <w:r>
        <w:rPr>
          <w:rFonts w:hint="default" w:ascii="Arial" w:hAnsi="Arial" w:cs="Arial"/>
          <w:b/>
          <w:bCs/>
          <w:sz w:val="22"/>
          <w:szCs w:val="22"/>
          <w:lang w:val="nl-NL"/>
        </w:rPr>
        <w:t>Student name</w:t>
      </w:r>
      <w:r>
        <w:rPr>
          <w:rFonts w:hint="default" w:ascii="Arial" w:hAnsi="Arial" w:cs="Arial"/>
          <w:sz w:val="22"/>
          <w:szCs w:val="22"/>
          <w:lang w:val="nl-NL"/>
        </w:rPr>
        <w:t>:</w:t>
      </w:r>
      <w:r>
        <w:rPr>
          <w:rFonts w:hint="default" w:ascii="Arial" w:hAnsi="Arial" w:cs="Arial"/>
          <w:sz w:val="22"/>
          <w:szCs w:val="22"/>
          <w:lang w:val="en-US"/>
        </w:rPr>
        <w:t xml:space="preserve">   </w:t>
      </w:r>
      <w:r>
        <w:rPr>
          <w:rFonts w:hint="default" w:ascii="Arial" w:hAnsi="Arial" w:cs="Arial"/>
          <w:b/>
          <w:bCs/>
          <w:sz w:val="22"/>
          <w:szCs w:val="22"/>
          <w:lang w:val="en-US"/>
        </w:rPr>
        <w:t>Wasiu Olagbemiga Yusuph</w:t>
      </w:r>
    </w:p>
    <w:p>
      <w:pPr>
        <w:tabs>
          <w:tab w:val="left" w:pos="6540"/>
        </w:tabs>
        <w:spacing w:line="360" w:lineRule="auto"/>
        <w:jc w:val="both"/>
        <w:rPr>
          <w:rFonts w:hint="default" w:ascii="Arial" w:hAnsi="Arial" w:cs="Arial"/>
          <w:sz w:val="22"/>
          <w:szCs w:val="22"/>
          <w:lang w:val="en-US"/>
        </w:rPr>
      </w:pPr>
      <w:r>
        <w:rPr>
          <w:rFonts w:hint="default" w:ascii="Arial" w:hAnsi="Arial" w:cs="Arial"/>
          <w:b/>
          <w:bCs/>
          <w:sz w:val="22"/>
          <w:szCs w:val="22"/>
          <w:lang w:val="nl-NL"/>
        </w:rPr>
        <w:t>Student ID</w:t>
      </w:r>
      <w:r>
        <w:rPr>
          <w:rFonts w:hint="default" w:ascii="Arial" w:hAnsi="Arial" w:cs="Arial"/>
          <w:sz w:val="22"/>
          <w:szCs w:val="22"/>
          <w:lang w:val="nl-NL"/>
        </w:rPr>
        <w:t>:</w:t>
      </w:r>
      <w:r>
        <w:rPr>
          <w:rFonts w:hint="default" w:ascii="Arial" w:hAnsi="Arial" w:cs="Arial"/>
          <w:sz w:val="22"/>
          <w:szCs w:val="22"/>
          <w:lang w:val="en-US"/>
        </w:rPr>
        <w:t xml:space="preserve">         </w:t>
      </w:r>
      <w:r>
        <w:rPr>
          <w:rFonts w:hint="default" w:ascii="Arial" w:hAnsi="Arial" w:cs="Arial"/>
          <w:b/>
          <w:bCs/>
          <w:sz w:val="22"/>
          <w:szCs w:val="22"/>
          <w:lang w:val="en-US"/>
        </w:rPr>
        <w:t>2509130</w:t>
      </w:r>
    </w:p>
    <w:p>
      <w:pPr>
        <w:tabs>
          <w:tab w:val="left" w:pos="6540"/>
        </w:tabs>
        <w:spacing w:line="360" w:lineRule="auto"/>
        <w:jc w:val="both"/>
        <w:rPr>
          <w:rFonts w:hint="default" w:ascii="Arial" w:hAnsi="Arial" w:cs="Arial"/>
          <w:sz w:val="22"/>
          <w:szCs w:val="22"/>
          <w:lang w:val="nl-NL"/>
        </w:rPr>
      </w:pPr>
    </w:p>
    <w:p>
      <w:pPr>
        <w:tabs>
          <w:tab w:val="left" w:pos="6540"/>
        </w:tabs>
        <w:spacing w:line="360" w:lineRule="auto"/>
        <w:jc w:val="both"/>
        <w:rPr>
          <w:rFonts w:hint="default" w:ascii="Arial" w:hAnsi="Arial" w:cs="Arial"/>
          <w:sz w:val="22"/>
          <w:szCs w:val="22"/>
          <w:lang w:val="en-US"/>
        </w:rPr>
      </w:pPr>
      <w:r>
        <w:rPr>
          <w:rFonts w:hint="default" w:ascii="Arial" w:hAnsi="Arial" w:cs="Arial"/>
          <w:b/>
          <w:bCs/>
          <w:sz w:val="22"/>
          <w:szCs w:val="22"/>
        </w:rPr>
        <w:t>Lecturer’s name:</w:t>
      </w:r>
      <w:r>
        <w:rPr>
          <w:rFonts w:hint="default" w:ascii="Arial" w:hAnsi="Arial" w:cs="Arial"/>
          <w:b/>
          <w:bCs/>
          <w:sz w:val="22"/>
          <w:szCs w:val="22"/>
          <w:lang w:val="en-US"/>
        </w:rPr>
        <w:t xml:space="preserve"> Arif Ahmed</w:t>
      </w:r>
    </w:p>
    <w:p>
      <w:pPr>
        <w:tabs>
          <w:tab w:val="left" w:pos="6540"/>
        </w:tabs>
        <w:spacing w:line="360" w:lineRule="auto"/>
        <w:jc w:val="both"/>
        <w:rPr>
          <w:rFonts w:hint="default" w:ascii="Arial" w:hAnsi="Arial" w:cs="Arial"/>
          <w:sz w:val="22"/>
          <w:szCs w:val="22"/>
        </w:rPr>
      </w:pPr>
    </w:p>
    <w:p>
      <w:pPr>
        <w:tabs>
          <w:tab w:val="left" w:pos="6540"/>
        </w:tabs>
        <w:spacing w:line="360" w:lineRule="auto"/>
        <w:jc w:val="both"/>
        <w:rPr>
          <w:rFonts w:hint="default" w:ascii="Arial" w:hAnsi="Arial" w:cs="Arial"/>
          <w:sz w:val="22"/>
          <w:szCs w:val="22"/>
        </w:rPr>
      </w:pPr>
    </w:p>
    <w:p>
      <w:pPr>
        <w:tabs>
          <w:tab w:val="left" w:pos="6540"/>
        </w:tabs>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r>
        <w:rPr>
          <w:rFonts w:hint="default" w:ascii="Arial" w:hAnsi="Arial" w:cs="Arial"/>
          <w:sz w:val="22"/>
          <w:szCs w:val="22"/>
        </w:rPr>
        <w:br w:type="page"/>
      </w:r>
    </w:p>
    <w:p>
      <w:pPr>
        <w:spacing w:line="360" w:lineRule="auto"/>
        <w:jc w:val="center"/>
        <w:rPr>
          <w:rFonts w:hint="default" w:ascii="Arial" w:hAnsi="Arial" w:eastAsia="SimSun" w:cs="Arial"/>
          <w:b/>
          <w:bCs/>
          <w:sz w:val="28"/>
          <w:szCs w:val="28"/>
        </w:rPr>
      </w:pPr>
      <w:r>
        <w:rPr>
          <w:rFonts w:hint="default" w:ascii="Arial" w:hAnsi="Arial" w:eastAsia="SimSun" w:cs="Arial"/>
          <w:b/>
          <w:bCs/>
          <w:sz w:val="28"/>
          <w:szCs w:val="28"/>
        </w:rPr>
        <w:t>Report on Tuberculosis (TB): Incidence, Monitoring, Control, Consequences, and Community Support</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sz w:val="22"/>
          <w:szCs w:val="22"/>
          <w:lang w:val="en-US"/>
        </w:rPr>
      </w:pPr>
      <w:r>
        <w:rPr>
          <w:rFonts w:hint="default" w:ascii="Arial" w:hAnsi="Arial" w:eastAsia="SimSun" w:cs="Arial"/>
          <w:b/>
          <w:bCs/>
          <w:sz w:val="22"/>
          <w:szCs w:val="22"/>
        </w:rPr>
        <w:t>Introductio</w:t>
      </w:r>
      <w:r>
        <w:rPr>
          <w:rFonts w:hint="default" w:ascii="Arial" w:hAnsi="Arial" w:eastAsia="SimSun" w:cs="Arial"/>
          <w:b/>
          <w:bCs/>
          <w:sz w:val="22"/>
          <w:szCs w:val="22"/>
          <w:lang w:val="en-US"/>
        </w:rPr>
        <w:t>n</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Tuberculosis (TB) is a contagious bacterial infection caused primarily by Mycobacterium tuberculosis. It most commonly affects the lungs (pulmonary TB) but can spread to other organs, including the brain, kidneys, and spine (extrapulmonary TB). The classic signs and symptoms include a persistent cough lasting more than three weeks, often producing blood-stained sputum, night sweats, unexplained weight loss, fever, and fatigue. The severity of TB as a global health issue is underscored by the World Health Organization (WHO, 2022) report that 10.6 million people fell ill with TB worldwide, and 1.6 million died, making it the second leading infectious killer after COVID-19. In the United Kingdom, TB is less common but remains a public health concern. According to the UK Health Security Agency (UKHSA, 2023), there were approximately 4,500 notified cases in England in 2022, with incidence rates highest in urban centres such as London, particularly among migrant populations, homeless individuals, and those with social risk factors.</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b/>
          <w:bCs/>
          <w:sz w:val="22"/>
          <w:szCs w:val="22"/>
        </w:rPr>
      </w:pPr>
      <w:r>
        <w:rPr>
          <w:rFonts w:hint="default" w:ascii="Arial" w:hAnsi="Arial" w:eastAsia="SimSun" w:cs="Arial"/>
          <w:b/>
          <w:bCs/>
          <w:sz w:val="22"/>
          <w:szCs w:val="22"/>
        </w:rPr>
        <w:t>Approaches Used to Measure and Monitor Tuberculosis</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Measuring and monitoring TB requires a multi-layered surveillance system that integrates clinical, laboratory, and epidemiological data. The primary approaches include:</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1. Notifiable Disease Reporting: In the UK, TB is a legally notifiable disease under the Public Health (Control of Disease) Act 1984. Any clinician diagnosing a suspected or confirmed case must notify the local health protection team within 24 hours. This triggers contact tracing and public health response.</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2. Laboratory Surveillance: The UK’s Mycobacterial Surveillance Network (MycobNet) collects data on all culture-confirmed TB cases, including drug sensitivity testing. Whole-genome sequencing (WGS) is now routinely used to identify clusters of transmission, distinguishing between reactivation of latent infection and recent person-to-person spread.</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3. Radiological Screening: Chest X-rays are a key monitoring tool, particularly for pulmonary TB. Mass miniature radiography (MMR) was historically used for population screening; today, targeted screening occurs in high-risk groups such as prisoners and homeless hostel residents.</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4. Latent TB Infection (LTBI) Testing: Two tests measure latent infection (where bacteria are present but not causing illness): the tuberculin skin test (Mantoux) and interferon-gamma release assays (IGRAs). Monitoring LTBI prevalence helps predict future active TB risk.</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5. Treatment Outcome Monitoring: National TB surveillance systems record whether patients complete treatment, are cured, fail treatment, die, or are lost to follow-up. The WHO’s End TB Strategy sets targets of ≥90% treatment success for new cases.</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6. Mortality and Morbidity Data: Death certificates and hospital episode statistics (HES) in the UK provide data on TB-related deaths, while disability-adjusted life years (DALYs) measure the overall disease burden.</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b/>
          <w:bCs/>
          <w:sz w:val="22"/>
          <w:szCs w:val="22"/>
        </w:rPr>
      </w:pPr>
      <w:r>
        <w:rPr>
          <w:rFonts w:hint="default" w:ascii="Arial" w:hAnsi="Arial" w:eastAsia="SimSun" w:cs="Arial"/>
          <w:b/>
          <w:bCs/>
          <w:sz w:val="22"/>
          <w:szCs w:val="22"/>
        </w:rPr>
        <w:t>How Tuberculosis is Controlled</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TB control operates at primary, secondary, and tertiary prevention levels, combining biomedical, behavioural, and public health strategies.</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1. Primary Prevention</w:t>
      </w:r>
      <w:r>
        <w:rPr>
          <w:rFonts w:hint="default" w:ascii="Arial" w:hAnsi="Arial" w:eastAsia="SimSun" w:cs="Arial"/>
          <w:sz w:val="22"/>
          <w:szCs w:val="22"/>
          <w:lang w:val="en-US"/>
        </w:rPr>
        <w:t>: This will help in red</w:t>
      </w:r>
      <w:r>
        <w:rPr>
          <w:rFonts w:hint="default" w:ascii="Arial" w:hAnsi="Arial" w:eastAsia="SimSun" w:cs="Arial"/>
          <w:sz w:val="22"/>
          <w:szCs w:val="22"/>
        </w:rPr>
        <w:t xml:space="preserve">ucing </w:t>
      </w:r>
      <w:r>
        <w:rPr>
          <w:rFonts w:hint="default" w:ascii="Arial" w:hAnsi="Arial" w:eastAsia="SimSun" w:cs="Arial"/>
          <w:sz w:val="22"/>
          <w:szCs w:val="22"/>
          <w:lang w:val="en-US"/>
        </w:rPr>
        <w:t>t</w:t>
      </w:r>
      <w:r>
        <w:rPr>
          <w:rFonts w:hint="default" w:ascii="Arial" w:hAnsi="Arial" w:eastAsia="SimSun" w:cs="Arial"/>
          <w:sz w:val="22"/>
          <w:szCs w:val="22"/>
        </w:rPr>
        <w:t>ransmission</w:t>
      </w:r>
      <w:r>
        <w:rPr>
          <w:rFonts w:hint="default" w:ascii="Arial" w:hAnsi="Arial" w:eastAsia="SimSun" w:cs="Arial"/>
          <w:sz w:val="22"/>
          <w:szCs w:val="22"/>
          <w:lang w:val="en-US"/>
        </w:rPr>
        <w:t xml:space="preserve"> once TB is detected. </w:t>
      </w:r>
      <w:r>
        <w:rPr>
          <w:rFonts w:hint="default" w:ascii="Arial" w:hAnsi="Arial" w:eastAsia="SimSun" w:cs="Arial"/>
          <w:sz w:val="22"/>
          <w:szCs w:val="22"/>
        </w:rPr>
        <w:t>The Bacillus Calmette-Guérin (BCG) vaccine is offered in the UK to neonates in high-incidence areas (e.g., London, Birmingham) and to at-risk groups such as migrant children from high-burden countries. Infection control measures in healthcare settings include negative-pressure isolation rooms, respiratory protection (FFP3 masks), and natural ventilation.</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2. Secondary Prevention</w:t>
      </w:r>
      <w:r>
        <w:rPr>
          <w:rFonts w:hint="default" w:ascii="Arial" w:hAnsi="Arial" w:eastAsia="SimSun" w:cs="Arial"/>
          <w:sz w:val="22"/>
          <w:szCs w:val="22"/>
          <w:lang w:val="en-US"/>
        </w:rPr>
        <w:t xml:space="preserve">: </w:t>
      </w:r>
      <w:r>
        <w:rPr>
          <w:rFonts w:hint="default" w:ascii="Arial" w:hAnsi="Arial" w:eastAsia="SimSun" w:cs="Arial"/>
          <w:sz w:val="22"/>
          <w:szCs w:val="22"/>
        </w:rPr>
        <w:t xml:space="preserve">Early </w:t>
      </w:r>
      <w:r>
        <w:rPr>
          <w:rFonts w:hint="default" w:ascii="Arial" w:hAnsi="Arial" w:eastAsia="SimSun" w:cs="Arial"/>
          <w:sz w:val="22"/>
          <w:szCs w:val="22"/>
          <w:lang w:val="en-US"/>
        </w:rPr>
        <w:t>d</w:t>
      </w:r>
      <w:r>
        <w:rPr>
          <w:rFonts w:hint="default" w:ascii="Arial" w:hAnsi="Arial" w:eastAsia="SimSun" w:cs="Arial"/>
          <w:sz w:val="22"/>
          <w:szCs w:val="22"/>
        </w:rPr>
        <w:t xml:space="preserve">etection and </w:t>
      </w:r>
      <w:r>
        <w:rPr>
          <w:rFonts w:hint="default" w:ascii="Arial" w:hAnsi="Arial" w:eastAsia="SimSun" w:cs="Arial"/>
          <w:sz w:val="22"/>
          <w:szCs w:val="22"/>
          <w:lang w:val="en-US"/>
        </w:rPr>
        <w:t>t</w:t>
      </w:r>
      <w:r>
        <w:rPr>
          <w:rFonts w:hint="default" w:ascii="Arial" w:hAnsi="Arial" w:eastAsia="SimSun" w:cs="Arial"/>
          <w:sz w:val="22"/>
          <w:szCs w:val="22"/>
        </w:rPr>
        <w:t>reatment</w:t>
      </w:r>
      <w:r>
        <w:rPr>
          <w:rFonts w:hint="default" w:ascii="Arial" w:hAnsi="Arial" w:eastAsia="SimSun" w:cs="Arial"/>
          <w:sz w:val="22"/>
          <w:szCs w:val="22"/>
          <w:lang w:val="en-US"/>
        </w:rPr>
        <w:t xml:space="preserve"> do help to reduce the spread of the disease. </w:t>
      </w:r>
      <w:r>
        <w:rPr>
          <w:rFonts w:hint="default" w:ascii="Arial" w:hAnsi="Arial" w:eastAsia="SimSun" w:cs="Arial"/>
          <w:sz w:val="22"/>
          <w:szCs w:val="22"/>
        </w:rPr>
        <w:t>The cornerstone of TB control is the Directly Observed Therapy (DOT)</w:t>
      </w:r>
      <w:r>
        <w:rPr>
          <w:rFonts w:hint="default" w:ascii="Arial" w:hAnsi="Arial" w:eastAsia="SimSun" w:cs="Arial"/>
          <w:sz w:val="22"/>
          <w:szCs w:val="22"/>
          <w:lang w:val="en-US"/>
        </w:rPr>
        <w:t xml:space="preserve"> </w:t>
      </w:r>
      <w:r>
        <w:rPr>
          <w:rFonts w:hint="default" w:ascii="Arial" w:hAnsi="Arial" w:eastAsia="SimSun" w:cs="Arial"/>
          <w:sz w:val="22"/>
          <w:szCs w:val="22"/>
        </w:rPr>
        <w:t>strategy, where a healthcare worker watches the patient swallow every dose of antibiotics. Standard treatment consists of a six-month regimen: two months of four drugs (isoniazid, rifampicin, pyrazinamide, ethambutol), followed by four months of two drugs (isoniazid and rifampicin). For latent TB, a shorter regimen of rifampicin for three months or isoniazid for six months is used.</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3. Contact Tracing and Outbreak Management:</w:t>
      </w:r>
      <w:r>
        <w:rPr>
          <w:rFonts w:hint="default" w:ascii="Arial" w:hAnsi="Arial" w:eastAsia="SimSun" w:cs="Arial"/>
          <w:sz w:val="22"/>
          <w:szCs w:val="22"/>
          <w:lang w:val="en-US"/>
        </w:rPr>
        <w:t xml:space="preserve"> </w:t>
      </w:r>
      <w:r>
        <w:rPr>
          <w:rFonts w:hint="default" w:ascii="Arial" w:hAnsi="Arial" w:eastAsia="SimSun" w:cs="Arial"/>
          <w:sz w:val="22"/>
          <w:szCs w:val="22"/>
        </w:rPr>
        <w:t>Upon identifying an infectious case, health protection teams identify close contacts (household members, work colleagues, classmates). Contacts undergo screening (IGRA or chest X-ray) and are offered treatment for LTBI or active disease as appropriate.</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4. Drug Resistance Control: Multidrug-resistant TB (MDR-TB) and extensively drug-resistant TB (XDR-TB) require second-line drugs and longer treatment (9–20 months). The UK’s National Mycobacterium Reference Service monitors resistance patterns to prevent spread.</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5. Social and Structural Interventions: Control efforts target vulnerable populations through mobile screening units, outreach nurses, and incentives (e.g., travel vouchers, food parcels) to improve treatment adherence.</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b/>
          <w:bCs/>
          <w:sz w:val="22"/>
          <w:szCs w:val="22"/>
        </w:rPr>
      </w:pPr>
      <w:r>
        <w:rPr>
          <w:rFonts w:hint="default" w:ascii="Arial" w:hAnsi="Arial" w:eastAsia="SimSun" w:cs="Arial"/>
          <w:b/>
          <w:bCs/>
          <w:sz w:val="22"/>
          <w:szCs w:val="22"/>
        </w:rPr>
        <w:t>Consequences of Tuberculosis on People in the Community</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TB has profound physical, psychological, social, and economic consequences that extend far beyond the individual patient.</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1. Physical Consequences: Pulmonary TB can cause permanent lung damage, including cavitation, fibrosis, and bronchiectasis, leading to chronic breathlessness and reduced exercise tolerance. Extrapulmonary TB can result in spinal deformity (Pott’s disease), meningitis, or infertility. Even after cure, post-TB lung disease affects up to 50% of survivors.</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2. Psychological Consequences: The stigma associated with TB – historically linked to poverty and infectiousness – remains potent. Patients report social rejection, relationship breakdown, and internalised shame. Anxiety and depression are common, especially during the prolonged isolation period required until sputum becomes smear-negative.</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3. Social and Economic Consequences: Prolonged treatment (six months minimum) forces many patients to take extended leave from work, leading to job loss and income reduction. In low-income communities, households may fall into debt to pay for travel to clinics or nutritional supplements. Children with TB miss months of school, affecting educational attainment.</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4. Public Health Consequences: Delayed diagnosis due to symptom denial or healthcare access barriers leads to ongoing community transmission. Outbreaks in schools, workplaces, or homeless shelters can affect dozens of individuals and overwhelm local public health resources.</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b/>
          <w:bCs/>
          <w:sz w:val="22"/>
          <w:szCs w:val="22"/>
        </w:rPr>
      </w:pPr>
      <w:r>
        <w:rPr>
          <w:rFonts w:hint="default" w:ascii="Arial" w:hAnsi="Arial" w:eastAsia="SimSun" w:cs="Arial"/>
          <w:b/>
          <w:bCs/>
          <w:sz w:val="22"/>
          <w:szCs w:val="22"/>
        </w:rPr>
        <w:t>Health and Social Care Support Services Required in the Community</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To meet the complex needs of individuals with TB, an integrated network of health and social care services is essential.</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1. Specialist TB Nursing Services: TB specialist nurses coordinate care from diagnosis to cure. They conduct home visits, arrange DOT, monitor side effects (e.g., rifampicin causing orange discolouration of urine, hepatotoxicity), and provide emotional support.</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sz w:val="22"/>
          <w:szCs w:val="22"/>
        </w:rPr>
      </w:pPr>
      <w:r>
        <w:rPr>
          <w:rFonts w:hint="default" w:ascii="Arial" w:hAnsi="Arial" w:eastAsia="SimSun" w:cs="Arial"/>
          <w:sz w:val="22"/>
          <w:szCs w:val="22"/>
        </w:rPr>
        <w:t>2. Social Prescribing and Welfare Advice: Many TB patients face poverty, housing insecurity, or immigration difficulties. Embedded welfare rights advisors in TB clinics help patients access Universal Credit, housing benefit, and charitable grants. Some areas provide “TB hardship funds” for food and travel.</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3. Interpretation and Advocacy Services: For migrant patients with limited English proficiency, professional interpreters ensure informed consent and treatment understanding. Cultural liaisons can address misconceptions (e.g., TB being a curse or punishment).</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4. Mental Health Support: Clinical psychology or counselling services address TB-related stigma, treatment-related anxiety, and social isolation. Peer support groups (e.g., TB Alert’s “TB Voices” network) reduce isolation through shared experience.</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5. Housing and Homelessness Services: Rough sleepers and hostel residents are at high risk of TB. Multidisciplinary homeless health teams provide outreach screening, supervised treatment, and “step-down” accommodation for post-discharge isolation.</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6. Rehabilitation and Long-term Follow-up: Post-TB pulmonary rehabilitation programmes (exercise, breathing techniques) improve lung function. Chest clinic follow-up for at least one year post-treatment detects relapse or chronic respiratory complications.</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sz w:val="22"/>
          <w:szCs w:val="22"/>
        </w:rPr>
      </w:pPr>
      <w:r>
        <w:rPr>
          <w:rFonts w:hint="default" w:ascii="Arial" w:hAnsi="Arial" w:eastAsia="SimSun" w:cs="Arial"/>
          <w:b/>
          <w:bCs/>
          <w:sz w:val="22"/>
          <w:szCs w:val="22"/>
        </w:rPr>
        <w:t>Conclusion</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Tuberculosis remains a significant global and UK public health challenge, despite being both preventable and curable. Its symptoms</w:t>
      </w:r>
      <w:r>
        <w:rPr>
          <w:rFonts w:hint="default" w:ascii="Arial" w:hAnsi="Arial" w:eastAsia="SimSun" w:cs="Arial"/>
          <w:sz w:val="22"/>
          <w:szCs w:val="22"/>
          <w:lang w:val="en-US"/>
        </w:rPr>
        <w:t xml:space="preserve"> include</w:t>
      </w:r>
      <w:r>
        <w:rPr>
          <w:rFonts w:hint="default" w:ascii="Arial" w:hAnsi="Arial" w:eastAsia="SimSun" w:cs="Arial"/>
          <w:sz w:val="22"/>
          <w:szCs w:val="22"/>
        </w:rPr>
        <w:t xml:space="preserve"> persistent cough, weight loss, night sweats </w:t>
      </w:r>
      <w:r>
        <w:rPr>
          <w:rFonts w:hint="default" w:ascii="Arial" w:hAnsi="Arial" w:eastAsia="SimSun" w:cs="Arial"/>
          <w:sz w:val="22"/>
          <w:szCs w:val="22"/>
          <w:lang w:val="en-US"/>
        </w:rPr>
        <w:t xml:space="preserve">which </w:t>
      </w:r>
      <w:r>
        <w:rPr>
          <w:rFonts w:hint="default" w:ascii="Arial" w:hAnsi="Arial" w:eastAsia="SimSun" w:cs="Arial"/>
          <w:sz w:val="22"/>
          <w:szCs w:val="22"/>
        </w:rPr>
        <w:t>often lead to delayed diagnosis, perpetuating transmission. Monitoring through notifiable disease reporting, genome sequencing, and latent infection testing enables targeted control, while the BCG vaccine, directly observed therapy, and contact tracing effectively limit spread. The consequences of TB extend beyond physical illness to include psychological stigma, economic hardship, and community outbreaks, particularly affecting vulnerable populations such as migrants, homeless individuals, and those in poverty. Meeting the needs of TB patients requires a coordinated community response: specialist nurses, welfare advice, interpretation, mental health support, housing services, and rehabilitation programmes. Without such integrated health and social care support, TB will continue to thrive in conditions of inequality. A renewed focus on social determinants – housing, nutrition, and income is essential to achieving the WHO</w:t>
      </w:r>
      <w:r>
        <w:rPr>
          <w:rFonts w:hint="default" w:ascii="Arial" w:hAnsi="Arial" w:eastAsia="SimSun" w:cs="Arial"/>
          <w:sz w:val="22"/>
          <w:szCs w:val="22"/>
          <w:lang w:val="en-US"/>
        </w:rPr>
        <w:t>’</w:t>
      </w:r>
      <w:r>
        <w:rPr>
          <w:rFonts w:hint="default" w:ascii="Arial" w:hAnsi="Arial" w:eastAsia="SimSun" w:cs="Arial"/>
          <w:sz w:val="22"/>
          <w:szCs w:val="22"/>
        </w:rPr>
        <w:t>s End TB Strategy goals by 2035.</w:t>
      </w:r>
    </w:p>
    <w:p>
      <w:pPr>
        <w:spacing w:line="360" w:lineRule="auto"/>
        <w:jc w:val="both"/>
        <w:rPr>
          <w:rFonts w:hint="default" w:ascii="Arial" w:hAnsi="Arial" w:eastAsia="SimSun" w:cs="Arial"/>
          <w:sz w:val="22"/>
          <w:szCs w:val="22"/>
        </w:rPr>
      </w:pPr>
    </w:p>
    <w:p>
      <w:pPr>
        <w:spacing w:line="360" w:lineRule="auto"/>
        <w:jc w:val="both"/>
        <w:rPr>
          <w:rFonts w:hint="default" w:ascii="Arial" w:hAnsi="Arial" w:eastAsia="SimSun" w:cs="Arial"/>
          <w:sz w:val="22"/>
          <w:szCs w:val="22"/>
        </w:rPr>
      </w:pPr>
      <w:r>
        <w:rPr>
          <w:rFonts w:hint="default" w:ascii="Arial" w:hAnsi="Arial" w:eastAsia="SimSun" w:cs="Arial"/>
          <w:b/>
          <w:bCs/>
          <w:sz w:val="22"/>
          <w:szCs w:val="22"/>
        </w:rPr>
        <w:t xml:space="preserve">References </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UK Health Security Agency (UKHSA). (2023). Tuberculosis in England: 2023 report. London: UKHSA.</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World Health Organization (WHO). (2022). Global tuberculosis report 2022. Geneva: WHO.</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Public Health England. (2019). Collaborative TB strategy for England 2015–2020. London: PHE.</w:t>
      </w:r>
    </w:p>
    <w:p>
      <w:pPr>
        <w:spacing w:line="360" w:lineRule="auto"/>
        <w:jc w:val="both"/>
        <w:rPr>
          <w:rFonts w:hint="default" w:ascii="Arial" w:hAnsi="Arial" w:eastAsia="SimSun" w:cs="Arial"/>
          <w:sz w:val="22"/>
          <w:szCs w:val="22"/>
        </w:rPr>
      </w:pPr>
      <w:r>
        <w:rPr>
          <w:rFonts w:hint="default" w:ascii="Arial" w:hAnsi="Arial" w:eastAsia="SimSun" w:cs="Arial"/>
          <w:sz w:val="22"/>
          <w:szCs w:val="22"/>
        </w:rPr>
        <w:t>National Institute for Health and Care Excellence (NICE). (2016). Tuberculosis: NICE guideline NG33</w:t>
      </w:r>
      <w:bookmarkStart w:id="0" w:name="_GoBack"/>
      <w:bookmarkEnd w:id="0"/>
      <w:r>
        <w:rPr>
          <w:rFonts w:hint="default" w:ascii="Arial" w:hAnsi="Arial" w:eastAsia="SimSun" w:cs="Arial"/>
          <w:sz w:val="22"/>
          <w:szCs w:val="22"/>
        </w:rPr>
        <w:t>. London: NICE.</w:t>
      </w:r>
    </w:p>
    <w:p>
      <w:pPr>
        <w:spacing w:line="360" w:lineRule="auto"/>
        <w:jc w:val="both"/>
        <w:rPr>
          <w:rFonts w:hint="default" w:ascii="Arial" w:hAnsi="Arial" w:cs="Arial"/>
          <w:sz w:val="22"/>
          <w:szCs w:val="22"/>
        </w:rPr>
      </w:pP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67988516"/>
      <w:docPartObj>
        <w:docPartGallery w:val="autotext"/>
      </w:docPartObj>
    </w:sdtPr>
    <w:sdtEndPr>
      <w:rPr>
        <w:rFonts w:asciiTheme="minorBidi" w:hAnsiTheme="minorBidi"/>
        <w:sz w:val="22"/>
      </w:rPr>
    </w:sdtEndPr>
    <w:sdtContent>
      <w:p>
        <w:pPr>
          <w:pStyle w:val="5"/>
          <w:jc w:val="center"/>
          <w:rPr>
            <w:rFonts w:asciiTheme="minorBidi" w:hAnsiTheme="minorBidi"/>
            <w:sz w:val="22"/>
          </w:rPr>
        </w:pPr>
        <w:r>
          <w:rPr>
            <w:rFonts w:asciiTheme="minorBidi" w:hAnsiTheme="minorBidi"/>
            <w:sz w:val="22"/>
          </w:rPr>
          <w:fldChar w:fldCharType="begin"/>
        </w:r>
        <w:r>
          <w:rPr>
            <w:rFonts w:asciiTheme="minorBidi" w:hAnsiTheme="minorBidi"/>
            <w:sz w:val="22"/>
          </w:rPr>
          <w:instrText xml:space="preserve"> PAGE   \* MERGEFORMAT </w:instrText>
        </w:r>
        <w:r>
          <w:rPr>
            <w:rFonts w:asciiTheme="minorBidi" w:hAnsiTheme="minorBidi"/>
            <w:sz w:val="22"/>
          </w:rPr>
          <w:fldChar w:fldCharType="separate"/>
        </w:r>
        <w:r>
          <w:rPr>
            <w:rFonts w:asciiTheme="minorBidi" w:hAnsiTheme="minorBidi"/>
            <w:sz w:val="22"/>
          </w:rPr>
          <w:t>2</w:t>
        </w:r>
        <w:r>
          <w:rPr>
            <w:rFonts w:asciiTheme="minorBidi" w:hAnsiTheme="minorBidi"/>
            <w:sz w:val="22"/>
          </w:rP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3001F07"/>
    <w:rsid w:val="63001F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paragraph" w:styleId="2">
    <w:name w:val="heading 1"/>
    <w:basedOn w:val="1"/>
    <w:next w:val="1"/>
    <w:qFormat/>
    <w:uiPriority w:val="9"/>
    <w:pPr>
      <w:keepNext/>
      <w:keepLines/>
      <w:spacing w:before="240" w:after="0" w:line="360" w:lineRule="auto"/>
      <w:outlineLvl w:val="0"/>
    </w:pPr>
    <w:rPr>
      <w:rFonts w:ascii="Arial" w:hAnsi="Arial" w:eastAsiaTheme="majorEastAsia"/>
      <w:b/>
      <w:sz w:val="32"/>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5">
    <w:name w:val="footer"/>
    <w:basedOn w:val="1"/>
    <w:unhideWhenUsed/>
    <w:qFormat/>
    <w:uiPriority w:val="99"/>
    <w:pPr>
      <w:tabs>
        <w:tab w:val="center" w:pos="4513"/>
        <w:tab w:val="right" w:pos="9026"/>
      </w:tabs>
      <w:spacing w:after="0" w:line="240" w:lineRule="auto"/>
    </w:pPr>
  </w:style>
  <w:style w:type="paragraph" w:styleId="6">
    <w:name w:val="header"/>
    <w:basedOn w:val="1"/>
    <w:uiPriority w:val="0"/>
    <w:pPr>
      <w:tabs>
        <w:tab w:val="center" w:pos="4153"/>
        <w:tab w:val="right" w:pos="8306"/>
      </w:tabs>
      <w:snapToGrid w:val="0"/>
    </w:pPr>
    <w:rPr>
      <w:sz w:val="18"/>
      <w:szCs w:val="18"/>
    </w:rPr>
  </w:style>
  <w:style w:type="character" w:styleId="7">
    <w:name w:val="Strong"/>
    <w:basedOn w:val="3"/>
    <w:qFormat/>
    <w:uiPriority w:val="22"/>
    <w:rPr>
      <w:b/>
      <w:bC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2026-04-17T09:09:00Z</dcterms:created>
  <dc:creator>THIS PC</dc:creator>
  <cp:lastModifiedBy>THIS PC</cp:lastModifiedBy>
  <dcterms:modified xsi:type="dcterms:W3CDTF">2026-04-17T09:42:07Z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51324439CC4C453995BDA774A4DBF647</vt:lpwstr>
  </property>
</Properties>
</file>