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2D523" w14:textId="77777777" w:rsidR="006B655B" w:rsidRPr="00610947" w:rsidRDefault="006B655B" w:rsidP="00AF25EC">
      <w:pPr>
        <w:spacing w:line="360" w:lineRule="auto"/>
        <w:jc w:val="center"/>
        <w:rPr>
          <w:rFonts w:ascii="Arial" w:hAnsi="Arial" w:cs="Arial"/>
          <w:color w:val="000000" w:themeColor="text1"/>
          <w:sz w:val="40"/>
          <w:szCs w:val="40"/>
        </w:rPr>
      </w:pPr>
      <w:r w:rsidRPr="00610947">
        <w:rPr>
          <w:rFonts w:ascii="Arial" w:hAnsi="Arial" w:cs="Arial"/>
          <w:b/>
          <w:bCs/>
          <w:color w:val="000000" w:themeColor="text1"/>
          <w:sz w:val="40"/>
          <w:szCs w:val="40"/>
        </w:rPr>
        <w:t>Student Name:</w:t>
      </w:r>
      <w:r w:rsidRPr="00610947">
        <w:rPr>
          <w:rFonts w:ascii="Arial" w:hAnsi="Arial" w:cs="Arial"/>
          <w:color w:val="000000" w:themeColor="text1"/>
          <w:sz w:val="40"/>
          <w:szCs w:val="40"/>
        </w:rPr>
        <w:t xml:space="preserve"> Ansar Ali</w:t>
      </w:r>
    </w:p>
    <w:p w14:paraId="65779B45" w14:textId="77777777" w:rsidR="006B655B" w:rsidRPr="00610947" w:rsidRDefault="006B655B" w:rsidP="00AF25EC">
      <w:pPr>
        <w:spacing w:line="360" w:lineRule="auto"/>
        <w:jc w:val="center"/>
        <w:rPr>
          <w:rFonts w:ascii="Arial" w:hAnsi="Arial" w:cs="Arial"/>
          <w:color w:val="000000" w:themeColor="text1"/>
          <w:sz w:val="40"/>
          <w:szCs w:val="40"/>
        </w:rPr>
      </w:pPr>
      <w:r w:rsidRPr="00610947">
        <w:rPr>
          <w:rFonts w:ascii="Arial" w:hAnsi="Arial" w:cs="Arial"/>
          <w:b/>
          <w:bCs/>
          <w:color w:val="000000" w:themeColor="text1"/>
          <w:sz w:val="40"/>
          <w:szCs w:val="40"/>
        </w:rPr>
        <w:t>Student Number:</w:t>
      </w:r>
      <w:r w:rsidRPr="00610947">
        <w:rPr>
          <w:rFonts w:ascii="Arial" w:hAnsi="Arial" w:cs="Arial"/>
          <w:color w:val="000000" w:themeColor="text1"/>
          <w:sz w:val="40"/>
          <w:szCs w:val="40"/>
        </w:rPr>
        <w:t xml:space="preserve"> 2433274</w:t>
      </w:r>
    </w:p>
    <w:p w14:paraId="388C9423" w14:textId="77777777" w:rsidR="006B655B" w:rsidRPr="00610947" w:rsidRDefault="006B655B" w:rsidP="00AF25EC">
      <w:pPr>
        <w:spacing w:line="360" w:lineRule="auto"/>
        <w:jc w:val="center"/>
        <w:rPr>
          <w:rFonts w:ascii="Arial" w:hAnsi="Arial" w:cs="Arial"/>
          <w:color w:val="000000" w:themeColor="text1"/>
          <w:sz w:val="40"/>
          <w:szCs w:val="40"/>
        </w:rPr>
      </w:pPr>
      <w:r w:rsidRPr="00610947">
        <w:rPr>
          <w:rFonts w:ascii="Arial" w:hAnsi="Arial" w:cs="Arial"/>
          <w:b/>
          <w:bCs/>
          <w:color w:val="000000" w:themeColor="text1"/>
          <w:sz w:val="40"/>
          <w:szCs w:val="40"/>
        </w:rPr>
        <w:t>Module Name:</w:t>
      </w:r>
      <w:r w:rsidRPr="00610947">
        <w:rPr>
          <w:rFonts w:ascii="Arial" w:hAnsi="Arial" w:cs="Arial"/>
          <w:color w:val="000000" w:themeColor="text1"/>
          <w:sz w:val="40"/>
          <w:szCs w:val="40"/>
        </w:rPr>
        <w:t xml:space="preserve"> </w:t>
      </w:r>
      <w:r w:rsidRPr="00610947">
        <w:rPr>
          <w:rFonts w:ascii="Arial" w:hAnsi="Arial" w:cs="Arial"/>
          <w:bCs/>
          <w:sz w:val="40"/>
          <w:szCs w:val="40"/>
        </w:rPr>
        <w:t>Principles of Health and Social Care</w:t>
      </w:r>
    </w:p>
    <w:p w14:paraId="041BD60A" w14:textId="77777777" w:rsidR="006B655B" w:rsidRPr="00610947" w:rsidRDefault="006B655B" w:rsidP="00AF25EC">
      <w:pPr>
        <w:spacing w:line="360" w:lineRule="auto"/>
        <w:jc w:val="center"/>
        <w:rPr>
          <w:rFonts w:ascii="Arial" w:hAnsi="Arial" w:cs="Arial"/>
          <w:color w:val="000000" w:themeColor="text1"/>
          <w:sz w:val="40"/>
          <w:szCs w:val="40"/>
        </w:rPr>
      </w:pPr>
      <w:r w:rsidRPr="00610947">
        <w:rPr>
          <w:rFonts w:ascii="Arial" w:hAnsi="Arial" w:cs="Arial"/>
          <w:b/>
          <w:bCs/>
          <w:color w:val="000000" w:themeColor="text1"/>
          <w:sz w:val="40"/>
          <w:szCs w:val="40"/>
        </w:rPr>
        <w:t>Module Code:</w:t>
      </w:r>
      <w:r w:rsidRPr="00610947">
        <w:rPr>
          <w:rFonts w:ascii="Arial" w:hAnsi="Arial" w:cs="Arial"/>
          <w:color w:val="000000" w:themeColor="text1"/>
          <w:sz w:val="40"/>
          <w:szCs w:val="40"/>
        </w:rPr>
        <w:t xml:space="preserve"> BMHP5016</w:t>
      </w:r>
    </w:p>
    <w:p w14:paraId="3AEEF082" w14:textId="77777777" w:rsidR="006B655B" w:rsidRPr="00610947" w:rsidRDefault="006B655B" w:rsidP="00AF25EC">
      <w:pPr>
        <w:spacing w:line="360" w:lineRule="auto"/>
        <w:jc w:val="center"/>
        <w:rPr>
          <w:rFonts w:ascii="Arial" w:hAnsi="Arial" w:cs="Arial"/>
          <w:color w:val="000000" w:themeColor="text1"/>
          <w:sz w:val="40"/>
          <w:szCs w:val="40"/>
        </w:rPr>
      </w:pPr>
      <w:r w:rsidRPr="00610947">
        <w:rPr>
          <w:rFonts w:ascii="Arial" w:hAnsi="Arial" w:cs="Arial"/>
          <w:b/>
          <w:bCs/>
          <w:color w:val="000000" w:themeColor="text1"/>
          <w:sz w:val="40"/>
          <w:szCs w:val="40"/>
        </w:rPr>
        <w:t xml:space="preserve">Lecturer: </w:t>
      </w:r>
      <w:r w:rsidRPr="00610947">
        <w:rPr>
          <w:rFonts w:ascii="Arial" w:hAnsi="Arial" w:cs="Arial"/>
          <w:color w:val="1D2125"/>
          <w:sz w:val="40"/>
          <w:szCs w:val="40"/>
          <w:shd w:val="clear" w:color="auto" w:fill="FFFFFF"/>
        </w:rPr>
        <w:t>Azida Zainol</w:t>
      </w:r>
    </w:p>
    <w:p w14:paraId="7B8D91E0" w14:textId="73D95A85" w:rsidR="006B655B" w:rsidRDefault="006B655B" w:rsidP="00AF25EC">
      <w:pPr>
        <w:spacing w:line="360" w:lineRule="auto"/>
        <w:jc w:val="center"/>
        <w:rPr>
          <w:rFonts w:ascii="Arial" w:hAnsi="Arial" w:cs="Arial"/>
          <w:bCs/>
          <w:sz w:val="40"/>
          <w:szCs w:val="40"/>
        </w:rPr>
      </w:pPr>
      <w:r w:rsidRPr="00610947">
        <w:rPr>
          <w:rFonts w:ascii="Arial" w:hAnsi="Arial" w:cs="Arial"/>
          <w:b/>
          <w:bCs/>
          <w:color w:val="000000" w:themeColor="text1"/>
          <w:sz w:val="40"/>
          <w:szCs w:val="40"/>
        </w:rPr>
        <w:t xml:space="preserve">Title: </w:t>
      </w:r>
      <w:r w:rsidRPr="003413C0">
        <w:rPr>
          <w:rFonts w:ascii="Arial" w:hAnsi="Arial" w:cs="Arial"/>
          <w:bCs/>
          <w:sz w:val="40"/>
          <w:szCs w:val="40"/>
        </w:rPr>
        <w:t>Written Assignment (</w:t>
      </w:r>
      <w:r w:rsidR="00FC28CB">
        <w:rPr>
          <w:rFonts w:ascii="Arial" w:hAnsi="Arial" w:cs="Arial"/>
          <w:bCs/>
          <w:sz w:val="40"/>
          <w:szCs w:val="40"/>
        </w:rPr>
        <w:t>Person-centred care</w:t>
      </w:r>
      <w:r>
        <w:rPr>
          <w:rFonts w:ascii="Arial" w:hAnsi="Arial" w:cs="Arial"/>
          <w:bCs/>
          <w:sz w:val="40"/>
          <w:szCs w:val="40"/>
        </w:rPr>
        <w:t>)</w:t>
      </w:r>
    </w:p>
    <w:p w14:paraId="4DB0DE18" w14:textId="77777777" w:rsidR="006B655B" w:rsidRDefault="006B655B" w:rsidP="006B655B">
      <w:pPr>
        <w:spacing w:before="100" w:beforeAutospacing="1" w:after="100" w:afterAutospacing="1"/>
        <w:outlineLvl w:val="1"/>
        <w:rPr>
          <w:b/>
          <w:bCs/>
          <w:sz w:val="36"/>
          <w:szCs w:val="36"/>
          <w:lang w:eastAsia="en-GB"/>
        </w:rPr>
      </w:pPr>
    </w:p>
    <w:p w14:paraId="16E2F697" w14:textId="77777777" w:rsidR="006B655B" w:rsidRDefault="006B655B" w:rsidP="006B655B">
      <w:pPr>
        <w:spacing w:before="100" w:beforeAutospacing="1" w:after="100" w:afterAutospacing="1"/>
        <w:outlineLvl w:val="1"/>
        <w:rPr>
          <w:b/>
          <w:bCs/>
          <w:sz w:val="36"/>
          <w:szCs w:val="36"/>
          <w:lang w:eastAsia="en-GB"/>
        </w:rPr>
      </w:pPr>
    </w:p>
    <w:p w14:paraId="47F5F004" w14:textId="77777777" w:rsidR="006B655B" w:rsidRDefault="006B655B" w:rsidP="006B655B">
      <w:pPr>
        <w:spacing w:before="100" w:beforeAutospacing="1" w:after="100" w:afterAutospacing="1"/>
        <w:outlineLvl w:val="1"/>
        <w:rPr>
          <w:b/>
          <w:bCs/>
          <w:sz w:val="36"/>
          <w:szCs w:val="36"/>
          <w:lang w:eastAsia="en-GB"/>
        </w:rPr>
      </w:pPr>
    </w:p>
    <w:p w14:paraId="0FC0CCA5" w14:textId="77777777" w:rsidR="006B655B" w:rsidRDefault="006B655B" w:rsidP="006B655B">
      <w:pPr>
        <w:spacing w:before="100" w:beforeAutospacing="1" w:after="100" w:afterAutospacing="1"/>
        <w:outlineLvl w:val="1"/>
        <w:rPr>
          <w:b/>
          <w:bCs/>
          <w:sz w:val="36"/>
          <w:szCs w:val="36"/>
          <w:lang w:eastAsia="en-GB"/>
        </w:rPr>
      </w:pPr>
    </w:p>
    <w:p w14:paraId="722CB985" w14:textId="77777777" w:rsidR="006B655B" w:rsidRDefault="006B655B" w:rsidP="006B655B">
      <w:pPr>
        <w:spacing w:before="100" w:beforeAutospacing="1" w:after="100" w:afterAutospacing="1"/>
        <w:outlineLvl w:val="1"/>
        <w:rPr>
          <w:b/>
          <w:bCs/>
          <w:sz w:val="36"/>
          <w:szCs w:val="36"/>
          <w:lang w:eastAsia="en-GB"/>
        </w:rPr>
      </w:pPr>
    </w:p>
    <w:p w14:paraId="06B39E62" w14:textId="77777777" w:rsidR="006B655B" w:rsidRDefault="006B655B" w:rsidP="006B655B">
      <w:pPr>
        <w:spacing w:before="100" w:beforeAutospacing="1" w:after="100" w:afterAutospacing="1"/>
        <w:outlineLvl w:val="1"/>
        <w:rPr>
          <w:b/>
          <w:bCs/>
          <w:sz w:val="36"/>
          <w:szCs w:val="36"/>
          <w:lang w:eastAsia="en-GB"/>
        </w:rPr>
      </w:pPr>
    </w:p>
    <w:p w14:paraId="44620173" w14:textId="77777777" w:rsidR="006B655B" w:rsidRDefault="006B655B" w:rsidP="006B655B">
      <w:pPr>
        <w:spacing w:before="100" w:beforeAutospacing="1" w:after="100" w:afterAutospacing="1"/>
        <w:outlineLvl w:val="1"/>
        <w:rPr>
          <w:b/>
          <w:bCs/>
          <w:sz w:val="36"/>
          <w:szCs w:val="36"/>
          <w:lang w:eastAsia="en-GB"/>
        </w:rPr>
      </w:pPr>
    </w:p>
    <w:p w14:paraId="3447E6F2" w14:textId="77777777" w:rsidR="006B655B" w:rsidRDefault="006B655B" w:rsidP="006B655B">
      <w:pPr>
        <w:spacing w:before="100" w:beforeAutospacing="1" w:after="100" w:afterAutospacing="1"/>
        <w:outlineLvl w:val="1"/>
        <w:rPr>
          <w:b/>
          <w:bCs/>
          <w:sz w:val="36"/>
          <w:szCs w:val="36"/>
          <w:lang w:eastAsia="en-GB"/>
        </w:rPr>
      </w:pPr>
    </w:p>
    <w:p w14:paraId="007169B9" w14:textId="77777777" w:rsidR="006B655B" w:rsidRDefault="006B655B" w:rsidP="006B655B">
      <w:pPr>
        <w:spacing w:before="100" w:beforeAutospacing="1" w:after="100" w:afterAutospacing="1"/>
        <w:outlineLvl w:val="1"/>
        <w:rPr>
          <w:b/>
          <w:bCs/>
          <w:sz w:val="36"/>
          <w:szCs w:val="36"/>
          <w:lang w:eastAsia="en-GB"/>
        </w:rPr>
      </w:pPr>
    </w:p>
    <w:p w14:paraId="61E20A18" w14:textId="77777777" w:rsidR="006B655B" w:rsidRDefault="006B655B" w:rsidP="006B655B">
      <w:pPr>
        <w:spacing w:before="100" w:beforeAutospacing="1" w:after="100" w:afterAutospacing="1"/>
        <w:outlineLvl w:val="1"/>
        <w:rPr>
          <w:b/>
          <w:bCs/>
          <w:sz w:val="36"/>
          <w:szCs w:val="36"/>
          <w:lang w:eastAsia="en-GB"/>
        </w:rPr>
      </w:pPr>
    </w:p>
    <w:p w14:paraId="1388CC3A" w14:textId="77777777" w:rsidR="006B655B" w:rsidRDefault="006B655B" w:rsidP="006B655B">
      <w:pPr>
        <w:spacing w:before="100" w:beforeAutospacing="1" w:after="100" w:afterAutospacing="1"/>
        <w:outlineLvl w:val="1"/>
        <w:rPr>
          <w:b/>
          <w:bCs/>
          <w:sz w:val="36"/>
          <w:szCs w:val="36"/>
          <w:lang w:eastAsia="en-GB"/>
        </w:rPr>
      </w:pPr>
    </w:p>
    <w:p w14:paraId="27339300" w14:textId="77777777" w:rsidR="006B655B" w:rsidRDefault="006B655B" w:rsidP="006B655B">
      <w:pPr>
        <w:spacing w:before="100" w:beforeAutospacing="1" w:after="100" w:afterAutospacing="1"/>
        <w:outlineLvl w:val="1"/>
        <w:rPr>
          <w:b/>
          <w:bCs/>
          <w:sz w:val="36"/>
          <w:szCs w:val="36"/>
          <w:lang w:eastAsia="en-GB"/>
        </w:rPr>
      </w:pPr>
    </w:p>
    <w:p w14:paraId="6556BCAC" w14:textId="77777777" w:rsidR="00970C78" w:rsidRDefault="00970C78" w:rsidP="006B655B">
      <w:pPr>
        <w:spacing w:before="100" w:beforeAutospacing="1" w:after="100" w:afterAutospacing="1"/>
        <w:outlineLvl w:val="1"/>
        <w:rPr>
          <w:b/>
          <w:bCs/>
          <w:sz w:val="36"/>
          <w:szCs w:val="36"/>
          <w:lang w:eastAsia="en-GB"/>
        </w:rPr>
      </w:pPr>
    </w:p>
    <w:sdt>
      <w:sdtPr>
        <w:rPr>
          <w:rFonts w:ascii="Times New Roman" w:eastAsia="Times New Roman" w:hAnsi="Times New Roman" w:cs="Times New Roman"/>
          <w:b w:val="0"/>
          <w:bCs w:val="0"/>
          <w:color w:val="auto"/>
          <w:sz w:val="24"/>
          <w:szCs w:val="24"/>
          <w:lang w:val="en-GB"/>
        </w:rPr>
        <w:id w:val="522063632"/>
        <w:docPartObj>
          <w:docPartGallery w:val="Table of Contents"/>
          <w:docPartUnique/>
        </w:docPartObj>
      </w:sdtPr>
      <w:sdtEndPr>
        <w:rPr>
          <w:noProof/>
        </w:rPr>
      </w:sdtEndPr>
      <w:sdtContent>
        <w:p w14:paraId="2A603167" w14:textId="6FE3C1D0" w:rsidR="00970C78" w:rsidRPr="00061A5D" w:rsidRDefault="00970C78">
          <w:pPr>
            <w:pStyle w:val="TOCHeading"/>
            <w:rPr>
              <w:rFonts w:ascii="Arial" w:hAnsi="Arial" w:cs="Arial"/>
              <w:color w:val="000000" w:themeColor="text1"/>
              <w:sz w:val="22"/>
              <w:szCs w:val="22"/>
            </w:rPr>
          </w:pPr>
          <w:r w:rsidRPr="00061A5D">
            <w:rPr>
              <w:rFonts w:ascii="Arial" w:hAnsi="Arial" w:cs="Arial"/>
              <w:color w:val="000000" w:themeColor="text1"/>
              <w:sz w:val="22"/>
              <w:szCs w:val="22"/>
            </w:rPr>
            <w:t>Table of Contents</w:t>
          </w:r>
        </w:p>
        <w:p w14:paraId="64C4D0EB" w14:textId="4D1EEB9E" w:rsidR="00077ECC" w:rsidRDefault="00970C78">
          <w:pPr>
            <w:pStyle w:val="TOC1"/>
            <w:tabs>
              <w:tab w:val="right" w:leader="dot" w:pos="9016"/>
            </w:tabs>
            <w:rPr>
              <w:rFonts w:eastAsiaTheme="minorEastAsia" w:cstheme="minorBidi"/>
              <w:b w:val="0"/>
              <w:bCs w:val="0"/>
              <w:noProof/>
              <w:kern w:val="2"/>
              <w:sz w:val="24"/>
              <w:szCs w:val="24"/>
              <w:lang w:eastAsia="en-GB"/>
              <w14:ligatures w14:val="standardContextual"/>
            </w:rPr>
          </w:pPr>
          <w:r w:rsidRPr="00061A5D">
            <w:rPr>
              <w:rFonts w:ascii="Arial" w:hAnsi="Arial" w:cs="Arial"/>
              <w:b w:val="0"/>
              <w:bCs w:val="0"/>
              <w:color w:val="000000" w:themeColor="text1"/>
              <w:sz w:val="22"/>
              <w:szCs w:val="22"/>
            </w:rPr>
            <w:fldChar w:fldCharType="begin"/>
          </w:r>
          <w:r w:rsidRPr="00061A5D">
            <w:rPr>
              <w:rFonts w:ascii="Arial" w:hAnsi="Arial" w:cs="Arial"/>
              <w:color w:val="000000" w:themeColor="text1"/>
              <w:sz w:val="22"/>
              <w:szCs w:val="22"/>
            </w:rPr>
            <w:instrText xml:space="preserve"> TOC \o "1-3" \h \z \u </w:instrText>
          </w:r>
          <w:r w:rsidRPr="00061A5D">
            <w:rPr>
              <w:rFonts w:ascii="Arial" w:hAnsi="Arial" w:cs="Arial"/>
              <w:b w:val="0"/>
              <w:bCs w:val="0"/>
              <w:color w:val="000000" w:themeColor="text1"/>
              <w:sz w:val="22"/>
              <w:szCs w:val="22"/>
            </w:rPr>
            <w:fldChar w:fldCharType="separate"/>
          </w:r>
          <w:hyperlink w:anchor="_Toc235207307" w:history="1">
            <w:r w:rsidR="00077ECC" w:rsidRPr="00921082">
              <w:rPr>
                <w:rStyle w:val="Hyperlink"/>
                <w:rFonts w:ascii="Arial" w:hAnsi="Arial" w:cs="Arial"/>
                <w:noProof/>
                <w:lang w:eastAsia="en-GB"/>
              </w:rPr>
              <w:t>Abstract</w:t>
            </w:r>
            <w:r w:rsidR="00077ECC">
              <w:rPr>
                <w:noProof/>
                <w:webHidden/>
              </w:rPr>
              <w:tab/>
            </w:r>
            <w:r w:rsidR="00077ECC">
              <w:rPr>
                <w:noProof/>
                <w:webHidden/>
              </w:rPr>
              <w:fldChar w:fldCharType="begin"/>
            </w:r>
            <w:r w:rsidR="00077ECC">
              <w:rPr>
                <w:noProof/>
                <w:webHidden/>
              </w:rPr>
              <w:instrText xml:space="preserve"> PAGEREF _Toc235207307 \h </w:instrText>
            </w:r>
            <w:r w:rsidR="00077ECC">
              <w:rPr>
                <w:noProof/>
                <w:webHidden/>
              </w:rPr>
            </w:r>
            <w:r w:rsidR="00077ECC">
              <w:rPr>
                <w:noProof/>
                <w:webHidden/>
              </w:rPr>
              <w:fldChar w:fldCharType="separate"/>
            </w:r>
            <w:r w:rsidR="00077ECC">
              <w:rPr>
                <w:noProof/>
                <w:webHidden/>
              </w:rPr>
              <w:t>3</w:t>
            </w:r>
            <w:r w:rsidR="00077ECC">
              <w:rPr>
                <w:noProof/>
                <w:webHidden/>
              </w:rPr>
              <w:fldChar w:fldCharType="end"/>
            </w:r>
          </w:hyperlink>
        </w:p>
        <w:p w14:paraId="6D8FC446" w14:textId="1C551F5D"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08" w:history="1">
            <w:r w:rsidRPr="00921082">
              <w:rPr>
                <w:rStyle w:val="Hyperlink"/>
                <w:rFonts w:ascii="Arial" w:hAnsi="Arial" w:cs="Arial"/>
                <w:noProof/>
                <w:lang w:eastAsia="en-GB"/>
              </w:rPr>
              <w:t>Introduction</w:t>
            </w:r>
            <w:r>
              <w:rPr>
                <w:noProof/>
                <w:webHidden/>
              </w:rPr>
              <w:tab/>
            </w:r>
            <w:r>
              <w:rPr>
                <w:noProof/>
                <w:webHidden/>
              </w:rPr>
              <w:fldChar w:fldCharType="begin"/>
            </w:r>
            <w:r>
              <w:rPr>
                <w:noProof/>
                <w:webHidden/>
              </w:rPr>
              <w:instrText xml:space="preserve"> PAGEREF _Toc235207308 \h </w:instrText>
            </w:r>
            <w:r>
              <w:rPr>
                <w:noProof/>
                <w:webHidden/>
              </w:rPr>
            </w:r>
            <w:r>
              <w:rPr>
                <w:noProof/>
                <w:webHidden/>
              </w:rPr>
              <w:fldChar w:fldCharType="separate"/>
            </w:r>
            <w:r>
              <w:rPr>
                <w:noProof/>
                <w:webHidden/>
              </w:rPr>
              <w:t>4</w:t>
            </w:r>
            <w:r>
              <w:rPr>
                <w:noProof/>
                <w:webHidden/>
              </w:rPr>
              <w:fldChar w:fldCharType="end"/>
            </w:r>
          </w:hyperlink>
        </w:p>
        <w:p w14:paraId="3F69A9C4" w14:textId="23ADBBF9"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09" w:history="1">
            <w:r w:rsidRPr="00921082">
              <w:rPr>
                <w:rStyle w:val="Hyperlink"/>
                <w:rFonts w:ascii="Arial" w:hAnsi="Arial" w:cs="Arial"/>
                <w:noProof/>
                <w:lang w:eastAsia="en-GB"/>
              </w:rPr>
              <w:t>Definition of Person-Centred Care</w:t>
            </w:r>
            <w:r>
              <w:rPr>
                <w:noProof/>
                <w:webHidden/>
              </w:rPr>
              <w:tab/>
            </w:r>
            <w:r>
              <w:rPr>
                <w:noProof/>
                <w:webHidden/>
              </w:rPr>
              <w:fldChar w:fldCharType="begin"/>
            </w:r>
            <w:r>
              <w:rPr>
                <w:noProof/>
                <w:webHidden/>
              </w:rPr>
              <w:instrText xml:space="preserve"> PAGEREF _Toc235207309 \h </w:instrText>
            </w:r>
            <w:r>
              <w:rPr>
                <w:noProof/>
                <w:webHidden/>
              </w:rPr>
            </w:r>
            <w:r>
              <w:rPr>
                <w:noProof/>
                <w:webHidden/>
              </w:rPr>
              <w:fldChar w:fldCharType="separate"/>
            </w:r>
            <w:r>
              <w:rPr>
                <w:noProof/>
                <w:webHidden/>
              </w:rPr>
              <w:t>4</w:t>
            </w:r>
            <w:r>
              <w:rPr>
                <w:noProof/>
                <w:webHidden/>
              </w:rPr>
              <w:fldChar w:fldCharType="end"/>
            </w:r>
          </w:hyperlink>
        </w:p>
        <w:p w14:paraId="53A2931A" w14:textId="388E9B18"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0" w:history="1">
            <w:r w:rsidRPr="00921082">
              <w:rPr>
                <w:rStyle w:val="Hyperlink"/>
                <w:rFonts w:ascii="Arial" w:hAnsi="Arial" w:cs="Arial"/>
                <w:noProof/>
              </w:rPr>
              <w:t>Benefits</w:t>
            </w:r>
            <w:r>
              <w:rPr>
                <w:noProof/>
                <w:webHidden/>
              </w:rPr>
              <w:tab/>
            </w:r>
            <w:r>
              <w:rPr>
                <w:noProof/>
                <w:webHidden/>
              </w:rPr>
              <w:fldChar w:fldCharType="begin"/>
            </w:r>
            <w:r>
              <w:rPr>
                <w:noProof/>
                <w:webHidden/>
              </w:rPr>
              <w:instrText xml:space="preserve"> PAGEREF _Toc235207310 \h </w:instrText>
            </w:r>
            <w:r>
              <w:rPr>
                <w:noProof/>
                <w:webHidden/>
              </w:rPr>
            </w:r>
            <w:r>
              <w:rPr>
                <w:noProof/>
                <w:webHidden/>
              </w:rPr>
              <w:fldChar w:fldCharType="separate"/>
            </w:r>
            <w:r>
              <w:rPr>
                <w:noProof/>
                <w:webHidden/>
              </w:rPr>
              <w:t>4</w:t>
            </w:r>
            <w:r>
              <w:rPr>
                <w:noProof/>
                <w:webHidden/>
              </w:rPr>
              <w:fldChar w:fldCharType="end"/>
            </w:r>
          </w:hyperlink>
        </w:p>
        <w:p w14:paraId="1EF2308D" w14:textId="36295FBA"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1" w:history="1">
            <w:r w:rsidRPr="00921082">
              <w:rPr>
                <w:rStyle w:val="Hyperlink"/>
                <w:rFonts w:ascii="Arial" w:hAnsi="Arial" w:cs="Arial"/>
                <w:noProof/>
              </w:rPr>
              <w:t>Limits</w:t>
            </w:r>
            <w:r>
              <w:rPr>
                <w:noProof/>
                <w:webHidden/>
              </w:rPr>
              <w:tab/>
            </w:r>
            <w:r>
              <w:rPr>
                <w:noProof/>
                <w:webHidden/>
              </w:rPr>
              <w:fldChar w:fldCharType="begin"/>
            </w:r>
            <w:r>
              <w:rPr>
                <w:noProof/>
                <w:webHidden/>
              </w:rPr>
              <w:instrText xml:space="preserve"> PAGEREF _Toc235207311 \h </w:instrText>
            </w:r>
            <w:r>
              <w:rPr>
                <w:noProof/>
                <w:webHidden/>
              </w:rPr>
            </w:r>
            <w:r>
              <w:rPr>
                <w:noProof/>
                <w:webHidden/>
              </w:rPr>
              <w:fldChar w:fldCharType="separate"/>
            </w:r>
            <w:r>
              <w:rPr>
                <w:noProof/>
                <w:webHidden/>
              </w:rPr>
              <w:t>5</w:t>
            </w:r>
            <w:r>
              <w:rPr>
                <w:noProof/>
                <w:webHidden/>
              </w:rPr>
              <w:fldChar w:fldCharType="end"/>
            </w:r>
          </w:hyperlink>
        </w:p>
        <w:p w14:paraId="4C3D5E79" w14:textId="747E3686"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2" w:history="1">
            <w:r w:rsidRPr="00921082">
              <w:rPr>
                <w:rStyle w:val="Hyperlink"/>
                <w:rFonts w:ascii="Arial" w:hAnsi="Arial" w:cs="Arial"/>
                <w:noProof/>
                <w:lang w:eastAsia="en-GB"/>
              </w:rPr>
              <w:t>Relevant Theories</w:t>
            </w:r>
            <w:r>
              <w:rPr>
                <w:noProof/>
                <w:webHidden/>
              </w:rPr>
              <w:tab/>
            </w:r>
            <w:r>
              <w:rPr>
                <w:noProof/>
                <w:webHidden/>
              </w:rPr>
              <w:fldChar w:fldCharType="begin"/>
            </w:r>
            <w:r>
              <w:rPr>
                <w:noProof/>
                <w:webHidden/>
              </w:rPr>
              <w:instrText xml:space="preserve"> PAGEREF _Toc235207312 \h </w:instrText>
            </w:r>
            <w:r>
              <w:rPr>
                <w:noProof/>
                <w:webHidden/>
              </w:rPr>
            </w:r>
            <w:r>
              <w:rPr>
                <w:noProof/>
                <w:webHidden/>
              </w:rPr>
              <w:fldChar w:fldCharType="separate"/>
            </w:r>
            <w:r>
              <w:rPr>
                <w:noProof/>
                <w:webHidden/>
              </w:rPr>
              <w:t>5</w:t>
            </w:r>
            <w:r>
              <w:rPr>
                <w:noProof/>
                <w:webHidden/>
              </w:rPr>
              <w:fldChar w:fldCharType="end"/>
            </w:r>
          </w:hyperlink>
        </w:p>
        <w:p w14:paraId="695E2C35" w14:textId="4D2FE4B6"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3" w:history="1">
            <w:r w:rsidRPr="00921082">
              <w:rPr>
                <w:rStyle w:val="Hyperlink"/>
                <w:rFonts w:ascii="Arial" w:hAnsi="Arial" w:cs="Arial"/>
                <w:noProof/>
              </w:rPr>
              <w:t>Ethical Fundamentals</w:t>
            </w:r>
            <w:r>
              <w:rPr>
                <w:noProof/>
                <w:webHidden/>
              </w:rPr>
              <w:tab/>
            </w:r>
            <w:r>
              <w:rPr>
                <w:noProof/>
                <w:webHidden/>
              </w:rPr>
              <w:fldChar w:fldCharType="begin"/>
            </w:r>
            <w:r>
              <w:rPr>
                <w:noProof/>
                <w:webHidden/>
              </w:rPr>
              <w:instrText xml:space="preserve"> PAGEREF _Toc235207313 \h </w:instrText>
            </w:r>
            <w:r>
              <w:rPr>
                <w:noProof/>
                <w:webHidden/>
              </w:rPr>
            </w:r>
            <w:r>
              <w:rPr>
                <w:noProof/>
                <w:webHidden/>
              </w:rPr>
              <w:fldChar w:fldCharType="separate"/>
            </w:r>
            <w:r>
              <w:rPr>
                <w:noProof/>
                <w:webHidden/>
              </w:rPr>
              <w:t>6</w:t>
            </w:r>
            <w:r>
              <w:rPr>
                <w:noProof/>
                <w:webHidden/>
              </w:rPr>
              <w:fldChar w:fldCharType="end"/>
            </w:r>
          </w:hyperlink>
        </w:p>
        <w:p w14:paraId="5CD2EECE" w14:textId="006962E0"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4" w:history="1">
            <w:r w:rsidRPr="00921082">
              <w:rPr>
                <w:rStyle w:val="Hyperlink"/>
                <w:rFonts w:ascii="Arial" w:hAnsi="Arial" w:cs="Arial"/>
                <w:noProof/>
              </w:rPr>
              <w:t>Evaluation of Partnership Working</w:t>
            </w:r>
            <w:r>
              <w:rPr>
                <w:noProof/>
                <w:webHidden/>
              </w:rPr>
              <w:tab/>
            </w:r>
            <w:r>
              <w:rPr>
                <w:noProof/>
                <w:webHidden/>
              </w:rPr>
              <w:fldChar w:fldCharType="begin"/>
            </w:r>
            <w:r>
              <w:rPr>
                <w:noProof/>
                <w:webHidden/>
              </w:rPr>
              <w:instrText xml:space="preserve"> PAGEREF _Toc235207314 \h </w:instrText>
            </w:r>
            <w:r>
              <w:rPr>
                <w:noProof/>
                <w:webHidden/>
              </w:rPr>
            </w:r>
            <w:r>
              <w:rPr>
                <w:noProof/>
                <w:webHidden/>
              </w:rPr>
              <w:fldChar w:fldCharType="separate"/>
            </w:r>
            <w:r>
              <w:rPr>
                <w:noProof/>
                <w:webHidden/>
              </w:rPr>
              <w:t>7</w:t>
            </w:r>
            <w:r>
              <w:rPr>
                <w:noProof/>
                <w:webHidden/>
              </w:rPr>
              <w:fldChar w:fldCharType="end"/>
            </w:r>
          </w:hyperlink>
        </w:p>
        <w:p w14:paraId="232030DA" w14:textId="19346B77"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5" w:history="1">
            <w:r w:rsidRPr="00921082">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_Toc235207315 \h </w:instrText>
            </w:r>
            <w:r>
              <w:rPr>
                <w:noProof/>
                <w:webHidden/>
              </w:rPr>
            </w:r>
            <w:r>
              <w:rPr>
                <w:noProof/>
                <w:webHidden/>
              </w:rPr>
              <w:fldChar w:fldCharType="separate"/>
            </w:r>
            <w:r>
              <w:rPr>
                <w:noProof/>
                <w:webHidden/>
              </w:rPr>
              <w:t>8</w:t>
            </w:r>
            <w:r>
              <w:rPr>
                <w:noProof/>
                <w:webHidden/>
              </w:rPr>
              <w:fldChar w:fldCharType="end"/>
            </w:r>
          </w:hyperlink>
        </w:p>
        <w:p w14:paraId="24FED0C5" w14:textId="4F2081BA"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6" w:history="1">
            <w:r w:rsidRPr="00921082">
              <w:rPr>
                <w:rStyle w:val="Hyperlink"/>
                <w:rFonts w:ascii="Arial" w:hAnsi="Arial" w:cs="Arial"/>
                <w:noProof/>
                <w:lang w:eastAsia="en-GB"/>
              </w:rPr>
              <w:t>Recommendations</w:t>
            </w:r>
            <w:r>
              <w:rPr>
                <w:noProof/>
                <w:webHidden/>
              </w:rPr>
              <w:tab/>
            </w:r>
            <w:r>
              <w:rPr>
                <w:noProof/>
                <w:webHidden/>
              </w:rPr>
              <w:fldChar w:fldCharType="begin"/>
            </w:r>
            <w:r>
              <w:rPr>
                <w:noProof/>
                <w:webHidden/>
              </w:rPr>
              <w:instrText xml:space="preserve"> PAGEREF _Toc235207316 \h </w:instrText>
            </w:r>
            <w:r>
              <w:rPr>
                <w:noProof/>
                <w:webHidden/>
              </w:rPr>
            </w:r>
            <w:r>
              <w:rPr>
                <w:noProof/>
                <w:webHidden/>
              </w:rPr>
              <w:fldChar w:fldCharType="separate"/>
            </w:r>
            <w:r>
              <w:rPr>
                <w:noProof/>
                <w:webHidden/>
              </w:rPr>
              <w:t>8</w:t>
            </w:r>
            <w:r>
              <w:rPr>
                <w:noProof/>
                <w:webHidden/>
              </w:rPr>
              <w:fldChar w:fldCharType="end"/>
            </w:r>
          </w:hyperlink>
        </w:p>
        <w:p w14:paraId="5E9BEA89" w14:textId="6561D1D2"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7" w:history="1">
            <w:r w:rsidRPr="0092108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_Toc235207317 \h </w:instrText>
            </w:r>
            <w:r>
              <w:rPr>
                <w:noProof/>
                <w:webHidden/>
              </w:rPr>
            </w:r>
            <w:r>
              <w:rPr>
                <w:noProof/>
                <w:webHidden/>
              </w:rPr>
              <w:fldChar w:fldCharType="separate"/>
            </w:r>
            <w:r>
              <w:rPr>
                <w:noProof/>
                <w:webHidden/>
              </w:rPr>
              <w:t>9</w:t>
            </w:r>
            <w:r>
              <w:rPr>
                <w:noProof/>
                <w:webHidden/>
              </w:rPr>
              <w:fldChar w:fldCharType="end"/>
            </w:r>
          </w:hyperlink>
        </w:p>
        <w:p w14:paraId="1E8162DD" w14:textId="50B92C68" w:rsidR="00077ECC" w:rsidRDefault="00077ECC">
          <w:pPr>
            <w:pStyle w:val="TOC1"/>
            <w:tabs>
              <w:tab w:val="right" w:leader="dot" w:pos="9016"/>
            </w:tabs>
            <w:rPr>
              <w:rFonts w:eastAsiaTheme="minorEastAsia" w:cstheme="minorBidi"/>
              <w:b w:val="0"/>
              <w:bCs w:val="0"/>
              <w:noProof/>
              <w:kern w:val="2"/>
              <w:sz w:val="24"/>
              <w:szCs w:val="24"/>
              <w:lang w:eastAsia="en-GB"/>
              <w14:ligatures w14:val="standardContextual"/>
            </w:rPr>
          </w:pPr>
          <w:hyperlink w:anchor="_Toc235207318" w:history="1">
            <w:r w:rsidRPr="00921082">
              <w:rPr>
                <w:rStyle w:val="Hyperlink"/>
                <w:rFonts w:ascii="Arial" w:hAnsi="Arial" w:cs="Arial"/>
                <w:noProof/>
                <w:lang w:eastAsia="en-GB"/>
              </w:rPr>
              <w:t>Reference list</w:t>
            </w:r>
            <w:r>
              <w:rPr>
                <w:noProof/>
                <w:webHidden/>
              </w:rPr>
              <w:tab/>
            </w:r>
            <w:r>
              <w:rPr>
                <w:noProof/>
                <w:webHidden/>
              </w:rPr>
              <w:fldChar w:fldCharType="begin"/>
            </w:r>
            <w:r>
              <w:rPr>
                <w:noProof/>
                <w:webHidden/>
              </w:rPr>
              <w:instrText xml:space="preserve"> PAGEREF _Toc235207318 \h </w:instrText>
            </w:r>
            <w:r>
              <w:rPr>
                <w:noProof/>
                <w:webHidden/>
              </w:rPr>
            </w:r>
            <w:r>
              <w:rPr>
                <w:noProof/>
                <w:webHidden/>
              </w:rPr>
              <w:fldChar w:fldCharType="separate"/>
            </w:r>
            <w:r>
              <w:rPr>
                <w:noProof/>
                <w:webHidden/>
              </w:rPr>
              <w:t>10</w:t>
            </w:r>
            <w:r>
              <w:rPr>
                <w:noProof/>
                <w:webHidden/>
              </w:rPr>
              <w:fldChar w:fldCharType="end"/>
            </w:r>
          </w:hyperlink>
        </w:p>
        <w:p w14:paraId="47540699" w14:textId="64BA6AA3" w:rsidR="00970C78" w:rsidRDefault="00970C78">
          <w:r w:rsidRPr="00061A5D">
            <w:rPr>
              <w:rFonts w:ascii="Arial" w:hAnsi="Arial" w:cs="Arial"/>
              <w:b/>
              <w:bCs/>
              <w:noProof/>
              <w:color w:val="000000" w:themeColor="text1"/>
              <w:sz w:val="22"/>
              <w:szCs w:val="22"/>
            </w:rPr>
            <w:fldChar w:fldCharType="end"/>
          </w:r>
        </w:p>
      </w:sdtContent>
    </w:sdt>
    <w:p w14:paraId="13ED2543" w14:textId="77777777" w:rsidR="00970C78" w:rsidRDefault="00970C78" w:rsidP="00801AC6">
      <w:pPr>
        <w:pStyle w:val="Heading1"/>
        <w:rPr>
          <w:rFonts w:eastAsia="Times New Roman"/>
          <w:lang w:eastAsia="en-GB"/>
        </w:rPr>
      </w:pPr>
    </w:p>
    <w:p w14:paraId="14A9BC97" w14:textId="77777777" w:rsidR="00970C78" w:rsidRDefault="00970C78" w:rsidP="00801AC6">
      <w:pPr>
        <w:pStyle w:val="Heading1"/>
        <w:rPr>
          <w:rFonts w:eastAsia="Times New Roman"/>
          <w:lang w:eastAsia="en-GB"/>
        </w:rPr>
      </w:pPr>
    </w:p>
    <w:p w14:paraId="04A83556" w14:textId="77777777" w:rsidR="00970C78" w:rsidRDefault="00970C78" w:rsidP="00801AC6">
      <w:pPr>
        <w:pStyle w:val="Heading1"/>
        <w:rPr>
          <w:rFonts w:eastAsia="Times New Roman"/>
          <w:lang w:eastAsia="en-GB"/>
        </w:rPr>
      </w:pPr>
    </w:p>
    <w:p w14:paraId="2226DCCD" w14:textId="77777777" w:rsidR="00970C78" w:rsidRDefault="00970C78" w:rsidP="00801AC6">
      <w:pPr>
        <w:pStyle w:val="Heading1"/>
        <w:rPr>
          <w:rFonts w:eastAsia="Times New Roman"/>
          <w:lang w:eastAsia="en-GB"/>
        </w:rPr>
      </w:pPr>
    </w:p>
    <w:p w14:paraId="14FDC674" w14:textId="77777777" w:rsidR="00970C78" w:rsidRDefault="00970C78" w:rsidP="00801AC6">
      <w:pPr>
        <w:pStyle w:val="Heading1"/>
        <w:rPr>
          <w:rFonts w:eastAsia="Times New Roman"/>
          <w:lang w:eastAsia="en-GB"/>
        </w:rPr>
      </w:pPr>
    </w:p>
    <w:p w14:paraId="00AC4763" w14:textId="77777777" w:rsidR="00970C78" w:rsidRDefault="00970C78" w:rsidP="00801AC6">
      <w:pPr>
        <w:pStyle w:val="Heading1"/>
        <w:rPr>
          <w:rFonts w:eastAsia="Times New Roman"/>
          <w:lang w:eastAsia="en-GB"/>
        </w:rPr>
      </w:pPr>
    </w:p>
    <w:p w14:paraId="3C56D6E3" w14:textId="77777777" w:rsidR="00970C78" w:rsidRDefault="00970C78" w:rsidP="00801AC6">
      <w:pPr>
        <w:pStyle w:val="Heading1"/>
        <w:rPr>
          <w:rFonts w:eastAsia="Times New Roman"/>
          <w:lang w:eastAsia="en-GB"/>
        </w:rPr>
      </w:pPr>
    </w:p>
    <w:p w14:paraId="7F265933" w14:textId="7D38EA5E" w:rsidR="00FD10D4" w:rsidRDefault="00FD10D4" w:rsidP="00801AC6">
      <w:pPr>
        <w:pStyle w:val="Heading1"/>
        <w:rPr>
          <w:rFonts w:eastAsia="Times New Roman"/>
          <w:lang w:eastAsia="en-GB"/>
        </w:rPr>
      </w:pPr>
    </w:p>
    <w:p w14:paraId="0B840745" w14:textId="77777777" w:rsidR="00FD10D4" w:rsidRPr="00FD10D4" w:rsidRDefault="00FD10D4" w:rsidP="00FD10D4">
      <w:pPr>
        <w:rPr>
          <w:lang w:eastAsia="en-GB"/>
        </w:rPr>
      </w:pPr>
    </w:p>
    <w:p w14:paraId="44DD8E4F" w14:textId="375CD363" w:rsidR="006B655B" w:rsidRPr="003A55A9" w:rsidRDefault="006B655B" w:rsidP="00801AC6">
      <w:pPr>
        <w:pStyle w:val="Heading1"/>
        <w:rPr>
          <w:rFonts w:ascii="Arial" w:eastAsia="Times New Roman" w:hAnsi="Arial" w:cs="Arial"/>
          <w:b/>
          <w:bCs/>
          <w:color w:val="000000" w:themeColor="text1"/>
          <w:sz w:val="22"/>
          <w:szCs w:val="22"/>
          <w:lang w:eastAsia="en-GB"/>
        </w:rPr>
      </w:pPr>
      <w:bookmarkStart w:id="0" w:name="_Toc235207307"/>
      <w:r w:rsidRPr="003A55A9">
        <w:rPr>
          <w:rFonts w:ascii="Arial" w:eastAsia="Times New Roman" w:hAnsi="Arial" w:cs="Arial"/>
          <w:b/>
          <w:bCs/>
          <w:color w:val="000000" w:themeColor="text1"/>
          <w:sz w:val="22"/>
          <w:szCs w:val="22"/>
          <w:lang w:eastAsia="en-GB"/>
        </w:rPr>
        <w:lastRenderedPageBreak/>
        <w:t>Abstract</w:t>
      </w:r>
      <w:bookmarkEnd w:id="0"/>
    </w:p>
    <w:p w14:paraId="17E7FD16" w14:textId="7E14EF95" w:rsidR="00215CDF" w:rsidRPr="003A55A9" w:rsidRDefault="00215CDF" w:rsidP="00215CDF">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This research analyses the significance of person-centred care (PCC) and collaborative partnerships (PW) in modern health and social care practices. It examines the fundamental concepts of person-centred care, encompassing dignity, respect, choice, independence, effective communication, and shared decision-making, illustrating how these principles enhance health outcomes and quality of care. The report examines the role of collaborative efforts among health professionals, social care providers, families, and informal carers, emphasising the significance of cooperation in providing coordinated, safe, and comprehensive care. Current legislation, professional standards, and person-centred ideas are examined to illustrate their impact on practice. The results underscore that effective communication, interdisciplinary collaboration, and active participation of service users are essential for attaining favourable physical, psychological, and social outcomes. The paper asserts that integrating person-centred principles with robust collaborative efforts fosters safer, more responsive, and equitable health and social care services, hence improving patient happiness, autonomy, and overall welfare.</w:t>
      </w:r>
    </w:p>
    <w:p w14:paraId="1CF8AE57" w14:textId="0A1D0F7E" w:rsidR="00FD10D4" w:rsidRPr="003A55A9" w:rsidRDefault="00123E4F" w:rsidP="002C386B">
      <w:pPr>
        <w:pStyle w:val="isselectedend"/>
        <w:rPr>
          <w:rStyle w:val="Heading1Char"/>
          <w:rFonts w:ascii="Arial" w:hAnsi="Arial" w:cs="Arial"/>
          <w:color w:val="000000" w:themeColor="text1"/>
        </w:rPr>
      </w:pPr>
      <w:r w:rsidRPr="003A55A9">
        <w:rPr>
          <w:rFonts w:ascii="Arial" w:hAnsi="Arial" w:cs="Arial"/>
          <w:color w:val="000000" w:themeColor="text1"/>
        </w:rPr>
        <w:br/>
      </w:r>
      <w:r w:rsidRPr="003A55A9">
        <w:rPr>
          <w:rFonts w:ascii="Arial" w:hAnsi="Arial" w:cs="Arial"/>
          <w:color w:val="000000" w:themeColor="text1"/>
        </w:rPr>
        <w:br/>
      </w:r>
      <w:r w:rsidRPr="003A55A9">
        <w:rPr>
          <w:rFonts w:ascii="Arial" w:hAnsi="Arial" w:cs="Arial"/>
          <w:color w:val="000000" w:themeColor="text1"/>
        </w:rPr>
        <w:br/>
      </w:r>
    </w:p>
    <w:p w14:paraId="7144E63E" w14:textId="77777777" w:rsidR="00FD10D4" w:rsidRPr="003A55A9" w:rsidRDefault="00FD10D4" w:rsidP="002C386B">
      <w:pPr>
        <w:pStyle w:val="isselectedend"/>
        <w:rPr>
          <w:rStyle w:val="Heading1Char"/>
          <w:rFonts w:ascii="Arial" w:hAnsi="Arial" w:cs="Arial"/>
          <w:color w:val="000000" w:themeColor="text1"/>
        </w:rPr>
      </w:pPr>
    </w:p>
    <w:p w14:paraId="282FA8CD" w14:textId="77777777" w:rsidR="00FD10D4" w:rsidRPr="003A55A9" w:rsidRDefault="00FD10D4" w:rsidP="002C386B">
      <w:pPr>
        <w:pStyle w:val="isselectedend"/>
        <w:rPr>
          <w:rStyle w:val="Heading1Char"/>
          <w:rFonts w:ascii="Arial" w:hAnsi="Arial" w:cs="Arial"/>
          <w:color w:val="000000" w:themeColor="text1"/>
        </w:rPr>
      </w:pPr>
    </w:p>
    <w:p w14:paraId="049051CF" w14:textId="77777777" w:rsidR="00FD10D4" w:rsidRPr="003A55A9" w:rsidRDefault="00FD10D4" w:rsidP="002C386B">
      <w:pPr>
        <w:pStyle w:val="isselectedend"/>
        <w:rPr>
          <w:rStyle w:val="Heading1Char"/>
          <w:rFonts w:ascii="Arial" w:hAnsi="Arial" w:cs="Arial"/>
          <w:color w:val="000000" w:themeColor="text1"/>
        </w:rPr>
      </w:pPr>
    </w:p>
    <w:p w14:paraId="086C6467" w14:textId="77777777" w:rsidR="00FD10D4" w:rsidRPr="003A55A9" w:rsidRDefault="00FD10D4" w:rsidP="002C386B">
      <w:pPr>
        <w:pStyle w:val="isselectedend"/>
        <w:rPr>
          <w:rStyle w:val="Heading1Char"/>
          <w:rFonts w:ascii="Arial" w:hAnsi="Arial" w:cs="Arial"/>
          <w:color w:val="000000" w:themeColor="text1"/>
        </w:rPr>
      </w:pPr>
    </w:p>
    <w:p w14:paraId="5EF2116A" w14:textId="77777777" w:rsidR="00FD10D4" w:rsidRPr="003A55A9" w:rsidRDefault="00FD10D4" w:rsidP="002C386B">
      <w:pPr>
        <w:pStyle w:val="isselectedend"/>
        <w:rPr>
          <w:rStyle w:val="Heading1Char"/>
          <w:rFonts w:ascii="Arial" w:hAnsi="Arial" w:cs="Arial"/>
          <w:color w:val="000000" w:themeColor="text1"/>
        </w:rPr>
      </w:pPr>
    </w:p>
    <w:p w14:paraId="2E4D5C1F" w14:textId="77777777" w:rsidR="00FD10D4" w:rsidRPr="003A55A9" w:rsidRDefault="00FD10D4" w:rsidP="002C386B">
      <w:pPr>
        <w:pStyle w:val="isselectedend"/>
        <w:rPr>
          <w:rStyle w:val="Heading1Char"/>
          <w:rFonts w:ascii="Arial" w:hAnsi="Arial" w:cs="Arial"/>
          <w:color w:val="000000" w:themeColor="text1"/>
        </w:rPr>
      </w:pPr>
    </w:p>
    <w:p w14:paraId="688608D6" w14:textId="77777777" w:rsidR="00FD10D4" w:rsidRPr="003A55A9" w:rsidRDefault="00FD10D4" w:rsidP="002C386B">
      <w:pPr>
        <w:pStyle w:val="isselectedend"/>
        <w:rPr>
          <w:rStyle w:val="Heading1Char"/>
          <w:rFonts w:ascii="Arial" w:hAnsi="Arial" w:cs="Arial"/>
          <w:color w:val="000000" w:themeColor="text1"/>
        </w:rPr>
      </w:pPr>
    </w:p>
    <w:p w14:paraId="47C110F2" w14:textId="77777777" w:rsidR="007930C9" w:rsidRPr="003A55A9" w:rsidRDefault="007930C9" w:rsidP="002C386B">
      <w:pPr>
        <w:pStyle w:val="isselectedend"/>
        <w:rPr>
          <w:rStyle w:val="Heading1Char"/>
          <w:rFonts w:ascii="Arial" w:hAnsi="Arial" w:cs="Arial"/>
          <w:color w:val="000000" w:themeColor="text1"/>
        </w:rPr>
      </w:pPr>
    </w:p>
    <w:p w14:paraId="6E5FB0E4" w14:textId="4B59717B" w:rsidR="002C386B" w:rsidRPr="003A55A9" w:rsidRDefault="00123E4F" w:rsidP="00FD10D4">
      <w:pPr>
        <w:pStyle w:val="isselectedend"/>
        <w:spacing w:line="360" w:lineRule="auto"/>
        <w:jc w:val="both"/>
        <w:rPr>
          <w:rFonts w:ascii="Arial" w:hAnsi="Arial" w:cs="Arial"/>
          <w:color w:val="000000" w:themeColor="text1"/>
          <w:sz w:val="22"/>
          <w:szCs w:val="22"/>
        </w:rPr>
      </w:pPr>
      <w:bookmarkStart w:id="1" w:name="_Toc235207308"/>
      <w:r w:rsidRPr="003A55A9">
        <w:rPr>
          <w:rStyle w:val="Heading1Char"/>
          <w:rFonts w:ascii="Arial" w:hAnsi="Arial" w:cs="Arial"/>
          <w:b/>
          <w:bCs/>
          <w:color w:val="000000" w:themeColor="text1"/>
          <w:sz w:val="22"/>
          <w:szCs w:val="22"/>
        </w:rPr>
        <w:lastRenderedPageBreak/>
        <w:t>Introduction</w:t>
      </w:r>
      <w:bookmarkEnd w:id="1"/>
      <w:r w:rsidRPr="003A55A9">
        <w:rPr>
          <w:rFonts w:ascii="Arial" w:hAnsi="Arial" w:cs="Arial"/>
          <w:color w:val="000000" w:themeColor="text1"/>
        </w:rPr>
        <w:br/>
      </w:r>
      <w:r w:rsidR="00215CDF" w:rsidRPr="003A55A9">
        <w:rPr>
          <w:rFonts w:ascii="Arial" w:hAnsi="Arial" w:cs="Arial"/>
          <w:color w:val="000000" w:themeColor="text1"/>
          <w:sz w:val="22"/>
          <w:szCs w:val="22"/>
        </w:rPr>
        <w:t xml:space="preserve">This report analyses the significance of partnership working (PW) and person-centred care (PCC) in the provision of high-quality health and social care services in a community care environment. Modern healthcare is founded on the principle of person-centred care, which guarantees that individuals are treated with dignity, respect, and compassion while actively participating in the planning of their own care </w:t>
      </w:r>
      <w:r w:rsidR="002C386B" w:rsidRPr="003A55A9">
        <w:rPr>
          <w:rFonts w:ascii="Arial" w:hAnsi="Arial" w:cs="Arial"/>
          <w:color w:val="000000" w:themeColor="text1"/>
          <w:sz w:val="22"/>
          <w:szCs w:val="22"/>
        </w:rPr>
        <w:t>(</w:t>
      </w:r>
      <w:proofErr w:type="spellStart"/>
      <w:r w:rsidR="00AE2562" w:rsidRPr="003A55A9">
        <w:rPr>
          <w:rFonts w:ascii="Arial" w:hAnsi="Arial" w:cs="Arial"/>
          <w:color w:val="000000" w:themeColor="text1"/>
          <w:sz w:val="22"/>
          <w:szCs w:val="22"/>
          <w:shd w:val="clear" w:color="auto" w:fill="FFFFFF"/>
        </w:rPr>
        <w:t>Kanagasingam</w:t>
      </w:r>
      <w:proofErr w:type="spellEnd"/>
      <w:r w:rsidR="00AE2562" w:rsidRPr="003A55A9">
        <w:rPr>
          <w:rFonts w:ascii="Arial" w:hAnsi="Arial" w:cs="Arial"/>
          <w:color w:val="000000" w:themeColor="text1"/>
          <w:sz w:val="22"/>
          <w:szCs w:val="22"/>
          <w:shd w:val="clear" w:color="auto" w:fill="FFFFFF"/>
        </w:rPr>
        <w:t xml:space="preserve"> </w:t>
      </w:r>
      <w:r w:rsidR="00AE2562" w:rsidRPr="003A55A9">
        <w:rPr>
          <w:rFonts w:ascii="Arial" w:hAnsi="Arial" w:cs="Arial"/>
          <w:i/>
          <w:iCs/>
          <w:color w:val="000000" w:themeColor="text1"/>
          <w:sz w:val="22"/>
          <w:szCs w:val="22"/>
          <w:shd w:val="clear" w:color="auto" w:fill="FFFFFF"/>
        </w:rPr>
        <w:t>et al.</w:t>
      </w:r>
      <w:r w:rsidR="002C386B" w:rsidRPr="003A55A9">
        <w:rPr>
          <w:rFonts w:ascii="Arial" w:hAnsi="Arial" w:cs="Arial"/>
          <w:i/>
          <w:iCs/>
          <w:color w:val="000000" w:themeColor="text1"/>
          <w:sz w:val="22"/>
          <w:szCs w:val="22"/>
        </w:rPr>
        <w:t>,</w:t>
      </w:r>
      <w:r w:rsidR="002C386B" w:rsidRPr="003A55A9">
        <w:rPr>
          <w:rFonts w:ascii="Arial" w:hAnsi="Arial" w:cs="Arial"/>
          <w:color w:val="000000" w:themeColor="text1"/>
          <w:sz w:val="22"/>
          <w:szCs w:val="22"/>
        </w:rPr>
        <w:t xml:space="preserve"> 2023). </w:t>
      </w:r>
      <w:r w:rsidR="00215CDF" w:rsidRPr="003A55A9">
        <w:rPr>
          <w:rFonts w:ascii="Arial" w:hAnsi="Arial" w:cs="Arial"/>
          <w:color w:val="000000" w:themeColor="text1"/>
          <w:sz w:val="22"/>
          <w:szCs w:val="22"/>
        </w:rPr>
        <w:t xml:space="preserve">This approach is enhanced by the promotion of effective </w:t>
      </w:r>
      <w:r w:rsidR="007930C9" w:rsidRPr="003A55A9">
        <w:rPr>
          <w:rFonts w:ascii="Arial" w:hAnsi="Arial" w:cs="Arial"/>
          <w:color w:val="000000" w:themeColor="text1"/>
          <w:sz w:val="22"/>
          <w:szCs w:val="22"/>
        </w:rPr>
        <w:t>PW</w:t>
      </w:r>
      <w:r w:rsidR="00215CDF" w:rsidRPr="003A55A9">
        <w:rPr>
          <w:rFonts w:ascii="Arial" w:hAnsi="Arial" w:cs="Arial"/>
          <w:color w:val="000000" w:themeColor="text1"/>
          <w:sz w:val="22"/>
          <w:szCs w:val="22"/>
        </w:rPr>
        <w:t xml:space="preserve">, which fosters collaboration among healthcare professionals, social care practitioners, families, and carers to offer coordinated support </w:t>
      </w:r>
      <w:r w:rsidR="00801AC6" w:rsidRPr="003A55A9">
        <w:rPr>
          <w:rFonts w:ascii="Arial" w:hAnsi="Arial" w:cs="Arial"/>
          <w:color w:val="000000" w:themeColor="text1"/>
          <w:sz w:val="22"/>
          <w:szCs w:val="22"/>
        </w:rPr>
        <w:t>(</w:t>
      </w:r>
      <w:r w:rsidR="00801AC6" w:rsidRPr="003A55A9">
        <w:rPr>
          <w:rFonts w:ascii="Arial" w:hAnsi="Arial" w:cs="Arial"/>
          <w:color w:val="000000" w:themeColor="text1"/>
          <w:sz w:val="22"/>
          <w:szCs w:val="22"/>
          <w:shd w:val="clear" w:color="auto" w:fill="FFFFFF"/>
        </w:rPr>
        <w:t xml:space="preserve">Aoun </w:t>
      </w:r>
      <w:r w:rsidR="00801AC6" w:rsidRPr="003A55A9">
        <w:rPr>
          <w:rFonts w:ascii="Arial" w:hAnsi="Arial" w:cs="Arial"/>
          <w:i/>
          <w:iCs/>
          <w:color w:val="000000" w:themeColor="text1"/>
          <w:sz w:val="22"/>
          <w:szCs w:val="22"/>
          <w:shd w:val="clear" w:color="auto" w:fill="FFFFFF"/>
        </w:rPr>
        <w:t xml:space="preserve">et al., </w:t>
      </w:r>
      <w:r w:rsidR="00801AC6" w:rsidRPr="003A55A9">
        <w:rPr>
          <w:rFonts w:ascii="Arial" w:hAnsi="Arial" w:cs="Arial"/>
          <w:color w:val="000000" w:themeColor="text1"/>
          <w:sz w:val="22"/>
          <w:szCs w:val="22"/>
          <w:shd w:val="clear" w:color="auto" w:fill="FFFFFF"/>
        </w:rPr>
        <w:t>2023)</w:t>
      </w:r>
      <w:r w:rsidR="002C386B" w:rsidRPr="003A55A9">
        <w:rPr>
          <w:rFonts w:ascii="Arial" w:hAnsi="Arial" w:cs="Arial"/>
          <w:color w:val="000000" w:themeColor="text1"/>
          <w:sz w:val="22"/>
          <w:szCs w:val="22"/>
        </w:rPr>
        <w:t>.</w:t>
      </w:r>
    </w:p>
    <w:p w14:paraId="3B3DC340" w14:textId="18CD65EB" w:rsidR="00215CDF" w:rsidRPr="003A55A9" w:rsidRDefault="00215CDF" w:rsidP="00215CDF">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The report commences by outlining person-centred care and examining its advantages and drawbacks in the context of community care. It subsequently investigates the concepts and significance of collaborative partnerships, followed by an analysis of the essential legislation, policies, and professional standards that support these </w:t>
      </w:r>
      <w:r w:rsidR="00A347C6" w:rsidRPr="003A55A9">
        <w:rPr>
          <w:rFonts w:ascii="Arial" w:hAnsi="Arial" w:cs="Arial"/>
          <w:color w:val="000000" w:themeColor="text1"/>
          <w:sz w:val="22"/>
          <w:szCs w:val="22"/>
        </w:rPr>
        <w:t>practices</w:t>
      </w:r>
      <w:r w:rsidRPr="003A55A9">
        <w:rPr>
          <w:rFonts w:ascii="Arial" w:hAnsi="Arial" w:cs="Arial"/>
          <w:color w:val="000000" w:themeColor="text1"/>
          <w:sz w:val="22"/>
          <w:szCs w:val="22"/>
        </w:rPr>
        <w:t>. The report assesses the impact of integrating person-centred care with effective collaboration on health outcomes, fostering independence, and improving the quality of care for individuals receiving community-based services.</w:t>
      </w:r>
    </w:p>
    <w:p w14:paraId="1E334179" w14:textId="2D915384" w:rsidR="00970C78" w:rsidRPr="003A55A9" w:rsidRDefault="00471460" w:rsidP="00FD10D4">
      <w:pPr>
        <w:pStyle w:val="isselectedend"/>
        <w:rPr>
          <w:rFonts w:ascii="Arial" w:hAnsi="Arial" w:cs="Arial"/>
          <w:b/>
          <w:bCs/>
          <w:color w:val="000000" w:themeColor="text1"/>
          <w:sz w:val="16"/>
          <w:szCs w:val="16"/>
        </w:rPr>
      </w:pPr>
      <w:bookmarkStart w:id="2" w:name="_Toc235207309"/>
      <w:r w:rsidRPr="003A55A9">
        <w:rPr>
          <w:rStyle w:val="Heading1Char"/>
          <w:rFonts w:ascii="Arial" w:hAnsi="Arial" w:cs="Arial"/>
          <w:b/>
          <w:bCs/>
          <w:color w:val="000000" w:themeColor="text1"/>
          <w:sz w:val="22"/>
          <w:szCs w:val="22"/>
        </w:rPr>
        <w:t>Definition of Person-Centred Care</w:t>
      </w:r>
      <w:bookmarkEnd w:id="2"/>
    </w:p>
    <w:p w14:paraId="34C0C36D" w14:textId="335391A5" w:rsidR="00E52CB0" w:rsidRPr="003A55A9" w:rsidRDefault="00471460" w:rsidP="00970C78">
      <w:pPr>
        <w:spacing w:line="360" w:lineRule="auto"/>
        <w:jc w:val="both"/>
        <w:rPr>
          <w:rFonts w:ascii="Arial" w:hAnsi="Arial" w:cs="Arial"/>
          <w:color w:val="000000" w:themeColor="text1"/>
          <w:sz w:val="22"/>
        </w:rPr>
      </w:pPr>
      <w:r w:rsidRPr="003A55A9">
        <w:rPr>
          <w:rFonts w:ascii="Arial" w:hAnsi="Arial" w:cs="Arial"/>
          <w:color w:val="000000" w:themeColor="text1"/>
          <w:sz w:val="22"/>
        </w:rPr>
        <w:t xml:space="preserve">PCC is an approach </w:t>
      </w:r>
      <w:r w:rsidR="00215CDF" w:rsidRPr="003A55A9">
        <w:rPr>
          <w:rFonts w:ascii="Arial" w:hAnsi="Arial" w:cs="Arial"/>
          <w:color w:val="000000" w:themeColor="text1"/>
          <w:sz w:val="22"/>
          <w:szCs w:val="22"/>
        </w:rPr>
        <w:t>in health and social services that prioritises the individual in all decision-making processes related to their care and assistance</w:t>
      </w:r>
      <w:r w:rsidR="00215CDF" w:rsidRPr="003A55A9">
        <w:rPr>
          <w:rFonts w:ascii="Arial" w:hAnsi="Arial" w:cs="Arial"/>
          <w:color w:val="000000" w:themeColor="text1"/>
          <w:sz w:val="22"/>
        </w:rPr>
        <w:t xml:space="preserve"> </w:t>
      </w:r>
      <w:r w:rsidR="00E52CB0" w:rsidRPr="003A55A9">
        <w:rPr>
          <w:rFonts w:ascii="Arial" w:hAnsi="Arial" w:cs="Arial"/>
          <w:color w:val="000000" w:themeColor="text1"/>
          <w:sz w:val="22"/>
        </w:rPr>
        <w:t>(</w:t>
      </w:r>
      <w:r w:rsidR="00E52CB0" w:rsidRPr="003A55A9">
        <w:rPr>
          <w:rFonts w:ascii="Arial" w:hAnsi="Arial" w:cs="Arial"/>
          <w:color w:val="000000" w:themeColor="text1"/>
          <w:sz w:val="22"/>
          <w:shd w:val="clear" w:color="auto" w:fill="FFFFFF"/>
        </w:rPr>
        <w:t xml:space="preserve">Ahmed </w:t>
      </w:r>
      <w:r w:rsidR="00E52CB0" w:rsidRPr="003A55A9">
        <w:rPr>
          <w:rFonts w:ascii="Arial" w:hAnsi="Arial" w:cs="Arial"/>
          <w:i/>
          <w:iCs/>
          <w:color w:val="000000" w:themeColor="text1"/>
          <w:sz w:val="22"/>
          <w:shd w:val="clear" w:color="auto" w:fill="FFFFFF"/>
        </w:rPr>
        <w:t>et al.,</w:t>
      </w:r>
      <w:r w:rsidR="00E52CB0" w:rsidRPr="003A55A9">
        <w:rPr>
          <w:rFonts w:ascii="Arial" w:hAnsi="Arial" w:cs="Arial"/>
          <w:color w:val="000000" w:themeColor="text1"/>
          <w:sz w:val="22"/>
          <w:shd w:val="clear" w:color="auto" w:fill="FFFFFF"/>
        </w:rPr>
        <w:t xml:space="preserve"> 2022)</w:t>
      </w:r>
      <w:r w:rsidRPr="003A55A9">
        <w:rPr>
          <w:rFonts w:ascii="Arial" w:hAnsi="Arial" w:cs="Arial"/>
          <w:color w:val="000000" w:themeColor="text1"/>
          <w:sz w:val="22"/>
        </w:rPr>
        <w:t xml:space="preserve">. </w:t>
      </w:r>
      <w:r w:rsidR="00215CDF" w:rsidRPr="003A55A9">
        <w:rPr>
          <w:rFonts w:ascii="Arial" w:hAnsi="Arial" w:cs="Arial"/>
          <w:color w:val="000000" w:themeColor="text1"/>
          <w:sz w:val="22"/>
          <w:szCs w:val="22"/>
        </w:rPr>
        <w:t>Instead of concentrating exclusively on an individual's sickness or condition, person-centred care acknowledges each person as distinct, possessing their own values, interests, beliefs, and objectives</w:t>
      </w:r>
      <w:r w:rsidR="00215CDF" w:rsidRPr="003A55A9">
        <w:rPr>
          <w:rFonts w:ascii="Arial" w:hAnsi="Arial" w:cs="Arial"/>
          <w:color w:val="000000" w:themeColor="text1"/>
          <w:sz w:val="22"/>
        </w:rPr>
        <w:t xml:space="preserve"> </w:t>
      </w:r>
      <w:r w:rsidR="00E52CB0" w:rsidRPr="003A55A9">
        <w:rPr>
          <w:rFonts w:ascii="Arial" w:hAnsi="Arial" w:cs="Arial"/>
          <w:color w:val="000000" w:themeColor="text1"/>
          <w:sz w:val="22"/>
        </w:rPr>
        <w:t>(</w:t>
      </w:r>
      <w:r w:rsidR="00E52CB0" w:rsidRPr="003A55A9">
        <w:rPr>
          <w:rFonts w:ascii="Arial" w:hAnsi="Arial" w:cs="Arial"/>
          <w:color w:val="000000" w:themeColor="text1"/>
          <w:sz w:val="22"/>
          <w:shd w:val="clear" w:color="auto" w:fill="FFFFFF"/>
        </w:rPr>
        <w:t>Mousazadeh</w:t>
      </w:r>
      <w:r w:rsidR="00AF25EC" w:rsidRPr="003A55A9">
        <w:rPr>
          <w:rFonts w:ascii="Arial" w:hAnsi="Arial" w:cs="Arial"/>
          <w:color w:val="000000" w:themeColor="text1"/>
          <w:sz w:val="22"/>
          <w:shd w:val="clear" w:color="auto" w:fill="FFFFFF"/>
        </w:rPr>
        <w:t xml:space="preserve"> </w:t>
      </w:r>
      <w:r w:rsidR="00E52CB0" w:rsidRPr="003A55A9">
        <w:rPr>
          <w:rFonts w:ascii="Arial" w:hAnsi="Arial" w:cs="Arial"/>
          <w:i/>
          <w:color w:val="000000" w:themeColor="text1"/>
          <w:sz w:val="22"/>
          <w:shd w:val="clear" w:color="auto" w:fill="FFFFFF"/>
        </w:rPr>
        <w:t>et al.,</w:t>
      </w:r>
      <w:r w:rsidR="00E52CB0" w:rsidRPr="003A55A9">
        <w:rPr>
          <w:rFonts w:ascii="Arial" w:hAnsi="Arial" w:cs="Arial"/>
          <w:color w:val="000000" w:themeColor="text1"/>
          <w:sz w:val="22"/>
          <w:shd w:val="clear" w:color="auto" w:fill="FFFFFF"/>
        </w:rPr>
        <w:t xml:space="preserve"> 2025)</w:t>
      </w:r>
      <w:r w:rsidRPr="003A55A9">
        <w:rPr>
          <w:rFonts w:ascii="Arial" w:hAnsi="Arial" w:cs="Arial"/>
          <w:color w:val="000000" w:themeColor="text1"/>
          <w:sz w:val="22"/>
        </w:rPr>
        <w:t xml:space="preserve">. </w:t>
      </w:r>
      <w:r w:rsidR="00215CDF" w:rsidRPr="003A55A9">
        <w:rPr>
          <w:rFonts w:ascii="Arial" w:hAnsi="Arial" w:cs="Arial"/>
          <w:color w:val="000000" w:themeColor="text1"/>
          <w:sz w:val="22"/>
          <w:szCs w:val="22"/>
        </w:rPr>
        <w:t>It promotes collaboration among healthcare practitioners and individuals, empowering them to make knowledgeable decisions and engage in the planning and management of their own treatment</w:t>
      </w:r>
      <w:r w:rsidR="00215CDF" w:rsidRPr="003A55A9">
        <w:rPr>
          <w:rFonts w:ascii="Arial" w:hAnsi="Arial" w:cs="Arial"/>
          <w:color w:val="000000" w:themeColor="text1"/>
          <w:sz w:val="22"/>
        </w:rPr>
        <w:t xml:space="preserve"> </w:t>
      </w:r>
      <w:r w:rsidRPr="003A55A9">
        <w:rPr>
          <w:rFonts w:ascii="Arial" w:hAnsi="Arial" w:cs="Arial"/>
          <w:color w:val="000000" w:themeColor="text1"/>
          <w:sz w:val="22"/>
        </w:rPr>
        <w:t xml:space="preserve">(National Institute for Health and Care Excellence, 2023). This approach </w:t>
      </w:r>
      <w:r w:rsidR="00215CDF" w:rsidRPr="003A55A9">
        <w:rPr>
          <w:rFonts w:ascii="Arial" w:hAnsi="Arial" w:cs="Arial"/>
          <w:color w:val="000000" w:themeColor="text1"/>
          <w:sz w:val="22"/>
          <w:szCs w:val="22"/>
        </w:rPr>
        <w:t xml:space="preserve">is founded on the concepts of dignity, respect, compassion, autonomy, effective communication, and collaborative decision-making </w:t>
      </w:r>
      <w:r w:rsidRPr="003A55A9">
        <w:rPr>
          <w:rFonts w:ascii="Arial" w:hAnsi="Arial" w:cs="Arial"/>
          <w:color w:val="000000" w:themeColor="text1"/>
          <w:sz w:val="22"/>
        </w:rPr>
        <w:t>(</w:t>
      </w:r>
      <w:r w:rsidR="00E52CB0" w:rsidRPr="003A55A9">
        <w:rPr>
          <w:rFonts w:ascii="Arial" w:hAnsi="Arial" w:cs="Arial"/>
          <w:color w:val="000000" w:themeColor="text1"/>
          <w:sz w:val="22"/>
          <w:shd w:val="clear" w:color="auto" w:fill="FFFFFF"/>
        </w:rPr>
        <w:t>McCance and McCormack, 2025</w:t>
      </w:r>
      <w:r w:rsidRPr="003A55A9">
        <w:rPr>
          <w:rFonts w:ascii="Arial" w:hAnsi="Arial" w:cs="Arial"/>
          <w:color w:val="000000" w:themeColor="text1"/>
          <w:sz w:val="22"/>
        </w:rPr>
        <w:t>).</w:t>
      </w:r>
    </w:p>
    <w:p w14:paraId="1563D456" w14:textId="01187B32" w:rsidR="00E52CB0" w:rsidRPr="003A55A9" w:rsidRDefault="00E52CB0" w:rsidP="00E52CB0">
      <w:pPr>
        <w:pStyle w:val="Heading1"/>
        <w:rPr>
          <w:rFonts w:ascii="Arial" w:hAnsi="Arial" w:cs="Arial"/>
          <w:b/>
          <w:bCs/>
          <w:color w:val="000000" w:themeColor="text1"/>
          <w:sz w:val="22"/>
          <w:szCs w:val="22"/>
        </w:rPr>
      </w:pPr>
      <w:bookmarkStart w:id="3" w:name="_Toc235207310"/>
      <w:r w:rsidRPr="003A55A9">
        <w:rPr>
          <w:rFonts w:ascii="Arial" w:hAnsi="Arial" w:cs="Arial"/>
          <w:b/>
          <w:bCs/>
          <w:color w:val="000000" w:themeColor="text1"/>
          <w:sz w:val="22"/>
          <w:szCs w:val="22"/>
        </w:rPr>
        <w:t>Benefits</w:t>
      </w:r>
      <w:bookmarkEnd w:id="3"/>
    </w:p>
    <w:p w14:paraId="5D830BF9" w14:textId="09BCC0F6" w:rsidR="00471460" w:rsidRPr="003A55A9" w:rsidRDefault="00970C78" w:rsidP="00970C78">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PCC</w:t>
      </w:r>
      <w:r w:rsidR="00471460" w:rsidRPr="003A55A9">
        <w:rPr>
          <w:rFonts w:ascii="Arial" w:hAnsi="Arial" w:cs="Arial"/>
          <w:color w:val="000000" w:themeColor="text1"/>
          <w:sz w:val="22"/>
          <w:szCs w:val="22"/>
        </w:rPr>
        <w:t xml:space="preserve"> offers </w:t>
      </w:r>
      <w:r w:rsidR="00215CDF" w:rsidRPr="003A55A9">
        <w:rPr>
          <w:rFonts w:ascii="Arial" w:hAnsi="Arial" w:cs="Arial"/>
          <w:color w:val="000000" w:themeColor="text1"/>
          <w:sz w:val="22"/>
          <w:szCs w:val="22"/>
        </w:rPr>
        <w:t xml:space="preserve">provides numerous significant advantages in community care environments </w:t>
      </w:r>
      <w:r w:rsidRPr="003A55A9">
        <w:rPr>
          <w:rFonts w:ascii="Arial" w:hAnsi="Arial" w:cs="Arial"/>
          <w:color w:val="000000" w:themeColor="text1"/>
          <w:sz w:val="22"/>
          <w:szCs w:val="22"/>
        </w:rPr>
        <w:t>(</w:t>
      </w:r>
      <w:proofErr w:type="spellStart"/>
      <w:r w:rsidRPr="003A55A9">
        <w:rPr>
          <w:rFonts w:ascii="Arial" w:hAnsi="Arial" w:cs="Arial"/>
          <w:color w:val="000000" w:themeColor="text1"/>
          <w:sz w:val="22"/>
          <w:szCs w:val="22"/>
          <w:shd w:val="clear" w:color="auto" w:fill="FFFFFF"/>
        </w:rPr>
        <w:t>Alsagoor</w:t>
      </w:r>
      <w:proofErr w:type="spellEnd"/>
      <w:r w:rsidRPr="003A55A9">
        <w:rPr>
          <w:rFonts w:ascii="Arial" w:hAnsi="Arial" w:cs="Arial"/>
          <w:color w:val="000000" w:themeColor="text1"/>
          <w:sz w:val="22"/>
          <w:szCs w:val="22"/>
        </w:rPr>
        <w:t xml:space="preserve"> </w:t>
      </w:r>
      <w:r w:rsidRPr="003A55A9">
        <w:rPr>
          <w:rFonts w:ascii="Arial" w:hAnsi="Arial" w:cs="Arial"/>
          <w:i/>
          <w:iCs/>
          <w:color w:val="000000" w:themeColor="text1"/>
          <w:sz w:val="22"/>
          <w:szCs w:val="22"/>
        </w:rPr>
        <w:t>et al.,</w:t>
      </w:r>
      <w:r w:rsidRPr="003A55A9">
        <w:rPr>
          <w:rFonts w:ascii="Arial" w:hAnsi="Arial" w:cs="Arial"/>
          <w:color w:val="000000" w:themeColor="text1"/>
          <w:sz w:val="22"/>
          <w:szCs w:val="22"/>
        </w:rPr>
        <w:t xml:space="preserve"> 2024). </w:t>
      </w:r>
      <w:r w:rsidR="00215CDF" w:rsidRPr="003A55A9">
        <w:rPr>
          <w:rFonts w:ascii="Arial" w:hAnsi="Arial" w:cs="Arial"/>
          <w:color w:val="000000" w:themeColor="text1"/>
          <w:sz w:val="22"/>
          <w:szCs w:val="22"/>
        </w:rPr>
        <w:t xml:space="preserve">Engaging individuals in decisions regarding their treatment and support enables healthcare professionals to enhance patient satisfaction, foster trust, and promote increased involvement in care planning. Individuals are more inclined to comply with treatments that align with their particular tastes and lifestyles, resulting in enhanced physical </w:t>
      </w:r>
      <w:r w:rsidR="00215CDF" w:rsidRPr="003A55A9">
        <w:rPr>
          <w:rFonts w:ascii="Arial" w:hAnsi="Arial" w:cs="Arial"/>
          <w:color w:val="000000" w:themeColor="text1"/>
          <w:sz w:val="22"/>
          <w:szCs w:val="22"/>
        </w:rPr>
        <w:lastRenderedPageBreak/>
        <w:t xml:space="preserve">and mental wellbeing and superior long-term health outcomes </w:t>
      </w:r>
      <w:r w:rsidR="00471460" w:rsidRPr="003A55A9">
        <w:rPr>
          <w:rFonts w:ascii="Arial" w:hAnsi="Arial" w:cs="Arial"/>
          <w:color w:val="000000" w:themeColor="text1"/>
          <w:sz w:val="22"/>
          <w:szCs w:val="22"/>
        </w:rPr>
        <w:t xml:space="preserve">(NHS England, 2024). </w:t>
      </w:r>
      <w:r w:rsidR="00215CDF" w:rsidRPr="003A55A9">
        <w:rPr>
          <w:rFonts w:ascii="Arial" w:hAnsi="Arial" w:cs="Arial"/>
          <w:color w:val="000000" w:themeColor="text1"/>
          <w:sz w:val="22"/>
          <w:szCs w:val="22"/>
        </w:rPr>
        <w:t xml:space="preserve">By allowing people to stay in their own homes while receiving individualised support catered to their evolving requirements, this approach to community care also fosters independence </w:t>
      </w:r>
      <w:r w:rsidRPr="003A55A9">
        <w:rPr>
          <w:rFonts w:ascii="Arial" w:hAnsi="Arial" w:cs="Arial"/>
          <w:color w:val="000000" w:themeColor="text1"/>
          <w:sz w:val="22"/>
          <w:szCs w:val="22"/>
        </w:rPr>
        <w:t>(CQC, 2025)</w:t>
      </w:r>
      <w:r w:rsidR="00471460" w:rsidRPr="003A55A9">
        <w:rPr>
          <w:rFonts w:ascii="Arial" w:hAnsi="Arial" w:cs="Arial"/>
          <w:color w:val="000000" w:themeColor="text1"/>
          <w:sz w:val="22"/>
          <w:szCs w:val="22"/>
        </w:rPr>
        <w:t>.</w:t>
      </w:r>
    </w:p>
    <w:p w14:paraId="5096A081" w14:textId="77777777" w:rsidR="00E52CB0" w:rsidRPr="003A55A9" w:rsidRDefault="00E52CB0" w:rsidP="00E52CB0">
      <w:pPr>
        <w:pStyle w:val="Heading1"/>
        <w:rPr>
          <w:rFonts w:ascii="Arial" w:hAnsi="Arial" w:cs="Arial"/>
          <w:b/>
          <w:bCs/>
          <w:color w:val="000000" w:themeColor="text1"/>
          <w:sz w:val="22"/>
          <w:szCs w:val="22"/>
        </w:rPr>
      </w:pPr>
      <w:bookmarkStart w:id="4" w:name="_Toc235207311"/>
      <w:r w:rsidRPr="003A55A9">
        <w:rPr>
          <w:rFonts w:ascii="Arial" w:hAnsi="Arial" w:cs="Arial"/>
          <w:b/>
          <w:bCs/>
          <w:color w:val="000000" w:themeColor="text1"/>
          <w:sz w:val="22"/>
          <w:szCs w:val="22"/>
        </w:rPr>
        <w:t>Limits</w:t>
      </w:r>
      <w:bookmarkEnd w:id="4"/>
    </w:p>
    <w:p w14:paraId="2577C240" w14:textId="77777777" w:rsidR="007930C9" w:rsidRPr="003A55A9" w:rsidRDefault="00471460" w:rsidP="00215CDF">
      <w:pPr>
        <w:pStyle w:val="isselectedend"/>
        <w:spacing w:line="360" w:lineRule="auto"/>
        <w:rPr>
          <w:rFonts w:ascii="Arial" w:hAnsi="Arial" w:cs="Arial"/>
          <w:color w:val="000000" w:themeColor="text1"/>
        </w:rPr>
      </w:pPr>
      <w:r w:rsidRPr="003A55A9">
        <w:rPr>
          <w:rFonts w:ascii="Arial" w:hAnsi="Arial" w:cs="Arial"/>
          <w:color w:val="000000" w:themeColor="text1"/>
          <w:sz w:val="22"/>
          <w:szCs w:val="22"/>
        </w:rPr>
        <w:t xml:space="preserve">Despite these </w:t>
      </w:r>
      <w:r w:rsidR="00215CDF" w:rsidRPr="003A55A9">
        <w:rPr>
          <w:rFonts w:ascii="Arial" w:hAnsi="Arial" w:cs="Arial"/>
          <w:color w:val="000000" w:themeColor="text1"/>
          <w:sz w:val="22"/>
          <w:szCs w:val="22"/>
        </w:rPr>
        <w:t xml:space="preserve">benefits, putting person-centred care into practice can be difficult in a number of ways. Opportunities for meaningful communication and individualised care planning may be diminished by low staffing levels, growing workloads, financial strains, and a lack of time </w:t>
      </w:r>
      <w:r w:rsidR="00FD10D4" w:rsidRPr="003A55A9">
        <w:rPr>
          <w:rFonts w:ascii="Arial" w:hAnsi="Arial" w:cs="Arial"/>
          <w:color w:val="000000" w:themeColor="text1"/>
          <w:sz w:val="22"/>
          <w:szCs w:val="22"/>
        </w:rPr>
        <w:t>(</w:t>
      </w:r>
      <w:r w:rsidR="00FD10D4" w:rsidRPr="003A55A9">
        <w:rPr>
          <w:rFonts w:ascii="Arial" w:hAnsi="Arial" w:cs="Arial"/>
          <w:color w:val="000000" w:themeColor="text1"/>
          <w:sz w:val="22"/>
          <w:szCs w:val="22"/>
          <w:shd w:val="clear" w:color="auto" w:fill="FFFFFF"/>
        </w:rPr>
        <w:t xml:space="preserve">Younas </w:t>
      </w:r>
      <w:r w:rsidR="00FD10D4" w:rsidRPr="003A55A9">
        <w:rPr>
          <w:rFonts w:ascii="Arial" w:hAnsi="Arial" w:cs="Arial"/>
          <w:i/>
          <w:iCs/>
          <w:color w:val="000000" w:themeColor="text1"/>
          <w:sz w:val="22"/>
          <w:szCs w:val="22"/>
          <w:shd w:val="clear" w:color="auto" w:fill="FFFFFF"/>
        </w:rPr>
        <w:t>et al.,</w:t>
      </w:r>
      <w:r w:rsidR="00FD10D4" w:rsidRPr="003A55A9">
        <w:rPr>
          <w:rFonts w:ascii="Arial" w:hAnsi="Arial" w:cs="Arial"/>
          <w:color w:val="000000" w:themeColor="text1"/>
          <w:sz w:val="22"/>
          <w:szCs w:val="22"/>
          <w:shd w:val="clear" w:color="auto" w:fill="FFFFFF"/>
        </w:rPr>
        <w:t xml:space="preserve"> 2023)</w:t>
      </w:r>
      <w:r w:rsidRPr="003A55A9">
        <w:rPr>
          <w:rFonts w:ascii="Arial" w:hAnsi="Arial" w:cs="Arial"/>
          <w:color w:val="000000" w:themeColor="text1"/>
          <w:sz w:val="22"/>
          <w:szCs w:val="22"/>
        </w:rPr>
        <w:t xml:space="preserve">. </w:t>
      </w:r>
      <w:r w:rsidR="00215CDF" w:rsidRPr="003A55A9">
        <w:rPr>
          <w:rFonts w:ascii="Arial" w:hAnsi="Arial" w:cs="Arial"/>
          <w:color w:val="000000" w:themeColor="text1"/>
          <w:sz w:val="22"/>
          <w:szCs w:val="22"/>
        </w:rPr>
        <w:t xml:space="preserve">Additionally, variations in organisational culture may make consistent adoption challenging, and some healthcare professionals may oppose changes to conventional patterns of care </w:t>
      </w:r>
      <w:r w:rsidRPr="003A55A9">
        <w:rPr>
          <w:rFonts w:ascii="Arial" w:hAnsi="Arial" w:cs="Arial"/>
          <w:color w:val="000000" w:themeColor="text1"/>
          <w:sz w:val="22"/>
          <w:szCs w:val="22"/>
        </w:rPr>
        <w:t>(</w:t>
      </w:r>
      <w:r w:rsidR="00FD10D4" w:rsidRPr="003A55A9">
        <w:rPr>
          <w:rFonts w:ascii="Arial" w:hAnsi="Arial" w:cs="Arial"/>
          <w:color w:val="000000" w:themeColor="text1"/>
          <w:sz w:val="22"/>
          <w:szCs w:val="22"/>
          <w:shd w:val="clear" w:color="auto" w:fill="FFFFFF"/>
        </w:rPr>
        <w:t>Nowak, 2023</w:t>
      </w:r>
      <w:r w:rsidRPr="003A55A9">
        <w:rPr>
          <w:rFonts w:ascii="Arial" w:hAnsi="Arial" w:cs="Arial"/>
          <w:color w:val="000000" w:themeColor="text1"/>
          <w:sz w:val="22"/>
          <w:szCs w:val="22"/>
        </w:rPr>
        <w:t>).</w:t>
      </w:r>
      <w:r w:rsidR="00FD10D4" w:rsidRPr="003A55A9">
        <w:rPr>
          <w:rFonts w:ascii="Arial" w:hAnsi="Arial" w:cs="Arial"/>
          <w:color w:val="000000" w:themeColor="text1"/>
          <w:sz w:val="22"/>
          <w:szCs w:val="22"/>
        </w:rPr>
        <w:t xml:space="preserve"> </w:t>
      </w:r>
      <w:r w:rsidR="00215CDF" w:rsidRPr="003A55A9">
        <w:rPr>
          <w:rFonts w:ascii="Arial" w:hAnsi="Arial" w:cs="Arial"/>
          <w:color w:val="000000" w:themeColor="text1"/>
          <w:sz w:val="22"/>
          <w:szCs w:val="22"/>
        </w:rPr>
        <w:t xml:space="preserve">In a community care environment, person-centred care facilitates collaboration among multidisciplinary specialists, persons, families, and carers to create care plans that align with personal objectives, cultural values, and health requirements </w:t>
      </w:r>
      <w:r w:rsidR="00FD10D4" w:rsidRPr="003A55A9">
        <w:rPr>
          <w:rFonts w:ascii="Arial" w:hAnsi="Arial" w:cs="Arial"/>
          <w:color w:val="000000" w:themeColor="text1"/>
          <w:sz w:val="22"/>
          <w:szCs w:val="22"/>
        </w:rPr>
        <w:t>(</w:t>
      </w:r>
      <w:r w:rsidR="00FD10D4" w:rsidRPr="003A55A9">
        <w:rPr>
          <w:rFonts w:ascii="Arial" w:hAnsi="Arial" w:cs="Arial"/>
          <w:color w:val="000000" w:themeColor="text1"/>
          <w:sz w:val="22"/>
          <w:szCs w:val="22"/>
          <w:shd w:val="clear" w:color="auto" w:fill="FFFFFF"/>
        </w:rPr>
        <w:t xml:space="preserve">Shepherd </w:t>
      </w:r>
      <w:r w:rsidR="00FD10D4" w:rsidRPr="003A55A9">
        <w:rPr>
          <w:rFonts w:ascii="Arial" w:hAnsi="Arial" w:cs="Arial"/>
          <w:i/>
          <w:iCs/>
          <w:color w:val="000000" w:themeColor="text1"/>
          <w:sz w:val="22"/>
          <w:szCs w:val="22"/>
          <w:shd w:val="clear" w:color="auto" w:fill="FFFFFF"/>
        </w:rPr>
        <w:t>et al.,</w:t>
      </w:r>
      <w:r w:rsidR="00FD10D4" w:rsidRPr="003A55A9">
        <w:rPr>
          <w:rFonts w:ascii="Arial" w:hAnsi="Arial" w:cs="Arial"/>
          <w:color w:val="000000" w:themeColor="text1"/>
          <w:sz w:val="22"/>
          <w:szCs w:val="22"/>
          <w:shd w:val="clear" w:color="auto" w:fill="FFFFFF"/>
        </w:rPr>
        <w:t xml:space="preserve"> 2022)</w:t>
      </w:r>
      <w:r w:rsidRPr="003A55A9">
        <w:rPr>
          <w:rFonts w:ascii="Arial" w:hAnsi="Arial" w:cs="Arial"/>
          <w:color w:val="000000" w:themeColor="text1"/>
          <w:sz w:val="22"/>
          <w:szCs w:val="22"/>
        </w:rPr>
        <w:t xml:space="preserve">. This collaborative </w:t>
      </w:r>
      <w:r w:rsidR="00215CDF" w:rsidRPr="003A55A9">
        <w:rPr>
          <w:rFonts w:ascii="Arial" w:hAnsi="Arial" w:cs="Arial"/>
          <w:color w:val="000000" w:themeColor="text1"/>
          <w:sz w:val="22"/>
          <w:szCs w:val="22"/>
        </w:rPr>
        <w:t xml:space="preserve">way fosters autonomy, enhances care continuity, and assists individuals in attaining a superior quality of life while staying engaged in their communities </w:t>
      </w:r>
      <w:r w:rsidR="00FD10D4" w:rsidRPr="003A55A9">
        <w:rPr>
          <w:rFonts w:ascii="Arial" w:hAnsi="Arial" w:cs="Arial"/>
          <w:color w:val="000000" w:themeColor="text1"/>
          <w:sz w:val="22"/>
          <w:szCs w:val="22"/>
        </w:rPr>
        <w:t>(</w:t>
      </w:r>
      <w:r w:rsidR="00FD10D4" w:rsidRPr="003A55A9">
        <w:rPr>
          <w:rFonts w:ascii="Arial" w:hAnsi="Arial" w:cs="Arial"/>
          <w:color w:val="000000" w:themeColor="text1"/>
          <w:sz w:val="22"/>
          <w:szCs w:val="22"/>
          <w:shd w:val="clear" w:color="auto" w:fill="FFFFFF"/>
        </w:rPr>
        <w:t xml:space="preserve">Young </w:t>
      </w:r>
      <w:r w:rsidR="00FD10D4" w:rsidRPr="003A55A9">
        <w:rPr>
          <w:rFonts w:ascii="Arial" w:hAnsi="Arial" w:cs="Arial"/>
          <w:i/>
          <w:iCs/>
          <w:color w:val="000000" w:themeColor="text1"/>
          <w:sz w:val="22"/>
          <w:szCs w:val="22"/>
          <w:shd w:val="clear" w:color="auto" w:fill="FFFFFF"/>
        </w:rPr>
        <w:t>et al.,</w:t>
      </w:r>
      <w:r w:rsidR="00FD10D4" w:rsidRPr="003A55A9">
        <w:rPr>
          <w:rFonts w:ascii="Arial" w:hAnsi="Arial" w:cs="Arial"/>
          <w:color w:val="000000" w:themeColor="text1"/>
          <w:sz w:val="22"/>
          <w:szCs w:val="22"/>
          <w:shd w:val="clear" w:color="auto" w:fill="FFFFFF"/>
        </w:rPr>
        <w:t xml:space="preserve"> 2025)</w:t>
      </w:r>
      <w:r w:rsidRPr="003A55A9">
        <w:rPr>
          <w:rFonts w:ascii="Arial" w:hAnsi="Arial" w:cs="Arial"/>
          <w:color w:val="000000" w:themeColor="text1"/>
          <w:sz w:val="22"/>
          <w:szCs w:val="22"/>
        </w:rPr>
        <w:t>.</w:t>
      </w:r>
    </w:p>
    <w:p w14:paraId="4412E497" w14:textId="59EAF2F7" w:rsidR="00471460" w:rsidRPr="003A55A9" w:rsidRDefault="00471460" w:rsidP="00215CDF">
      <w:pPr>
        <w:pStyle w:val="isselectedend"/>
        <w:spacing w:line="360" w:lineRule="auto"/>
        <w:rPr>
          <w:rFonts w:ascii="Arial" w:eastAsiaTheme="majorEastAsia" w:hAnsi="Arial" w:cs="Arial"/>
          <w:b/>
          <w:bCs/>
          <w:color w:val="000000" w:themeColor="text1"/>
          <w:sz w:val="22"/>
          <w:szCs w:val="22"/>
        </w:rPr>
      </w:pPr>
      <w:bookmarkStart w:id="5" w:name="_Toc235207312"/>
      <w:r w:rsidRPr="003A55A9">
        <w:rPr>
          <w:rStyle w:val="Heading1Char"/>
          <w:rFonts w:ascii="Arial" w:hAnsi="Arial" w:cs="Arial"/>
          <w:b/>
          <w:bCs/>
          <w:color w:val="000000" w:themeColor="text1"/>
          <w:sz w:val="22"/>
          <w:szCs w:val="22"/>
        </w:rPr>
        <w:t>Relevant Theories</w:t>
      </w:r>
      <w:bookmarkEnd w:id="5"/>
    </w:p>
    <w:p w14:paraId="6E5FDD33" w14:textId="46E8C259" w:rsidR="00ED2176" w:rsidRPr="003A55A9" w:rsidRDefault="00ED2176" w:rsidP="00DC5140">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Numerous theories support person-centred care (PCC), establishing a framework for providing care that addresses individuals' physical, psychological, and social requirements. Maslow's Hierarchy of Needs posits that individuals must first satisfy their fundamental physiological and safety requirements before they can pursue elevated needs like belonging, self-esteem, and personal development (McLeod, 2024). This theory promotes person-centred practice in health and social care by urging practitioners to take the full person into account rather than concentrating only on sickness. For instance, providing sufficient nutrition, pain relief, emotional support, and social inclusion </w:t>
      </w:r>
      <w:r w:rsidR="00EB7209" w:rsidRPr="003A55A9">
        <w:rPr>
          <w:rFonts w:ascii="Arial" w:hAnsi="Arial" w:cs="Arial"/>
          <w:color w:val="000000" w:themeColor="text1"/>
          <w:sz w:val="22"/>
          <w:szCs w:val="22"/>
        </w:rPr>
        <w:t>allow</w:t>
      </w:r>
      <w:r w:rsidRPr="003A55A9">
        <w:rPr>
          <w:rFonts w:ascii="Arial" w:hAnsi="Arial" w:cs="Arial"/>
          <w:color w:val="000000" w:themeColor="text1"/>
          <w:sz w:val="22"/>
          <w:szCs w:val="22"/>
        </w:rPr>
        <w:t xml:space="preserve"> people to take a more active role in decisions regarding their care and enhances general wellness.</w:t>
      </w:r>
    </w:p>
    <w:p w14:paraId="705E0AEF" w14:textId="12E2467D" w:rsidR="002C386B" w:rsidRPr="003A55A9" w:rsidRDefault="00DC5140" w:rsidP="003E2B60">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Maslow’s</w:t>
      </w:r>
      <w:r w:rsidR="00CF0411" w:rsidRPr="003A55A9">
        <w:rPr>
          <w:rFonts w:ascii="Arial" w:hAnsi="Arial" w:cs="Arial"/>
          <w:color w:val="000000" w:themeColor="text1"/>
          <w:sz w:val="22"/>
          <w:szCs w:val="22"/>
        </w:rPr>
        <w:t xml:space="preserve"> theor</w:t>
      </w:r>
      <w:r w:rsidRPr="003A55A9">
        <w:rPr>
          <w:rFonts w:ascii="Arial" w:hAnsi="Arial" w:cs="Arial"/>
          <w:color w:val="000000" w:themeColor="text1"/>
          <w:sz w:val="22"/>
          <w:szCs w:val="22"/>
        </w:rPr>
        <w:t>y</w:t>
      </w:r>
      <w:r w:rsidR="00CF0411" w:rsidRPr="003A55A9">
        <w:rPr>
          <w:rFonts w:ascii="Arial" w:hAnsi="Arial" w:cs="Arial"/>
          <w:color w:val="000000" w:themeColor="text1"/>
          <w:sz w:val="22"/>
          <w:szCs w:val="22"/>
        </w:rPr>
        <w:t xml:space="preserve"> foster</w:t>
      </w:r>
      <w:r w:rsidRPr="003A55A9">
        <w:rPr>
          <w:rFonts w:ascii="Arial" w:hAnsi="Arial" w:cs="Arial"/>
          <w:color w:val="000000" w:themeColor="text1"/>
          <w:sz w:val="22"/>
          <w:szCs w:val="22"/>
        </w:rPr>
        <w:t>s</w:t>
      </w:r>
      <w:r w:rsidR="00CF0411" w:rsidRPr="003A55A9">
        <w:rPr>
          <w:rFonts w:ascii="Arial" w:hAnsi="Arial" w:cs="Arial"/>
          <w:color w:val="000000" w:themeColor="text1"/>
          <w:sz w:val="22"/>
          <w:szCs w:val="22"/>
        </w:rPr>
        <w:t xml:space="preserve"> comprehensive evaluation, collaborative decision-making, and synchronised care among healthcare providers, patients, and their families </w:t>
      </w:r>
      <w:r w:rsidR="002C386B" w:rsidRPr="003A55A9">
        <w:rPr>
          <w:rFonts w:ascii="Arial" w:hAnsi="Arial" w:cs="Arial"/>
          <w:color w:val="000000" w:themeColor="text1"/>
          <w:sz w:val="22"/>
          <w:szCs w:val="22"/>
        </w:rPr>
        <w:t>(</w:t>
      </w:r>
      <w:r w:rsidR="00191821" w:rsidRPr="003A55A9">
        <w:rPr>
          <w:rFonts w:ascii="Arial" w:hAnsi="Arial" w:cs="Arial"/>
          <w:color w:val="000000" w:themeColor="text1"/>
          <w:sz w:val="22"/>
          <w:szCs w:val="22"/>
        </w:rPr>
        <w:t>The Health Foundation, 2016</w:t>
      </w:r>
      <w:r w:rsidR="002C386B" w:rsidRPr="003A55A9">
        <w:rPr>
          <w:rFonts w:ascii="Arial" w:hAnsi="Arial" w:cs="Arial"/>
          <w:color w:val="000000" w:themeColor="text1"/>
          <w:sz w:val="22"/>
          <w:szCs w:val="22"/>
        </w:rPr>
        <w:t xml:space="preserve">). </w:t>
      </w:r>
      <w:r w:rsidR="00CF0411" w:rsidRPr="003A55A9">
        <w:rPr>
          <w:rFonts w:ascii="Arial" w:hAnsi="Arial" w:cs="Arial"/>
          <w:color w:val="000000" w:themeColor="text1"/>
          <w:sz w:val="22"/>
          <w:szCs w:val="22"/>
        </w:rPr>
        <w:t xml:space="preserve">Professionals employ these </w:t>
      </w:r>
      <w:r w:rsidR="005650BE" w:rsidRPr="003A55A9">
        <w:rPr>
          <w:rFonts w:ascii="Arial" w:hAnsi="Arial" w:cs="Arial"/>
          <w:color w:val="000000" w:themeColor="text1"/>
          <w:sz w:val="22"/>
          <w:szCs w:val="22"/>
        </w:rPr>
        <w:t>theories</w:t>
      </w:r>
      <w:r w:rsidR="00CF0411" w:rsidRPr="003A55A9">
        <w:rPr>
          <w:rFonts w:ascii="Arial" w:hAnsi="Arial" w:cs="Arial"/>
          <w:color w:val="000000" w:themeColor="text1"/>
          <w:sz w:val="22"/>
          <w:szCs w:val="22"/>
        </w:rPr>
        <w:t xml:space="preserve"> to evaluate requirements, formulate individualised care strategies, and modify assistance as situations evolve </w:t>
      </w:r>
      <w:r w:rsidR="00191821" w:rsidRPr="003A55A9">
        <w:rPr>
          <w:rFonts w:ascii="Arial" w:hAnsi="Arial" w:cs="Arial"/>
          <w:color w:val="000000" w:themeColor="text1"/>
          <w:sz w:val="22"/>
          <w:szCs w:val="22"/>
        </w:rPr>
        <w:t>(</w:t>
      </w:r>
      <w:r w:rsidR="00191821" w:rsidRPr="003A55A9">
        <w:rPr>
          <w:rFonts w:ascii="Arial" w:hAnsi="Arial" w:cs="Arial"/>
          <w:color w:val="000000" w:themeColor="text1"/>
          <w:sz w:val="22"/>
          <w:szCs w:val="22"/>
          <w:shd w:val="clear" w:color="auto" w:fill="FFFFFF"/>
        </w:rPr>
        <w:t xml:space="preserve">Johnson </w:t>
      </w:r>
      <w:r w:rsidR="00191821" w:rsidRPr="003A55A9">
        <w:rPr>
          <w:rFonts w:ascii="Arial" w:hAnsi="Arial" w:cs="Arial"/>
          <w:i/>
          <w:iCs/>
          <w:color w:val="000000" w:themeColor="text1"/>
          <w:sz w:val="22"/>
          <w:szCs w:val="22"/>
          <w:shd w:val="clear" w:color="auto" w:fill="FFFFFF"/>
        </w:rPr>
        <w:t>et al.,</w:t>
      </w:r>
      <w:r w:rsidR="00191821" w:rsidRPr="003A55A9">
        <w:rPr>
          <w:rFonts w:ascii="Arial" w:hAnsi="Arial" w:cs="Arial"/>
          <w:color w:val="000000" w:themeColor="text1"/>
          <w:sz w:val="22"/>
          <w:szCs w:val="22"/>
          <w:shd w:val="clear" w:color="auto" w:fill="FFFFFF"/>
        </w:rPr>
        <w:t xml:space="preserve"> 2016)</w:t>
      </w:r>
      <w:r w:rsidR="002C386B" w:rsidRPr="003A55A9">
        <w:rPr>
          <w:rFonts w:ascii="Arial" w:hAnsi="Arial" w:cs="Arial"/>
          <w:color w:val="000000" w:themeColor="text1"/>
          <w:sz w:val="22"/>
          <w:szCs w:val="22"/>
        </w:rPr>
        <w:t xml:space="preserve">. </w:t>
      </w:r>
      <w:r w:rsidR="00CF0411" w:rsidRPr="003A55A9">
        <w:rPr>
          <w:rFonts w:ascii="Arial" w:hAnsi="Arial" w:cs="Arial"/>
          <w:color w:val="000000" w:themeColor="text1"/>
          <w:sz w:val="22"/>
          <w:szCs w:val="22"/>
        </w:rPr>
        <w:t xml:space="preserve">A community nurse assisting an elderly individual with chronic obstructive pulmonary disease (COPD) might utilise clinical evidence to alleviate symptoms while also considering the person's emotional health, living conditions, and personal aspirations </w:t>
      </w:r>
      <w:r w:rsidR="00191821" w:rsidRPr="003A55A9">
        <w:rPr>
          <w:rFonts w:ascii="Arial" w:hAnsi="Arial" w:cs="Arial"/>
          <w:color w:val="000000" w:themeColor="text1"/>
          <w:sz w:val="22"/>
          <w:szCs w:val="22"/>
        </w:rPr>
        <w:t>(</w:t>
      </w:r>
      <w:r w:rsidR="00191821" w:rsidRPr="003A55A9">
        <w:rPr>
          <w:rFonts w:ascii="Arial" w:hAnsi="Arial" w:cs="Arial"/>
          <w:color w:val="000000" w:themeColor="text1"/>
          <w:sz w:val="22"/>
          <w:szCs w:val="22"/>
          <w:shd w:val="clear" w:color="auto" w:fill="FFFFFF"/>
        </w:rPr>
        <w:t xml:space="preserve">Salvado </w:t>
      </w:r>
      <w:r w:rsidR="00191821" w:rsidRPr="003A55A9">
        <w:rPr>
          <w:rFonts w:ascii="Arial" w:hAnsi="Arial" w:cs="Arial"/>
          <w:i/>
          <w:iCs/>
          <w:color w:val="000000" w:themeColor="text1"/>
          <w:sz w:val="22"/>
          <w:szCs w:val="22"/>
          <w:shd w:val="clear" w:color="auto" w:fill="FFFFFF"/>
        </w:rPr>
        <w:t>et al.,</w:t>
      </w:r>
      <w:r w:rsidR="00191821" w:rsidRPr="003A55A9">
        <w:rPr>
          <w:rFonts w:ascii="Arial" w:hAnsi="Arial" w:cs="Arial"/>
          <w:color w:val="000000" w:themeColor="text1"/>
          <w:sz w:val="22"/>
          <w:szCs w:val="22"/>
          <w:shd w:val="clear" w:color="auto" w:fill="FFFFFF"/>
        </w:rPr>
        <w:t xml:space="preserve"> </w:t>
      </w:r>
      <w:r w:rsidR="003E2B60" w:rsidRPr="003A55A9">
        <w:rPr>
          <w:rFonts w:ascii="Arial" w:hAnsi="Arial" w:cs="Arial"/>
          <w:color w:val="000000" w:themeColor="text1"/>
          <w:sz w:val="22"/>
          <w:szCs w:val="22"/>
          <w:shd w:val="clear" w:color="auto" w:fill="FFFFFF"/>
        </w:rPr>
        <w:lastRenderedPageBreak/>
        <w:t>2025)</w:t>
      </w:r>
      <w:r w:rsidR="002C386B" w:rsidRPr="003A55A9">
        <w:rPr>
          <w:rFonts w:ascii="Arial" w:hAnsi="Arial" w:cs="Arial"/>
          <w:color w:val="000000" w:themeColor="text1"/>
          <w:sz w:val="22"/>
          <w:szCs w:val="22"/>
        </w:rPr>
        <w:t>.</w:t>
      </w:r>
      <w:r w:rsidR="003E2B60" w:rsidRPr="003A55A9">
        <w:rPr>
          <w:rFonts w:ascii="Arial" w:hAnsi="Arial" w:cs="Arial"/>
          <w:color w:val="000000" w:themeColor="text1"/>
          <w:sz w:val="22"/>
          <w:szCs w:val="22"/>
        </w:rPr>
        <w:t xml:space="preserve"> </w:t>
      </w:r>
      <w:r w:rsidR="00CF0411" w:rsidRPr="003A55A9">
        <w:rPr>
          <w:rFonts w:ascii="Arial" w:hAnsi="Arial" w:cs="Arial"/>
          <w:color w:val="000000" w:themeColor="text1"/>
          <w:sz w:val="22"/>
          <w:szCs w:val="22"/>
        </w:rPr>
        <w:t xml:space="preserve">Despite the difficulties in executing person-centred care due to escalating workloads, insufficient resources, and personnel deficits, research demonstrates that integrating holistic and medical </w:t>
      </w:r>
      <w:r w:rsidR="005650BE" w:rsidRPr="003A55A9">
        <w:rPr>
          <w:rFonts w:ascii="Arial" w:hAnsi="Arial" w:cs="Arial"/>
          <w:color w:val="000000" w:themeColor="text1"/>
          <w:sz w:val="22"/>
          <w:szCs w:val="22"/>
        </w:rPr>
        <w:t>theories</w:t>
      </w:r>
      <w:r w:rsidR="00CF0411" w:rsidRPr="003A55A9">
        <w:rPr>
          <w:rFonts w:ascii="Arial" w:hAnsi="Arial" w:cs="Arial"/>
          <w:color w:val="000000" w:themeColor="text1"/>
          <w:sz w:val="22"/>
          <w:szCs w:val="22"/>
        </w:rPr>
        <w:t xml:space="preserve"> enhances patient experience, compliance with treatment, and overall health results </w:t>
      </w:r>
      <w:r w:rsidR="002C386B" w:rsidRPr="003A55A9">
        <w:rPr>
          <w:rFonts w:ascii="Arial" w:hAnsi="Arial" w:cs="Arial"/>
          <w:color w:val="000000" w:themeColor="text1"/>
          <w:sz w:val="22"/>
          <w:szCs w:val="22"/>
        </w:rPr>
        <w:t>(</w:t>
      </w:r>
      <w:r w:rsidR="004D0C6A" w:rsidRPr="003A55A9">
        <w:rPr>
          <w:rFonts w:ascii="Arial" w:hAnsi="Arial" w:cs="Arial"/>
          <w:color w:val="000000" w:themeColor="text1"/>
          <w:sz w:val="22"/>
          <w:szCs w:val="22"/>
        </w:rPr>
        <w:t xml:space="preserve">The </w:t>
      </w:r>
      <w:r w:rsidR="002C386B" w:rsidRPr="003A55A9">
        <w:rPr>
          <w:rFonts w:ascii="Arial" w:hAnsi="Arial" w:cs="Arial"/>
          <w:color w:val="000000" w:themeColor="text1"/>
          <w:sz w:val="22"/>
          <w:szCs w:val="22"/>
        </w:rPr>
        <w:t>Health Foundation, 20</w:t>
      </w:r>
      <w:r w:rsidR="00ED2176" w:rsidRPr="003A55A9">
        <w:rPr>
          <w:rFonts w:ascii="Arial" w:hAnsi="Arial" w:cs="Arial"/>
          <w:color w:val="000000" w:themeColor="text1"/>
          <w:sz w:val="22"/>
          <w:szCs w:val="22"/>
        </w:rPr>
        <w:t>2</w:t>
      </w:r>
      <w:r w:rsidR="002C386B" w:rsidRPr="003A55A9">
        <w:rPr>
          <w:rFonts w:ascii="Arial" w:hAnsi="Arial" w:cs="Arial"/>
          <w:color w:val="000000" w:themeColor="text1"/>
          <w:sz w:val="22"/>
          <w:szCs w:val="22"/>
        </w:rPr>
        <w:t>6).</w:t>
      </w:r>
      <w:r w:rsidR="003E2B60" w:rsidRPr="003A55A9">
        <w:rPr>
          <w:rFonts w:ascii="Arial" w:hAnsi="Arial" w:cs="Arial"/>
          <w:color w:val="000000" w:themeColor="text1"/>
          <w:sz w:val="22"/>
          <w:szCs w:val="22"/>
        </w:rPr>
        <w:t xml:space="preserve"> </w:t>
      </w:r>
    </w:p>
    <w:p w14:paraId="5A2E1CC7" w14:textId="6D5022F3" w:rsidR="00471460" w:rsidRPr="003A55A9" w:rsidRDefault="00471460" w:rsidP="00970C78">
      <w:pPr>
        <w:pStyle w:val="Heading1"/>
        <w:rPr>
          <w:rFonts w:ascii="Arial" w:hAnsi="Arial" w:cs="Arial"/>
          <w:b/>
          <w:bCs/>
          <w:color w:val="000000" w:themeColor="text1"/>
          <w:sz w:val="22"/>
          <w:szCs w:val="22"/>
        </w:rPr>
      </w:pPr>
      <w:bookmarkStart w:id="6" w:name="_Toc235207313"/>
      <w:r w:rsidRPr="003A55A9">
        <w:rPr>
          <w:rFonts w:ascii="Arial" w:hAnsi="Arial" w:cs="Arial"/>
          <w:b/>
          <w:bCs/>
          <w:color w:val="000000" w:themeColor="text1"/>
          <w:sz w:val="22"/>
          <w:szCs w:val="22"/>
        </w:rPr>
        <w:t>Ethical Fundamentals</w:t>
      </w:r>
      <w:bookmarkEnd w:id="6"/>
    </w:p>
    <w:p w14:paraId="70FB124D" w14:textId="109FF61E" w:rsidR="002C386B" w:rsidRPr="003A55A9" w:rsidRDefault="00215CDF" w:rsidP="00306AB5">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Ethical standards establish the basis for secure, empathetic, and individualised treatment in health and social services </w:t>
      </w:r>
      <w:r w:rsidR="003E2B60" w:rsidRPr="003A55A9">
        <w:rPr>
          <w:rFonts w:ascii="Arial" w:hAnsi="Arial" w:cs="Arial"/>
          <w:color w:val="000000" w:themeColor="text1"/>
          <w:sz w:val="22"/>
          <w:szCs w:val="22"/>
        </w:rPr>
        <w:t>(</w:t>
      </w:r>
      <w:r w:rsidR="003E2B60" w:rsidRPr="003A55A9">
        <w:rPr>
          <w:rFonts w:ascii="Arial" w:hAnsi="Arial" w:cs="Arial"/>
          <w:color w:val="000000" w:themeColor="text1"/>
          <w:sz w:val="22"/>
          <w:szCs w:val="22"/>
          <w:shd w:val="clear" w:color="auto" w:fill="FFFFFF"/>
        </w:rPr>
        <w:t xml:space="preserve">O'Donnell </w:t>
      </w:r>
      <w:r w:rsidR="003E2B60" w:rsidRPr="003A55A9">
        <w:rPr>
          <w:rFonts w:ascii="Arial" w:hAnsi="Arial" w:cs="Arial"/>
          <w:i/>
          <w:iCs/>
          <w:color w:val="000000" w:themeColor="text1"/>
          <w:sz w:val="22"/>
          <w:szCs w:val="22"/>
          <w:shd w:val="clear" w:color="auto" w:fill="FFFFFF"/>
        </w:rPr>
        <w:t>et al.,</w:t>
      </w:r>
      <w:r w:rsidR="003E2B60" w:rsidRPr="003A55A9">
        <w:rPr>
          <w:rFonts w:ascii="Arial" w:hAnsi="Arial" w:cs="Arial"/>
          <w:color w:val="000000" w:themeColor="text1"/>
          <w:sz w:val="22"/>
          <w:szCs w:val="22"/>
          <w:shd w:val="clear" w:color="auto" w:fill="FFFFFF"/>
        </w:rPr>
        <w:t xml:space="preserve"> 2022)</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The four fundamental concepts are autonomy, beneficence, non-maleficence, and justice</w:t>
      </w:r>
      <w:r w:rsidR="002C386B" w:rsidRPr="003A55A9">
        <w:rPr>
          <w:rFonts w:ascii="Arial" w:hAnsi="Arial" w:cs="Arial"/>
          <w:color w:val="000000" w:themeColor="text1"/>
          <w:sz w:val="22"/>
          <w:szCs w:val="22"/>
        </w:rPr>
        <w:t xml:space="preserve"> (</w:t>
      </w:r>
      <w:r w:rsidR="003E2B60" w:rsidRPr="003A55A9">
        <w:rPr>
          <w:rFonts w:ascii="Arial" w:hAnsi="Arial" w:cs="Arial"/>
          <w:color w:val="000000" w:themeColor="text1"/>
          <w:sz w:val="22"/>
          <w:szCs w:val="22"/>
          <w:shd w:val="clear" w:color="auto" w:fill="FFFFFF"/>
        </w:rPr>
        <w:t xml:space="preserve">Cheraghi </w:t>
      </w:r>
      <w:r w:rsidR="003E2B60" w:rsidRPr="003A55A9">
        <w:rPr>
          <w:rFonts w:ascii="Arial" w:hAnsi="Arial" w:cs="Arial"/>
          <w:i/>
          <w:iCs/>
          <w:color w:val="000000" w:themeColor="text1"/>
          <w:sz w:val="22"/>
          <w:szCs w:val="22"/>
          <w:shd w:val="clear" w:color="auto" w:fill="FFFFFF"/>
        </w:rPr>
        <w:t>et al.,</w:t>
      </w:r>
      <w:r w:rsidR="003E2B60" w:rsidRPr="003A55A9">
        <w:rPr>
          <w:rFonts w:ascii="Arial" w:hAnsi="Arial" w:cs="Arial"/>
          <w:color w:val="000000" w:themeColor="text1"/>
          <w:sz w:val="22"/>
          <w:szCs w:val="22"/>
          <w:shd w:val="clear" w:color="auto" w:fill="FFFFFF"/>
        </w:rPr>
        <w:t xml:space="preserve"> 2023</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Autonomy refers to honouring a person's entitlement to make knowledgeable choices regarding their own treatment, beneficence obliges practitioners to prioritise the individual's welfare, non-maleficence emphasises the necessity of preventing harm, and justice is concerned with guaranteeing fairness and equal access to healthcare </w:t>
      </w:r>
      <w:r w:rsidR="003E2B60" w:rsidRPr="003A55A9">
        <w:rPr>
          <w:rFonts w:ascii="Arial" w:hAnsi="Arial" w:cs="Arial"/>
          <w:color w:val="000000" w:themeColor="text1"/>
          <w:sz w:val="22"/>
          <w:szCs w:val="22"/>
        </w:rPr>
        <w:t>(</w:t>
      </w:r>
      <w:proofErr w:type="spellStart"/>
      <w:r w:rsidR="003E2B60" w:rsidRPr="003A55A9">
        <w:rPr>
          <w:rFonts w:ascii="Arial" w:hAnsi="Arial" w:cs="Arial"/>
          <w:color w:val="000000" w:themeColor="text1"/>
          <w:sz w:val="22"/>
          <w:szCs w:val="22"/>
          <w:shd w:val="clear" w:color="auto" w:fill="FFFFFF"/>
        </w:rPr>
        <w:t>Omelianchuk</w:t>
      </w:r>
      <w:proofErr w:type="spellEnd"/>
      <w:r w:rsidR="003E2B60" w:rsidRPr="003A55A9">
        <w:rPr>
          <w:rFonts w:ascii="Arial" w:hAnsi="Arial" w:cs="Arial"/>
          <w:color w:val="000000" w:themeColor="text1"/>
          <w:sz w:val="22"/>
          <w:szCs w:val="22"/>
          <w:shd w:val="clear" w:color="auto" w:fill="FFFFFF"/>
        </w:rPr>
        <w:t xml:space="preserve"> </w:t>
      </w:r>
      <w:r w:rsidR="003E2B60" w:rsidRPr="003A55A9">
        <w:rPr>
          <w:rFonts w:ascii="Arial" w:hAnsi="Arial" w:cs="Arial"/>
          <w:i/>
          <w:iCs/>
          <w:color w:val="000000" w:themeColor="text1"/>
          <w:sz w:val="22"/>
          <w:szCs w:val="22"/>
          <w:shd w:val="clear" w:color="auto" w:fill="FFFFFF"/>
        </w:rPr>
        <w:t>et al.,</w:t>
      </w:r>
      <w:r w:rsidR="003E2B60" w:rsidRPr="003A55A9">
        <w:rPr>
          <w:rFonts w:ascii="Arial" w:hAnsi="Arial" w:cs="Arial"/>
          <w:color w:val="000000" w:themeColor="text1"/>
          <w:sz w:val="22"/>
          <w:szCs w:val="22"/>
          <w:shd w:val="clear" w:color="auto" w:fill="FFFFFF"/>
        </w:rPr>
        <w:t xml:space="preserve"> 2022)</w:t>
      </w:r>
      <w:r w:rsidR="002C386B" w:rsidRPr="003A55A9">
        <w:rPr>
          <w:rFonts w:ascii="Arial" w:hAnsi="Arial" w:cs="Arial"/>
          <w:color w:val="000000" w:themeColor="text1"/>
          <w:sz w:val="22"/>
          <w:szCs w:val="22"/>
        </w:rPr>
        <w:t>.</w:t>
      </w:r>
      <w:r w:rsidR="007930C9"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These fundamental principles are integrally associated with PCC</w:t>
      </w:r>
      <w:r w:rsidR="007930C9"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and PW</w:t>
      </w:r>
      <w:r w:rsidR="007930C9" w:rsidRPr="003A55A9">
        <w:rPr>
          <w:rFonts w:ascii="Arial" w:hAnsi="Arial" w:cs="Arial"/>
          <w:color w:val="000000" w:themeColor="text1"/>
          <w:sz w:val="22"/>
          <w:szCs w:val="22"/>
        </w:rPr>
        <w:t xml:space="preserve"> </w:t>
      </w:r>
      <w:r w:rsidR="003E2B60" w:rsidRPr="003A55A9">
        <w:rPr>
          <w:rFonts w:ascii="Arial" w:hAnsi="Arial" w:cs="Arial"/>
          <w:color w:val="000000" w:themeColor="text1"/>
          <w:sz w:val="22"/>
          <w:szCs w:val="22"/>
        </w:rPr>
        <w:t>(</w:t>
      </w:r>
      <w:r w:rsidR="003E2B60" w:rsidRPr="003A55A9">
        <w:rPr>
          <w:rFonts w:ascii="Arial" w:hAnsi="Arial" w:cs="Arial"/>
          <w:color w:val="000000" w:themeColor="text1"/>
          <w:sz w:val="22"/>
          <w:szCs w:val="22"/>
          <w:shd w:val="clear" w:color="auto" w:fill="FFFFFF"/>
        </w:rPr>
        <w:t>Ekman, 2022)</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Person-centred care fosters autonomy by motivating individuals to engage in treatment decisions, whereas collaborative efforts allow healthcare professionals, social workers, families, and carers to provide synchronised assistance (</w:t>
      </w:r>
      <w:r w:rsidR="003E2B60" w:rsidRPr="003A55A9">
        <w:rPr>
          <w:rFonts w:ascii="Arial" w:hAnsi="Arial" w:cs="Arial"/>
          <w:color w:val="000000" w:themeColor="text1"/>
          <w:sz w:val="22"/>
          <w:szCs w:val="22"/>
        </w:rPr>
        <w:t>NHS England, 2026</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Ethical conduct necessitates that practitioners reconcile personal preferences with their obligation to provide care</w:t>
      </w:r>
      <w:r w:rsidR="002C386B" w:rsidRPr="003A55A9">
        <w:rPr>
          <w:rFonts w:ascii="Arial" w:hAnsi="Arial" w:cs="Arial"/>
          <w:color w:val="000000" w:themeColor="text1"/>
          <w:sz w:val="22"/>
          <w:szCs w:val="22"/>
        </w:rPr>
        <w:t>.</w:t>
      </w:r>
    </w:p>
    <w:p w14:paraId="0AC4DA9E" w14:textId="66D9CCB0" w:rsidR="007930C9" w:rsidRPr="003A55A9" w:rsidRDefault="00215CDF" w:rsidP="007930C9">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In community care, ethical conflicts can emerge when a person's decisions heighten health risks </w:t>
      </w:r>
      <w:r w:rsidR="00306AB5" w:rsidRPr="003A55A9">
        <w:rPr>
          <w:rFonts w:ascii="Arial" w:hAnsi="Arial" w:cs="Arial"/>
          <w:color w:val="000000" w:themeColor="text1"/>
          <w:sz w:val="22"/>
          <w:szCs w:val="22"/>
        </w:rPr>
        <w:t>(</w:t>
      </w:r>
      <w:r w:rsidR="00306AB5" w:rsidRPr="003A55A9">
        <w:rPr>
          <w:rFonts w:ascii="Arial" w:hAnsi="Arial" w:cs="Arial"/>
          <w:color w:val="000000" w:themeColor="text1"/>
          <w:sz w:val="22"/>
          <w:szCs w:val="22"/>
          <w:shd w:val="clear" w:color="auto" w:fill="FFFFFF"/>
        </w:rPr>
        <w:t xml:space="preserve">Ale </w:t>
      </w:r>
      <w:r w:rsidR="00306AB5" w:rsidRPr="003A55A9">
        <w:rPr>
          <w:rFonts w:ascii="Arial" w:hAnsi="Arial" w:cs="Arial"/>
          <w:i/>
          <w:iCs/>
          <w:color w:val="000000" w:themeColor="text1"/>
          <w:sz w:val="22"/>
          <w:szCs w:val="22"/>
          <w:shd w:val="clear" w:color="auto" w:fill="FFFFFF"/>
        </w:rPr>
        <w:t>et al.,</w:t>
      </w:r>
      <w:r w:rsidR="00306AB5" w:rsidRPr="003A55A9">
        <w:rPr>
          <w:rFonts w:ascii="Arial" w:hAnsi="Arial" w:cs="Arial"/>
          <w:color w:val="000000" w:themeColor="text1"/>
          <w:sz w:val="22"/>
          <w:szCs w:val="22"/>
          <w:shd w:val="clear" w:color="auto" w:fill="FFFFFF"/>
        </w:rPr>
        <w:t xml:space="preserve"> 2023)</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An elderly individual could decline home assistance even after experiencing multiple falls. Upholding autonomy endorses this choice, whereas beneficence and non-maleficence compel practitioners to mitigate potential harm </w:t>
      </w:r>
      <w:r w:rsidR="00306AB5" w:rsidRPr="003A55A9">
        <w:rPr>
          <w:rFonts w:ascii="Arial" w:hAnsi="Arial" w:cs="Arial"/>
          <w:color w:val="000000" w:themeColor="text1"/>
          <w:sz w:val="22"/>
          <w:szCs w:val="22"/>
        </w:rPr>
        <w:t>(</w:t>
      </w:r>
      <w:r w:rsidR="00306AB5" w:rsidRPr="003A55A9">
        <w:rPr>
          <w:rFonts w:ascii="Arial" w:hAnsi="Arial" w:cs="Arial"/>
          <w:color w:val="000000" w:themeColor="text1"/>
          <w:sz w:val="22"/>
          <w:szCs w:val="22"/>
          <w:shd w:val="clear" w:color="auto" w:fill="FFFFFF"/>
        </w:rPr>
        <w:t>Kling, 2025)</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A person-centred aims to address this by fostering transparent dialogue, collaborative decision-making, and including family members or advocates with the individual's approval</w:t>
      </w:r>
      <w:r w:rsidR="002C386B" w:rsidRPr="003A55A9">
        <w:rPr>
          <w:rFonts w:ascii="Arial" w:hAnsi="Arial" w:cs="Arial"/>
          <w:color w:val="000000" w:themeColor="text1"/>
          <w:sz w:val="22"/>
          <w:szCs w:val="22"/>
        </w:rPr>
        <w:t xml:space="preserve"> (NHS England, 2024).</w:t>
      </w:r>
      <w:r w:rsidR="007930C9" w:rsidRPr="003A55A9">
        <w:rPr>
          <w:rFonts w:ascii="Arial" w:hAnsi="Arial" w:cs="Arial"/>
          <w:color w:val="000000" w:themeColor="text1"/>
          <w:sz w:val="22"/>
          <w:szCs w:val="22"/>
        </w:rPr>
        <w:t xml:space="preserve"> </w:t>
      </w:r>
    </w:p>
    <w:p w14:paraId="65DF9BDA" w14:textId="10E9E359" w:rsidR="005B572D" w:rsidRPr="003A55A9" w:rsidRDefault="00215CDF" w:rsidP="007930C9">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There are differing opinions about how to strike a balance between supporting independence and safeguarding individuals</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While some professionals highlight personal choice, others place a higher priority on safety. To guarantee that decisions remain legal and focused on the needs of the individual, achieving ethical, </w:t>
      </w:r>
      <w:r w:rsidR="007930C9" w:rsidRPr="003A55A9">
        <w:rPr>
          <w:rFonts w:ascii="Arial" w:hAnsi="Arial" w:cs="Arial"/>
          <w:color w:val="000000" w:themeColor="text1"/>
          <w:sz w:val="22"/>
          <w:szCs w:val="22"/>
        </w:rPr>
        <w:t>PCC</w:t>
      </w:r>
      <w:r w:rsidRPr="003A55A9">
        <w:rPr>
          <w:rFonts w:ascii="Arial" w:hAnsi="Arial" w:cs="Arial"/>
          <w:color w:val="000000" w:themeColor="text1"/>
          <w:sz w:val="22"/>
          <w:szCs w:val="22"/>
        </w:rPr>
        <w:t xml:space="preserve"> necessitates careful judgement, interdisciplinary collaboration, and adherence to professional standards </w:t>
      </w:r>
      <w:r w:rsidR="00306AB5" w:rsidRPr="003A55A9">
        <w:rPr>
          <w:rFonts w:ascii="Arial" w:hAnsi="Arial" w:cs="Arial"/>
          <w:color w:val="000000" w:themeColor="text1"/>
          <w:sz w:val="22"/>
          <w:szCs w:val="22"/>
        </w:rPr>
        <w:t>(Skills for Health, 2025)</w:t>
      </w:r>
      <w:r w:rsidR="002C386B" w:rsidRPr="003A55A9">
        <w:rPr>
          <w:rFonts w:ascii="Arial" w:hAnsi="Arial" w:cs="Arial"/>
          <w:color w:val="000000" w:themeColor="text1"/>
          <w:sz w:val="22"/>
          <w:szCs w:val="22"/>
        </w:rPr>
        <w:t>.</w:t>
      </w:r>
    </w:p>
    <w:p w14:paraId="57507CFE" w14:textId="77777777" w:rsidR="005B572D" w:rsidRPr="003A55A9" w:rsidRDefault="00BE7577" w:rsidP="00A347C6">
      <w:pPr>
        <w:pStyle w:val="Heading1"/>
        <w:rPr>
          <w:rFonts w:ascii="Arial" w:hAnsi="Arial" w:cs="Arial"/>
          <w:b/>
          <w:bCs/>
          <w:color w:val="000000" w:themeColor="text1"/>
          <w:sz w:val="22"/>
          <w:szCs w:val="22"/>
        </w:rPr>
      </w:pPr>
      <w:bookmarkStart w:id="7" w:name="_Toc235207314"/>
      <w:r w:rsidRPr="003A55A9">
        <w:rPr>
          <w:rFonts w:ascii="Arial" w:hAnsi="Arial" w:cs="Arial"/>
          <w:b/>
          <w:bCs/>
          <w:color w:val="000000" w:themeColor="text1"/>
          <w:sz w:val="22"/>
          <w:szCs w:val="22"/>
        </w:rPr>
        <w:lastRenderedPageBreak/>
        <w:t>Evaluation of Partnership Working</w:t>
      </w:r>
      <w:bookmarkEnd w:id="7"/>
    </w:p>
    <w:p w14:paraId="758BF6CA" w14:textId="159C608D" w:rsidR="002C386B" w:rsidRPr="003A55A9" w:rsidRDefault="00215CDF" w:rsidP="00011B07">
      <w:pPr>
        <w:pStyle w:val="NormalWeb"/>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PW is a collaborative approach wherein healthcare professionals, social care workers, nonprofit organisations, service recipients, families, and carers unite to </w:t>
      </w:r>
      <w:proofErr w:type="spellStart"/>
      <w:r w:rsidRPr="003A55A9">
        <w:rPr>
          <w:rFonts w:ascii="Arial" w:hAnsi="Arial" w:cs="Arial"/>
          <w:color w:val="000000" w:themeColor="text1"/>
          <w:sz w:val="22"/>
          <w:szCs w:val="22"/>
        </w:rPr>
        <w:t>strategise</w:t>
      </w:r>
      <w:proofErr w:type="spellEnd"/>
      <w:r w:rsidRPr="003A55A9">
        <w:rPr>
          <w:rFonts w:ascii="Arial" w:hAnsi="Arial" w:cs="Arial"/>
          <w:color w:val="000000" w:themeColor="text1"/>
          <w:sz w:val="22"/>
          <w:szCs w:val="22"/>
        </w:rPr>
        <w:t xml:space="preserve">, implement, and assess care </w:t>
      </w:r>
      <w:r w:rsidR="00AF25EC" w:rsidRPr="003A55A9">
        <w:rPr>
          <w:rFonts w:ascii="Arial" w:hAnsi="Arial" w:cs="Arial"/>
          <w:color w:val="000000" w:themeColor="text1"/>
          <w:sz w:val="22"/>
          <w:szCs w:val="22"/>
        </w:rPr>
        <w:t>(NHS England, 2026)</w:t>
      </w:r>
      <w:r w:rsidR="002C386B" w:rsidRPr="003A55A9">
        <w:rPr>
          <w:rFonts w:ascii="Arial" w:hAnsi="Arial" w:cs="Arial"/>
          <w:color w:val="000000" w:themeColor="text1"/>
          <w:sz w:val="22"/>
          <w:szCs w:val="22"/>
        </w:rPr>
        <w:t xml:space="preserve">. </w:t>
      </w:r>
      <w:r w:rsidR="00C1592F" w:rsidRPr="003A55A9">
        <w:rPr>
          <w:rFonts w:ascii="Arial" w:hAnsi="Arial" w:cs="Arial"/>
          <w:color w:val="000000" w:themeColor="text1"/>
          <w:sz w:val="22"/>
          <w:szCs w:val="22"/>
        </w:rPr>
        <w:t>The objective is to guarantee that individuals obtain integrated, secure, and individualised treatments that address their physical, psychological, and social requirements</w:t>
      </w:r>
      <w:r w:rsidR="002C386B" w:rsidRPr="003A55A9">
        <w:rPr>
          <w:rFonts w:ascii="Arial" w:hAnsi="Arial" w:cs="Arial"/>
          <w:color w:val="000000" w:themeColor="text1"/>
          <w:sz w:val="22"/>
          <w:szCs w:val="22"/>
        </w:rPr>
        <w:t xml:space="preserve"> (NHS England, 2024). </w:t>
      </w:r>
      <w:r w:rsidR="00C1592F" w:rsidRPr="003A55A9">
        <w:rPr>
          <w:rFonts w:ascii="Arial" w:hAnsi="Arial" w:cs="Arial"/>
          <w:color w:val="000000" w:themeColor="text1"/>
          <w:sz w:val="22"/>
          <w:szCs w:val="22"/>
        </w:rPr>
        <w:t xml:space="preserve">The implementation of Integrated Care Systems (ICSs) in England supported collaborative efforts by promoting cooperation across NHS regulatory bodies, municipal authorities, and community service organisations aim to enhance public health, reduce inequalities, and elevate care quality </w:t>
      </w:r>
      <w:r w:rsidR="002C386B" w:rsidRPr="003A55A9">
        <w:rPr>
          <w:rFonts w:ascii="Arial" w:hAnsi="Arial" w:cs="Arial"/>
          <w:color w:val="000000" w:themeColor="text1"/>
          <w:sz w:val="22"/>
          <w:szCs w:val="22"/>
        </w:rPr>
        <w:t>(</w:t>
      </w:r>
      <w:r w:rsidR="00AF25EC" w:rsidRPr="003A55A9">
        <w:rPr>
          <w:rFonts w:ascii="Arial" w:hAnsi="Arial" w:cs="Arial"/>
          <w:color w:val="000000" w:themeColor="text1"/>
          <w:sz w:val="22"/>
          <w:szCs w:val="22"/>
        </w:rPr>
        <w:t>The Kings Fund, 2022</w:t>
      </w:r>
      <w:r w:rsidR="002C386B" w:rsidRPr="003A55A9">
        <w:rPr>
          <w:rFonts w:ascii="Arial" w:hAnsi="Arial" w:cs="Arial"/>
          <w:color w:val="000000" w:themeColor="text1"/>
          <w:sz w:val="22"/>
          <w:szCs w:val="22"/>
        </w:rPr>
        <w:t>).</w:t>
      </w:r>
    </w:p>
    <w:p w14:paraId="1587956D" w14:textId="32CF3172" w:rsidR="002C386B" w:rsidRPr="003A55A9" w:rsidRDefault="00C1592F" w:rsidP="00011B07">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Collaborative efforts provide numerous advantages in health and social care. Cooperation allows experts to exchange knowledge, skills, and resources, leading to comprehensive evaluations and tailored care strategies </w:t>
      </w:r>
      <w:r w:rsidR="00011B07" w:rsidRPr="003A55A9">
        <w:rPr>
          <w:rFonts w:ascii="Arial" w:hAnsi="Arial" w:cs="Arial"/>
          <w:color w:val="000000" w:themeColor="text1"/>
          <w:sz w:val="22"/>
          <w:szCs w:val="22"/>
        </w:rPr>
        <w:t>(</w:t>
      </w:r>
      <w:r w:rsidR="00011B07" w:rsidRPr="003A55A9">
        <w:rPr>
          <w:rFonts w:ascii="Arial" w:hAnsi="Arial" w:cs="Arial"/>
          <w:color w:val="000000" w:themeColor="text1"/>
          <w:sz w:val="22"/>
          <w:szCs w:val="22"/>
          <w:shd w:val="clear" w:color="auto" w:fill="FFFFFF"/>
        </w:rPr>
        <w:t>Jobe, 2022)</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This minimises service redundancy, boosts treatment continuity, and bolsters patient safety. Studies indicate that collaborative efforts enhance patient contentment, facilitate the management of chronic diseases, and decrease hospital admissions through prompt community interventions </w:t>
      </w:r>
      <w:r w:rsidR="002C386B" w:rsidRPr="003A55A9">
        <w:rPr>
          <w:rFonts w:ascii="Arial" w:hAnsi="Arial" w:cs="Arial"/>
          <w:color w:val="000000" w:themeColor="text1"/>
          <w:sz w:val="22"/>
          <w:szCs w:val="22"/>
        </w:rPr>
        <w:t>(</w:t>
      </w:r>
      <w:r w:rsidR="00011B07" w:rsidRPr="003A55A9">
        <w:rPr>
          <w:rFonts w:ascii="Arial" w:hAnsi="Arial" w:cs="Arial"/>
          <w:color w:val="000000" w:themeColor="text1"/>
          <w:sz w:val="22"/>
          <w:szCs w:val="22"/>
          <w:shd w:val="clear" w:color="auto" w:fill="FFFFFF"/>
        </w:rPr>
        <w:t xml:space="preserve">McDonald </w:t>
      </w:r>
      <w:r w:rsidR="00011B07" w:rsidRPr="003A55A9">
        <w:rPr>
          <w:rFonts w:ascii="Arial" w:hAnsi="Arial" w:cs="Arial"/>
          <w:i/>
          <w:iCs/>
          <w:color w:val="000000" w:themeColor="text1"/>
          <w:sz w:val="22"/>
          <w:szCs w:val="22"/>
          <w:shd w:val="clear" w:color="auto" w:fill="FFFFFF"/>
        </w:rPr>
        <w:t>et al.,</w:t>
      </w:r>
      <w:r w:rsidR="00011B07" w:rsidRPr="003A55A9">
        <w:rPr>
          <w:rFonts w:ascii="Arial" w:hAnsi="Arial" w:cs="Arial"/>
          <w:color w:val="000000" w:themeColor="text1"/>
          <w:sz w:val="22"/>
          <w:szCs w:val="22"/>
          <w:shd w:val="clear" w:color="auto" w:fill="FFFFFF"/>
        </w:rPr>
        <w:t xml:space="preserve"> 2024</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In community care, collaborative teams of community nurses, occupational therapists, physiotherapists, general practitioners, and social workers unite to assist persons in preserving autonomy </w:t>
      </w:r>
      <w:r w:rsidR="00011B07" w:rsidRPr="003A55A9">
        <w:rPr>
          <w:rFonts w:ascii="Arial" w:hAnsi="Arial" w:cs="Arial"/>
          <w:color w:val="000000" w:themeColor="text1"/>
          <w:sz w:val="22"/>
          <w:szCs w:val="22"/>
        </w:rPr>
        <w:t>(</w:t>
      </w:r>
      <w:r w:rsidR="00011B07" w:rsidRPr="003A55A9">
        <w:rPr>
          <w:rFonts w:ascii="Arial" w:hAnsi="Arial" w:cs="Arial"/>
          <w:color w:val="000000" w:themeColor="text1"/>
          <w:sz w:val="22"/>
          <w:szCs w:val="22"/>
          <w:shd w:val="clear" w:color="auto" w:fill="FFFFFF"/>
        </w:rPr>
        <w:t xml:space="preserve">Hayes </w:t>
      </w:r>
      <w:r w:rsidR="00011B07" w:rsidRPr="003A55A9">
        <w:rPr>
          <w:rFonts w:ascii="Arial" w:hAnsi="Arial" w:cs="Arial"/>
          <w:i/>
          <w:iCs/>
          <w:color w:val="000000" w:themeColor="text1"/>
          <w:sz w:val="22"/>
          <w:szCs w:val="22"/>
          <w:shd w:val="clear" w:color="auto" w:fill="FFFFFF"/>
        </w:rPr>
        <w:t>et al.,</w:t>
      </w:r>
      <w:r w:rsidR="00011B07" w:rsidRPr="003A55A9">
        <w:rPr>
          <w:rFonts w:ascii="Arial" w:hAnsi="Arial" w:cs="Arial"/>
          <w:color w:val="000000" w:themeColor="text1"/>
          <w:sz w:val="22"/>
          <w:szCs w:val="22"/>
          <w:shd w:val="clear" w:color="auto" w:fill="FFFFFF"/>
        </w:rPr>
        <w:t xml:space="preserve"> 2024)</w:t>
      </w:r>
      <w:r w:rsidR="002C386B" w:rsidRPr="003A55A9">
        <w:rPr>
          <w:rFonts w:ascii="Arial" w:hAnsi="Arial" w:cs="Arial"/>
          <w:color w:val="000000" w:themeColor="text1"/>
          <w:sz w:val="22"/>
          <w:szCs w:val="22"/>
        </w:rPr>
        <w:t>.</w:t>
      </w:r>
    </w:p>
    <w:p w14:paraId="0D7C3B9C" w14:textId="5B2CB2BB" w:rsidR="002C386B" w:rsidRPr="003A55A9" w:rsidRDefault="00C1592F" w:rsidP="00011B07">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Given these advantages, collaborative efforts pose difficulties. Variations in corporate priorities, professional cultures, and communication frameworks may obstruct collaboration </w:t>
      </w:r>
      <w:r w:rsidR="00011B07" w:rsidRPr="003A55A9">
        <w:rPr>
          <w:rFonts w:ascii="Arial" w:hAnsi="Arial" w:cs="Arial"/>
          <w:color w:val="000000" w:themeColor="text1"/>
          <w:sz w:val="22"/>
          <w:szCs w:val="22"/>
        </w:rPr>
        <w:t>(</w:t>
      </w:r>
      <w:r w:rsidR="00011B07" w:rsidRPr="003A55A9">
        <w:rPr>
          <w:rFonts w:ascii="Arial" w:hAnsi="Arial" w:cs="Arial"/>
          <w:color w:val="000000" w:themeColor="text1"/>
          <w:sz w:val="22"/>
          <w:szCs w:val="22"/>
          <w:shd w:val="clear" w:color="auto" w:fill="FFFFFF"/>
        </w:rPr>
        <w:t xml:space="preserve">Mistri </w:t>
      </w:r>
      <w:r w:rsidR="00011B07" w:rsidRPr="003A55A9">
        <w:rPr>
          <w:rFonts w:ascii="Arial" w:hAnsi="Arial" w:cs="Arial"/>
          <w:i/>
          <w:iCs/>
          <w:color w:val="000000" w:themeColor="text1"/>
          <w:sz w:val="22"/>
          <w:szCs w:val="22"/>
          <w:shd w:val="clear" w:color="auto" w:fill="FFFFFF"/>
        </w:rPr>
        <w:t>et al.,</w:t>
      </w:r>
      <w:r w:rsidR="00011B07" w:rsidRPr="003A55A9">
        <w:rPr>
          <w:rFonts w:ascii="Arial" w:hAnsi="Arial" w:cs="Arial"/>
          <w:color w:val="000000" w:themeColor="text1"/>
          <w:sz w:val="22"/>
          <w:szCs w:val="22"/>
          <w:shd w:val="clear" w:color="auto" w:fill="FFFFFF"/>
        </w:rPr>
        <w:t xml:space="preserve"> 2023)</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Communication of information may be constrained due to confidentiality issues, whilst workforce deficits and constrained resources diminish prospects for collaborative efforts. Such obstacles can postpone decision-making and lead to disjointed care </w:t>
      </w:r>
      <w:r w:rsidR="002C386B" w:rsidRPr="003A55A9">
        <w:rPr>
          <w:rFonts w:ascii="Arial" w:hAnsi="Arial" w:cs="Arial"/>
          <w:color w:val="000000" w:themeColor="text1"/>
          <w:sz w:val="22"/>
          <w:szCs w:val="22"/>
        </w:rPr>
        <w:t>(</w:t>
      </w:r>
      <w:r w:rsidR="00011B07" w:rsidRPr="003A55A9">
        <w:rPr>
          <w:rFonts w:ascii="Arial" w:hAnsi="Arial" w:cs="Arial"/>
          <w:color w:val="000000" w:themeColor="text1"/>
          <w:sz w:val="22"/>
          <w:szCs w:val="22"/>
          <w:shd w:val="clear" w:color="auto" w:fill="FFFFFF"/>
        </w:rPr>
        <w:t xml:space="preserve">Abbas </w:t>
      </w:r>
      <w:r w:rsidR="00011B07" w:rsidRPr="003A55A9">
        <w:rPr>
          <w:rFonts w:ascii="Arial" w:hAnsi="Arial" w:cs="Arial"/>
          <w:i/>
          <w:iCs/>
          <w:color w:val="000000" w:themeColor="text1"/>
          <w:sz w:val="22"/>
          <w:szCs w:val="22"/>
          <w:shd w:val="clear" w:color="auto" w:fill="FFFFFF"/>
        </w:rPr>
        <w:t>et al.,</w:t>
      </w:r>
      <w:r w:rsidR="00011B07" w:rsidRPr="003A55A9">
        <w:rPr>
          <w:rFonts w:ascii="Arial" w:hAnsi="Arial" w:cs="Arial"/>
          <w:color w:val="000000" w:themeColor="text1"/>
          <w:sz w:val="22"/>
          <w:szCs w:val="22"/>
          <w:shd w:val="clear" w:color="auto" w:fill="FFFFFF"/>
        </w:rPr>
        <w:t xml:space="preserve"> 2025).</w:t>
      </w:r>
    </w:p>
    <w:p w14:paraId="72078E4F" w14:textId="573946E5" w:rsidR="002C386B" w:rsidRPr="003A55A9" w:rsidRDefault="00C1592F" w:rsidP="00011B07">
      <w:pPr>
        <w:pStyle w:val="NormalWeb"/>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When collaboration is successful, partnership functioning often has a favourable effect. A shared care plan combining medical professionals, social workers, and family members can provide coordinated support for an older adult with several long-term problems in community care </w:t>
      </w:r>
      <w:r w:rsidR="00011B07" w:rsidRPr="003A55A9">
        <w:rPr>
          <w:rFonts w:ascii="Arial" w:hAnsi="Arial" w:cs="Arial"/>
          <w:color w:val="000000" w:themeColor="text1"/>
          <w:sz w:val="22"/>
          <w:szCs w:val="22"/>
        </w:rPr>
        <w:t>(</w:t>
      </w:r>
      <w:r w:rsidR="00011B07" w:rsidRPr="003A55A9">
        <w:rPr>
          <w:rFonts w:ascii="Arial" w:hAnsi="Arial" w:cs="Arial"/>
          <w:color w:val="000000" w:themeColor="text1"/>
          <w:sz w:val="22"/>
          <w:szCs w:val="22"/>
          <w:shd w:val="clear" w:color="auto" w:fill="FFFFFF"/>
        </w:rPr>
        <w:t xml:space="preserve">Jones </w:t>
      </w:r>
      <w:r w:rsidR="00011B07" w:rsidRPr="003A55A9">
        <w:rPr>
          <w:rFonts w:ascii="Arial" w:hAnsi="Arial" w:cs="Arial"/>
          <w:i/>
          <w:iCs/>
          <w:color w:val="000000" w:themeColor="text1"/>
          <w:sz w:val="22"/>
          <w:szCs w:val="22"/>
          <w:shd w:val="clear" w:color="auto" w:fill="FFFFFF"/>
        </w:rPr>
        <w:t>et al.,</w:t>
      </w:r>
      <w:r w:rsidR="00011B07" w:rsidRPr="003A55A9">
        <w:rPr>
          <w:rFonts w:ascii="Arial" w:hAnsi="Arial" w:cs="Arial"/>
          <w:color w:val="000000" w:themeColor="text1"/>
          <w:sz w:val="22"/>
          <w:szCs w:val="22"/>
          <w:shd w:val="clear" w:color="auto" w:fill="FFFFFF"/>
        </w:rPr>
        <w:t xml:space="preserve"> 2022)</w:t>
      </w:r>
      <w:r w:rsidR="002C386B"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However, effective leadership, mutual trust, open communication, and clearly defined roles are essential for success. Evidence suggests that successful partnership functioning enhances </w:t>
      </w:r>
      <w:r w:rsidR="007930C9" w:rsidRPr="003A55A9">
        <w:rPr>
          <w:rFonts w:ascii="Arial" w:hAnsi="Arial" w:cs="Arial"/>
          <w:color w:val="000000" w:themeColor="text1"/>
          <w:sz w:val="22"/>
          <w:szCs w:val="22"/>
        </w:rPr>
        <w:t>PCC</w:t>
      </w:r>
      <w:r w:rsidRPr="003A55A9">
        <w:rPr>
          <w:rFonts w:ascii="Arial" w:hAnsi="Arial" w:cs="Arial"/>
          <w:color w:val="000000" w:themeColor="text1"/>
          <w:sz w:val="22"/>
          <w:szCs w:val="22"/>
        </w:rPr>
        <w:t xml:space="preserve">, raises service quality, and improves health outcomes despite obstacles </w:t>
      </w:r>
      <w:r w:rsidR="00011B07" w:rsidRPr="003A55A9">
        <w:rPr>
          <w:rFonts w:ascii="Arial" w:hAnsi="Arial" w:cs="Arial"/>
          <w:color w:val="000000" w:themeColor="text1"/>
          <w:sz w:val="22"/>
          <w:szCs w:val="22"/>
        </w:rPr>
        <w:t>(</w:t>
      </w:r>
      <w:proofErr w:type="spellStart"/>
      <w:r w:rsidR="00011B07" w:rsidRPr="003A55A9">
        <w:rPr>
          <w:rFonts w:ascii="Arial" w:hAnsi="Arial" w:cs="Arial"/>
          <w:color w:val="000000" w:themeColor="text1"/>
          <w:sz w:val="22"/>
          <w:szCs w:val="22"/>
          <w:shd w:val="clear" w:color="auto" w:fill="FFFFFF"/>
        </w:rPr>
        <w:t>Zezai</w:t>
      </w:r>
      <w:proofErr w:type="spellEnd"/>
      <w:r w:rsidR="00011B07" w:rsidRPr="003A55A9">
        <w:rPr>
          <w:rFonts w:ascii="Arial" w:hAnsi="Arial" w:cs="Arial"/>
          <w:color w:val="000000" w:themeColor="text1"/>
          <w:sz w:val="22"/>
          <w:szCs w:val="22"/>
          <w:shd w:val="clear" w:color="auto" w:fill="FFFFFF"/>
        </w:rPr>
        <w:t xml:space="preserve"> </w:t>
      </w:r>
      <w:r w:rsidR="00011B07" w:rsidRPr="003A55A9">
        <w:rPr>
          <w:rFonts w:ascii="Arial" w:hAnsi="Arial" w:cs="Arial"/>
          <w:i/>
          <w:iCs/>
          <w:color w:val="000000" w:themeColor="text1"/>
          <w:sz w:val="22"/>
          <w:szCs w:val="22"/>
          <w:shd w:val="clear" w:color="auto" w:fill="FFFFFF"/>
        </w:rPr>
        <w:t>et al.,</w:t>
      </w:r>
      <w:r w:rsidR="00011B07" w:rsidRPr="003A55A9">
        <w:rPr>
          <w:rFonts w:ascii="Arial" w:hAnsi="Arial" w:cs="Arial"/>
          <w:color w:val="000000" w:themeColor="text1"/>
          <w:sz w:val="22"/>
          <w:szCs w:val="22"/>
          <w:shd w:val="clear" w:color="auto" w:fill="FFFFFF"/>
        </w:rPr>
        <w:t xml:space="preserve"> 2024)</w:t>
      </w:r>
      <w:r w:rsidR="002C386B" w:rsidRPr="003A55A9">
        <w:rPr>
          <w:rFonts w:ascii="Arial" w:hAnsi="Arial" w:cs="Arial"/>
          <w:color w:val="000000" w:themeColor="text1"/>
          <w:sz w:val="22"/>
          <w:szCs w:val="22"/>
        </w:rPr>
        <w:t>.</w:t>
      </w:r>
    </w:p>
    <w:p w14:paraId="28E57AA4" w14:textId="5B9CA50C" w:rsidR="00BE7577" w:rsidRPr="003A55A9" w:rsidRDefault="00BE7577" w:rsidP="00970C78">
      <w:pPr>
        <w:pStyle w:val="Heading1"/>
        <w:rPr>
          <w:rFonts w:ascii="Arial" w:hAnsi="Arial" w:cs="Arial"/>
          <w:b/>
          <w:bCs/>
          <w:color w:val="000000" w:themeColor="text1"/>
          <w:sz w:val="22"/>
          <w:szCs w:val="22"/>
        </w:rPr>
      </w:pPr>
      <w:bookmarkStart w:id="8" w:name="_Toc235207315"/>
      <w:r w:rsidRPr="003A55A9">
        <w:rPr>
          <w:rFonts w:ascii="Arial" w:hAnsi="Arial" w:cs="Arial"/>
          <w:b/>
          <w:bCs/>
          <w:color w:val="000000" w:themeColor="text1"/>
          <w:sz w:val="22"/>
          <w:szCs w:val="22"/>
        </w:rPr>
        <w:lastRenderedPageBreak/>
        <w:t>Policy and Legislation</w:t>
      </w:r>
      <w:bookmarkEnd w:id="8"/>
    </w:p>
    <w:p w14:paraId="227A123B" w14:textId="63B198B0" w:rsidR="00512394" w:rsidRPr="003A55A9" w:rsidRDefault="00C1592F" w:rsidP="004D0C6A">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Regulations and laws establish the legal and professional foundation that supports PCC</w:t>
      </w:r>
      <w:r w:rsidR="007930C9"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and </w:t>
      </w:r>
      <w:r w:rsidR="007930C9" w:rsidRPr="003A55A9">
        <w:rPr>
          <w:rFonts w:ascii="Arial" w:hAnsi="Arial" w:cs="Arial"/>
          <w:color w:val="000000" w:themeColor="text1"/>
          <w:sz w:val="22"/>
          <w:szCs w:val="22"/>
        </w:rPr>
        <w:t>PW</w:t>
      </w:r>
      <w:r w:rsidRPr="003A55A9">
        <w:rPr>
          <w:rFonts w:ascii="Arial" w:hAnsi="Arial" w:cs="Arial"/>
          <w:color w:val="000000" w:themeColor="text1"/>
          <w:sz w:val="22"/>
          <w:szCs w:val="22"/>
        </w:rPr>
        <w:t xml:space="preserve"> in health and social services </w:t>
      </w:r>
      <w:r w:rsidR="00790630" w:rsidRPr="003A55A9">
        <w:rPr>
          <w:rFonts w:ascii="Arial" w:hAnsi="Arial" w:cs="Arial"/>
          <w:color w:val="000000" w:themeColor="text1"/>
          <w:sz w:val="22"/>
          <w:szCs w:val="22"/>
        </w:rPr>
        <w:t>(</w:t>
      </w:r>
      <w:r w:rsidR="00790630" w:rsidRPr="003A55A9">
        <w:rPr>
          <w:rFonts w:ascii="Arial" w:hAnsi="Arial" w:cs="Arial"/>
          <w:color w:val="000000" w:themeColor="text1"/>
          <w:sz w:val="22"/>
          <w:szCs w:val="22"/>
          <w:shd w:val="clear" w:color="auto" w:fill="FFFFFF"/>
        </w:rPr>
        <w:t>Byrne, 2025)</w:t>
      </w:r>
      <w:r w:rsidR="00512394"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The Health and Care Act 2022 fosters integrated care through the creation of Integrated Care Systems (ICSs), urging NHS entities, local governments, and volunteer organisations to work together in providing coordinated, individualised assistance </w:t>
      </w:r>
      <w:r w:rsidR="00512394" w:rsidRPr="003A55A9">
        <w:rPr>
          <w:rFonts w:ascii="Arial" w:hAnsi="Arial" w:cs="Arial"/>
          <w:color w:val="000000" w:themeColor="text1"/>
          <w:sz w:val="22"/>
          <w:szCs w:val="22"/>
        </w:rPr>
        <w:t>(</w:t>
      </w:r>
      <w:proofErr w:type="spellStart"/>
      <w:r w:rsidR="00790630" w:rsidRPr="003A55A9">
        <w:rPr>
          <w:rFonts w:ascii="Arial" w:hAnsi="Arial" w:cs="Arial"/>
          <w:color w:val="000000" w:themeColor="text1"/>
          <w:sz w:val="22"/>
          <w:szCs w:val="22"/>
          <w:shd w:val="clear" w:color="auto" w:fill="FFFFFF"/>
        </w:rPr>
        <w:t>Tsiachristas</w:t>
      </w:r>
      <w:proofErr w:type="spellEnd"/>
      <w:r w:rsidR="00790630" w:rsidRPr="003A55A9">
        <w:rPr>
          <w:rFonts w:ascii="Arial" w:hAnsi="Arial" w:cs="Arial"/>
          <w:color w:val="000000" w:themeColor="text1"/>
          <w:sz w:val="22"/>
          <w:szCs w:val="22"/>
          <w:shd w:val="clear" w:color="auto" w:fill="FFFFFF"/>
        </w:rPr>
        <w:t xml:space="preserve"> </w:t>
      </w:r>
      <w:r w:rsidR="00790630" w:rsidRPr="003A55A9">
        <w:rPr>
          <w:rFonts w:ascii="Arial" w:hAnsi="Arial" w:cs="Arial"/>
          <w:i/>
          <w:iCs/>
          <w:color w:val="000000" w:themeColor="text1"/>
          <w:sz w:val="22"/>
          <w:szCs w:val="22"/>
          <w:shd w:val="clear" w:color="auto" w:fill="FFFFFF"/>
        </w:rPr>
        <w:t>et al.,</w:t>
      </w:r>
      <w:r w:rsidR="00790630" w:rsidRPr="003A55A9">
        <w:rPr>
          <w:rFonts w:ascii="Arial" w:hAnsi="Arial" w:cs="Arial"/>
          <w:color w:val="000000" w:themeColor="text1"/>
          <w:sz w:val="22"/>
          <w:szCs w:val="22"/>
          <w:shd w:val="clear" w:color="auto" w:fill="FFFFFF"/>
        </w:rPr>
        <w:t xml:space="preserve"> 2023</w:t>
      </w:r>
      <w:r w:rsidR="00512394"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This expands upon the Health and Social Care Act 2012, which increased patient engagement, accountability, and cooperation to improve healthcare quality</w:t>
      </w:r>
      <w:r w:rsidR="005650BE" w:rsidRPr="003A55A9">
        <w:rPr>
          <w:rFonts w:ascii="Arial" w:hAnsi="Arial" w:cs="Arial"/>
          <w:color w:val="000000" w:themeColor="text1"/>
          <w:sz w:val="22"/>
          <w:szCs w:val="22"/>
        </w:rPr>
        <w:t xml:space="preserve"> (Page </w:t>
      </w:r>
      <w:r w:rsidR="005650BE" w:rsidRPr="003A55A9">
        <w:rPr>
          <w:rFonts w:ascii="Arial" w:hAnsi="Arial" w:cs="Arial"/>
          <w:i/>
          <w:iCs/>
          <w:color w:val="000000" w:themeColor="text1"/>
          <w:sz w:val="22"/>
          <w:szCs w:val="22"/>
        </w:rPr>
        <w:t>et al.,</w:t>
      </w:r>
      <w:r w:rsidR="005650BE" w:rsidRPr="003A55A9">
        <w:rPr>
          <w:rFonts w:ascii="Arial" w:hAnsi="Arial" w:cs="Arial"/>
          <w:color w:val="000000" w:themeColor="text1"/>
          <w:sz w:val="22"/>
          <w:szCs w:val="22"/>
        </w:rPr>
        <w:t xml:space="preserve"> 2024)</w:t>
      </w:r>
      <w:r w:rsidRPr="003A55A9">
        <w:rPr>
          <w:rFonts w:ascii="Arial" w:hAnsi="Arial" w:cs="Arial"/>
          <w:color w:val="000000" w:themeColor="text1"/>
          <w:sz w:val="22"/>
          <w:szCs w:val="22"/>
        </w:rPr>
        <w:t>.</w:t>
      </w:r>
      <w:r w:rsidR="007930C9"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The Care Act 2014 prioritises individual welfare in care planning by mandating local authorities to evaluate requirements, engage persons in decision-making, and collaborate with carers and partner organisations </w:t>
      </w:r>
      <w:r w:rsidR="00790630" w:rsidRPr="003A55A9">
        <w:rPr>
          <w:rFonts w:ascii="Arial" w:hAnsi="Arial" w:cs="Arial"/>
          <w:color w:val="000000" w:themeColor="text1"/>
          <w:sz w:val="22"/>
          <w:szCs w:val="22"/>
        </w:rPr>
        <w:t>(</w:t>
      </w:r>
      <w:r w:rsidR="00790630" w:rsidRPr="003A55A9">
        <w:rPr>
          <w:rFonts w:ascii="Arial" w:hAnsi="Arial" w:cs="Arial"/>
          <w:color w:val="000000" w:themeColor="text1"/>
          <w:sz w:val="22"/>
          <w:szCs w:val="22"/>
          <w:shd w:val="clear" w:color="auto" w:fill="FFFFFF"/>
        </w:rPr>
        <w:t xml:space="preserve">Damant </w:t>
      </w:r>
      <w:r w:rsidR="00790630" w:rsidRPr="003A55A9">
        <w:rPr>
          <w:rFonts w:ascii="Arial" w:hAnsi="Arial" w:cs="Arial"/>
          <w:i/>
          <w:iCs/>
          <w:color w:val="000000" w:themeColor="text1"/>
          <w:sz w:val="22"/>
          <w:szCs w:val="22"/>
          <w:shd w:val="clear" w:color="auto" w:fill="FFFFFF"/>
        </w:rPr>
        <w:t>et al.,</w:t>
      </w:r>
      <w:r w:rsidR="00790630" w:rsidRPr="003A55A9">
        <w:rPr>
          <w:rFonts w:ascii="Arial" w:hAnsi="Arial" w:cs="Arial"/>
          <w:color w:val="000000" w:themeColor="text1"/>
          <w:sz w:val="22"/>
          <w:szCs w:val="22"/>
          <w:shd w:val="clear" w:color="auto" w:fill="FFFFFF"/>
        </w:rPr>
        <w:t xml:space="preserve"> 2026)</w:t>
      </w:r>
      <w:r w:rsidR="00512394"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These responsibilities facilitate individual-focused care by enhancing autonomy, options, and tailored assistance. Similarly, the Human Rights Act 1998 safeguards dignity, privacy, and familial respect, whereas the Equality Act 2010 guarantees equitable access to services by shielding persons from discrimination </w:t>
      </w:r>
      <w:r w:rsidR="00790630" w:rsidRPr="003A55A9">
        <w:rPr>
          <w:rFonts w:ascii="Arial" w:hAnsi="Arial" w:cs="Arial"/>
          <w:color w:val="000000" w:themeColor="text1"/>
          <w:sz w:val="22"/>
          <w:szCs w:val="22"/>
        </w:rPr>
        <w:t>(</w:t>
      </w:r>
      <w:r w:rsidR="00790630" w:rsidRPr="003A55A9">
        <w:rPr>
          <w:rFonts w:ascii="Arial" w:hAnsi="Arial" w:cs="Arial"/>
          <w:color w:val="000000" w:themeColor="text1"/>
          <w:sz w:val="22"/>
          <w:szCs w:val="22"/>
          <w:shd w:val="clear" w:color="auto" w:fill="FFFFFF"/>
        </w:rPr>
        <w:t>Fredman, 2024)</w:t>
      </w:r>
      <w:r w:rsidR="00512394" w:rsidRPr="003A55A9">
        <w:rPr>
          <w:rFonts w:ascii="Arial" w:hAnsi="Arial" w:cs="Arial"/>
          <w:color w:val="000000" w:themeColor="text1"/>
          <w:sz w:val="22"/>
          <w:szCs w:val="22"/>
        </w:rPr>
        <w:t>.</w:t>
      </w:r>
    </w:p>
    <w:p w14:paraId="5F109301" w14:textId="4B07257D" w:rsidR="00790630" w:rsidRPr="003A55A9" w:rsidRDefault="00C1592F" w:rsidP="007930C9">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In community healthcare, these regulations assist practitioners in formulating tailored care strategies that align with patients' desires and evaluated need </w:t>
      </w:r>
      <w:r w:rsidR="00790630" w:rsidRPr="003A55A9">
        <w:rPr>
          <w:rFonts w:ascii="Arial" w:hAnsi="Arial" w:cs="Arial"/>
          <w:color w:val="000000" w:themeColor="text1"/>
          <w:sz w:val="22"/>
          <w:szCs w:val="22"/>
        </w:rPr>
        <w:t>(</w:t>
      </w:r>
      <w:r w:rsidR="00790630" w:rsidRPr="003A55A9">
        <w:rPr>
          <w:rFonts w:ascii="Arial" w:hAnsi="Arial" w:cs="Arial"/>
          <w:color w:val="000000" w:themeColor="text1"/>
          <w:sz w:val="22"/>
          <w:szCs w:val="22"/>
          <w:shd w:val="clear" w:color="auto" w:fill="FFFFFF"/>
        </w:rPr>
        <w:t xml:space="preserve">Idrees </w:t>
      </w:r>
      <w:r w:rsidR="00790630" w:rsidRPr="003A55A9">
        <w:rPr>
          <w:rFonts w:ascii="Arial" w:hAnsi="Arial" w:cs="Arial"/>
          <w:i/>
          <w:iCs/>
          <w:color w:val="000000" w:themeColor="text1"/>
          <w:sz w:val="22"/>
          <w:szCs w:val="22"/>
          <w:shd w:val="clear" w:color="auto" w:fill="FFFFFF"/>
        </w:rPr>
        <w:t>et al.,</w:t>
      </w:r>
      <w:r w:rsidR="00790630" w:rsidRPr="003A55A9">
        <w:rPr>
          <w:rFonts w:ascii="Arial" w:hAnsi="Arial" w:cs="Arial"/>
          <w:color w:val="000000" w:themeColor="text1"/>
          <w:sz w:val="22"/>
          <w:szCs w:val="22"/>
          <w:shd w:val="clear" w:color="auto" w:fill="FFFFFF"/>
        </w:rPr>
        <w:t xml:space="preserve"> 2024)</w:t>
      </w:r>
      <w:r w:rsidR="00512394"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A community nurse assisting an elderly person with various chronic diseases ought to include the client in treatment choices while collaborating with general practitioners, social workers, therapists, and family members</w:t>
      </w:r>
      <w:r w:rsidRPr="003A55A9">
        <w:rPr>
          <w:rFonts w:ascii="Arial" w:hAnsi="Arial" w:cs="Arial"/>
          <w:color w:val="000000" w:themeColor="text1"/>
          <w:sz w:val="22"/>
          <w:szCs w:val="22"/>
          <w:shd w:val="clear" w:color="auto" w:fill="FFFFFF"/>
        </w:rPr>
        <w:t xml:space="preserve"> </w:t>
      </w:r>
      <w:r w:rsidR="00790630" w:rsidRPr="003A55A9">
        <w:rPr>
          <w:rFonts w:ascii="Arial" w:hAnsi="Arial" w:cs="Arial"/>
          <w:color w:val="000000" w:themeColor="text1"/>
          <w:sz w:val="22"/>
          <w:szCs w:val="22"/>
          <w:shd w:val="clear" w:color="auto" w:fill="FFFFFF"/>
        </w:rPr>
        <w:t>(</w:t>
      </w:r>
      <w:proofErr w:type="spellStart"/>
      <w:r w:rsidR="00790630" w:rsidRPr="003A55A9">
        <w:rPr>
          <w:rFonts w:ascii="Arial" w:hAnsi="Arial" w:cs="Arial"/>
          <w:color w:val="000000" w:themeColor="text1"/>
          <w:sz w:val="22"/>
          <w:szCs w:val="22"/>
          <w:shd w:val="clear" w:color="auto" w:fill="FFFFFF"/>
        </w:rPr>
        <w:t>Linceviciute</w:t>
      </w:r>
      <w:proofErr w:type="spellEnd"/>
      <w:r w:rsidR="00790630" w:rsidRPr="003A55A9">
        <w:rPr>
          <w:rFonts w:ascii="Arial" w:hAnsi="Arial" w:cs="Arial"/>
          <w:color w:val="000000" w:themeColor="text1"/>
          <w:sz w:val="22"/>
          <w:szCs w:val="22"/>
          <w:shd w:val="clear" w:color="auto" w:fill="FFFFFF"/>
        </w:rPr>
        <w:t xml:space="preserve"> </w:t>
      </w:r>
      <w:r w:rsidR="00790630" w:rsidRPr="003A55A9">
        <w:rPr>
          <w:rFonts w:ascii="Arial" w:hAnsi="Arial" w:cs="Arial"/>
          <w:i/>
          <w:iCs/>
          <w:color w:val="000000" w:themeColor="text1"/>
          <w:sz w:val="22"/>
          <w:szCs w:val="22"/>
          <w:shd w:val="clear" w:color="auto" w:fill="FFFFFF"/>
        </w:rPr>
        <w:t>et al.,</w:t>
      </w:r>
      <w:r w:rsidR="00790630" w:rsidRPr="003A55A9">
        <w:rPr>
          <w:rFonts w:ascii="Arial" w:hAnsi="Arial" w:cs="Arial"/>
          <w:color w:val="000000" w:themeColor="text1"/>
          <w:sz w:val="22"/>
          <w:szCs w:val="22"/>
          <w:shd w:val="clear" w:color="auto" w:fill="FFFFFF"/>
        </w:rPr>
        <w:t xml:space="preserve"> 2023)</w:t>
      </w:r>
      <w:r w:rsidRPr="003A55A9">
        <w:rPr>
          <w:rFonts w:ascii="Arial" w:hAnsi="Arial" w:cs="Arial"/>
          <w:color w:val="000000" w:themeColor="text1"/>
          <w:sz w:val="22"/>
          <w:szCs w:val="22"/>
          <w:shd w:val="clear" w:color="auto" w:fill="FFFFFF"/>
        </w:rPr>
        <w:t>.</w:t>
      </w:r>
      <w:r w:rsidR="00512394"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This illustrates both individualised care and successful collaborative efforts.</w:t>
      </w:r>
      <w:r w:rsidR="007930C9"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Despite the stable legal framework established by these laws, their execution frequently encounters obstacles such as staffing deficits, financial constraints, and rising service demands, hence restricting the potential for individualised treatment and interdisciplinary </w:t>
      </w:r>
      <w:r w:rsidR="00790630" w:rsidRPr="003A55A9">
        <w:rPr>
          <w:rFonts w:ascii="Arial" w:hAnsi="Arial" w:cs="Arial"/>
          <w:color w:val="000000" w:themeColor="text1"/>
          <w:sz w:val="22"/>
          <w:szCs w:val="22"/>
        </w:rPr>
        <w:t>(</w:t>
      </w:r>
      <w:r w:rsidR="00790630" w:rsidRPr="003A55A9">
        <w:rPr>
          <w:rFonts w:ascii="Arial" w:hAnsi="Arial" w:cs="Arial"/>
          <w:color w:val="000000" w:themeColor="text1"/>
          <w:sz w:val="22"/>
          <w:szCs w:val="22"/>
          <w:shd w:val="clear" w:color="auto" w:fill="FFFFFF"/>
        </w:rPr>
        <w:t xml:space="preserve">Correia </w:t>
      </w:r>
      <w:r w:rsidR="00790630" w:rsidRPr="003A55A9">
        <w:rPr>
          <w:rFonts w:ascii="Arial" w:hAnsi="Arial" w:cs="Arial"/>
          <w:i/>
          <w:iCs/>
          <w:color w:val="000000" w:themeColor="text1"/>
          <w:sz w:val="22"/>
          <w:szCs w:val="22"/>
          <w:shd w:val="clear" w:color="auto" w:fill="FFFFFF"/>
        </w:rPr>
        <w:t>et al.,</w:t>
      </w:r>
      <w:r w:rsidR="00790630" w:rsidRPr="003A55A9">
        <w:rPr>
          <w:rFonts w:ascii="Arial" w:hAnsi="Arial" w:cs="Arial"/>
          <w:color w:val="000000" w:themeColor="text1"/>
          <w:sz w:val="22"/>
          <w:szCs w:val="22"/>
          <w:shd w:val="clear" w:color="auto" w:fill="FFFFFF"/>
        </w:rPr>
        <w:t xml:space="preserve"> 2025)</w:t>
      </w:r>
      <w:r w:rsidR="00512394" w:rsidRPr="003A55A9">
        <w:rPr>
          <w:rFonts w:ascii="Arial" w:hAnsi="Arial" w:cs="Arial"/>
          <w:color w:val="000000" w:themeColor="text1"/>
          <w:sz w:val="22"/>
          <w:szCs w:val="22"/>
        </w:rPr>
        <w:t xml:space="preserve">. Nevertheless, </w:t>
      </w:r>
      <w:r w:rsidRPr="003A55A9">
        <w:rPr>
          <w:rFonts w:ascii="Arial" w:hAnsi="Arial" w:cs="Arial"/>
          <w:color w:val="000000" w:themeColor="text1"/>
          <w:sz w:val="22"/>
          <w:szCs w:val="22"/>
        </w:rPr>
        <w:t xml:space="preserve">they continue to be vital in fostering accountability, protecting personal rights, and facilitating coordinated, fair treatment that enhances health results and life quality </w:t>
      </w:r>
      <w:r w:rsidR="00790630" w:rsidRPr="003A55A9">
        <w:rPr>
          <w:rFonts w:ascii="Arial" w:hAnsi="Arial" w:cs="Arial"/>
          <w:color w:val="000000" w:themeColor="text1"/>
          <w:sz w:val="22"/>
          <w:szCs w:val="22"/>
        </w:rPr>
        <w:t>(</w:t>
      </w:r>
      <w:proofErr w:type="spellStart"/>
      <w:r w:rsidR="00790630" w:rsidRPr="003A55A9">
        <w:rPr>
          <w:rFonts w:ascii="Arial" w:hAnsi="Arial" w:cs="Arial"/>
          <w:color w:val="000000" w:themeColor="text1"/>
          <w:sz w:val="22"/>
          <w:szCs w:val="22"/>
          <w:shd w:val="clear" w:color="auto" w:fill="FFFFFF"/>
        </w:rPr>
        <w:t>Lakioti</w:t>
      </w:r>
      <w:proofErr w:type="spellEnd"/>
      <w:r w:rsidR="00790630" w:rsidRPr="003A55A9">
        <w:rPr>
          <w:rFonts w:ascii="Arial" w:hAnsi="Arial" w:cs="Arial"/>
          <w:color w:val="000000" w:themeColor="text1"/>
          <w:sz w:val="22"/>
          <w:szCs w:val="22"/>
          <w:shd w:val="clear" w:color="auto" w:fill="FFFFFF"/>
        </w:rPr>
        <w:t xml:space="preserve"> </w:t>
      </w:r>
      <w:r w:rsidR="00790630" w:rsidRPr="003A55A9">
        <w:rPr>
          <w:rFonts w:ascii="Arial" w:hAnsi="Arial" w:cs="Arial"/>
          <w:i/>
          <w:iCs/>
          <w:color w:val="000000" w:themeColor="text1"/>
          <w:sz w:val="22"/>
          <w:szCs w:val="22"/>
          <w:shd w:val="clear" w:color="auto" w:fill="FFFFFF"/>
        </w:rPr>
        <w:t>et al.,</w:t>
      </w:r>
      <w:r w:rsidR="00790630" w:rsidRPr="003A55A9">
        <w:rPr>
          <w:rFonts w:ascii="Arial" w:hAnsi="Arial" w:cs="Arial"/>
          <w:color w:val="000000" w:themeColor="text1"/>
          <w:sz w:val="22"/>
          <w:szCs w:val="22"/>
          <w:shd w:val="clear" w:color="auto" w:fill="FFFFFF"/>
        </w:rPr>
        <w:t xml:space="preserve"> </w:t>
      </w:r>
      <w:r w:rsidR="004D0C6A" w:rsidRPr="003A55A9">
        <w:rPr>
          <w:rFonts w:ascii="Arial" w:hAnsi="Arial" w:cs="Arial"/>
          <w:color w:val="000000" w:themeColor="text1"/>
          <w:sz w:val="22"/>
          <w:szCs w:val="22"/>
          <w:shd w:val="clear" w:color="auto" w:fill="FFFFFF"/>
        </w:rPr>
        <w:t>2025).</w:t>
      </w:r>
    </w:p>
    <w:p w14:paraId="5B32033E" w14:textId="0ECAD2D2" w:rsidR="000930A3" w:rsidRPr="003A55A9" w:rsidRDefault="000930A3" w:rsidP="00DC5140">
      <w:pPr>
        <w:pStyle w:val="NormalWeb"/>
        <w:spacing w:line="360" w:lineRule="auto"/>
        <w:rPr>
          <w:rStyle w:val="Heading1Char"/>
          <w:rFonts w:ascii="Arial" w:hAnsi="Arial" w:cs="Arial"/>
          <w:b/>
          <w:bCs/>
          <w:color w:val="000000" w:themeColor="text1"/>
          <w:sz w:val="22"/>
          <w:szCs w:val="22"/>
        </w:rPr>
      </w:pPr>
      <w:bookmarkStart w:id="9" w:name="_Toc235207316"/>
      <w:r w:rsidRPr="003A55A9">
        <w:rPr>
          <w:rStyle w:val="Heading1Char"/>
          <w:rFonts w:ascii="Arial" w:hAnsi="Arial" w:cs="Arial"/>
          <w:b/>
          <w:bCs/>
          <w:color w:val="000000" w:themeColor="text1"/>
          <w:sz w:val="22"/>
          <w:szCs w:val="22"/>
        </w:rPr>
        <w:t>Recommendations</w:t>
      </w:r>
      <w:bookmarkEnd w:id="9"/>
    </w:p>
    <w:p w14:paraId="6C6E1362" w14:textId="27AC7E1F" w:rsidR="00A106A3" w:rsidRPr="003A55A9" w:rsidRDefault="00A106A3" w:rsidP="00DC5140">
      <w:pPr>
        <w:pStyle w:val="isselectedend"/>
        <w:spacing w:line="360" w:lineRule="auto"/>
        <w:jc w:val="both"/>
        <w:rPr>
          <w:rFonts w:ascii="Arial" w:hAnsi="Arial" w:cs="Arial"/>
          <w:color w:val="000000" w:themeColor="text1"/>
          <w:sz w:val="22"/>
          <w:szCs w:val="22"/>
        </w:rPr>
      </w:pPr>
      <w:r w:rsidRPr="003A55A9">
        <w:rPr>
          <w:rStyle w:val="Strong"/>
          <w:rFonts w:ascii="Arial" w:eastAsiaTheme="majorEastAsia" w:hAnsi="Arial" w:cs="Arial"/>
          <w:b w:val="0"/>
          <w:bCs w:val="0"/>
          <w:color w:val="000000" w:themeColor="text1"/>
          <w:sz w:val="22"/>
          <w:szCs w:val="22"/>
        </w:rPr>
        <w:t xml:space="preserve">Inconsistent staff training limits the effective implementation of </w:t>
      </w:r>
      <w:r w:rsidR="00DC5140" w:rsidRPr="003A55A9">
        <w:rPr>
          <w:rStyle w:val="Strong"/>
          <w:rFonts w:ascii="Arial" w:eastAsiaTheme="majorEastAsia" w:hAnsi="Arial" w:cs="Arial"/>
          <w:b w:val="0"/>
          <w:bCs w:val="0"/>
          <w:color w:val="000000" w:themeColor="text1"/>
          <w:sz w:val="22"/>
          <w:szCs w:val="22"/>
        </w:rPr>
        <w:t>PCC</w:t>
      </w:r>
      <w:r w:rsidRPr="003A55A9">
        <w:rPr>
          <w:rStyle w:val="Strong"/>
          <w:rFonts w:ascii="Arial" w:eastAsiaTheme="majorEastAsia" w:hAnsi="Arial" w:cs="Arial"/>
          <w:b w:val="0"/>
          <w:bCs w:val="0"/>
          <w:color w:val="000000" w:themeColor="text1"/>
          <w:sz w:val="22"/>
          <w:szCs w:val="22"/>
        </w:rPr>
        <w:t xml:space="preserve"> and </w:t>
      </w:r>
      <w:r w:rsidR="00DC5140" w:rsidRPr="003A55A9">
        <w:rPr>
          <w:rStyle w:val="Strong"/>
          <w:rFonts w:ascii="Arial" w:eastAsiaTheme="majorEastAsia" w:hAnsi="Arial" w:cs="Arial"/>
          <w:b w:val="0"/>
          <w:bCs w:val="0"/>
          <w:color w:val="000000" w:themeColor="text1"/>
          <w:sz w:val="22"/>
          <w:szCs w:val="22"/>
        </w:rPr>
        <w:t>PW is a problem</w:t>
      </w:r>
      <w:r w:rsidRPr="003A55A9">
        <w:rPr>
          <w:rStyle w:val="Strong"/>
          <w:rFonts w:ascii="Arial" w:eastAsiaTheme="majorEastAsia" w:hAnsi="Arial" w:cs="Arial"/>
          <w:b w:val="0"/>
          <w:bCs w:val="0"/>
          <w:color w:val="000000" w:themeColor="text1"/>
          <w:sz w:val="22"/>
          <w:szCs w:val="22"/>
        </w:rPr>
        <w:t>.</w:t>
      </w:r>
      <w:r w:rsidRPr="003A55A9">
        <w:rPr>
          <w:rFonts w:ascii="Arial" w:hAnsi="Arial" w:cs="Arial"/>
          <w:b/>
          <w:bCs/>
          <w:color w:val="000000" w:themeColor="text1"/>
          <w:sz w:val="22"/>
          <w:szCs w:val="22"/>
        </w:rPr>
        <w:t xml:space="preserve"> </w:t>
      </w:r>
      <w:r w:rsidRPr="003A55A9">
        <w:rPr>
          <w:rFonts w:ascii="Arial" w:hAnsi="Arial" w:cs="Arial"/>
          <w:color w:val="000000" w:themeColor="text1"/>
          <w:sz w:val="22"/>
          <w:szCs w:val="22"/>
        </w:rPr>
        <w:t>Despite the inclusion of PCC</w:t>
      </w:r>
      <w:r w:rsidR="00DC5140"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and</w:t>
      </w:r>
      <w:r w:rsidR="00DC5140" w:rsidRPr="003A55A9">
        <w:rPr>
          <w:rFonts w:ascii="Arial" w:hAnsi="Arial" w:cs="Arial"/>
          <w:color w:val="000000" w:themeColor="text1"/>
          <w:sz w:val="22"/>
          <w:szCs w:val="22"/>
        </w:rPr>
        <w:t xml:space="preserve"> </w:t>
      </w:r>
      <w:r w:rsidRPr="003A55A9">
        <w:rPr>
          <w:rFonts w:ascii="Arial" w:hAnsi="Arial" w:cs="Arial"/>
          <w:color w:val="000000" w:themeColor="text1"/>
          <w:sz w:val="22"/>
          <w:szCs w:val="22"/>
        </w:rPr>
        <w:t xml:space="preserve">PW into UK legislation and policy, healthcare practitioners frequently exhibit differing degrees of understanding and assurance in implementing person-centred communication, shared decision-making, and multidisciplinary collaboration in their practice. The King's Fund (2022) emphasises that workforce development is crucial for providing high-quality, </w:t>
      </w:r>
      <w:r w:rsidR="007930C9" w:rsidRPr="003A55A9">
        <w:rPr>
          <w:rFonts w:ascii="Arial" w:hAnsi="Arial" w:cs="Arial"/>
          <w:color w:val="000000" w:themeColor="text1"/>
          <w:sz w:val="22"/>
          <w:szCs w:val="22"/>
        </w:rPr>
        <w:t>PCC</w:t>
      </w:r>
      <w:r w:rsidRPr="003A55A9">
        <w:rPr>
          <w:rFonts w:ascii="Arial" w:hAnsi="Arial" w:cs="Arial"/>
          <w:color w:val="000000" w:themeColor="text1"/>
          <w:sz w:val="22"/>
          <w:szCs w:val="22"/>
        </w:rPr>
        <w:t xml:space="preserve">, whereas McDonald </w:t>
      </w:r>
      <w:r w:rsidRPr="003A55A9">
        <w:rPr>
          <w:rFonts w:ascii="Arial" w:hAnsi="Arial" w:cs="Arial"/>
          <w:i/>
          <w:iCs/>
          <w:color w:val="000000" w:themeColor="text1"/>
          <w:sz w:val="22"/>
          <w:szCs w:val="22"/>
        </w:rPr>
        <w:t>et al.</w:t>
      </w:r>
      <w:r w:rsidRPr="003A55A9">
        <w:rPr>
          <w:rFonts w:ascii="Arial" w:hAnsi="Arial" w:cs="Arial"/>
          <w:color w:val="000000" w:themeColor="text1"/>
          <w:sz w:val="22"/>
          <w:szCs w:val="22"/>
        </w:rPr>
        <w:t xml:space="preserve"> (2024) discovered that ongoing professional development enhances practitioners' proficiency and reliability in delivering tailored care.</w:t>
      </w:r>
      <w:r w:rsidR="00DC5140" w:rsidRPr="003A55A9">
        <w:rPr>
          <w:rFonts w:ascii="Arial" w:hAnsi="Arial" w:cs="Arial"/>
          <w:color w:val="000000" w:themeColor="text1"/>
          <w:sz w:val="22"/>
          <w:szCs w:val="22"/>
        </w:rPr>
        <w:t xml:space="preserve"> It is suggested that </w:t>
      </w:r>
      <w:r w:rsidRPr="003A55A9">
        <w:rPr>
          <w:rFonts w:ascii="Arial" w:hAnsi="Arial" w:cs="Arial"/>
          <w:color w:val="000000" w:themeColor="text1"/>
          <w:sz w:val="22"/>
          <w:szCs w:val="22"/>
        </w:rPr>
        <w:t xml:space="preserve">Health and social care organisations </w:t>
      </w:r>
      <w:r w:rsidR="00DC5140" w:rsidRPr="003A55A9">
        <w:rPr>
          <w:rFonts w:ascii="Arial" w:hAnsi="Arial" w:cs="Arial"/>
          <w:color w:val="000000" w:themeColor="text1"/>
          <w:sz w:val="22"/>
          <w:szCs w:val="22"/>
        </w:rPr>
        <w:t>should</w:t>
      </w:r>
      <w:r w:rsidRPr="003A55A9">
        <w:rPr>
          <w:rFonts w:ascii="Arial" w:hAnsi="Arial" w:cs="Arial"/>
          <w:color w:val="000000" w:themeColor="text1"/>
          <w:sz w:val="22"/>
          <w:szCs w:val="22"/>
        </w:rPr>
        <w:t xml:space="preserve"> establish routine </w:t>
      </w:r>
      <w:r w:rsidRPr="003A55A9">
        <w:rPr>
          <w:rFonts w:ascii="Arial" w:hAnsi="Arial" w:cs="Arial"/>
          <w:color w:val="000000" w:themeColor="text1"/>
          <w:sz w:val="22"/>
          <w:szCs w:val="22"/>
        </w:rPr>
        <w:lastRenderedPageBreak/>
        <w:t xml:space="preserve">compulsory training in person-centred communication, cultural awareness, joint decision-making, and multidisciplinary collaboration. Sustained professional growth would bolster staff assurance and encourage a more uniform implementation of </w:t>
      </w:r>
      <w:r w:rsidR="007930C9" w:rsidRPr="003A55A9">
        <w:rPr>
          <w:rFonts w:ascii="Arial" w:hAnsi="Arial" w:cs="Arial"/>
          <w:color w:val="000000" w:themeColor="text1"/>
          <w:sz w:val="22"/>
          <w:szCs w:val="22"/>
        </w:rPr>
        <w:t>PCC</w:t>
      </w:r>
      <w:r w:rsidRPr="003A55A9">
        <w:rPr>
          <w:rFonts w:ascii="Arial" w:hAnsi="Arial" w:cs="Arial"/>
          <w:color w:val="000000" w:themeColor="text1"/>
          <w:sz w:val="22"/>
          <w:szCs w:val="22"/>
        </w:rPr>
        <w:t xml:space="preserve"> within community contexts. It is imperative for companies to confront manpower shortages and allocate protected learning time to facilitate staff training without affecting service performance.</w:t>
      </w:r>
    </w:p>
    <w:p w14:paraId="3DF78A55" w14:textId="33B01585" w:rsidR="00A106A3" w:rsidRPr="003A55A9" w:rsidRDefault="00DC5140" w:rsidP="00DC5140">
      <w:pPr>
        <w:pStyle w:val="isselectedend"/>
        <w:spacing w:line="360" w:lineRule="auto"/>
        <w:jc w:val="both"/>
        <w:rPr>
          <w:rFonts w:ascii="Arial" w:hAnsi="Arial" w:cs="Arial"/>
          <w:color w:val="000000" w:themeColor="text1"/>
          <w:sz w:val="22"/>
          <w:szCs w:val="22"/>
        </w:rPr>
      </w:pPr>
      <w:r w:rsidRPr="003A55A9">
        <w:rPr>
          <w:rStyle w:val="Strong"/>
          <w:rFonts w:ascii="Arial" w:eastAsiaTheme="majorEastAsia" w:hAnsi="Arial" w:cs="Arial"/>
          <w:b w:val="0"/>
          <w:bCs w:val="0"/>
          <w:color w:val="000000" w:themeColor="text1"/>
          <w:sz w:val="22"/>
          <w:szCs w:val="22"/>
        </w:rPr>
        <w:t>Another problem is p</w:t>
      </w:r>
      <w:r w:rsidR="00A106A3" w:rsidRPr="003A55A9">
        <w:rPr>
          <w:rStyle w:val="Strong"/>
          <w:rFonts w:ascii="Arial" w:eastAsiaTheme="majorEastAsia" w:hAnsi="Arial" w:cs="Arial"/>
          <w:b w:val="0"/>
          <w:bCs w:val="0"/>
          <w:color w:val="000000" w:themeColor="text1"/>
          <w:sz w:val="22"/>
          <w:szCs w:val="22"/>
        </w:rPr>
        <w:t xml:space="preserve">oor communication and fragmented information sharing between health and social care services </w:t>
      </w:r>
      <w:r w:rsidRPr="003A55A9">
        <w:rPr>
          <w:rStyle w:val="Strong"/>
          <w:rFonts w:ascii="Arial" w:eastAsiaTheme="majorEastAsia" w:hAnsi="Arial" w:cs="Arial"/>
          <w:b w:val="0"/>
          <w:bCs w:val="0"/>
          <w:color w:val="000000" w:themeColor="text1"/>
          <w:sz w:val="22"/>
          <w:szCs w:val="22"/>
        </w:rPr>
        <w:t xml:space="preserve">which </w:t>
      </w:r>
      <w:r w:rsidR="00A106A3" w:rsidRPr="003A55A9">
        <w:rPr>
          <w:rStyle w:val="Strong"/>
          <w:rFonts w:ascii="Arial" w:eastAsiaTheme="majorEastAsia" w:hAnsi="Arial" w:cs="Arial"/>
          <w:b w:val="0"/>
          <w:bCs w:val="0"/>
          <w:color w:val="000000" w:themeColor="text1"/>
          <w:sz w:val="22"/>
          <w:szCs w:val="22"/>
        </w:rPr>
        <w:t>can reduce continuity of care.</w:t>
      </w:r>
      <w:r w:rsidR="00A106A3" w:rsidRPr="003A55A9">
        <w:rPr>
          <w:rFonts w:ascii="Arial" w:hAnsi="Arial" w:cs="Arial"/>
          <w:color w:val="000000" w:themeColor="text1"/>
          <w:sz w:val="22"/>
          <w:szCs w:val="22"/>
        </w:rPr>
        <w:t xml:space="preserve"> Insufficient communication among specialists can lead to postponed interventions, duplicated evaluations, and disconnected care, especially for those with complex health requirements. NHS England (2024) recognises integrated digital systems as crucial for enhancing coordinated care, whilst Nila </w:t>
      </w:r>
      <w:r w:rsidR="00A106A3" w:rsidRPr="003A55A9">
        <w:rPr>
          <w:rFonts w:ascii="Arial" w:hAnsi="Arial" w:cs="Arial"/>
          <w:i/>
          <w:iCs/>
          <w:color w:val="000000" w:themeColor="text1"/>
          <w:sz w:val="22"/>
          <w:szCs w:val="22"/>
        </w:rPr>
        <w:t>et al.</w:t>
      </w:r>
      <w:r w:rsidR="00A106A3" w:rsidRPr="003A55A9">
        <w:rPr>
          <w:rFonts w:ascii="Arial" w:hAnsi="Arial" w:cs="Arial"/>
          <w:color w:val="000000" w:themeColor="text1"/>
          <w:sz w:val="22"/>
          <w:szCs w:val="22"/>
        </w:rPr>
        <w:t xml:space="preserve"> (2025) highlight that competent information exchange facilitates safer and more efficient service provision.</w:t>
      </w:r>
      <w:r w:rsidRPr="003A55A9">
        <w:rPr>
          <w:rFonts w:ascii="Arial" w:hAnsi="Arial" w:cs="Arial"/>
          <w:color w:val="000000" w:themeColor="text1"/>
          <w:sz w:val="22"/>
          <w:szCs w:val="22"/>
        </w:rPr>
        <w:t xml:space="preserve"> Therefore, i</w:t>
      </w:r>
      <w:r w:rsidR="00A106A3" w:rsidRPr="003A55A9">
        <w:rPr>
          <w:rFonts w:ascii="Arial" w:hAnsi="Arial" w:cs="Arial"/>
          <w:color w:val="000000" w:themeColor="text1"/>
          <w:sz w:val="22"/>
          <w:szCs w:val="22"/>
        </w:rPr>
        <w:t xml:space="preserve">ncreased funding is necessary for compatible electronic health records and secure digital communication systems that allow general practitioners, community nurses, social workers, and allied health professionals to retrieve current patient information. In addition to investing in digital infrastructure, </w:t>
      </w:r>
      <w:r w:rsidRPr="003A55A9">
        <w:rPr>
          <w:rFonts w:ascii="Arial" w:hAnsi="Arial" w:cs="Arial"/>
          <w:color w:val="000000" w:themeColor="text1"/>
          <w:sz w:val="22"/>
          <w:szCs w:val="22"/>
        </w:rPr>
        <w:t>staff</w:t>
      </w:r>
      <w:r w:rsidR="00A106A3" w:rsidRPr="003A55A9">
        <w:rPr>
          <w:rFonts w:ascii="Arial" w:hAnsi="Arial" w:cs="Arial"/>
          <w:color w:val="000000" w:themeColor="text1"/>
          <w:sz w:val="22"/>
          <w:szCs w:val="22"/>
        </w:rPr>
        <w:t xml:space="preserve"> must undergo digital training, and companies must uphold strict cybersecurity protocols to </w:t>
      </w:r>
      <w:r w:rsidRPr="003A55A9">
        <w:rPr>
          <w:rFonts w:ascii="Arial" w:hAnsi="Arial" w:cs="Arial"/>
          <w:color w:val="000000" w:themeColor="text1"/>
          <w:sz w:val="22"/>
          <w:szCs w:val="22"/>
        </w:rPr>
        <w:t>ensure</w:t>
      </w:r>
      <w:r w:rsidR="00A106A3" w:rsidRPr="003A55A9">
        <w:rPr>
          <w:rFonts w:ascii="Arial" w:hAnsi="Arial" w:cs="Arial"/>
          <w:color w:val="000000" w:themeColor="text1"/>
          <w:sz w:val="22"/>
          <w:szCs w:val="22"/>
        </w:rPr>
        <w:t xml:space="preserve"> secure information exchange.</w:t>
      </w:r>
    </w:p>
    <w:p w14:paraId="1CFA919B" w14:textId="786D5A3C" w:rsidR="00032EF4" w:rsidRPr="003A55A9" w:rsidRDefault="000930A3" w:rsidP="00DC5140">
      <w:pPr>
        <w:pStyle w:val="Heading1"/>
        <w:spacing w:line="360" w:lineRule="auto"/>
        <w:rPr>
          <w:rFonts w:ascii="Arial" w:hAnsi="Arial" w:cs="Arial"/>
          <w:b/>
          <w:bCs/>
          <w:color w:val="000000" w:themeColor="text1"/>
          <w:sz w:val="22"/>
          <w:szCs w:val="22"/>
        </w:rPr>
      </w:pPr>
      <w:bookmarkStart w:id="10" w:name="_Toc235207317"/>
      <w:r w:rsidRPr="003A55A9">
        <w:rPr>
          <w:rFonts w:ascii="Arial" w:hAnsi="Arial" w:cs="Arial"/>
          <w:b/>
          <w:bCs/>
          <w:color w:val="000000" w:themeColor="text1"/>
          <w:sz w:val="22"/>
          <w:szCs w:val="22"/>
        </w:rPr>
        <w:t>Conclusion</w:t>
      </w:r>
      <w:bookmarkEnd w:id="10"/>
    </w:p>
    <w:p w14:paraId="7EE4DC35" w14:textId="5E8E8AFB" w:rsidR="00032EF4" w:rsidRPr="003A55A9" w:rsidRDefault="00C1592F" w:rsidP="00DC5140">
      <w:pPr>
        <w:pStyle w:val="isselectedend"/>
        <w:spacing w:line="360" w:lineRule="auto"/>
        <w:jc w:val="both"/>
        <w:rPr>
          <w:rFonts w:ascii="Arial" w:hAnsi="Arial" w:cs="Arial"/>
          <w:color w:val="000000" w:themeColor="text1"/>
          <w:sz w:val="22"/>
          <w:szCs w:val="22"/>
        </w:rPr>
      </w:pPr>
      <w:r w:rsidRPr="003A55A9">
        <w:rPr>
          <w:rFonts w:ascii="Arial" w:hAnsi="Arial" w:cs="Arial"/>
          <w:color w:val="000000" w:themeColor="text1"/>
          <w:sz w:val="22"/>
          <w:szCs w:val="22"/>
        </w:rPr>
        <w:t xml:space="preserve">This report has analysed the significance of PCC and PW in providing superior health and social services in a community care environment. It illustrated that </w:t>
      </w:r>
      <w:r w:rsidR="007930C9" w:rsidRPr="003A55A9">
        <w:rPr>
          <w:rFonts w:ascii="Arial" w:hAnsi="Arial" w:cs="Arial"/>
          <w:color w:val="000000" w:themeColor="text1"/>
          <w:sz w:val="22"/>
          <w:szCs w:val="22"/>
        </w:rPr>
        <w:t>PCC</w:t>
      </w:r>
      <w:r w:rsidRPr="003A55A9">
        <w:rPr>
          <w:rFonts w:ascii="Arial" w:hAnsi="Arial" w:cs="Arial"/>
          <w:color w:val="000000" w:themeColor="text1"/>
          <w:sz w:val="22"/>
          <w:szCs w:val="22"/>
        </w:rPr>
        <w:t xml:space="preserve"> fosters dignity, respect, autonomy, and collaborative decision-making, whereas </w:t>
      </w:r>
      <w:r w:rsidR="007930C9" w:rsidRPr="003A55A9">
        <w:rPr>
          <w:rFonts w:ascii="Arial" w:hAnsi="Arial" w:cs="Arial"/>
          <w:color w:val="000000" w:themeColor="text1"/>
          <w:sz w:val="22"/>
          <w:szCs w:val="22"/>
        </w:rPr>
        <w:t>PW</w:t>
      </w:r>
      <w:r w:rsidRPr="003A55A9">
        <w:rPr>
          <w:rFonts w:ascii="Arial" w:hAnsi="Arial" w:cs="Arial"/>
          <w:color w:val="000000" w:themeColor="text1"/>
          <w:sz w:val="22"/>
          <w:szCs w:val="22"/>
        </w:rPr>
        <w:t xml:space="preserve"> allows healthcare practitioners, social care entities, families, and carers to work together in providing integrated and comprehensive assistance </w:t>
      </w:r>
      <w:r w:rsidR="00032EF4" w:rsidRPr="003A55A9">
        <w:rPr>
          <w:rFonts w:ascii="Arial" w:hAnsi="Arial" w:cs="Arial"/>
          <w:color w:val="000000" w:themeColor="text1"/>
          <w:sz w:val="22"/>
          <w:szCs w:val="22"/>
        </w:rPr>
        <w:t>(</w:t>
      </w:r>
      <w:proofErr w:type="spellStart"/>
      <w:r w:rsidR="00032EF4" w:rsidRPr="003A55A9">
        <w:rPr>
          <w:rFonts w:ascii="Arial" w:hAnsi="Arial" w:cs="Arial"/>
          <w:color w:val="000000" w:themeColor="text1"/>
          <w:sz w:val="22"/>
          <w:szCs w:val="22"/>
        </w:rPr>
        <w:t>Kanagasingam</w:t>
      </w:r>
      <w:proofErr w:type="spellEnd"/>
      <w:r w:rsidR="00032EF4" w:rsidRPr="003A55A9">
        <w:rPr>
          <w:rFonts w:ascii="Arial" w:hAnsi="Arial" w:cs="Arial"/>
          <w:color w:val="000000" w:themeColor="text1"/>
          <w:sz w:val="22"/>
          <w:szCs w:val="22"/>
        </w:rPr>
        <w:t xml:space="preserve"> </w:t>
      </w:r>
      <w:r w:rsidR="00032EF4" w:rsidRPr="003A55A9">
        <w:rPr>
          <w:rFonts w:ascii="Arial" w:hAnsi="Arial" w:cs="Arial"/>
          <w:i/>
          <w:iCs/>
          <w:color w:val="000000" w:themeColor="text1"/>
          <w:sz w:val="22"/>
          <w:szCs w:val="22"/>
        </w:rPr>
        <w:t>et al.,</w:t>
      </w:r>
      <w:r w:rsidR="00032EF4" w:rsidRPr="003A55A9">
        <w:rPr>
          <w:rFonts w:ascii="Arial" w:hAnsi="Arial" w:cs="Arial"/>
          <w:color w:val="000000" w:themeColor="text1"/>
          <w:sz w:val="22"/>
          <w:szCs w:val="22"/>
        </w:rPr>
        <w:t xml:space="preserve"> 2023). </w:t>
      </w:r>
      <w:r w:rsidR="00A4477F" w:rsidRPr="003A55A9">
        <w:rPr>
          <w:rFonts w:ascii="Arial" w:hAnsi="Arial" w:cs="Arial"/>
          <w:color w:val="000000" w:themeColor="text1"/>
          <w:sz w:val="22"/>
          <w:szCs w:val="22"/>
        </w:rPr>
        <w:t xml:space="preserve">emphasised the significance of pertinent theories, ethical standards, regulations, and legislation in supporting successful practice and enhancing health outcomes. Despite obstacles including personnel deficits, communication obstacles, and limited resources that may obstruct performance, research indicates that improved interdisciplinary cooperation, ongoing professional training, and increased utilisation of digital technologies can improve service provision </w:t>
      </w:r>
      <w:r w:rsidR="00032EF4" w:rsidRPr="003A55A9">
        <w:rPr>
          <w:rFonts w:ascii="Arial" w:hAnsi="Arial" w:cs="Arial"/>
          <w:color w:val="000000" w:themeColor="text1"/>
          <w:sz w:val="22"/>
          <w:szCs w:val="22"/>
        </w:rPr>
        <w:t xml:space="preserve">(The Health Foundation, 2016). </w:t>
      </w:r>
      <w:r w:rsidR="00A4477F" w:rsidRPr="003A55A9">
        <w:rPr>
          <w:rFonts w:ascii="Arial" w:hAnsi="Arial" w:cs="Arial"/>
          <w:color w:val="000000" w:themeColor="text1"/>
          <w:sz w:val="22"/>
          <w:szCs w:val="22"/>
        </w:rPr>
        <w:t xml:space="preserve">Integrating </w:t>
      </w:r>
      <w:r w:rsidR="007930C9" w:rsidRPr="003A55A9">
        <w:rPr>
          <w:rFonts w:ascii="Arial" w:hAnsi="Arial" w:cs="Arial"/>
          <w:color w:val="000000" w:themeColor="text1"/>
          <w:sz w:val="22"/>
          <w:szCs w:val="22"/>
        </w:rPr>
        <w:t>PCC</w:t>
      </w:r>
      <w:r w:rsidR="00A4477F" w:rsidRPr="003A55A9">
        <w:rPr>
          <w:rFonts w:ascii="Arial" w:hAnsi="Arial" w:cs="Arial"/>
          <w:color w:val="000000" w:themeColor="text1"/>
          <w:sz w:val="22"/>
          <w:szCs w:val="22"/>
        </w:rPr>
        <w:t xml:space="preserve"> with effective </w:t>
      </w:r>
      <w:r w:rsidR="007930C9" w:rsidRPr="003A55A9">
        <w:rPr>
          <w:rFonts w:ascii="Arial" w:hAnsi="Arial" w:cs="Arial"/>
          <w:color w:val="000000" w:themeColor="text1"/>
          <w:sz w:val="22"/>
          <w:szCs w:val="22"/>
        </w:rPr>
        <w:t>PW</w:t>
      </w:r>
      <w:r w:rsidR="00A4477F" w:rsidRPr="003A55A9">
        <w:rPr>
          <w:rFonts w:ascii="Arial" w:hAnsi="Arial" w:cs="Arial"/>
          <w:color w:val="000000" w:themeColor="text1"/>
          <w:sz w:val="22"/>
          <w:szCs w:val="22"/>
        </w:rPr>
        <w:t xml:space="preserve"> is crucial for enhancing patient experiences, fostering autonomy, and guaranteeing equitable, high-quality treatment </w:t>
      </w:r>
      <w:r w:rsidR="00032EF4" w:rsidRPr="003A55A9">
        <w:rPr>
          <w:rFonts w:ascii="Arial" w:hAnsi="Arial" w:cs="Arial"/>
          <w:color w:val="000000" w:themeColor="text1"/>
          <w:sz w:val="22"/>
          <w:szCs w:val="22"/>
        </w:rPr>
        <w:t xml:space="preserve">(McCance and McCormack, 2025). </w:t>
      </w:r>
      <w:r w:rsidR="00A4477F" w:rsidRPr="003A55A9">
        <w:rPr>
          <w:rFonts w:ascii="Arial" w:hAnsi="Arial" w:cs="Arial"/>
          <w:color w:val="000000" w:themeColor="text1"/>
          <w:sz w:val="22"/>
          <w:szCs w:val="22"/>
        </w:rPr>
        <w:t xml:space="preserve">Ongoing investment in integrated community services will enhance these strategies and promote improved results for individuals and communities throughout the </w:t>
      </w:r>
      <w:r w:rsidR="007930C9" w:rsidRPr="003A55A9">
        <w:rPr>
          <w:rFonts w:ascii="Arial" w:hAnsi="Arial" w:cs="Arial"/>
          <w:color w:val="000000" w:themeColor="text1"/>
          <w:sz w:val="22"/>
          <w:szCs w:val="22"/>
        </w:rPr>
        <w:t>UK</w:t>
      </w:r>
      <w:r w:rsidR="00032EF4" w:rsidRPr="003A55A9">
        <w:rPr>
          <w:rFonts w:ascii="Arial" w:hAnsi="Arial" w:cs="Arial"/>
          <w:color w:val="000000" w:themeColor="text1"/>
          <w:sz w:val="22"/>
          <w:szCs w:val="22"/>
        </w:rPr>
        <w:t xml:space="preserve">. </w:t>
      </w:r>
    </w:p>
    <w:p w14:paraId="0582546F" w14:textId="6FA4749C" w:rsidR="00970C78" w:rsidRPr="0064768E" w:rsidRDefault="00512394" w:rsidP="0064768E">
      <w:pPr>
        <w:pStyle w:val="isselectedend"/>
        <w:spacing w:line="360" w:lineRule="auto"/>
        <w:jc w:val="both"/>
        <w:rPr>
          <w:rStyle w:val="Heading1Char"/>
          <w:rFonts w:ascii="Arial" w:eastAsia="Times New Roman" w:hAnsi="Arial" w:cs="Arial"/>
          <w:b/>
          <w:bCs/>
          <w:color w:val="000000" w:themeColor="text1"/>
          <w:sz w:val="22"/>
          <w:szCs w:val="22"/>
        </w:rPr>
      </w:pPr>
      <w:bookmarkStart w:id="11" w:name="_Toc235207318"/>
      <w:r w:rsidRPr="0064768E">
        <w:rPr>
          <w:rStyle w:val="Heading1Char"/>
          <w:rFonts w:ascii="Arial" w:hAnsi="Arial" w:cs="Arial"/>
          <w:b/>
          <w:bCs/>
          <w:color w:val="000000" w:themeColor="text1"/>
          <w:sz w:val="22"/>
          <w:szCs w:val="22"/>
        </w:rPr>
        <w:lastRenderedPageBreak/>
        <w:t>Reference list</w:t>
      </w:r>
      <w:bookmarkEnd w:id="11"/>
    </w:p>
    <w:p w14:paraId="5077ED41" w14:textId="35058368"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 xml:space="preserve">Ahmed, A., van den </w:t>
      </w:r>
      <w:proofErr w:type="spellStart"/>
      <w:r w:rsidRPr="00061A5D">
        <w:rPr>
          <w:rFonts w:ascii="Arial" w:hAnsi="Arial" w:cs="Arial"/>
          <w:color w:val="000000" w:themeColor="text1"/>
          <w:sz w:val="22"/>
          <w:szCs w:val="22"/>
          <w:shd w:val="clear" w:color="auto" w:fill="FFFFFF"/>
        </w:rPr>
        <w:t>Muijsenbergh</w:t>
      </w:r>
      <w:proofErr w:type="spellEnd"/>
      <w:r w:rsidRPr="00061A5D">
        <w:rPr>
          <w:rFonts w:ascii="Arial" w:hAnsi="Arial" w:cs="Arial"/>
          <w:color w:val="000000" w:themeColor="text1"/>
          <w:sz w:val="22"/>
          <w:szCs w:val="22"/>
          <w:shd w:val="clear" w:color="auto" w:fill="FFFFFF"/>
        </w:rPr>
        <w:t xml:space="preserve">, M.E. and </w:t>
      </w:r>
      <w:proofErr w:type="spellStart"/>
      <w:r w:rsidRPr="00061A5D">
        <w:rPr>
          <w:rFonts w:ascii="Arial" w:hAnsi="Arial" w:cs="Arial"/>
          <w:color w:val="000000" w:themeColor="text1"/>
          <w:sz w:val="22"/>
          <w:szCs w:val="22"/>
          <w:shd w:val="clear" w:color="auto" w:fill="FFFFFF"/>
        </w:rPr>
        <w:t>Vrijhoef</w:t>
      </w:r>
      <w:proofErr w:type="spellEnd"/>
      <w:r w:rsidRPr="00061A5D">
        <w:rPr>
          <w:rFonts w:ascii="Arial" w:hAnsi="Arial" w:cs="Arial"/>
          <w:color w:val="000000" w:themeColor="text1"/>
          <w:sz w:val="22"/>
          <w:szCs w:val="22"/>
          <w:shd w:val="clear" w:color="auto" w:fill="FFFFFF"/>
        </w:rPr>
        <w:t>, H.J. (2022) ‘Person</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centred care in primary care: what works for whom, how and in what circumstances’, </w:t>
      </w:r>
      <w:r w:rsidRPr="00061A5D">
        <w:rPr>
          <w:rFonts w:ascii="Arial" w:hAnsi="Arial" w:cs="Arial"/>
          <w:i/>
          <w:iCs/>
          <w:color w:val="000000" w:themeColor="text1"/>
          <w:sz w:val="22"/>
          <w:szCs w:val="22"/>
          <w:shd w:val="clear" w:color="auto" w:fill="FFFFFF"/>
        </w:rPr>
        <w:t>Health &amp; social care in the community</w:t>
      </w:r>
      <w:r w:rsidRPr="00061A5D">
        <w:rPr>
          <w:rFonts w:ascii="Arial" w:hAnsi="Arial" w:cs="Arial"/>
          <w:color w:val="000000" w:themeColor="text1"/>
          <w:sz w:val="22"/>
          <w:szCs w:val="22"/>
          <w:shd w:val="clear" w:color="auto" w:fill="FFFFFF"/>
        </w:rPr>
        <w:t>, 30(6), pp.e3328-e3341.</w:t>
      </w:r>
    </w:p>
    <w:p w14:paraId="6FDC297D" w14:textId="77777777" w:rsidR="0064768E" w:rsidRPr="00061A5D" w:rsidRDefault="0064768E" w:rsidP="00ED2176">
      <w:pPr>
        <w:rPr>
          <w:rFonts w:ascii="Arial" w:hAnsi="Arial" w:cs="Arial"/>
          <w:color w:val="000000" w:themeColor="text1"/>
          <w:sz w:val="22"/>
          <w:szCs w:val="22"/>
          <w:shd w:val="clear" w:color="auto" w:fill="FFFFFF"/>
        </w:rPr>
      </w:pPr>
    </w:p>
    <w:p w14:paraId="23D5ABE2" w14:textId="0FCC0C4D"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Ale, B.J., Slater, D.H. and Hartford, D.N. (2023) ‘The ethical dilemmas of risky decisions’, </w:t>
      </w:r>
      <w:r w:rsidRPr="00061A5D">
        <w:rPr>
          <w:rFonts w:ascii="Arial" w:hAnsi="Arial" w:cs="Arial"/>
          <w:i/>
          <w:iCs/>
          <w:color w:val="000000" w:themeColor="text1"/>
          <w:sz w:val="22"/>
          <w:szCs w:val="22"/>
          <w:shd w:val="clear" w:color="auto" w:fill="FFFFFF"/>
        </w:rPr>
        <w:t>Risk analysis</w:t>
      </w:r>
      <w:r w:rsidRPr="00061A5D">
        <w:rPr>
          <w:rFonts w:ascii="Arial" w:hAnsi="Arial" w:cs="Arial"/>
          <w:color w:val="000000" w:themeColor="text1"/>
          <w:sz w:val="22"/>
          <w:szCs w:val="22"/>
          <w:shd w:val="clear" w:color="auto" w:fill="FFFFFF"/>
        </w:rPr>
        <w:t>, 43(2), pp.219-233.</w:t>
      </w:r>
    </w:p>
    <w:p w14:paraId="2071BA14" w14:textId="77777777" w:rsidR="0064768E" w:rsidRPr="00061A5D" w:rsidRDefault="0064768E" w:rsidP="00ED2176">
      <w:pPr>
        <w:rPr>
          <w:rFonts w:ascii="Arial" w:hAnsi="Arial" w:cs="Arial"/>
          <w:color w:val="000000" w:themeColor="text1"/>
          <w:sz w:val="22"/>
          <w:szCs w:val="22"/>
          <w:shd w:val="clear" w:color="auto" w:fill="FFFFFF"/>
        </w:rPr>
      </w:pPr>
    </w:p>
    <w:p w14:paraId="572FCBB3" w14:textId="4237B64E" w:rsidR="0064768E" w:rsidRPr="00061A5D" w:rsidRDefault="0064768E" w:rsidP="00ED2176">
      <w:pPr>
        <w:rPr>
          <w:rFonts w:ascii="Arial" w:hAnsi="Arial" w:cs="Arial"/>
          <w:color w:val="000000" w:themeColor="text1"/>
          <w:sz w:val="22"/>
          <w:szCs w:val="22"/>
        </w:rPr>
      </w:pPr>
      <w:proofErr w:type="spellStart"/>
      <w:r w:rsidRPr="00061A5D">
        <w:rPr>
          <w:rFonts w:ascii="Arial" w:hAnsi="Arial" w:cs="Arial"/>
          <w:color w:val="000000" w:themeColor="text1"/>
          <w:sz w:val="22"/>
          <w:szCs w:val="22"/>
          <w:shd w:val="clear" w:color="auto" w:fill="FFFFFF"/>
        </w:rPr>
        <w:t>Alsagoor</w:t>
      </w:r>
      <w:proofErr w:type="spellEnd"/>
      <w:r w:rsidRPr="00061A5D">
        <w:rPr>
          <w:rFonts w:ascii="Arial" w:hAnsi="Arial" w:cs="Arial"/>
          <w:color w:val="000000" w:themeColor="text1"/>
          <w:sz w:val="22"/>
          <w:szCs w:val="22"/>
          <w:shd w:val="clear" w:color="auto" w:fill="FFFFFF"/>
        </w:rPr>
        <w:t xml:space="preserve">, H.M.S., </w:t>
      </w:r>
      <w:proofErr w:type="spellStart"/>
      <w:r w:rsidRPr="00061A5D">
        <w:rPr>
          <w:rFonts w:ascii="Arial" w:hAnsi="Arial" w:cs="Arial"/>
          <w:color w:val="000000" w:themeColor="text1"/>
          <w:sz w:val="22"/>
          <w:szCs w:val="22"/>
          <w:shd w:val="clear" w:color="auto" w:fill="FFFFFF"/>
        </w:rPr>
        <w:t>Alsagoor</w:t>
      </w:r>
      <w:proofErr w:type="spellEnd"/>
      <w:r w:rsidRPr="00061A5D">
        <w:rPr>
          <w:rFonts w:ascii="Arial" w:hAnsi="Arial" w:cs="Arial"/>
          <w:color w:val="000000" w:themeColor="text1"/>
          <w:sz w:val="22"/>
          <w:szCs w:val="22"/>
          <w:shd w:val="clear" w:color="auto" w:fill="FFFFFF"/>
        </w:rPr>
        <w:t xml:space="preserve">, M.M.H., </w:t>
      </w:r>
      <w:proofErr w:type="spellStart"/>
      <w:r w:rsidRPr="00061A5D">
        <w:rPr>
          <w:rFonts w:ascii="Arial" w:hAnsi="Arial" w:cs="Arial"/>
          <w:color w:val="000000" w:themeColor="text1"/>
          <w:sz w:val="22"/>
          <w:szCs w:val="22"/>
          <w:shd w:val="clear" w:color="auto" w:fill="FFFFFF"/>
        </w:rPr>
        <w:t>Almushraaf</w:t>
      </w:r>
      <w:proofErr w:type="spellEnd"/>
      <w:r w:rsidRPr="00061A5D">
        <w:rPr>
          <w:rFonts w:ascii="Arial" w:hAnsi="Arial" w:cs="Arial"/>
          <w:color w:val="000000" w:themeColor="text1"/>
          <w:sz w:val="22"/>
          <w:szCs w:val="22"/>
          <w:shd w:val="clear" w:color="auto" w:fill="FFFFFF"/>
        </w:rPr>
        <w:t xml:space="preserve">, A.S.H., Almansour, A.M.A., </w:t>
      </w:r>
      <w:proofErr w:type="spellStart"/>
      <w:r w:rsidRPr="00061A5D">
        <w:rPr>
          <w:rFonts w:ascii="Arial" w:hAnsi="Arial" w:cs="Arial"/>
          <w:color w:val="000000" w:themeColor="text1"/>
          <w:sz w:val="22"/>
          <w:szCs w:val="22"/>
          <w:shd w:val="clear" w:color="auto" w:fill="FFFFFF"/>
        </w:rPr>
        <w:t>Alqawban</w:t>
      </w:r>
      <w:proofErr w:type="spellEnd"/>
      <w:r w:rsidRPr="00061A5D">
        <w:rPr>
          <w:rFonts w:ascii="Arial" w:hAnsi="Arial" w:cs="Arial"/>
          <w:color w:val="000000" w:themeColor="text1"/>
          <w:sz w:val="22"/>
          <w:szCs w:val="22"/>
          <w:shd w:val="clear" w:color="auto" w:fill="FFFFFF"/>
        </w:rPr>
        <w:t xml:space="preserve">, S.M.H., </w:t>
      </w:r>
      <w:proofErr w:type="spellStart"/>
      <w:r w:rsidRPr="00061A5D">
        <w:rPr>
          <w:rFonts w:ascii="Arial" w:hAnsi="Arial" w:cs="Arial"/>
          <w:color w:val="000000" w:themeColor="text1"/>
          <w:sz w:val="22"/>
          <w:szCs w:val="22"/>
          <w:shd w:val="clear" w:color="auto" w:fill="FFFFFF"/>
        </w:rPr>
        <w:t>Alghubari</w:t>
      </w:r>
      <w:proofErr w:type="spellEnd"/>
      <w:r w:rsidRPr="00061A5D">
        <w:rPr>
          <w:rFonts w:ascii="Arial" w:hAnsi="Arial" w:cs="Arial"/>
          <w:color w:val="000000" w:themeColor="text1"/>
          <w:sz w:val="22"/>
          <w:szCs w:val="22"/>
          <w:shd w:val="clear" w:color="auto" w:fill="FFFFFF"/>
        </w:rPr>
        <w:t xml:space="preserve">, F.M.M., Alyami, M.M.H., </w:t>
      </w:r>
      <w:proofErr w:type="spellStart"/>
      <w:r w:rsidRPr="00061A5D">
        <w:rPr>
          <w:rFonts w:ascii="Arial" w:hAnsi="Arial" w:cs="Arial"/>
          <w:color w:val="000000" w:themeColor="text1"/>
          <w:sz w:val="22"/>
          <w:szCs w:val="22"/>
          <w:shd w:val="clear" w:color="auto" w:fill="FFFFFF"/>
        </w:rPr>
        <w:t>Algahes</w:t>
      </w:r>
      <w:proofErr w:type="spellEnd"/>
      <w:r w:rsidRPr="00061A5D">
        <w:rPr>
          <w:rFonts w:ascii="Arial" w:hAnsi="Arial" w:cs="Arial"/>
          <w:color w:val="000000" w:themeColor="text1"/>
          <w:sz w:val="22"/>
          <w:szCs w:val="22"/>
          <w:shd w:val="clear" w:color="auto" w:fill="FFFFFF"/>
        </w:rPr>
        <w:t>, M.M., Alyami, S.F.A., Al Yami, T.A.D. and Alharbi, S.A.M. (2024) ‘Patient-</w:t>
      </w:r>
      <w:proofErr w:type="spellStart"/>
      <w:r w:rsidRPr="00061A5D">
        <w:rPr>
          <w:rFonts w:ascii="Arial" w:hAnsi="Arial" w:cs="Arial"/>
          <w:color w:val="000000" w:themeColor="text1"/>
          <w:sz w:val="22"/>
          <w:szCs w:val="22"/>
          <w:shd w:val="clear" w:color="auto" w:fill="FFFFFF"/>
        </w:rPr>
        <w:t>centered</w:t>
      </w:r>
      <w:proofErr w:type="spellEnd"/>
      <w:r w:rsidRPr="00061A5D">
        <w:rPr>
          <w:rFonts w:ascii="Arial" w:hAnsi="Arial" w:cs="Arial"/>
          <w:color w:val="000000" w:themeColor="text1"/>
          <w:sz w:val="22"/>
          <w:szCs w:val="22"/>
          <w:shd w:val="clear" w:color="auto" w:fill="FFFFFF"/>
        </w:rPr>
        <w:t xml:space="preserve"> care models in primary healthcare: a systematic review of implementation and outcomes’, </w:t>
      </w:r>
      <w:r w:rsidRPr="00061A5D">
        <w:rPr>
          <w:rFonts w:ascii="Arial" w:hAnsi="Arial" w:cs="Arial"/>
          <w:i/>
          <w:iCs/>
          <w:color w:val="000000" w:themeColor="text1"/>
          <w:sz w:val="22"/>
          <w:szCs w:val="22"/>
          <w:shd w:val="clear" w:color="auto" w:fill="FFFFFF"/>
        </w:rPr>
        <w:t>The Review of Diabetic Studies</w:t>
      </w:r>
      <w:r w:rsidRPr="00061A5D">
        <w:rPr>
          <w:rFonts w:ascii="Arial" w:hAnsi="Arial" w:cs="Arial"/>
          <w:color w:val="000000" w:themeColor="text1"/>
          <w:sz w:val="22"/>
          <w:szCs w:val="22"/>
          <w:shd w:val="clear" w:color="auto" w:fill="FFFFFF"/>
        </w:rPr>
        <w:t>, pp.386-394.</w:t>
      </w:r>
    </w:p>
    <w:p w14:paraId="7B502E66" w14:textId="77777777" w:rsidR="0064768E" w:rsidRPr="00061A5D" w:rsidRDefault="0064768E" w:rsidP="00ED2176">
      <w:pPr>
        <w:rPr>
          <w:rFonts w:ascii="Arial" w:hAnsi="Arial" w:cs="Arial"/>
          <w:color w:val="000000" w:themeColor="text1"/>
          <w:sz w:val="22"/>
          <w:szCs w:val="22"/>
          <w:shd w:val="clear" w:color="auto" w:fill="FFFFFF"/>
        </w:rPr>
      </w:pPr>
    </w:p>
    <w:p w14:paraId="5FA6809F" w14:textId="7C16D982"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Aoun, S.M., Rosenberg, J., Richmond, R. and Rumbold, B. (2023) ‘The Compassionate Communities Connectors programme: experiences of supported families and referring healthcare providers’, </w:t>
      </w:r>
      <w:r w:rsidRPr="00061A5D">
        <w:rPr>
          <w:rFonts w:ascii="Arial" w:hAnsi="Arial" w:cs="Arial"/>
          <w:i/>
          <w:iCs/>
          <w:color w:val="000000" w:themeColor="text1"/>
          <w:sz w:val="22"/>
          <w:szCs w:val="22"/>
          <w:shd w:val="clear" w:color="auto" w:fill="FFFFFF"/>
        </w:rPr>
        <w:t>Palliative Care and Social Practice</w:t>
      </w:r>
      <w:r w:rsidRPr="00061A5D">
        <w:rPr>
          <w:rFonts w:ascii="Arial" w:hAnsi="Arial" w:cs="Arial"/>
          <w:color w:val="000000" w:themeColor="text1"/>
          <w:sz w:val="22"/>
          <w:szCs w:val="22"/>
          <w:shd w:val="clear" w:color="auto" w:fill="FFFFFF"/>
        </w:rPr>
        <w:t>, 17, p.26323524231173705.</w:t>
      </w:r>
    </w:p>
    <w:p w14:paraId="11A13180" w14:textId="7C3F738F"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rPr>
        <w:br/>
      </w:r>
      <w:r w:rsidRPr="00061A5D">
        <w:rPr>
          <w:rFonts w:ascii="Arial" w:hAnsi="Arial" w:cs="Arial"/>
          <w:color w:val="000000" w:themeColor="text1"/>
          <w:sz w:val="22"/>
          <w:szCs w:val="22"/>
          <w:shd w:val="clear" w:color="auto" w:fill="FFFFFF"/>
        </w:rPr>
        <w:t xml:space="preserve">Byrne, A.L. (2025) ‘Two sides of the same coin: person-centred systems versus person-centred nursing practice. Theory, barriers and opportunities’, </w:t>
      </w:r>
      <w:r w:rsidRPr="00061A5D">
        <w:rPr>
          <w:rFonts w:ascii="Arial" w:hAnsi="Arial" w:cs="Arial"/>
          <w:i/>
          <w:iCs/>
          <w:color w:val="000000" w:themeColor="text1"/>
          <w:sz w:val="22"/>
          <w:szCs w:val="22"/>
          <w:shd w:val="clear" w:color="auto" w:fill="FFFFFF"/>
        </w:rPr>
        <w:t>Journal of Research in Nursing</w:t>
      </w:r>
      <w:r w:rsidRPr="00061A5D">
        <w:rPr>
          <w:rFonts w:ascii="Arial" w:hAnsi="Arial" w:cs="Arial"/>
          <w:color w:val="000000" w:themeColor="text1"/>
          <w:sz w:val="22"/>
          <w:szCs w:val="22"/>
          <w:shd w:val="clear" w:color="auto" w:fill="FFFFFF"/>
        </w:rPr>
        <w:t>, 30(1), pp.6-17.</w:t>
      </w:r>
    </w:p>
    <w:p w14:paraId="79F87CEE" w14:textId="77777777" w:rsidR="0064768E" w:rsidRPr="00061A5D" w:rsidRDefault="0064768E" w:rsidP="00ED2176">
      <w:pPr>
        <w:rPr>
          <w:rFonts w:ascii="Arial" w:hAnsi="Arial" w:cs="Arial"/>
          <w:color w:val="000000" w:themeColor="text1"/>
          <w:sz w:val="22"/>
          <w:szCs w:val="22"/>
          <w:shd w:val="clear" w:color="auto" w:fill="FFFFFF"/>
        </w:rPr>
      </w:pPr>
    </w:p>
    <w:p w14:paraId="6FF4B7E4" w14:textId="4360F054"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Correia, T., Kuhlmann, E., Lotta, G., Beja, A., Morais, R., Zapata, T. and Campbell, J. (2025) ‘Turning the global health and care workforce crisis into action: The pathway to effective evidence</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based policy and implementation’, </w:t>
      </w:r>
      <w:r w:rsidRPr="00061A5D">
        <w:rPr>
          <w:rFonts w:ascii="Arial" w:hAnsi="Arial" w:cs="Arial"/>
          <w:i/>
          <w:iCs/>
          <w:color w:val="000000" w:themeColor="text1"/>
          <w:sz w:val="22"/>
          <w:szCs w:val="22"/>
          <w:shd w:val="clear" w:color="auto" w:fill="FFFFFF"/>
        </w:rPr>
        <w:t>The International journal of health planning and management</w:t>
      </w:r>
      <w:r w:rsidRPr="00061A5D">
        <w:rPr>
          <w:rFonts w:ascii="Arial" w:hAnsi="Arial" w:cs="Arial"/>
          <w:color w:val="000000" w:themeColor="text1"/>
          <w:sz w:val="22"/>
          <w:szCs w:val="22"/>
          <w:shd w:val="clear" w:color="auto" w:fill="FFFFFF"/>
        </w:rPr>
        <w:t>, 40(1), pp.224-233.</w:t>
      </w:r>
    </w:p>
    <w:p w14:paraId="1A3F8F1B" w14:textId="77777777" w:rsidR="0064768E" w:rsidRPr="00061A5D" w:rsidRDefault="0064768E" w:rsidP="00ED2176">
      <w:pPr>
        <w:pStyle w:val="isselectedend"/>
        <w:rPr>
          <w:rFonts w:ascii="Arial" w:hAnsi="Arial" w:cs="Arial"/>
          <w:color w:val="000000" w:themeColor="text1"/>
          <w:sz w:val="22"/>
          <w:szCs w:val="22"/>
        </w:rPr>
      </w:pPr>
      <w:r w:rsidRPr="00061A5D">
        <w:rPr>
          <w:rFonts w:ascii="Arial" w:hAnsi="Arial" w:cs="Arial"/>
          <w:color w:val="000000" w:themeColor="text1"/>
          <w:sz w:val="22"/>
          <w:szCs w:val="22"/>
        </w:rPr>
        <w:t xml:space="preserve">CQC (2025) </w:t>
      </w:r>
      <w:r w:rsidRPr="00061A5D">
        <w:rPr>
          <w:rFonts w:ascii="Arial" w:hAnsi="Arial" w:cs="Arial"/>
          <w:i/>
          <w:iCs/>
          <w:color w:val="000000" w:themeColor="text1"/>
          <w:sz w:val="22"/>
          <w:szCs w:val="22"/>
        </w:rPr>
        <w:t>Regulations for service providers and Managers</w:t>
      </w:r>
      <w:r w:rsidRPr="00061A5D">
        <w:rPr>
          <w:rFonts w:ascii="Arial" w:hAnsi="Arial" w:cs="Arial"/>
          <w:color w:val="000000" w:themeColor="text1"/>
          <w:sz w:val="22"/>
          <w:szCs w:val="22"/>
        </w:rPr>
        <w:t xml:space="preserve">. Available at: </w:t>
      </w:r>
      <w:hyperlink r:id="rId7" w:history="1">
        <w:r w:rsidRPr="00061A5D">
          <w:rPr>
            <w:rStyle w:val="Hyperlink"/>
            <w:rFonts w:ascii="Arial" w:hAnsi="Arial" w:cs="Arial"/>
            <w:color w:val="000000" w:themeColor="text1"/>
            <w:sz w:val="22"/>
            <w:szCs w:val="22"/>
          </w:rPr>
          <w:t>https://www.cqc.org.uk/guidance-regulation/providers/regulations-service-providers-and-managers/health-social-care-act/regulation-9</w:t>
        </w:r>
      </w:hyperlink>
      <w:r w:rsidRPr="00061A5D">
        <w:rPr>
          <w:rFonts w:ascii="Arial" w:hAnsi="Arial" w:cs="Arial"/>
          <w:color w:val="000000" w:themeColor="text1"/>
          <w:sz w:val="22"/>
          <w:szCs w:val="22"/>
        </w:rPr>
        <w:t xml:space="preserve">  (Accessed: 14 July 2026). </w:t>
      </w:r>
    </w:p>
    <w:p w14:paraId="1361BA3B" w14:textId="146C4D7B" w:rsidR="0064768E" w:rsidRPr="00061A5D" w:rsidRDefault="0064768E" w:rsidP="00ED2176">
      <w:pPr>
        <w:pStyle w:val="isselectedend"/>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 xml:space="preserve">Damant, J., </w:t>
      </w:r>
      <w:proofErr w:type="spellStart"/>
      <w:r w:rsidRPr="00061A5D">
        <w:rPr>
          <w:rFonts w:ascii="Arial" w:hAnsi="Arial" w:cs="Arial"/>
          <w:color w:val="000000" w:themeColor="text1"/>
          <w:sz w:val="22"/>
          <w:szCs w:val="22"/>
          <w:shd w:val="clear" w:color="auto" w:fill="FFFFFF"/>
        </w:rPr>
        <w:t>Hamashima</w:t>
      </w:r>
      <w:proofErr w:type="spellEnd"/>
      <w:r w:rsidRPr="00061A5D">
        <w:rPr>
          <w:rFonts w:ascii="Arial" w:hAnsi="Arial" w:cs="Arial"/>
          <w:color w:val="000000" w:themeColor="text1"/>
          <w:sz w:val="22"/>
          <w:szCs w:val="22"/>
          <w:shd w:val="clear" w:color="auto" w:fill="FFFFFF"/>
        </w:rPr>
        <w:t xml:space="preserve">, Y., Toma, M., Smith, N., Taylor, J., Caprioli, T., Jasim, S., Prato, L., </w:t>
      </w:r>
      <w:proofErr w:type="spellStart"/>
      <w:r w:rsidRPr="00061A5D">
        <w:rPr>
          <w:rFonts w:ascii="Arial" w:hAnsi="Arial" w:cs="Arial"/>
          <w:color w:val="000000" w:themeColor="text1"/>
          <w:sz w:val="22"/>
          <w:szCs w:val="22"/>
          <w:shd w:val="clear" w:color="auto" w:fill="FFFFFF"/>
        </w:rPr>
        <w:t>Mcleod</w:t>
      </w:r>
      <w:proofErr w:type="spellEnd"/>
      <w:r w:rsidRPr="00061A5D">
        <w:rPr>
          <w:rFonts w:ascii="Arial" w:hAnsi="Arial" w:cs="Arial"/>
          <w:color w:val="000000" w:themeColor="text1"/>
          <w:sz w:val="22"/>
          <w:szCs w:val="22"/>
          <w:shd w:val="clear" w:color="auto" w:fill="FFFFFF"/>
        </w:rPr>
        <w:t>, H., Giebel, C. and Peters, M. (2026) ‘Investigating Person</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Centred Care Planning in Care Homes Across England: An Exploratory Study of Practices and Contextual Factors’, </w:t>
      </w:r>
      <w:r w:rsidRPr="00061A5D">
        <w:rPr>
          <w:rFonts w:ascii="Arial" w:hAnsi="Arial" w:cs="Arial"/>
          <w:i/>
          <w:iCs/>
          <w:color w:val="000000" w:themeColor="text1"/>
          <w:sz w:val="22"/>
          <w:szCs w:val="22"/>
          <w:shd w:val="clear" w:color="auto" w:fill="FFFFFF"/>
        </w:rPr>
        <w:t>Journal of Advanced Nursing</w:t>
      </w:r>
      <w:r w:rsidRPr="00061A5D">
        <w:rPr>
          <w:rFonts w:ascii="Arial" w:hAnsi="Arial" w:cs="Arial"/>
          <w:color w:val="000000" w:themeColor="text1"/>
          <w:sz w:val="22"/>
          <w:szCs w:val="22"/>
          <w:shd w:val="clear" w:color="auto" w:fill="FFFFFF"/>
        </w:rPr>
        <w:t>, 82(1), pp.617-631.</w:t>
      </w:r>
    </w:p>
    <w:p w14:paraId="27321E7C" w14:textId="533FE582" w:rsidR="0064768E" w:rsidRPr="00061A5D" w:rsidRDefault="0064768E" w:rsidP="00ED2176">
      <w:pPr>
        <w:pStyle w:val="isselectedend"/>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Ekman, I. (2022) ‘Practising the ethics of person</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centred care balancing ethical conviction and moral obligations’, </w:t>
      </w:r>
      <w:r w:rsidRPr="00061A5D">
        <w:rPr>
          <w:rFonts w:ascii="Arial" w:hAnsi="Arial" w:cs="Arial"/>
          <w:i/>
          <w:iCs/>
          <w:color w:val="000000" w:themeColor="text1"/>
          <w:sz w:val="22"/>
          <w:szCs w:val="22"/>
          <w:shd w:val="clear" w:color="auto" w:fill="FFFFFF"/>
        </w:rPr>
        <w:t>Nursing philosophy</w:t>
      </w:r>
      <w:r w:rsidRPr="00061A5D">
        <w:rPr>
          <w:rFonts w:ascii="Arial" w:hAnsi="Arial" w:cs="Arial"/>
          <w:color w:val="000000" w:themeColor="text1"/>
          <w:sz w:val="22"/>
          <w:szCs w:val="22"/>
          <w:shd w:val="clear" w:color="auto" w:fill="FFFFFF"/>
        </w:rPr>
        <w:t>, 23(3), p.e12382.</w:t>
      </w:r>
    </w:p>
    <w:p w14:paraId="48C8459A" w14:textId="2FDA932E"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Fredman, S. (2024) ‘Care as a constitutional value’, </w:t>
      </w:r>
      <w:r w:rsidRPr="00061A5D">
        <w:rPr>
          <w:rFonts w:ascii="Arial" w:hAnsi="Arial" w:cs="Arial"/>
          <w:i/>
          <w:iCs/>
          <w:color w:val="000000" w:themeColor="text1"/>
          <w:sz w:val="22"/>
          <w:szCs w:val="22"/>
          <w:shd w:val="clear" w:color="auto" w:fill="FFFFFF"/>
        </w:rPr>
        <w:t>International Journal of Constitutional Law</w:t>
      </w:r>
      <w:r w:rsidRPr="00061A5D">
        <w:rPr>
          <w:rFonts w:ascii="Arial" w:hAnsi="Arial" w:cs="Arial"/>
          <w:color w:val="000000" w:themeColor="text1"/>
          <w:sz w:val="22"/>
          <w:szCs w:val="22"/>
          <w:shd w:val="clear" w:color="auto" w:fill="FFFFFF"/>
        </w:rPr>
        <w:t>, 22(3), pp.741-771.</w:t>
      </w:r>
    </w:p>
    <w:p w14:paraId="72982A27" w14:textId="77777777" w:rsidR="0064768E" w:rsidRPr="00061A5D" w:rsidRDefault="0064768E" w:rsidP="00ED2176">
      <w:pPr>
        <w:rPr>
          <w:rFonts w:ascii="Arial" w:hAnsi="Arial" w:cs="Arial"/>
          <w:color w:val="C00000"/>
          <w:sz w:val="22"/>
          <w:szCs w:val="22"/>
        </w:rPr>
      </w:pPr>
    </w:p>
    <w:p w14:paraId="460B6869" w14:textId="338ED366"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Idrees, S., Young, G., Dunne, B., Antony, D., Meredith, L. and Mathews, M. (2024) ‘The implementation of person-centred plans in the community-care sector: a qualitative study of organizations in Ontario, Canada’, </w:t>
      </w:r>
      <w:r w:rsidRPr="00061A5D">
        <w:rPr>
          <w:rFonts w:ascii="Arial" w:hAnsi="Arial" w:cs="Arial"/>
          <w:i/>
          <w:iCs/>
          <w:color w:val="000000" w:themeColor="text1"/>
          <w:sz w:val="22"/>
          <w:szCs w:val="22"/>
          <w:shd w:val="clear" w:color="auto" w:fill="FFFFFF"/>
        </w:rPr>
        <w:t>BMC health services research</w:t>
      </w:r>
      <w:r w:rsidRPr="00061A5D">
        <w:rPr>
          <w:rFonts w:ascii="Arial" w:hAnsi="Arial" w:cs="Arial"/>
          <w:color w:val="000000" w:themeColor="text1"/>
          <w:sz w:val="22"/>
          <w:szCs w:val="22"/>
          <w:shd w:val="clear" w:color="auto" w:fill="FFFFFF"/>
        </w:rPr>
        <w:t>, 24(1), p.680.</w:t>
      </w:r>
    </w:p>
    <w:p w14:paraId="638CDF89" w14:textId="77777777" w:rsidR="0064768E" w:rsidRPr="00061A5D" w:rsidRDefault="0064768E" w:rsidP="00ED2176">
      <w:pPr>
        <w:rPr>
          <w:rFonts w:ascii="Arial" w:hAnsi="Arial" w:cs="Arial"/>
          <w:color w:val="000000" w:themeColor="text1"/>
          <w:sz w:val="22"/>
          <w:szCs w:val="22"/>
        </w:rPr>
      </w:pPr>
    </w:p>
    <w:p w14:paraId="3EB152AB" w14:textId="09EB4FBA"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 xml:space="preserve">Johnson, L., Kirk, H., Clark, B., Heath, S., Royse, C., Adams, C. and Portillo, M.C. (2023) ‘Improving personalised care, through the development of a service evaluation tool to assess, understand and monitor delivery’, </w:t>
      </w:r>
      <w:r w:rsidRPr="00061A5D">
        <w:rPr>
          <w:rFonts w:ascii="Arial" w:hAnsi="Arial" w:cs="Arial"/>
          <w:i/>
          <w:iCs/>
          <w:color w:val="000000" w:themeColor="text1"/>
          <w:sz w:val="22"/>
          <w:szCs w:val="22"/>
          <w:shd w:val="clear" w:color="auto" w:fill="FFFFFF"/>
        </w:rPr>
        <w:t>BMJ Open Quality</w:t>
      </w:r>
      <w:r w:rsidRPr="00061A5D">
        <w:rPr>
          <w:rFonts w:ascii="Arial" w:hAnsi="Arial" w:cs="Arial"/>
          <w:color w:val="000000" w:themeColor="text1"/>
          <w:sz w:val="22"/>
          <w:szCs w:val="22"/>
          <w:shd w:val="clear" w:color="auto" w:fill="FFFFFF"/>
        </w:rPr>
        <w:t>, 12(3).</w:t>
      </w:r>
    </w:p>
    <w:p w14:paraId="33BD51BF" w14:textId="2FCCDACC"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Kling, S. (2025) ‘Beneficence: our guiding principle?’, </w:t>
      </w:r>
      <w:r w:rsidRPr="00061A5D">
        <w:rPr>
          <w:rFonts w:ascii="Arial" w:hAnsi="Arial" w:cs="Arial"/>
          <w:i/>
          <w:iCs/>
          <w:color w:val="000000" w:themeColor="text1"/>
          <w:sz w:val="22"/>
          <w:szCs w:val="22"/>
          <w:shd w:val="clear" w:color="auto" w:fill="FFFFFF"/>
        </w:rPr>
        <w:t>Current Allergy &amp; Clinical Immunology</w:t>
      </w:r>
      <w:r w:rsidRPr="00061A5D">
        <w:rPr>
          <w:rFonts w:ascii="Arial" w:hAnsi="Arial" w:cs="Arial"/>
          <w:color w:val="000000" w:themeColor="text1"/>
          <w:sz w:val="22"/>
          <w:szCs w:val="22"/>
          <w:shd w:val="clear" w:color="auto" w:fill="FFFFFF"/>
        </w:rPr>
        <w:t>, 38(2), pp.110-112.</w:t>
      </w:r>
    </w:p>
    <w:p w14:paraId="53C2660E" w14:textId="77777777" w:rsidR="0064768E" w:rsidRPr="00061A5D" w:rsidRDefault="0064768E" w:rsidP="00ED2176">
      <w:pPr>
        <w:rPr>
          <w:rFonts w:ascii="Arial" w:hAnsi="Arial" w:cs="Arial"/>
          <w:color w:val="000000" w:themeColor="text1"/>
          <w:sz w:val="22"/>
          <w:szCs w:val="22"/>
        </w:rPr>
      </w:pPr>
    </w:p>
    <w:p w14:paraId="00F5EE3F" w14:textId="1D760E3B" w:rsidR="0064768E" w:rsidRPr="00061A5D" w:rsidRDefault="0064768E" w:rsidP="00ED2176">
      <w:pPr>
        <w:rPr>
          <w:rFonts w:ascii="Arial" w:hAnsi="Arial" w:cs="Arial"/>
          <w:color w:val="000000" w:themeColor="text1"/>
          <w:sz w:val="22"/>
          <w:szCs w:val="22"/>
          <w:shd w:val="clear" w:color="auto" w:fill="FFFFFF"/>
        </w:rPr>
      </w:pPr>
      <w:proofErr w:type="spellStart"/>
      <w:r w:rsidRPr="00061A5D">
        <w:rPr>
          <w:rFonts w:ascii="Arial" w:hAnsi="Arial" w:cs="Arial"/>
          <w:color w:val="000000" w:themeColor="text1"/>
          <w:sz w:val="22"/>
          <w:szCs w:val="22"/>
          <w:shd w:val="clear" w:color="auto" w:fill="FFFFFF"/>
        </w:rPr>
        <w:lastRenderedPageBreak/>
        <w:t>Lakioti</w:t>
      </w:r>
      <w:proofErr w:type="spellEnd"/>
      <w:r w:rsidRPr="00061A5D">
        <w:rPr>
          <w:rFonts w:ascii="Arial" w:hAnsi="Arial" w:cs="Arial"/>
          <w:color w:val="000000" w:themeColor="text1"/>
          <w:sz w:val="22"/>
          <w:szCs w:val="22"/>
          <w:shd w:val="clear" w:color="auto" w:fill="FFFFFF"/>
        </w:rPr>
        <w:t xml:space="preserve">, E., Pagonis, N., </w:t>
      </w:r>
      <w:proofErr w:type="spellStart"/>
      <w:r w:rsidRPr="00061A5D">
        <w:rPr>
          <w:rFonts w:ascii="Arial" w:hAnsi="Arial" w:cs="Arial"/>
          <w:color w:val="000000" w:themeColor="text1"/>
          <w:sz w:val="22"/>
          <w:szCs w:val="22"/>
          <w:shd w:val="clear" w:color="auto" w:fill="FFFFFF"/>
        </w:rPr>
        <w:t>Flegkas</w:t>
      </w:r>
      <w:proofErr w:type="spellEnd"/>
      <w:r w:rsidRPr="00061A5D">
        <w:rPr>
          <w:rFonts w:ascii="Arial" w:hAnsi="Arial" w:cs="Arial"/>
          <w:color w:val="000000" w:themeColor="text1"/>
          <w:sz w:val="22"/>
          <w:szCs w:val="22"/>
          <w:shd w:val="clear" w:color="auto" w:fill="FFFFFF"/>
        </w:rPr>
        <w:t xml:space="preserve">, D., </w:t>
      </w:r>
      <w:proofErr w:type="spellStart"/>
      <w:r w:rsidRPr="00061A5D">
        <w:rPr>
          <w:rFonts w:ascii="Arial" w:hAnsi="Arial" w:cs="Arial"/>
          <w:color w:val="000000" w:themeColor="text1"/>
          <w:sz w:val="22"/>
          <w:szCs w:val="22"/>
          <w:shd w:val="clear" w:color="auto" w:fill="FFFFFF"/>
        </w:rPr>
        <w:t>Itziou</w:t>
      </w:r>
      <w:proofErr w:type="spellEnd"/>
      <w:r w:rsidRPr="00061A5D">
        <w:rPr>
          <w:rFonts w:ascii="Arial" w:hAnsi="Arial" w:cs="Arial"/>
          <w:color w:val="000000" w:themeColor="text1"/>
          <w:sz w:val="22"/>
          <w:szCs w:val="22"/>
          <w:shd w:val="clear" w:color="auto" w:fill="FFFFFF"/>
        </w:rPr>
        <w:t xml:space="preserve">, A., Moustakas, K. and </w:t>
      </w:r>
      <w:proofErr w:type="spellStart"/>
      <w:r w:rsidRPr="00061A5D">
        <w:rPr>
          <w:rFonts w:ascii="Arial" w:hAnsi="Arial" w:cs="Arial"/>
          <w:color w:val="000000" w:themeColor="text1"/>
          <w:sz w:val="22"/>
          <w:szCs w:val="22"/>
          <w:shd w:val="clear" w:color="auto" w:fill="FFFFFF"/>
        </w:rPr>
        <w:t>Karayannis</w:t>
      </w:r>
      <w:proofErr w:type="spellEnd"/>
      <w:r w:rsidRPr="00061A5D">
        <w:rPr>
          <w:rFonts w:ascii="Arial" w:hAnsi="Arial" w:cs="Arial"/>
          <w:color w:val="000000" w:themeColor="text1"/>
          <w:sz w:val="22"/>
          <w:szCs w:val="22"/>
          <w:shd w:val="clear" w:color="auto" w:fill="FFFFFF"/>
        </w:rPr>
        <w:t>, V. (2025) ‘Social factors and policies promoting good health and well-being as a sustainable development goal: current achievements and future pathways’, </w:t>
      </w:r>
      <w:r w:rsidRPr="00061A5D">
        <w:rPr>
          <w:rFonts w:ascii="Arial" w:hAnsi="Arial" w:cs="Arial"/>
          <w:i/>
          <w:iCs/>
          <w:color w:val="000000" w:themeColor="text1"/>
          <w:sz w:val="22"/>
          <w:szCs w:val="22"/>
          <w:shd w:val="clear" w:color="auto" w:fill="FFFFFF"/>
        </w:rPr>
        <w:t>Sustainability</w:t>
      </w:r>
      <w:r w:rsidRPr="00061A5D">
        <w:rPr>
          <w:rFonts w:ascii="Arial" w:hAnsi="Arial" w:cs="Arial"/>
          <w:color w:val="000000" w:themeColor="text1"/>
          <w:sz w:val="22"/>
          <w:szCs w:val="22"/>
          <w:shd w:val="clear" w:color="auto" w:fill="FFFFFF"/>
        </w:rPr>
        <w:t>, 17(11), p.5063.</w:t>
      </w:r>
    </w:p>
    <w:p w14:paraId="0D48F571" w14:textId="77777777" w:rsidR="0064768E" w:rsidRPr="00061A5D" w:rsidRDefault="0064768E" w:rsidP="00ED2176">
      <w:pPr>
        <w:rPr>
          <w:rFonts w:ascii="Arial" w:hAnsi="Arial" w:cs="Arial"/>
          <w:color w:val="000000" w:themeColor="text1"/>
          <w:sz w:val="22"/>
          <w:szCs w:val="22"/>
        </w:rPr>
      </w:pPr>
    </w:p>
    <w:p w14:paraId="75C1A2E7" w14:textId="49911CF9" w:rsidR="0064768E" w:rsidRPr="00061A5D" w:rsidRDefault="0064768E" w:rsidP="00ED2176">
      <w:pPr>
        <w:rPr>
          <w:rFonts w:ascii="Arial" w:hAnsi="Arial" w:cs="Arial"/>
          <w:color w:val="000000" w:themeColor="text1"/>
          <w:sz w:val="22"/>
          <w:szCs w:val="22"/>
          <w:shd w:val="clear" w:color="auto" w:fill="FFFFFF"/>
        </w:rPr>
      </w:pPr>
      <w:proofErr w:type="spellStart"/>
      <w:r w:rsidRPr="00061A5D">
        <w:rPr>
          <w:rFonts w:ascii="Arial" w:hAnsi="Arial" w:cs="Arial"/>
          <w:color w:val="000000" w:themeColor="text1"/>
          <w:sz w:val="22"/>
          <w:szCs w:val="22"/>
          <w:shd w:val="clear" w:color="auto" w:fill="FFFFFF"/>
        </w:rPr>
        <w:t>Linceviciute</w:t>
      </w:r>
      <w:proofErr w:type="spellEnd"/>
      <w:r w:rsidRPr="00061A5D">
        <w:rPr>
          <w:rFonts w:ascii="Arial" w:hAnsi="Arial" w:cs="Arial"/>
          <w:color w:val="000000" w:themeColor="text1"/>
          <w:sz w:val="22"/>
          <w:szCs w:val="22"/>
          <w:shd w:val="clear" w:color="auto" w:fill="FFFFFF"/>
        </w:rPr>
        <w:t>, S., Ambrosio, L., Baldwin, D.S. and Portillo, M.C. (2023) ‘Role of Social Prescribing Link Workers in Supporting Adults with Physical and Mental Health Long</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Term Conditions: Integrative Review’, </w:t>
      </w:r>
      <w:r w:rsidRPr="00061A5D">
        <w:rPr>
          <w:rFonts w:ascii="Arial" w:hAnsi="Arial" w:cs="Arial"/>
          <w:i/>
          <w:iCs/>
          <w:color w:val="000000" w:themeColor="text1"/>
          <w:sz w:val="22"/>
          <w:szCs w:val="22"/>
          <w:shd w:val="clear" w:color="auto" w:fill="FFFFFF"/>
        </w:rPr>
        <w:t>Health &amp; Social Care in the Community</w:t>
      </w:r>
      <w:r w:rsidRPr="00061A5D">
        <w:rPr>
          <w:rFonts w:ascii="Arial" w:hAnsi="Arial" w:cs="Arial"/>
          <w:color w:val="000000" w:themeColor="text1"/>
          <w:sz w:val="22"/>
          <w:szCs w:val="22"/>
          <w:shd w:val="clear" w:color="auto" w:fill="FFFFFF"/>
        </w:rPr>
        <w:t>, 2023(1), p.7191247.</w:t>
      </w:r>
    </w:p>
    <w:p w14:paraId="71DDBAEB" w14:textId="77777777" w:rsidR="0064768E" w:rsidRPr="00061A5D" w:rsidRDefault="0064768E" w:rsidP="00ED2176">
      <w:pPr>
        <w:rPr>
          <w:rFonts w:ascii="Arial" w:hAnsi="Arial" w:cs="Arial"/>
          <w:color w:val="000000" w:themeColor="text1"/>
          <w:sz w:val="22"/>
          <w:szCs w:val="22"/>
        </w:rPr>
      </w:pPr>
    </w:p>
    <w:p w14:paraId="209364B8" w14:textId="285F44A9"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 xml:space="preserve">Mahon, D. (2023) ‘Evidence based relationships 4: Empathy, congruence, unconditional positive regard, and real relationship’, </w:t>
      </w:r>
      <w:r w:rsidRPr="00061A5D">
        <w:rPr>
          <w:rFonts w:ascii="Arial" w:hAnsi="Arial" w:cs="Arial"/>
          <w:i/>
          <w:iCs/>
          <w:color w:val="000000" w:themeColor="text1"/>
          <w:sz w:val="22"/>
          <w:szCs w:val="22"/>
          <w:shd w:val="clear" w:color="auto" w:fill="FFFFFF"/>
        </w:rPr>
        <w:t xml:space="preserve">In Evidence based counselling &amp; psychotherapy for the 21st century practitioner. </w:t>
      </w:r>
      <w:r w:rsidRPr="00061A5D">
        <w:rPr>
          <w:rFonts w:ascii="Arial" w:hAnsi="Arial" w:cs="Arial"/>
          <w:color w:val="000000" w:themeColor="text1"/>
          <w:sz w:val="22"/>
          <w:szCs w:val="22"/>
          <w:shd w:val="clear" w:color="auto" w:fill="FFFFFF"/>
        </w:rPr>
        <w:t>Emerald Publishing Limited.</w:t>
      </w:r>
    </w:p>
    <w:p w14:paraId="0168331B" w14:textId="77777777" w:rsidR="0064768E" w:rsidRPr="00061A5D" w:rsidRDefault="0064768E" w:rsidP="00ED2176">
      <w:pPr>
        <w:rPr>
          <w:rFonts w:ascii="Arial" w:hAnsi="Arial" w:cs="Arial"/>
          <w:color w:val="000000" w:themeColor="text1"/>
          <w:sz w:val="22"/>
          <w:szCs w:val="22"/>
        </w:rPr>
      </w:pPr>
    </w:p>
    <w:p w14:paraId="518B9BF8" w14:textId="1FDB4D58"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McCance, T. and McCormack, B. (2025) ‘The Person-centred Nursing Framework: a mid-range theory for nursing practice’, </w:t>
      </w:r>
      <w:r w:rsidRPr="00061A5D">
        <w:rPr>
          <w:rFonts w:ascii="Arial" w:hAnsi="Arial" w:cs="Arial"/>
          <w:i/>
          <w:iCs/>
          <w:color w:val="000000" w:themeColor="text1"/>
          <w:sz w:val="22"/>
          <w:szCs w:val="22"/>
          <w:shd w:val="clear" w:color="auto" w:fill="FFFFFF"/>
        </w:rPr>
        <w:t>Journal of Research in Nursing</w:t>
      </w:r>
      <w:r w:rsidRPr="00061A5D">
        <w:rPr>
          <w:rFonts w:ascii="Arial" w:hAnsi="Arial" w:cs="Arial"/>
          <w:color w:val="000000" w:themeColor="text1"/>
          <w:sz w:val="22"/>
          <w:szCs w:val="22"/>
          <w:shd w:val="clear" w:color="auto" w:fill="FFFFFF"/>
        </w:rPr>
        <w:t>, 30(1), pp.47-60.</w:t>
      </w:r>
    </w:p>
    <w:p w14:paraId="7F88AC83" w14:textId="77777777" w:rsidR="0064768E" w:rsidRPr="00061A5D" w:rsidRDefault="0064768E" w:rsidP="00ED2176">
      <w:pPr>
        <w:rPr>
          <w:rFonts w:ascii="Arial" w:hAnsi="Arial" w:cs="Arial"/>
          <w:color w:val="000000" w:themeColor="text1"/>
          <w:sz w:val="22"/>
          <w:szCs w:val="22"/>
        </w:rPr>
      </w:pPr>
    </w:p>
    <w:p w14:paraId="73EB4A9D" w14:textId="3719F250"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 xml:space="preserve">Mousazadeh, N., </w:t>
      </w:r>
      <w:proofErr w:type="spellStart"/>
      <w:r w:rsidRPr="00061A5D">
        <w:rPr>
          <w:rFonts w:ascii="Arial" w:hAnsi="Arial" w:cs="Arial"/>
          <w:color w:val="000000" w:themeColor="text1"/>
          <w:sz w:val="22"/>
          <w:szCs w:val="22"/>
          <w:shd w:val="clear" w:color="auto" w:fill="FFFFFF"/>
        </w:rPr>
        <w:t>Babaieasl</w:t>
      </w:r>
      <w:proofErr w:type="spellEnd"/>
      <w:r w:rsidRPr="00061A5D">
        <w:rPr>
          <w:rFonts w:ascii="Arial" w:hAnsi="Arial" w:cs="Arial"/>
          <w:color w:val="000000" w:themeColor="text1"/>
          <w:sz w:val="22"/>
          <w:szCs w:val="22"/>
          <w:shd w:val="clear" w:color="auto" w:fill="FFFFFF"/>
        </w:rPr>
        <w:t xml:space="preserve">, F., Bagherian, S. and </w:t>
      </w:r>
      <w:proofErr w:type="spellStart"/>
      <w:r w:rsidRPr="00061A5D">
        <w:rPr>
          <w:rFonts w:ascii="Arial" w:hAnsi="Arial" w:cs="Arial"/>
          <w:color w:val="000000" w:themeColor="text1"/>
          <w:sz w:val="22"/>
          <w:szCs w:val="22"/>
          <w:shd w:val="clear" w:color="auto" w:fill="FFFFFF"/>
        </w:rPr>
        <w:t>Mivehchi</w:t>
      </w:r>
      <w:proofErr w:type="spellEnd"/>
      <w:r w:rsidRPr="00061A5D">
        <w:rPr>
          <w:rFonts w:ascii="Arial" w:hAnsi="Arial" w:cs="Arial"/>
          <w:color w:val="000000" w:themeColor="text1"/>
          <w:sz w:val="22"/>
          <w:szCs w:val="22"/>
          <w:shd w:val="clear" w:color="auto" w:fill="FFFFFF"/>
        </w:rPr>
        <w:t>, S. (2025) ‘The spectrum of person-</w:t>
      </w:r>
      <w:proofErr w:type="spellStart"/>
      <w:r w:rsidRPr="00061A5D">
        <w:rPr>
          <w:rFonts w:ascii="Arial" w:hAnsi="Arial" w:cs="Arial"/>
          <w:color w:val="000000" w:themeColor="text1"/>
          <w:sz w:val="22"/>
          <w:szCs w:val="22"/>
          <w:shd w:val="clear" w:color="auto" w:fill="FFFFFF"/>
        </w:rPr>
        <w:t>centered</w:t>
      </w:r>
      <w:proofErr w:type="spellEnd"/>
      <w:r w:rsidRPr="00061A5D">
        <w:rPr>
          <w:rFonts w:ascii="Arial" w:hAnsi="Arial" w:cs="Arial"/>
          <w:color w:val="000000" w:themeColor="text1"/>
          <w:sz w:val="22"/>
          <w:szCs w:val="22"/>
          <w:shd w:val="clear" w:color="auto" w:fill="FFFFFF"/>
        </w:rPr>
        <w:t xml:space="preserve"> care: from luxury to necessity: a descriptive qualitative study’, </w:t>
      </w:r>
      <w:r w:rsidRPr="00061A5D">
        <w:rPr>
          <w:rFonts w:ascii="Arial" w:hAnsi="Arial" w:cs="Arial"/>
          <w:i/>
          <w:iCs/>
          <w:color w:val="000000" w:themeColor="text1"/>
          <w:sz w:val="22"/>
          <w:szCs w:val="22"/>
          <w:shd w:val="clear" w:color="auto" w:fill="FFFFFF"/>
        </w:rPr>
        <w:t>BMC nursing</w:t>
      </w:r>
      <w:r w:rsidRPr="00061A5D">
        <w:rPr>
          <w:rFonts w:ascii="Arial" w:hAnsi="Arial" w:cs="Arial"/>
          <w:color w:val="000000" w:themeColor="text1"/>
          <w:sz w:val="22"/>
          <w:szCs w:val="22"/>
          <w:shd w:val="clear" w:color="auto" w:fill="FFFFFF"/>
        </w:rPr>
        <w:t>, 24(1), p.1078.</w:t>
      </w:r>
    </w:p>
    <w:p w14:paraId="2A2442CF" w14:textId="77777777" w:rsidR="0064768E" w:rsidRPr="00061A5D" w:rsidRDefault="0064768E" w:rsidP="00ED2176">
      <w:pPr>
        <w:rPr>
          <w:rFonts w:ascii="Arial" w:hAnsi="Arial" w:cs="Arial"/>
          <w:color w:val="000000" w:themeColor="text1"/>
          <w:sz w:val="22"/>
          <w:szCs w:val="22"/>
          <w:shd w:val="clear" w:color="auto" w:fill="FFFFFF"/>
        </w:rPr>
      </w:pPr>
    </w:p>
    <w:p w14:paraId="127BB226" w14:textId="0CFCBF57"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rPr>
        <w:t xml:space="preserve">National Institute for Health and Care Excellence (NICE) (2021) </w:t>
      </w:r>
      <w:r w:rsidRPr="00061A5D">
        <w:rPr>
          <w:rStyle w:val="Emphasis"/>
          <w:rFonts w:ascii="Arial" w:eastAsiaTheme="majorEastAsia" w:hAnsi="Arial" w:cs="Arial"/>
          <w:color w:val="000000" w:themeColor="text1"/>
          <w:sz w:val="22"/>
          <w:szCs w:val="22"/>
        </w:rPr>
        <w:t>Shared decision making</w:t>
      </w:r>
      <w:r w:rsidRPr="00061A5D">
        <w:rPr>
          <w:rFonts w:ascii="Arial" w:hAnsi="Arial" w:cs="Arial"/>
          <w:color w:val="000000" w:themeColor="text1"/>
          <w:sz w:val="22"/>
          <w:szCs w:val="22"/>
        </w:rPr>
        <w:t xml:space="preserve"> Available at: </w:t>
      </w:r>
      <w:hyperlink r:id="rId8" w:history="1">
        <w:r w:rsidRPr="00061A5D">
          <w:rPr>
            <w:rStyle w:val="Hyperlink"/>
            <w:rFonts w:ascii="Arial" w:hAnsi="Arial" w:cs="Arial"/>
            <w:color w:val="000000" w:themeColor="text1"/>
            <w:sz w:val="22"/>
            <w:szCs w:val="22"/>
          </w:rPr>
          <w:t>https://www.nice.org.uk/guidance/ng197</w:t>
        </w:r>
      </w:hyperlink>
      <w:r w:rsidRPr="00061A5D">
        <w:rPr>
          <w:rFonts w:ascii="Arial" w:hAnsi="Arial" w:cs="Arial"/>
          <w:color w:val="000000" w:themeColor="text1"/>
          <w:sz w:val="22"/>
          <w:szCs w:val="22"/>
        </w:rPr>
        <w:t xml:space="preserve">  (Accessed: 10 July 2026).</w:t>
      </w:r>
    </w:p>
    <w:p w14:paraId="249A5ADA" w14:textId="3D78AD1E"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rPr>
        <w:br/>
        <w:t xml:space="preserve">NHS England (2024) </w:t>
      </w:r>
      <w:r w:rsidRPr="00061A5D">
        <w:rPr>
          <w:rStyle w:val="Emphasis"/>
          <w:rFonts w:ascii="Arial" w:eastAsiaTheme="majorEastAsia" w:hAnsi="Arial" w:cs="Arial"/>
          <w:color w:val="000000" w:themeColor="text1"/>
          <w:sz w:val="22"/>
          <w:szCs w:val="22"/>
        </w:rPr>
        <w:t>Comprehensive model of personalised care</w:t>
      </w:r>
      <w:r w:rsidRPr="00061A5D">
        <w:rPr>
          <w:rFonts w:ascii="Arial" w:hAnsi="Arial" w:cs="Arial"/>
          <w:color w:val="000000" w:themeColor="text1"/>
          <w:sz w:val="22"/>
          <w:szCs w:val="22"/>
        </w:rPr>
        <w:t xml:space="preserve">. Available at: </w:t>
      </w:r>
      <w:hyperlink r:id="rId9" w:tgtFrame="_blank" w:history="1">
        <w:r w:rsidRPr="00061A5D">
          <w:rPr>
            <w:rStyle w:val="Hyperlink"/>
            <w:rFonts w:ascii="Arial" w:eastAsiaTheme="majorEastAsia" w:hAnsi="Arial" w:cs="Arial"/>
            <w:color w:val="000000" w:themeColor="text1"/>
            <w:sz w:val="22"/>
            <w:szCs w:val="22"/>
          </w:rPr>
          <w:t>https://www.england.nhs.uk/personalisedcare/comprehensive-model-of-personalised-care/</w:t>
        </w:r>
      </w:hyperlink>
      <w:r w:rsidRPr="00061A5D">
        <w:rPr>
          <w:rFonts w:ascii="Arial" w:hAnsi="Arial" w:cs="Arial"/>
          <w:color w:val="000000" w:themeColor="text1"/>
          <w:sz w:val="22"/>
          <w:szCs w:val="22"/>
        </w:rPr>
        <w:t xml:space="preserve"> (Accessed: 10 July 2026).</w:t>
      </w:r>
      <w:r w:rsidRPr="00061A5D">
        <w:rPr>
          <w:rFonts w:ascii="Arial" w:hAnsi="Arial" w:cs="Arial"/>
          <w:color w:val="000000" w:themeColor="text1"/>
          <w:sz w:val="22"/>
          <w:szCs w:val="22"/>
        </w:rPr>
        <w:br/>
      </w:r>
      <w:r w:rsidRPr="00061A5D">
        <w:rPr>
          <w:rFonts w:ascii="Arial" w:hAnsi="Arial" w:cs="Arial"/>
          <w:color w:val="000000" w:themeColor="text1"/>
          <w:sz w:val="22"/>
          <w:szCs w:val="22"/>
        </w:rPr>
        <w:br/>
      </w:r>
      <w:r w:rsidRPr="00061A5D">
        <w:rPr>
          <w:rFonts w:ascii="Arial" w:hAnsi="Arial" w:cs="Arial"/>
          <w:color w:val="000000" w:themeColor="text1"/>
          <w:sz w:val="22"/>
          <w:szCs w:val="22"/>
          <w:shd w:val="clear" w:color="auto" w:fill="FFFFFF"/>
        </w:rPr>
        <w:t xml:space="preserve">Kallis, G., Hodge, G., Wheat, H., Oh, T.M. and Pearce, S. (2025) ‘Exploring the challenges experienced by patients and families using palliative and end-of-life care services: A qualitative focus group study’, </w:t>
      </w:r>
      <w:r w:rsidRPr="00061A5D">
        <w:rPr>
          <w:rFonts w:ascii="Arial" w:hAnsi="Arial" w:cs="Arial"/>
          <w:i/>
          <w:iCs/>
          <w:color w:val="000000" w:themeColor="text1"/>
          <w:sz w:val="22"/>
          <w:szCs w:val="22"/>
          <w:shd w:val="clear" w:color="auto" w:fill="FFFFFF"/>
        </w:rPr>
        <w:t>Palliative &amp; Supportive Care</w:t>
      </w:r>
      <w:r w:rsidRPr="00061A5D">
        <w:rPr>
          <w:rFonts w:ascii="Arial" w:hAnsi="Arial" w:cs="Arial"/>
          <w:color w:val="000000" w:themeColor="text1"/>
          <w:sz w:val="22"/>
          <w:szCs w:val="22"/>
          <w:shd w:val="clear" w:color="auto" w:fill="FFFFFF"/>
        </w:rPr>
        <w:t>, 23, p.e70.</w:t>
      </w:r>
      <w:r w:rsidRPr="00061A5D">
        <w:rPr>
          <w:rFonts w:ascii="Arial" w:hAnsi="Arial" w:cs="Arial"/>
          <w:color w:val="000000" w:themeColor="text1"/>
          <w:sz w:val="22"/>
          <w:szCs w:val="22"/>
          <w:shd w:val="clear" w:color="auto" w:fill="FFFFFF"/>
        </w:rPr>
        <w:br/>
      </w:r>
      <w:r w:rsidRPr="00061A5D">
        <w:rPr>
          <w:rFonts w:ascii="Arial" w:hAnsi="Arial" w:cs="Arial"/>
          <w:color w:val="000000" w:themeColor="text1"/>
          <w:sz w:val="22"/>
          <w:szCs w:val="22"/>
          <w:shd w:val="clear" w:color="auto" w:fill="FFFFFF"/>
        </w:rPr>
        <w:br/>
      </w:r>
      <w:proofErr w:type="spellStart"/>
      <w:r w:rsidRPr="00061A5D">
        <w:rPr>
          <w:rFonts w:ascii="Arial" w:hAnsi="Arial" w:cs="Arial"/>
          <w:color w:val="000000" w:themeColor="text1"/>
          <w:sz w:val="22"/>
          <w:szCs w:val="22"/>
          <w:shd w:val="clear" w:color="auto" w:fill="FFFFFF"/>
        </w:rPr>
        <w:t>Kanagasingam</w:t>
      </w:r>
      <w:proofErr w:type="spellEnd"/>
      <w:r w:rsidRPr="00061A5D">
        <w:rPr>
          <w:rFonts w:ascii="Arial" w:hAnsi="Arial" w:cs="Arial"/>
          <w:color w:val="000000" w:themeColor="text1"/>
          <w:sz w:val="22"/>
          <w:szCs w:val="22"/>
          <w:shd w:val="clear" w:color="auto" w:fill="FFFFFF"/>
        </w:rPr>
        <w:t>, D., Hurd, L. and Norman, M. (2023) ‘Integrating person-centred care and social justice: a model for practice with larger-bodied patients’, </w:t>
      </w:r>
      <w:r w:rsidRPr="00061A5D">
        <w:rPr>
          <w:rFonts w:ascii="Arial" w:hAnsi="Arial" w:cs="Arial"/>
          <w:i/>
          <w:iCs/>
          <w:color w:val="000000" w:themeColor="text1"/>
          <w:sz w:val="22"/>
          <w:szCs w:val="22"/>
          <w:shd w:val="clear" w:color="auto" w:fill="FFFFFF"/>
        </w:rPr>
        <w:t>Medical Humanities</w:t>
      </w:r>
      <w:r w:rsidRPr="00061A5D">
        <w:rPr>
          <w:rFonts w:ascii="Arial" w:hAnsi="Arial" w:cs="Arial"/>
          <w:color w:val="000000" w:themeColor="text1"/>
          <w:sz w:val="22"/>
          <w:szCs w:val="22"/>
          <w:shd w:val="clear" w:color="auto" w:fill="FFFFFF"/>
        </w:rPr>
        <w:t>, 49(3), pp.436-446.</w:t>
      </w:r>
    </w:p>
    <w:p w14:paraId="5E0BB485" w14:textId="77777777" w:rsidR="0064768E" w:rsidRPr="00061A5D" w:rsidRDefault="0064768E" w:rsidP="00ED2176">
      <w:pPr>
        <w:rPr>
          <w:rFonts w:ascii="Arial" w:hAnsi="Arial" w:cs="Arial"/>
          <w:color w:val="000000" w:themeColor="text1"/>
          <w:sz w:val="22"/>
          <w:szCs w:val="22"/>
        </w:rPr>
      </w:pPr>
    </w:p>
    <w:p w14:paraId="509C33BD" w14:textId="0EF8135E"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rPr>
        <w:t xml:space="preserve">NHS England (2026) </w:t>
      </w:r>
      <w:r w:rsidRPr="00061A5D">
        <w:rPr>
          <w:rFonts w:ascii="Arial" w:hAnsi="Arial" w:cs="Arial"/>
          <w:i/>
          <w:iCs/>
          <w:color w:val="000000" w:themeColor="text1"/>
          <w:sz w:val="22"/>
          <w:szCs w:val="22"/>
        </w:rPr>
        <w:t>Working in partnership with people and communities: Statutory guidance.</w:t>
      </w:r>
      <w:r w:rsidRPr="00061A5D">
        <w:rPr>
          <w:rFonts w:ascii="Arial" w:hAnsi="Arial" w:cs="Arial"/>
          <w:color w:val="000000" w:themeColor="text1"/>
          <w:sz w:val="22"/>
          <w:szCs w:val="22"/>
        </w:rPr>
        <w:t xml:space="preserve"> Available at: </w:t>
      </w:r>
      <w:hyperlink r:id="rId10" w:history="1">
        <w:r w:rsidRPr="00061A5D">
          <w:rPr>
            <w:rStyle w:val="Hyperlink"/>
            <w:rFonts w:ascii="Arial" w:hAnsi="Arial" w:cs="Arial"/>
            <w:color w:val="000000" w:themeColor="text1"/>
            <w:sz w:val="22"/>
            <w:szCs w:val="22"/>
          </w:rPr>
          <w:t>https://www.england.nhs.uk/long-read/working-in-partnership-with-people-and-communities-statutory-guidance/</w:t>
        </w:r>
      </w:hyperlink>
      <w:r w:rsidRPr="00061A5D">
        <w:rPr>
          <w:rFonts w:ascii="Arial" w:hAnsi="Arial" w:cs="Arial"/>
          <w:color w:val="000000" w:themeColor="text1"/>
          <w:sz w:val="22"/>
          <w:szCs w:val="22"/>
        </w:rPr>
        <w:t xml:space="preserve"> (Accessed: 15 July 2026).</w:t>
      </w:r>
    </w:p>
    <w:p w14:paraId="1C15DCD1" w14:textId="77777777" w:rsidR="0064768E" w:rsidRPr="00061A5D" w:rsidRDefault="0064768E" w:rsidP="00ED2176">
      <w:pPr>
        <w:rPr>
          <w:rFonts w:ascii="Arial" w:hAnsi="Arial" w:cs="Arial"/>
          <w:color w:val="000000" w:themeColor="text1"/>
          <w:sz w:val="22"/>
          <w:szCs w:val="22"/>
          <w:shd w:val="clear" w:color="auto" w:fill="FFFFFF"/>
        </w:rPr>
      </w:pPr>
    </w:p>
    <w:p w14:paraId="1379ABA2" w14:textId="29141B60"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Nila, F.H., Villeneuve, M., Subramaniam, P. and Chang, K.Y.J. (2025) ‘Service Continuity Support Initiatives of Community</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Based Healthcare and Social Care Organisations in Emergencies: A Systematic Review’, </w:t>
      </w:r>
      <w:r w:rsidRPr="00061A5D">
        <w:rPr>
          <w:rFonts w:ascii="Arial" w:hAnsi="Arial" w:cs="Arial"/>
          <w:i/>
          <w:iCs/>
          <w:color w:val="000000" w:themeColor="text1"/>
          <w:sz w:val="22"/>
          <w:szCs w:val="22"/>
          <w:shd w:val="clear" w:color="auto" w:fill="FFFFFF"/>
        </w:rPr>
        <w:t>Health &amp; Social Care in the Community</w:t>
      </w:r>
      <w:r w:rsidRPr="00061A5D">
        <w:rPr>
          <w:rFonts w:ascii="Arial" w:hAnsi="Arial" w:cs="Arial"/>
          <w:color w:val="000000" w:themeColor="text1"/>
          <w:sz w:val="22"/>
          <w:szCs w:val="22"/>
          <w:shd w:val="clear" w:color="auto" w:fill="FFFFFF"/>
        </w:rPr>
        <w:t>, 2025(1), p.8870937.</w:t>
      </w:r>
    </w:p>
    <w:p w14:paraId="589BB783" w14:textId="77777777" w:rsidR="0064768E" w:rsidRPr="00061A5D" w:rsidRDefault="0064768E" w:rsidP="00ED2176">
      <w:pPr>
        <w:rPr>
          <w:rFonts w:ascii="Arial" w:hAnsi="Arial" w:cs="Arial"/>
          <w:color w:val="000000" w:themeColor="text1"/>
          <w:sz w:val="22"/>
          <w:szCs w:val="22"/>
          <w:shd w:val="clear" w:color="auto" w:fill="FFFFFF"/>
        </w:rPr>
      </w:pPr>
    </w:p>
    <w:p w14:paraId="3DBA34C0" w14:textId="075F7368"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Nowak, R.M. (2023) ‘How resistance to change impairs innovation’, </w:t>
      </w:r>
      <w:r w:rsidRPr="00061A5D">
        <w:rPr>
          <w:rFonts w:ascii="Arial" w:hAnsi="Arial" w:cs="Arial"/>
          <w:i/>
          <w:iCs/>
          <w:color w:val="000000" w:themeColor="text1"/>
          <w:sz w:val="22"/>
          <w:szCs w:val="22"/>
          <w:shd w:val="clear" w:color="auto" w:fill="FFFFFF"/>
        </w:rPr>
        <w:t>Journal of Strategy and Management</w:t>
      </w:r>
      <w:r w:rsidRPr="00061A5D">
        <w:rPr>
          <w:rFonts w:ascii="Arial" w:hAnsi="Arial" w:cs="Arial"/>
          <w:color w:val="000000" w:themeColor="text1"/>
          <w:sz w:val="22"/>
          <w:szCs w:val="22"/>
          <w:shd w:val="clear" w:color="auto" w:fill="FFFFFF"/>
        </w:rPr>
        <w:t>, 16(4), pp.609-629.</w:t>
      </w:r>
    </w:p>
    <w:p w14:paraId="5C414C56" w14:textId="77777777" w:rsidR="0064768E" w:rsidRPr="00061A5D" w:rsidRDefault="0064768E" w:rsidP="00ED2176">
      <w:pPr>
        <w:rPr>
          <w:rFonts w:ascii="Arial" w:hAnsi="Arial" w:cs="Arial"/>
          <w:color w:val="000000" w:themeColor="text1"/>
          <w:sz w:val="22"/>
          <w:szCs w:val="22"/>
          <w:shd w:val="clear" w:color="auto" w:fill="FFFFFF"/>
        </w:rPr>
      </w:pPr>
    </w:p>
    <w:p w14:paraId="2B868DDB" w14:textId="56B7B3E8"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 xml:space="preserve">O'Donnell, D., Dickson, C., Phelan, A., Brown, D., Byrne, G., Cardiff, S., Cook, N.F., Dunleavy, S., Kmetec, S. and McCormack, B. (2022) ‘A mixed methods approach to the development of a person-centred curriculum framework: surfacing person-centred principles and practices’, </w:t>
      </w:r>
      <w:r w:rsidRPr="00061A5D">
        <w:rPr>
          <w:rFonts w:ascii="Arial" w:hAnsi="Arial" w:cs="Arial"/>
          <w:i/>
          <w:iCs/>
          <w:color w:val="000000" w:themeColor="text1"/>
          <w:sz w:val="22"/>
          <w:szCs w:val="22"/>
          <w:shd w:val="clear" w:color="auto" w:fill="FFFFFF"/>
        </w:rPr>
        <w:t>International Practice Development Journal</w:t>
      </w:r>
      <w:r w:rsidRPr="00061A5D">
        <w:rPr>
          <w:rFonts w:ascii="Arial" w:hAnsi="Arial" w:cs="Arial"/>
          <w:color w:val="000000" w:themeColor="text1"/>
          <w:sz w:val="22"/>
          <w:szCs w:val="22"/>
          <w:shd w:val="clear" w:color="auto" w:fill="FFFFFF"/>
        </w:rPr>
        <w:t>, 12(3), pp.1-14.</w:t>
      </w:r>
    </w:p>
    <w:p w14:paraId="59A30FC7" w14:textId="77777777" w:rsidR="00EB7209" w:rsidRDefault="00EB7209" w:rsidP="00ED2176">
      <w:pPr>
        <w:rPr>
          <w:rFonts w:ascii="Arial" w:hAnsi="Arial" w:cs="Arial"/>
          <w:color w:val="000000" w:themeColor="text1"/>
          <w:sz w:val="22"/>
          <w:szCs w:val="22"/>
          <w:shd w:val="clear" w:color="auto" w:fill="FFFFFF"/>
        </w:rPr>
      </w:pPr>
    </w:p>
    <w:p w14:paraId="63FCD7CF" w14:textId="74040790" w:rsidR="0064768E" w:rsidRPr="00061A5D" w:rsidRDefault="0064768E" w:rsidP="00ED2176">
      <w:pPr>
        <w:rPr>
          <w:rFonts w:ascii="Arial" w:hAnsi="Arial" w:cs="Arial"/>
          <w:color w:val="000000" w:themeColor="text1"/>
          <w:sz w:val="22"/>
          <w:szCs w:val="22"/>
        </w:rPr>
      </w:pPr>
      <w:proofErr w:type="spellStart"/>
      <w:r w:rsidRPr="00061A5D">
        <w:rPr>
          <w:rFonts w:ascii="Arial" w:hAnsi="Arial" w:cs="Arial"/>
          <w:color w:val="000000" w:themeColor="text1"/>
          <w:sz w:val="22"/>
          <w:szCs w:val="22"/>
          <w:shd w:val="clear" w:color="auto" w:fill="FFFFFF"/>
        </w:rPr>
        <w:lastRenderedPageBreak/>
        <w:t>Omelianchuk</w:t>
      </w:r>
      <w:proofErr w:type="spellEnd"/>
      <w:r w:rsidRPr="00061A5D">
        <w:rPr>
          <w:rFonts w:ascii="Arial" w:hAnsi="Arial" w:cs="Arial"/>
          <w:color w:val="000000" w:themeColor="text1"/>
          <w:sz w:val="22"/>
          <w:szCs w:val="22"/>
          <w:shd w:val="clear" w:color="auto" w:fill="FFFFFF"/>
        </w:rPr>
        <w:t xml:space="preserve">, A., Smolenski, J., Kaplan, H., Shea, M., Smith, J.N., Bibler, T., Horner, C. and Malek, J. (2026) ‘Reflecting on </w:t>
      </w:r>
      <w:proofErr w:type="spellStart"/>
      <w:r w:rsidRPr="00061A5D">
        <w:rPr>
          <w:rFonts w:ascii="Arial" w:hAnsi="Arial" w:cs="Arial"/>
          <w:color w:val="000000" w:themeColor="text1"/>
          <w:sz w:val="22"/>
          <w:szCs w:val="22"/>
          <w:shd w:val="clear" w:color="auto" w:fill="FFFFFF"/>
        </w:rPr>
        <w:t>principlism</w:t>
      </w:r>
      <w:proofErr w:type="spellEnd"/>
      <w:r w:rsidRPr="00061A5D">
        <w:rPr>
          <w:rFonts w:ascii="Arial" w:hAnsi="Arial" w:cs="Arial"/>
          <w:color w:val="000000" w:themeColor="text1"/>
          <w:sz w:val="22"/>
          <w:szCs w:val="22"/>
          <w:shd w:val="clear" w:color="auto" w:fill="FFFFFF"/>
        </w:rPr>
        <w:t>: explaining, but not guiding, clinical ethics analysis’, </w:t>
      </w:r>
      <w:r w:rsidRPr="00061A5D">
        <w:rPr>
          <w:rFonts w:ascii="Arial" w:hAnsi="Arial" w:cs="Arial"/>
          <w:i/>
          <w:iCs/>
          <w:color w:val="000000" w:themeColor="text1"/>
          <w:sz w:val="22"/>
          <w:szCs w:val="22"/>
          <w:shd w:val="clear" w:color="auto" w:fill="FFFFFF"/>
        </w:rPr>
        <w:t>The American Journal of Bioethics</w:t>
      </w:r>
      <w:r w:rsidRPr="00061A5D">
        <w:rPr>
          <w:rFonts w:ascii="Arial" w:hAnsi="Arial" w:cs="Arial"/>
          <w:color w:val="000000" w:themeColor="text1"/>
          <w:sz w:val="22"/>
          <w:szCs w:val="22"/>
          <w:shd w:val="clear" w:color="auto" w:fill="FFFFFF"/>
        </w:rPr>
        <w:t>, 26(3), pp.19-25.</w:t>
      </w:r>
    </w:p>
    <w:p w14:paraId="75F00473" w14:textId="77777777" w:rsidR="0064768E" w:rsidRPr="00061A5D" w:rsidRDefault="0064768E" w:rsidP="005650BE">
      <w:pPr>
        <w:pStyle w:val="isselectedend"/>
        <w:rPr>
          <w:rFonts w:ascii="Arial" w:hAnsi="Arial" w:cs="Arial"/>
          <w:color w:val="000000" w:themeColor="text1"/>
          <w:sz w:val="22"/>
          <w:szCs w:val="22"/>
        </w:rPr>
      </w:pPr>
      <w:r w:rsidRPr="00061A5D">
        <w:rPr>
          <w:rFonts w:ascii="Arial" w:hAnsi="Arial" w:cs="Arial"/>
          <w:color w:val="222222"/>
          <w:sz w:val="22"/>
          <w:szCs w:val="22"/>
          <w:shd w:val="clear" w:color="auto" w:fill="FFFFFF"/>
        </w:rPr>
        <w:t>Page, B., Sugavanam, T., Hogan, H., Fitzpatrick, R. and Lalani, M. (2024) ‘Floundering or flourishing? Early insights from the inception of integrated care systems in England’, </w:t>
      </w:r>
      <w:r w:rsidRPr="00061A5D">
        <w:rPr>
          <w:rFonts w:ascii="Arial" w:hAnsi="Arial" w:cs="Arial"/>
          <w:i/>
          <w:iCs/>
          <w:color w:val="222222"/>
          <w:sz w:val="22"/>
          <w:szCs w:val="22"/>
          <w:shd w:val="clear" w:color="auto" w:fill="FFFFFF"/>
        </w:rPr>
        <w:t>International journal of integrated care</w:t>
      </w:r>
      <w:r w:rsidRPr="00061A5D">
        <w:rPr>
          <w:rFonts w:ascii="Arial" w:hAnsi="Arial" w:cs="Arial"/>
          <w:color w:val="222222"/>
          <w:sz w:val="22"/>
          <w:szCs w:val="22"/>
          <w:shd w:val="clear" w:color="auto" w:fill="FFFFFF"/>
        </w:rPr>
        <w:t>, 24(3), pp.4-4.</w:t>
      </w:r>
    </w:p>
    <w:p w14:paraId="13E7B155" w14:textId="1B07A988"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 xml:space="preserve">Salvado, S., Grilo, E., Henriques, H., Ferraz, I., Gaspar, F. and </w:t>
      </w:r>
      <w:proofErr w:type="spellStart"/>
      <w:r w:rsidRPr="00061A5D">
        <w:rPr>
          <w:rFonts w:ascii="Arial" w:hAnsi="Arial" w:cs="Arial"/>
          <w:color w:val="000000" w:themeColor="text1"/>
          <w:sz w:val="22"/>
          <w:szCs w:val="22"/>
          <w:shd w:val="clear" w:color="auto" w:fill="FFFFFF"/>
        </w:rPr>
        <w:t>Baixinho</w:t>
      </w:r>
      <w:proofErr w:type="spellEnd"/>
      <w:r w:rsidRPr="00061A5D">
        <w:rPr>
          <w:rFonts w:ascii="Arial" w:hAnsi="Arial" w:cs="Arial"/>
          <w:color w:val="000000" w:themeColor="text1"/>
          <w:sz w:val="22"/>
          <w:szCs w:val="22"/>
          <w:shd w:val="clear" w:color="auto" w:fill="FFFFFF"/>
        </w:rPr>
        <w:t xml:space="preserve">, C.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2025</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Pulmonary rehabilitation nursing interventions promoting self-care in elderly people with chronic obstructive pulmonary disease (At home)</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 In </w:t>
      </w:r>
      <w:r w:rsidRPr="00061A5D">
        <w:rPr>
          <w:rFonts w:ascii="Arial" w:hAnsi="Arial" w:cs="Arial"/>
          <w:i/>
          <w:iCs/>
          <w:color w:val="000000" w:themeColor="text1"/>
          <w:sz w:val="22"/>
          <w:szCs w:val="22"/>
          <w:shd w:val="clear" w:color="auto" w:fill="FFFFFF"/>
        </w:rPr>
        <w:t>Healthcare</w:t>
      </w:r>
      <w:r w:rsidRPr="00061A5D">
        <w:rPr>
          <w:rFonts w:ascii="Arial" w:hAnsi="Arial" w:cs="Arial"/>
          <w:color w:val="000000" w:themeColor="text1"/>
          <w:sz w:val="22"/>
          <w:szCs w:val="22"/>
          <w:shd w:val="clear" w:color="auto" w:fill="FFFFFF"/>
        </w:rPr>
        <w:t> 13</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17</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p. 2176</w:t>
      </w:r>
      <w:r w:rsidR="00061A5D" w:rsidRPr="00061A5D">
        <w:rPr>
          <w:rFonts w:ascii="Arial" w:hAnsi="Arial" w:cs="Arial"/>
          <w:color w:val="000000" w:themeColor="text1"/>
          <w:sz w:val="22"/>
          <w:szCs w:val="22"/>
          <w:shd w:val="clear" w:color="auto" w:fill="FFFFFF"/>
        </w:rPr>
        <w:t>.</w:t>
      </w:r>
    </w:p>
    <w:p w14:paraId="592FAB09" w14:textId="77777777" w:rsidR="00061A5D" w:rsidRPr="00061A5D" w:rsidRDefault="00061A5D" w:rsidP="00ED2176">
      <w:pPr>
        <w:rPr>
          <w:rFonts w:ascii="Arial" w:hAnsi="Arial" w:cs="Arial"/>
          <w:color w:val="000000" w:themeColor="text1"/>
          <w:sz w:val="22"/>
          <w:szCs w:val="22"/>
          <w:shd w:val="clear" w:color="auto" w:fill="FFFFFF"/>
        </w:rPr>
      </w:pPr>
    </w:p>
    <w:p w14:paraId="3A8ABF9A" w14:textId="5F7135FE" w:rsidR="0064768E" w:rsidRPr="00061A5D" w:rsidRDefault="0064768E" w:rsidP="00ED2176">
      <w:pPr>
        <w:rPr>
          <w:rFonts w:ascii="Arial" w:hAnsi="Arial" w:cs="Arial"/>
          <w:color w:val="000000" w:themeColor="text1"/>
          <w:sz w:val="22"/>
          <w:szCs w:val="22"/>
          <w:shd w:val="clear" w:color="auto" w:fill="FFFFFF"/>
        </w:rPr>
      </w:pPr>
      <w:proofErr w:type="spellStart"/>
      <w:r w:rsidRPr="00061A5D">
        <w:rPr>
          <w:rFonts w:ascii="Arial" w:hAnsi="Arial" w:cs="Arial"/>
          <w:color w:val="000000" w:themeColor="text1"/>
          <w:sz w:val="22"/>
          <w:szCs w:val="22"/>
          <w:shd w:val="clear" w:color="auto" w:fill="FFFFFF"/>
        </w:rPr>
        <w:t>Semsarian</w:t>
      </w:r>
      <w:proofErr w:type="spellEnd"/>
      <w:r w:rsidRPr="00061A5D">
        <w:rPr>
          <w:rFonts w:ascii="Arial" w:hAnsi="Arial" w:cs="Arial"/>
          <w:color w:val="000000" w:themeColor="text1"/>
          <w:sz w:val="22"/>
          <w:szCs w:val="22"/>
          <w:shd w:val="clear" w:color="auto" w:fill="FFFFFF"/>
        </w:rPr>
        <w:t xml:space="preserve">, C. and Carter, S.M.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2023</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Utopia versus dystopia: professional perspectives on the impact of healthcare artificial intelligence on clinical roles and skills</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w:t>
      </w:r>
      <w:r w:rsidRPr="00061A5D">
        <w:rPr>
          <w:rFonts w:ascii="Arial" w:hAnsi="Arial" w:cs="Arial"/>
          <w:i/>
          <w:iCs/>
          <w:color w:val="000000" w:themeColor="text1"/>
          <w:sz w:val="22"/>
          <w:szCs w:val="22"/>
          <w:shd w:val="clear" w:color="auto" w:fill="FFFFFF"/>
        </w:rPr>
        <w:t>International Journal of Medical Informatics</w:t>
      </w:r>
      <w:r w:rsidRPr="00061A5D">
        <w:rPr>
          <w:rFonts w:ascii="Arial" w:hAnsi="Arial" w:cs="Arial"/>
          <w:color w:val="000000" w:themeColor="text1"/>
          <w:sz w:val="22"/>
          <w:szCs w:val="22"/>
          <w:shd w:val="clear" w:color="auto" w:fill="FFFFFF"/>
        </w:rPr>
        <w:t>, 169, p.104903.</w:t>
      </w:r>
    </w:p>
    <w:p w14:paraId="1DF03F70" w14:textId="77777777" w:rsidR="00061A5D" w:rsidRPr="00061A5D" w:rsidRDefault="00061A5D" w:rsidP="00ED2176">
      <w:pPr>
        <w:rPr>
          <w:rFonts w:ascii="Arial" w:hAnsi="Arial" w:cs="Arial"/>
          <w:color w:val="000000" w:themeColor="text1"/>
          <w:sz w:val="22"/>
          <w:szCs w:val="22"/>
        </w:rPr>
      </w:pPr>
    </w:p>
    <w:p w14:paraId="77E559D9" w14:textId="46ABE99A"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shd w:val="clear" w:color="auto" w:fill="FFFFFF"/>
        </w:rPr>
        <w:t xml:space="preserve">Shepherd, J., Gurney, S. and Patel, H.P.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2022</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Shared decision making and personalised care support planning: pillars of integrated care for older people</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w:t>
      </w:r>
      <w:r w:rsidRPr="00061A5D">
        <w:rPr>
          <w:rFonts w:ascii="Arial" w:hAnsi="Arial" w:cs="Arial"/>
          <w:i/>
          <w:iCs/>
          <w:color w:val="000000" w:themeColor="text1"/>
          <w:sz w:val="22"/>
          <w:szCs w:val="22"/>
          <w:shd w:val="clear" w:color="auto" w:fill="FFFFFF"/>
        </w:rPr>
        <w:t>Clinics in Integrated Care</w:t>
      </w:r>
      <w:r w:rsidRPr="00061A5D">
        <w:rPr>
          <w:rFonts w:ascii="Arial" w:hAnsi="Arial" w:cs="Arial"/>
          <w:color w:val="000000" w:themeColor="text1"/>
          <w:sz w:val="22"/>
          <w:szCs w:val="22"/>
          <w:shd w:val="clear" w:color="auto" w:fill="FFFFFF"/>
        </w:rPr>
        <w:t>, 12, p.100097.</w:t>
      </w:r>
    </w:p>
    <w:p w14:paraId="34B4D10B" w14:textId="77777777"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rPr>
        <w:br/>
      </w:r>
      <w:r w:rsidRPr="00061A5D">
        <w:rPr>
          <w:rFonts w:ascii="Arial" w:hAnsi="Arial" w:cs="Arial"/>
          <w:color w:val="000000" w:themeColor="text1"/>
          <w:sz w:val="22"/>
          <w:szCs w:val="22"/>
          <w:shd w:val="clear" w:color="auto" w:fill="FFFFFF"/>
        </w:rPr>
        <w:t xml:space="preserve">Skills for Health (2025) </w:t>
      </w:r>
      <w:r w:rsidRPr="00061A5D">
        <w:rPr>
          <w:rFonts w:ascii="Arial" w:hAnsi="Arial" w:cs="Arial"/>
          <w:i/>
          <w:iCs/>
          <w:color w:val="000000" w:themeColor="text1"/>
          <w:sz w:val="22"/>
          <w:szCs w:val="22"/>
          <w:shd w:val="clear" w:color="auto" w:fill="FFFFFF"/>
        </w:rPr>
        <w:t>Person-Centred Care: What it means and why it matters</w:t>
      </w:r>
      <w:r w:rsidRPr="00061A5D">
        <w:rPr>
          <w:rFonts w:ascii="Arial" w:hAnsi="Arial" w:cs="Arial"/>
          <w:color w:val="000000" w:themeColor="text1"/>
          <w:sz w:val="22"/>
          <w:szCs w:val="22"/>
          <w:shd w:val="clear" w:color="auto" w:fill="FFFFFF"/>
        </w:rPr>
        <w:t xml:space="preserve">. Available at: </w:t>
      </w:r>
      <w:hyperlink r:id="rId11" w:history="1">
        <w:r w:rsidRPr="00061A5D">
          <w:rPr>
            <w:rStyle w:val="Hyperlink"/>
            <w:rFonts w:ascii="Arial" w:hAnsi="Arial" w:cs="Arial"/>
            <w:color w:val="000000" w:themeColor="text1"/>
            <w:sz w:val="22"/>
            <w:szCs w:val="22"/>
            <w:shd w:val="clear" w:color="auto" w:fill="FFFFFF"/>
          </w:rPr>
          <w:t>https://www.skillsforhealth.org.uk/article/person-centred-care-meaning-implications/</w:t>
        </w:r>
      </w:hyperlink>
      <w:r w:rsidRPr="00061A5D">
        <w:rPr>
          <w:rFonts w:ascii="Arial" w:hAnsi="Arial" w:cs="Arial"/>
          <w:color w:val="000000" w:themeColor="text1"/>
          <w:sz w:val="22"/>
          <w:szCs w:val="22"/>
          <w:shd w:val="clear" w:color="auto" w:fill="FFFFFF"/>
        </w:rPr>
        <w:t xml:space="preserve"> (Accessed: 15 July 2026).</w:t>
      </w:r>
    </w:p>
    <w:p w14:paraId="09B5D98F" w14:textId="77777777" w:rsidR="00061A5D" w:rsidRPr="00061A5D" w:rsidRDefault="00061A5D" w:rsidP="00ED2176">
      <w:pPr>
        <w:rPr>
          <w:rFonts w:ascii="Arial" w:hAnsi="Arial" w:cs="Arial"/>
          <w:color w:val="000000" w:themeColor="text1"/>
          <w:sz w:val="22"/>
          <w:szCs w:val="22"/>
          <w:shd w:val="clear" w:color="auto" w:fill="FFFFFF"/>
        </w:rPr>
      </w:pPr>
    </w:p>
    <w:p w14:paraId="17C46C8A" w14:textId="77777777"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rPr>
        <w:t xml:space="preserve">The Health Foundation (2016) </w:t>
      </w:r>
      <w:r w:rsidRPr="00061A5D">
        <w:rPr>
          <w:rFonts w:ascii="Arial" w:hAnsi="Arial" w:cs="Arial"/>
          <w:i/>
          <w:iCs/>
          <w:color w:val="000000" w:themeColor="text1"/>
          <w:sz w:val="22"/>
          <w:szCs w:val="22"/>
        </w:rPr>
        <w:t>Person-centred care made simple What everyone should know about person-centred care.</w:t>
      </w:r>
      <w:r w:rsidRPr="00061A5D">
        <w:rPr>
          <w:rFonts w:ascii="Arial" w:hAnsi="Arial" w:cs="Arial"/>
          <w:color w:val="000000" w:themeColor="text1"/>
          <w:sz w:val="22"/>
          <w:szCs w:val="22"/>
        </w:rPr>
        <w:t xml:space="preserve"> Available at: </w:t>
      </w:r>
      <w:hyperlink r:id="rId12" w:history="1">
        <w:r w:rsidRPr="00061A5D">
          <w:rPr>
            <w:rStyle w:val="Hyperlink"/>
            <w:rFonts w:ascii="Arial" w:hAnsi="Arial" w:cs="Arial"/>
            <w:color w:val="000000" w:themeColor="text1"/>
            <w:sz w:val="22"/>
            <w:szCs w:val="22"/>
          </w:rPr>
          <w:t>https://www.health.org.uk/sites/default/files/PersonCentredCareMadeSimple.pdf</w:t>
        </w:r>
      </w:hyperlink>
      <w:r w:rsidRPr="00061A5D">
        <w:rPr>
          <w:rFonts w:ascii="Arial" w:hAnsi="Arial" w:cs="Arial"/>
          <w:color w:val="000000" w:themeColor="text1"/>
          <w:sz w:val="22"/>
          <w:szCs w:val="22"/>
        </w:rPr>
        <w:t xml:space="preserve"> (Accessed: 15 July 2026).</w:t>
      </w:r>
    </w:p>
    <w:p w14:paraId="65849FEE" w14:textId="2067F24E" w:rsidR="0064768E" w:rsidRPr="00061A5D" w:rsidRDefault="0064768E" w:rsidP="00ED2176">
      <w:pPr>
        <w:pStyle w:val="NormalWeb"/>
        <w:rPr>
          <w:rFonts w:ascii="Arial" w:hAnsi="Arial" w:cs="Arial"/>
          <w:color w:val="000000" w:themeColor="text1"/>
          <w:sz w:val="22"/>
          <w:szCs w:val="22"/>
        </w:rPr>
      </w:pPr>
      <w:r w:rsidRPr="00061A5D">
        <w:rPr>
          <w:rFonts w:ascii="Arial" w:hAnsi="Arial" w:cs="Arial"/>
          <w:color w:val="000000" w:themeColor="text1"/>
          <w:sz w:val="22"/>
          <w:szCs w:val="22"/>
        </w:rPr>
        <w:t xml:space="preserve">The Health Foundation (2026) </w:t>
      </w:r>
      <w:r w:rsidRPr="00061A5D">
        <w:rPr>
          <w:rStyle w:val="Emphasis"/>
          <w:rFonts w:ascii="Arial" w:eastAsiaTheme="majorEastAsia" w:hAnsi="Arial" w:cs="Arial"/>
          <w:color w:val="000000" w:themeColor="text1"/>
          <w:sz w:val="22"/>
          <w:szCs w:val="22"/>
        </w:rPr>
        <w:t>Person-centred care</w:t>
      </w:r>
      <w:r w:rsidRPr="00061A5D">
        <w:rPr>
          <w:rFonts w:ascii="Arial" w:hAnsi="Arial" w:cs="Arial"/>
          <w:color w:val="000000" w:themeColor="text1"/>
          <w:sz w:val="22"/>
          <w:szCs w:val="22"/>
        </w:rPr>
        <w:t xml:space="preserve">. Available at: </w:t>
      </w:r>
      <w:hyperlink r:id="rId13" w:tgtFrame="_new" w:history="1">
        <w:r w:rsidRPr="00061A5D">
          <w:rPr>
            <w:rStyle w:val="Hyperlink"/>
            <w:rFonts w:ascii="Arial" w:eastAsiaTheme="majorEastAsia" w:hAnsi="Arial" w:cs="Arial"/>
            <w:color w:val="000000" w:themeColor="text1"/>
            <w:sz w:val="22"/>
            <w:szCs w:val="22"/>
          </w:rPr>
          <w:t>https://www.health.org.uk</w:t>
        </w:r>
      </w:hyperlink>
      <w:r w:rsidRPr="00061A5D">
        <w:rPr>
          <w:rFonts w:ascii="Arial" w:hAnsi="Arial" w:cs="Arial"/>
          <w:color w:val="000000" w:themeColor="text1"/>
          <w:sz w:val="22"/>
          <w:szCs w:val="22"/>
        </w:rPr>
        <w:t xml:space="preserve"> (Accessed: 16 July 2026).</w:t>
      </w:r>
    </w:p>
    <w:p w14:paraId="2BF85756" w14:textId="77777777" w:rsidR="0064768E" w:rsidRPr="00061A5D" w:rsidRDefault="0064768E" w:rsidP="00ED2176">
      <w:pPr>
        <w:rPr>
          <w:rFonts w:ascii="Arial" w:hAnsi="Arial" w:cs="Arial"/>
          <w:color w:val="000000" w:themeColor="text1"/>
          <w:sz w:val="22"/>
          <w:szCs w:val="22"/>
        </w:rPr>
      </w:pPr>
      <w:r w:rsidRPr="00061A5D">
        <w:rPr>
          <w:rFonts w:ascii="Arial" w:hAnsi="Arial" w:cs="Arial"/>
          <w:color w:val="000000" w:themeColor="text1"/>
          <w:sz w:val="22"/>
          <w:szCs w:val="22"/>
        </w:rPr>
        <w:t xml:space="preserve">The Kings Fund (2022) </w:t>
      </w:r>
      <w:r w:rsidRPr="00061A5D">
        <w:rPr>
          <w:rFonts w:ascii="Arial" w:hAnsi="Arial" w:cs="Arial"/>
          <w:i/>
          <w:iCs/>
          <w:color w:val="000000" w:themeColor="text1"/>
          <w:sz w:val="22"/>
          <w:szCs w:val="22"/>
        </w:rPr>
        <w:t>Integrated care system explained</w:t>
      </w:r>
      <w:r w:rsidRPr="00061A5D">
        <w:rPr>
          <w:rFonts w:ascii="Arial" w:hAnsi="Arial" w:cs="Arial"/>
          <w:color w:val="000000" w:themeColor="text1"/>
          <w:sz w:val="22"/>
          <w:szCs w:val="22"/>
        </w:rPr>
        <w:t xml:space="preserve">. Available at: </w:t>
      </w:r>
      <w:hyperlink r:id="rId14" w:history="1">
        <w:r w:rsidRPr="00061A5D">
          <w:rPr>
            <w:rStyle w:val="Hyperlink"/>
            <w:rFonts w:ascii="Arial" w:hAnsi="Arial" w:cs="Arial"/>
            <w:color w:val="000000" w:themeColor="text1"/>
            <w:sz w:val="22"/>
            <w:szCs w:val="22"/>
          </w:rPr>
          <w:t>https://www.kingsfund.org.uk/insight-and-analysis/long-reads/integrated-care-systems-explained</w:t>
        </w:r>
      </w:hyperlink>
      <w:r w:rsidRPr="00061A5D">
        <w:rPr>
          <w:rFonts w:ascii="Arial" w:hAnsi="Arial" w:cs="Arial"/>
          <w:color w:val="000000" w:themeColor="text1"/>
          <w:sz w:val="22"/>
          <w:szCs w:val="22"/>
        </w:rPr>
        <w:t xml:space="preserve"> (Accessed: 15 July 2026).</w:t>
      </w:r>
    </w:p>
    <w:p w14:paraId="5395C178" w14:textId="77777777" w:rsidR="00061A5D" w:rsidRPr="00061A5D" w:rsidRDefault="00061A5D" w:rsidP="00ED2176">
      <w:pPr>
        <w:rPr>
          <w:rFonts w:ascii="Arial" w:hAnsi="Arial" w:cs="Arial"/>
          <w:color w:val="000000" w:themeColor="text1"/>
          <w:sz w:val="22"/>
          <w:szCs w:val="22"/>
        </w:rPr>
      </w:pPr>
    </w:p>
    <w:p w14:paraId="713B4AF7" w14:textId="7B775C07" w:rsidR="0064768E" w:rsidRPr="00061A5D" w:rsidRDefault="0064768E" w:rsidP="00ED2176">
      <w:pPr>
        <w:rPr>
          <w:rFonts w:ascii="Arial" w:hAnsi="Arial" w:cs="Arial"/>
          <w:color w:val="000000" w:themeColor="text1"/>
          <w:sz w:val="22"/>
          <w:szCs w:val="22"/>
          <w:shd w:val="clear" w:color="auto" w:fill="FFFFFF"/>
        </w:rPr>
      </w:pPr>
      <w:proofErr w:type="spellStart"/>
      <w:r w:rsidRPr="00061A5D">
        <w:rPr>
          <w:rFonts w:ascii="Arial" w:hAnsi="Arial" w:cs="Arial"/>
          <w:color w:val="000000" w:themeColor="text1"/>
          <w:sz w:val="22"/>
          <w:szCs w:val="22"/>
          <w:shd w:val="clear" w:color="auto" w:fill="FFFFFF"/>
        </w:rPr>
        <w:t>Tsiachristas</w:t>
      </w:r>
      <w:proofErr w:type="spellEnd"/>
      <w:r w:rsidRPr="00061A5D">
        <w:rPr>
          <w:rFonts w:ascii="Arial" w:hAnsi="Arial" w:cs="Arial"/>
          <w:color w:val="000000" w:themeColor="text1"/>
          <w:sz w:val="22"/>
          <w:szCs w:val="22"/>
          <w:shd w:val="clear" w:color="auto" w:fill="FFFFFF"/>
        </w:rPr>
        <w:t xml:space="preserve">, A., Vrangbæk, K., Gongora-Salazar, P. and Kristensen, S.R.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2023</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Integrated care in a Beveridge system: experiences from England and Denmark</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w:t>
      </w:r>
      <w:r w:rsidRPr="00061A5D">
        <w:rPr>
          <w:rFonts w:ascii="Arial" w:hAnsi="Arial" w:cs="Arial"/>
          <w:i/>
          <w:iCs/>
          <w:color w:val="000000" w:themeColor="text1"/>
          <w:sz w:val="22"/>
          <w:szCs w:val="22"/>
          <w:shd w:val="clear" w:color="auto" w:fill="FFFFFF"/>
        </w:rPr>
        <w:t>Health Economics, Policy and Law</w:t>
      </w:r>
      <w:r w:rsidRPr="00061A5D">
        <w:rPr>
          <w:rFonts w:ascii="Arial" w:hAnsi="Arial" w:cs="Arial"/>
          <w:color w:val="000000" w:themeColor="text1"/>
          <w:sz w:val="22"/>
          <w:szCs w:val="22"/>
          <w:shd w:val="clear" w:color="auto" w:fill="FFFFFF"/>
        </w:rPr>
        <w:t>, 18(4), pp.345-361.</w:t>
      </w:r>
    </w:p>
    <w:p w14:paraId="38EC1364" w14:textId="77777777" w:rsidR="00061A5D" w:rsidRPr="00061A5D" w:rsidRDefault="00061A5D" w:rsidP="00ED2176">
      <w:pPr>
        <w:rPr>
          <w:rFonts w:ascii="Arial" w:hAnsi="Arial" w:cs="Arial"/>
          <w:color w:val="000000" w:themeColor="text1"/>
          <w:sz w:val="22"/>
          <w:szCs w:val="22"/>
          <w:shd w:val="clear" w:color="auto" w:fill="FFFFFF"/>
        </w:rPr>
      </w:pPr>
    </w:p>
    <w:p w14:paraId="0AB7E5F0" w14:textId="364EF96B"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 xml:space="preserve">Younas, A., Inayat, S. and Masih, S.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2023</w:t>
      </w:r>
      <w:r w:rsidR="00061A5D" w:rsidRPr="00061A5D">
        <w:rPr>
          <w:rFonts w:ascii="Arial" w:hAnsi="Arial" w:cs="Arial"/>
          <w:color w:val="000000" w:themeColor="text1"/>
          <w:sz w:val="22"/>
          <w:szCs w:val="22"/>
          <w:shd w:val="clear" w:color="auto" w:fill="FFFFFF"/>
        </w:rPr>
        <w:t>) ‘Nurses</w:t>
      </w:r>
      <w:r w:rsidRPr="00061A5D">
        <w:rPr>
          <w:rFonts w:ascii="Arial" w:hAnsi="Arial" w:cs="Arial"/>
          <w:color w:val="000000" w:themeColor="text1"/>
          <w:sz w:val="22"/>
          <w:szCs w:val="22"/>
          <w:shd w:val="clear" w:color="auto" w:fill="FFFFFF"/>
        </w:rPr>
        <w:t xml:space="preserve"> perceived barriers to the delivery of person</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centred care to complex patients: A qualitative study using theoretical domains framework</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w:t>
      </w:r>
      <w:r w:rsidRPr="00061A5D">
        <w:rPr>
          <w:rFonts w:ascii="Arial" w:hAnsi="Arial" w:cs="Arial"/>
          <w:i/>
          <w:iCs/>
          <w:color w:val="000000" w:themeColor="text1"/>
          <w:sz w:val="22"/>
          <w:szCs w:val="22"/>
          <w:shd w:val="clear" w:color="auto" w:fill="FFFFFF"/>
        </w:rPr>
        <w:t>Journal of Clinical Nursing</w:t>
      </w:r>
      <w:r w:rsidRPr="00061A5D">
        <w:rPr>
          <w:rFonts w:ascii="Arial" w:hAnsi="Arial" w:cs="Arial"/>
          <w:color w:val="000000" w:themeColor="text1"/>
          <w:sz w:val="22"/>
          <w:szCs w:val="22"/>
          <w:shd w:val="clear" w:color="auto" w:fill="FFFFFF"/>
        </w:rPr>
        <w:t>, 32(3-4), pp.368-381.</w:t>
      </w:r>
    </w:p>
    <w:p w14:paraId="3F5E6065" w14:textId="77777777" w:rsidR="00061A5D" w:rsidRPr="00061A5D" w:rsidRDefault="00061A5D" w:rsidP="00ED2176">
      <w:pPr>
        <w:rPr>
          <w:rFonts w:ascii="Arial" w:hAnsi="Arial" w:cs="Arial"/>
          <w:color w:val="000000" w:themeColor="text1"/>
          <w:sz w:val="22"/>
          <w:szCs w:val="22"/>
        </w:rPr>
      </w:pPr>
    </w:p>
    <w:p w14:paraId="4BFCD392" w14:textId="4E37B605" w:rsidR="0064768E" w:rsidRPr="00061A5D" w:rsidRDefault="0064768E" w:rsidP="00ED2176">
      <w:pPr>
        <w:rPr>
          <w:rFonts w:ascii="Arial" w:hAnsi="Arial" w:cs="Arial"/>
          <w:color w:val="000000" w:themeColor="text1"/>
          <w:sz w:val="22"/>
          <w:szCs w:val="22"/>
          <w:shd w:val="clear" w:color="auto" w:fill="FFFFFF"/>
        </w:rPr>
      </w:pPr>
      <w:r w:rsidRPr="00061A5D">
        <w:rPr>
          <w:rFonts w:ascii="Arial" w:hAnsi="Arial" w:cs="Arial"/>
          <w:color w:val="000000" w:themeColor="text1"/>
          <w:sz w:val="22"/>
          <w:szCs w:val="22"/>
          <w:shd w:val="clear" w:color="auto" w:fill="FFFFFF"/>
        </w:rPr>
        <w:t xml:space="preserve">Young, G., Mathews, M., Meredith, L., Sibbald, S.L. and Ryan, D.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2025</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 </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Person</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xml:space="preserve">Centred Plans </w:t>
      </w:r>
      <w:proofErr w:type="gramStart"/>
      <w:r w:rsidRPr="00061A5D">
        <w:rPr>
          <w:rFonts w:ascii="Arial" w:hAnsi="Arial" w:cs="Arial"/>
          <w:color w:val="000000" w:themeColor="text1"/>
          <w:sz w:val="22"/>
          <w:szCs w:val="22"/>
          <w:shd w:val="clear" w:color="auto" w:fill="FFFFFF"/>
        </w:rPr>
        <w:t>From</w:t>
      </w:r>
      <w:proofErr w:type="gramEnd"/>
      <w:r w:rsidRPr="00061A5D">
        <w:rPr>
          <w:rFonts w:ascii="Arial" w:hAnsi="Arial" w:cs="Arial"/>
          <w:color w:val="000000" w:themeColor="text1"/>
          <w:sz w:val="22"/>
          <w:szCs w:val="22"/>
          <w:shd w:val="clear" w:color="auto" w:fill="FFFFFF"/>
        </w:rPr>
        <w:t xml:space="preserve"> the Perspective of Persons</w:t>
      </w:r>
      <w:r w:rsidRPr="00061A5D">
        <w:rPr>
          <w:rFonts w:ascii="Cambria Math" w:hAnsi="Cambria Math" w:cs="Cambria Math"/>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Supported in a Community Care Setting: A Qualitative Study</w:t>
      </w:r>
      <w:r w:rsidR="00061A5D" w:rsidRPr="00061A5D">
        <w:rPr>
          <w:rFonts w:ascii="Arial" w:hAnsi="Arial" w:cs="Arial"/>
          <w:color w:val="000000" w:themeColor="text1"/>
          <w:sz w:val="22"/>
          <w:szCs w:val="22"/>
          <w:shd w:val="clear" w:color="auto" w:fill="FFFFFF"/>
        </w:rPr>
        <w:t>’,</w:t>
      </w:r>
      <w:r w:rsidRPr="00061A5D">
        <w:rPr>
          <w:rFonts w:ascii="Arial" w:hAnsi="Arial" w:cs="Arial"/>
          <w:color w:val="000000" w:themeColor="text1"/>
          <w:sz w:val="22"/>
          <w:szCs w:val="22"/>
          <w:shd w:val="clear" w:color="auto" w:fill="FFFFFF"/>
        </w:rPr>
        <w:t> </w:t>
      </w:r>
      <w:r w:rsidRPr="00061A5D">
        <w:rPr>
          <w:rFonts w:ascii="Arial" w:hAnsi="Arial" w:cs="Arial"/>
          <w:i/>
          <w:iCs/>
          <w:color w:val="000000" w:themeColor="text1"/>
          <w:sz w:val="22"/>
          <w:szCs w:val="22"/>
          <w:shd w:val="clear" w:color="auto" w:fill="FFFFFF"/>
        </w:rPr>
        <w:t>Journal of Applied Research in Intellectual Disabilities</w:t>
      </w:r>
      <w:r w:rsidRPr="00061A5D">
        <w:rPr>
          <w:rFonts w:ascii="Arial" w:hAnsi="Arial" w:cs="Arial"/>
          <w:color w:val="000000" w:themeColor="text1"/>
          <w:sz w:val="22"/>
          <w:szCs w:val="22"/>
          <w:shd w:val="clear" w:color="auto" w:fill="FFFFFF"/>
        </w:rPr>
        <w:t>, 38(3), p.e70084.</w:t>
      </w:r>
    </w:p>
    <w:sectPr w:rsidR="0064768E" w:rsidRPr="00061A5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C986A" w14:textId="77777777" w:rsidR="00984D0D" w:rsidRDefault="00984D0D" w:rsidP="00077ECC">
      <w:r>
        <w:separator/>
      </w:r>
    </w:p>
  </w:endnote>
  <w:endnote w:type="continuationSeparator" w:id="0">
    <w:p w14:paraId="0237DC82" w14:textId="77777777" w:rsidR="00984D0D" w:rsidRDefault="00984D0D" w:rsidP="00077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4215069"/>
      <w:docPartObj>
        <w:docPartGallery w:val="Page Numbers (Bottom of Page)"/>
        <w:docPartUnique/>
      </w:docPartObj>
    </w:sdtPr>
    <w:sdtContent>
      <w:p w14:paraId="003BFA1B" w14:textId="6A80C00F" w:rsidR="00077ECC" w:rsidRDefault="00077ECC" w:rsidP="00F871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DD6A19" w14:textId="77777777" w:rsidR="00077ECC" w:rsidRDefault="00077E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0000580"/>
      <w:docPartObj>
        <w:docPartGallery w:val="Page Numbers (Bottom of Page)"/>
        <w:docPartUnique/>
      </w:docPartObj>
    </w:sdtPr>
    <w:sdtContent>
      <w:p w14:paraId="1827BF81" w14:textId="55D48976" w:rsidR="00077ECC" w:rsidRDefault="00077ECC" w:rsidP="00F871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A752FE" w14:textId="77777777" w:rsidR="00077ECC" w:rsidRDefault="00077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DC7E6" w14:textId="77777777" w:rsidR="00984D0D" w:rsidRDefault="00984D0D" w:rsidP="00077ECC">
      <w:r>
        <w:separator/>
      </w:r>
    </w:p>
  </w:footnote>
  <w:footnote w:type="continuationSeparator" w:id="0">
    <w:p w14:paraId="05771A9F" w14:textId="77777777" w:rsidR="00984D0D" w:rsidRDefault="00984D0D" w:rsidP="00077E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55B"/>
    <w:rsid w:val="00006B59"/>
    <w:rsid w:val="00011B07"/>
    <w:rsid w:val="00032EF4"/>
    <w:rsid w:val="00061A5D"/>
    <w:rsid w:val="00077ECC"/>
    <w:rsid w:val="000930A3"/>
    <w:rsid w:val="000F272E"/>
    <w:rsid w:val="00106D6E"/>
    <w:rsid w:val="00123E4F"/>
    <w:rsid w:val="00191821"/>
    <w:rsid w:val="00215CDF"/>
    <w:rsid w:val="002556F2"/>
    <w:rsid w:val="002C386B"/>
    <w:rsid w:val="00306AB5"/>
    <w:rsid w:val="0031175A"/>
    <w:rsid w:val="003867C7"/>
    <w:rsid w:val="003A55A9"/>
    <w:rsid w:val="003E2B60"/>
    <w:rsid w:val="00405BEF"/>
    <w:rsid w:val="00471460"/>
    <w:rsid w:val="004D0C6A"/>
    <w:rsid w:val="00512394"/>
    <w:rsid w:val="005650BE"/>
    <w:rsid w:val="005B572D"/>
    <w:rsid w:val="0064768E"/>
    <w:rsid w:val="006B3C1E"/>
    <w:rsid w:val="006B655B"/>
    <w:rsid w:val="00790630"/>
    <w:rsid w:val="007930C9"/>
    <w:rsid w:val="007B7EA1"/>
    <w:rsid w:val="00801AC6"/>
    <w:rsid w:val="0086317B"/>
    <w:rsid w:val="008E5EDF"/>
    <w:rsid w:val="00970C78"/>
    <w:rsid w:val="00984D0D"/>
    <w:rsid w:val="00A106A3"/>
    <w:rsid w:val="00A347C6"/>
    <w:rsid w:val="00A4477F"/>
    <w:rsid w:val="00AE2562"/>
    <w:rsid w:val="00AF25EC"/>
    <w:rsid w:val="00B24004"/>
    <w:rsid w:val="00BE7577"/>
    <w:rsid w:val="00C1592F"/>
    <w:rsid w:val="00C54A48"/>
    <w:rsid w:val="00CC4597"/>
    <w:rsid w:val="00CF0411"/>
    <w:rsid w:val="00DC5140"/>
    <w:rsid w:val="00DF5E3A"/>
    <w:rsid w:val="00E52CB0"/>
    <w:rsid w:val="00EB7209"/>
    <w:rsid w:val="00ED2176"/>
    <w:rsid w:val="00F07CD8"/>
    <w:rsid w:val="00F32544"/>
    <w:rsid w:val="00FC28CB"/>
    <w:rsid w:val="00FD1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ACFAFF"/>
  <w15:chartTrackingRefBased/>
  <w15:docId w15:val="{9B36900B-FBE7-C344-A480-078E43AA9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C6A"/>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6B65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65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65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65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5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55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55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55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55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5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65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5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5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5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5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5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5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55B"/>
    <w:rPr>
      <w:rFonts w:eastAsiaTheme="majorEastAsia" w:cstheme="majorBidi"/>
      <w:color w:val="272727" w:themeColor="text1" w:themeTint="D8"/>
    </w:rPr>
  </w:style>
  <w:style w:type="paragraph" w:styleId="Title">
    <w:name w:val="Title"/>
    <w:basedOn w:val="Normal"/>
    <w:next w:val="Normal"/>
    <w:link w:val="TitleChar"/>
    <w:uiPriority w:val="10"/>
    <w:qFormat/>
    <w:rsid w:val="006B655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5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5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5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55B"/>
    <w:pPr>
      <w:spacing w:before="160"/>
      <w:jc w:val="center"/>
    </w:pPr>
    <w:rPr>
      <w:i/>
      <w:iCs/>
      <w:color w:val="404040" w:themeColor="text1" w:themeTint="BF"/>
    </w:rPr>
  </w:style>
  <w:style w:type="character" w:customStyle="1" w:styleId="QuoteChar">
    <w:name w:val="Quote Char"/>
    <w:basedOn w:val="DefaultParagraphFont"/>
    <w:link w:val="Quote"/>
    <w:uiPriority w:val="29"/>
    <w:rsid w:val="006B655B"/>
    <w:rPr>
      <w:i/>
      <w:iCs/>
      <w:color w:val="404040" w:themeColor="text1" w:themeTint="BF"/>
    </w:rPr>
  </w:style>
  <w:style w:type="paragraph" w:styleId="ListParagraph">
    <w:name w:val="List Paragraph"/>
    <w:basedOn w:val="Normal"/>
    <w:uiPriority w:val="34"/>
    <w:qFormat/>
    <w:rsid w:val="006B655B"/>
    <w:pPr>
      <w:ind w:left="720"/>
      <w:contextualSpacing/>
    </w:pPr>
  </w:style>
  <w:style w:type="character" w:styleId="IntenseEmphasis">
    <w:name w:val="Intense Emphasis"/>
    <w:basedOn w:val="DefaultParagraphFont"/>
    <w:uiPriority w:val="21"/>
    <w:qFormat/>
    <w:rsid w:val="006B655B"/>
    <w:rPr>
      <w:i/>
      <w:iCs/>
      <w:color w:val="0F4761" w:themeColor="accent1" w:themeShade="BF"/>
    </w:rPr>
  </w:style>
  <w:style w:type="paragraph" w:styleId="IntenseQuote">
    <w:name w:val="Intense Quote"/>
    <w:basedOn w:val="Normal"/>
    <w:next w:val="Normal"/>
    <w:link w:val="IntenseQuoteChar"/>
    <w:uiPriority w:val="30"/>
    <w:qFormat/>
    <w:rsid w:val="006B65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55B"/>
    <w:rPr>
      <w:i/>
      <w:iCs/>
      <w:color w:val="0F4761" w:themeColor="accent1" w:themeShade="BF"/>
    </w:rPr>
  </w:style>
  <w:style w:type="character" w:styleId="IntenseReference">
    <w:name w:val="Intense Reference"/>
    <w:basedOn w:val="DefaultParagraphFont"/>
    <w:uiPriority w:val="32"/>
    <w:qFormat/>
    <w:rsid w:val="006B655B"/>
    <w:rPr>
      <w:b/>
      <w:bCs/>
      <w:smallCaps/>
      <w:color w:val="0F4761" w:themeColor="accent1" w:themeShade="BF"/>
      <w:spacing w:val="5"/>
    </w:rPr>
  </w:style>
  <w:style w:type="paragraph" w:styleId="NormalWeb">
    <w:name w:val="Normal (Web)"/>
    <w:basedOn w:val="Normal"/>
    <w:uiPriority w:val="99"/>
    <w:unhideWhenUsed/>
    <w:rsid w:val="006B655B"/>
    <w:pPr>
      <w:spacing w:before="100" w:beforeAutospacing="1" w:after="100" w:afterAutospacing="1"/>
    </w:pPr>
    <w:rPr>
      <w:lang w:eastAsia="en-GB"/>
    </w:rPr>
  </w:style>
  <w:style w:type="paragraph" w:customStyle="1" w:styleId="isselectedend">
    <w:name w:val="isselectedend"/>
    <w:basedOn w:val="Normal"/>
    <w:rsid w:val="00123E4F"/>
    <w:pPr>
      <w:spacing w:before="100" w:beforeAutospacing="1" w:after="100" w:afterAutospacing="1"/>
    </w:pPr>
    <w:rPr>
      <w:lang w:eastAsia="en-GB"/>
    </w:rPr>
  </w:style>
  <w:style w:type="character" w:styleId="Strong">
    <w:name w:val="Strong"/>
    <w:basedOn w:val="DefaultParagraphFont"/>
    <w:uiPriority w:val="22"/>
    <w:qFormat/>
    <w:rsid w:val="00BE7577"/>
    <w:rPr>
      <w:b/>
      <w:bCs/>
    </w:rPr>
  </w:style>
  <w:style w:type="character" w:styleId="Emphasis">
    <w:name w:val="Emphasis"/>
    <w:basedOn w:val="DefaultParagraphFont"/>
    <w:uiPriority w:val="20"/>
    <w:qFormat/>
    <w:rsid w:val="00B24004"/>
    <w:rPr>
      <w:i/>
      <w:iCs/>
    </w:rPr>
  </w:style>
  <w:style w:type="character" w:styleId="Hyperlink">
    <w:name w:val="Hyperlink"/>
    <w:basedOn w:val="DefaultParagraphFont"/>
    <w:uiPriority w:val="99"/>
    <w:unhideWhenUsed/>
    <w:rsid w:val="00B24004"/>
    <w:rPr>
      <w:color w:val="0000FF"/>
      <w:u w:val="single"/>
    </w:rPr>
  </w:style>
  <w:style w:type="character" w:styleId="FollowedHyperlink">
    <w:name w:val="FollowedHyperlink"/>
    <w:basedOn w:val="DefaultParagraphFont"/>
    <w:uiPriority w:val="99"/>
    <w:semiHidden/>
    <w:unhideWhenUsed/>
    <w:rsid w:val="00E52CB0"/>
    <w:rPr>
      <w:color w:val="96607D" w:themeColor="followedHyperlink"/>
      <w:u w:val="single"/>
    </w:rPr>
  </w:style>
  <w:style w:type="character" w:styleId="UnresolvedMention">
    <w:name w:val="Unresolved Mention"/>
    <w:basedOn w:val="DefaultParagraphFont"/>
    <w:uiPriority w:val="99"/>
    <w:semiHidden/>
    <w:unhideWhenUsed/>
    <w:rsid w:val="00E52CB0"/>
    <w:rPr>
      <w:color w:val="605E5C"/>
      <w:shd w:val="clear" w:color="auto" w:fill="E1DFDD"/>
    </w:rPr>
  </w:style>
  <w:style w:type="paragraph" w:styleId="TOCHeading">
    <w:name w:val="TOC Heading"/>
    <w:basedOn w:val="Heading1"/>
    <w:next w:val="Normal"/>
    <w:uiPriority w:val="39"/>
    <w:unhideWhenUsed/>
    <w:qFormat/>
    <w:rsid w:val="00970C7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70C78"/>
    <w:pPr>
      <w:spacing w:before="240" w:after="120"/>
    </w:pPr>
    <w:rPr>
      <w:rFonts w:asciiTheme="minorHAnsi" w:hAnsiTheme="minorHAnsi"/>
      <w:b/>
      <w:bCs/>
      <w:sz w:val="20"/>
      <w:szCs w:val="20"/>
    </w:rPr>
  </w:style>
  <w:style w:type="paragraph" w:styleId="TOC2">
    <w:name w:val="toc 2"/>
    <w:basedOn w:val="Normal"/>
    <w:next w:val="Normal"/>
    <w:autoRedefine/>
    <w:uiPriority w:val="39"/>
    <w:semiHidden/>
    <w:unhideWhenUsed/>
    <w:rsid w:val="00970C78"/>
    <w:pPr>
      <w:spacing w:before="120"/>
      <w:ind w:left="240"/>
    </w:pPr>
    <w:rPr>
      <w:rFonts w:asciiTheme="minorHAnsi" w:hAnsiTheme="minorHAnsi"/>
      <w:i/>
      <w:iCs/>
      <w:sz w:val="20"/>
      <w:szCs w:val="20"/>
    </w:rPr>
  </w:style>
  <w:style w:type="paragraph" w:styleId="TOC3">
    <w:name w:val="toc 3"/>
    <w:basedOn w:val="Normal"/>
    <w:next w:val="Normal"/>
    <w:autoRedefine/>
    <w:uiPriority w:val="39"/>
    <w:semiHidden/>
    <w:unhideWhenUsed/>
    <w:rsid w:val="00970C7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70C7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70C7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70C7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70C7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70C7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70C78"/>
    <w:pPr>
      <w:ind w:left="1920"/>
    </w:pPr>
    <w:rPr>
      <w:rFonts w:asciiTheme="minorHAnsi" w:hAnsiTheme="minorHAnsi"/>
      <w:sz w:val="20"/>
      <w:szCs w:val="20"/>
    </w:rPr>
  </w:style>
  <w:style w:type="paragraph" w:styleId="Footer">
    <w:name w:val="footer"/>
    <w:basedOn w:val="Normal"/>
    <w:link w:val="FooterChar"/>
    <w:uiPriority w:val="99"/>
    <w:unhideWhenUsed/>
    <w:rsid w:val="00077ECC"/>
    <w:pPr>
      <w:tabs>
        <w:tab w:val="center" w:pos="4513"/>
        <w:tab w:val="right" w:pos="9026"/>
      </w:tabs>
    </w:pPr>
  </w:style>
  <w:style w:type="character" w:customStyle="1" w:styleId="FooterChar">
    <w:name w:val="Footer Char"/>
    <w:basedOn w:val="DefaultParagraphFont"/>
    <w:link w:val="Footer"/>
    <w:uiPriority w:val="99"/>
    <w:rsid w:val="00077ECC"/>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077E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57112">
      <w:bodyDiv w:val="1"/>
      <w:marLeft w:val="0"/>
      <w:marRight w:val="0"/>
      <w:marTop w:val="0"/>
      <w:marBottom w:val="0"/>
      <w:divBdr>
        <w:top w:val="none" w:sz="0" w:space="0" w:color="auto"/>
        <w:left w:val="none" w:sz="0" w:space="0" w:color="auto"/>
        <w:bottom w:val="none" w:sz="0" w:space="0" w:color="auto"/>
        <w:right w:val="none" w:sz="0" w:space="0" w:color="auto"/>
      </w:divBdr>
    </w:div>
    <w:div w:id="177283281">
      <w:bodyDiv w:val="1"/>
      <w:marLeft w:val="0"/>
      <w:marRight w:val="0"/>
      <w:marTop w:val="0"/>
      <w:marBottom w:val="0"/>
      <w:divBdr>
        <w:top w:val="none" w:sz="0" w:space="0" w:color="auto"/>
        <w:left w:val="none" w:sz="0" w:space="0" w:color="auto"/>
        <w:bottom w:val="none" w:sz="0" w:space="0" w:color="auto"/>
        <w:right w:val="none" w:sz="0" w:space="0" w:color="auto"/>
      </w:divBdr>
    </w:div>
    <w:div w:id="251092361">
      <w:bodyDiv w:val="1"/>
      <w:marLeft w:val="0"/>
      <w:marRight w:val="0"/>
      <w:marTop w:val="0"/>
      <w:marBottom w:val="0"/>
      <w:divBdr>
        <w:top w:val="none" w:sz="0" w:space="0" w:color="auto"/>
        <w:left w:val="none" w:sz="0" w:space="0" w:color="auto"/>
        <w:bottom w:val="none" w:sz="0" w:space="0" w:color="auto"/>
        <w:right w:val="none" w:sz="0" w:space="0" w:color="auto"/>
      </w:divBdr>
    </w:div>
    <w:div w:id="259486388">
      <w:bodyDiv w:val="1"/>
      <w:marLeft w:val="0"/>
      <w:marRight w:val="0"/>
      <w:marTop w:val="0"/>
      <w:marBottom w:val="0"/>
      <w:divBdr>
        <w:top w:val="none" w:sz="0" w:space="0" w:color="auto"/>
        <w:left w:val="none" w:sz="0" w:space="0" w:color="auto"/>
        <w:bottom w:val="none" w:sz="0" w:space="0" w:color="auto"/>
        <w:right w:val="none" w:sz="0" w:space="0" w:color="auto"/>
      </w:divBdr>
    </w:div>
    <w:div w:id="392898636">
      <w:bodyDiv w:val="1"/>
      <w:marLeft w:val="0"/>
      <w:marRight w:val="0"/>
      <w:marTop w:val="0"/>
      <w:marBottom w:val="0"/>
      <w:divBdr>
        <w:top w:val="none" w:sz="0" w:space="0" w:color="auto"/>
        <w:left w:val="none" w:sz="0" w:space="0" w:color="auto"/>
        <w:bottom w:val="none" w:sz="0" w:space="0" w:color="auto"/>
        <w:right w:val="none" w:sz="0" w:space="0" w:color="auto"/>
      </w:divBdr>
    </w:div>
    <w:div w:id="403601787">
      <w:bodyDiv w:val="1"/>
      <w:marLeft w:val="0"/>
      <w:marRight w:val="0"/>
      <w:marTop w:val="0"/>
      <w:marBottom w:val="0"/>
      <w:divBdr>
        <w:top w:val="none" w:sz="0" w:space="0" w:color="auto"/>
        <w:left w:val="none" w:sz="0" w:space="0" w:color="auto"/>
        <w:bottom w:val="none" w:sz="0" w:space="0" w:color="auto"/>
        <w:right w:val="none" w:sz="0" w:space="0" w:color="auto"/>
      </w:divBdr>
    </w:div>
    <w:div w:id="422848299">
      <w:bodyDiv w:val="1"/>
      <w:marLeft w:val="0"/>
      <w:marRight w:val="0"/>
      <w:marTop w:val="0"/>
      <w:marBottom w:val="0"/>
      <w:divBdr>
        <w:top w:val="none" w:sz="0" w:space="0" w:color="auto"/>
        <w:left w:val="none" w:sz="0" w:space="0" w:color="auto"/>
        <w:bottom w:val="none" w:sz="0" w:space="0" w:color="auto"/>
        <w:right w:val="none" w:sz="0" w:space="0" w:color="auto"/>
      </w:divBdr>
    </w:div>
    <w:div w:id="541477253">
      <w:bodyDiv w:val="1"/>
      <w:marLeft w:val="0"/>
      <w:marRight w:val="0"/>
      <w:marTop w:val="0"/>
      <w:marBottom w:val="0"/>
      <w:divBdr>
        <w:top w:val="none" w:sz="0" w:space="0" w:color="auto"/>
        <w:left w:val="none" w:sz="0" w:space="0" w:color="auto"/>
        <w:bottom w:val="none" w:sz="0" w:space="0" w:color="auto"/>
        <w:right w:val="none" w:sz="0" w:space="0" w:color="auto"/>
      </w:divBdr>
    </w:div>
    <w:div w:id="563415906">
      <w:bodyDiv w:val="1"/>
      <w:marLeft w:val="0"/>
      <w:marRight w:val="0"/>
      <w:marTop w:val="0"/>
      <w:marBottom w:val="0"/>
      <w:divBdr>
        <w:top w:val="none" w:sz="0" w:space="0" w:color="auto"/>
        <w:left w:val="none" w:sz="0" w:space="0" w:color="auto"/>
        <w:bottom w:val="none" w:sz="0" w:space="0" w:color="auto"/>
        <w:right w:val="none" w:sz="0" w:space="0" w:color="auto"/>
      </w:divBdr>
    </w:div>
    <w:div w:id="707216897">
      <w:bodyDiv w:val="1"/>
      <w:marLeft w:val="0"/>
      <w:marRight w:val="0"/>
      <w:marTop w:val="0"/>
      <w:marBottom w:val="0"/>
      <w:divBdr>
        <w:top w:val="none" w:sz="0" w:space="0" w:color="auto"/>
        <w:left w:val="none" w:sz="0" w:space="0" w:color="auto"/>
        <w:bottom w:val="none" w:sz="0" w:space="0" w:color="auto"/>
        <w:right w:val="none" w:sz="0" w:space="0" w:color="auto"/>
      </w:divBdr>
    </w:div>
    <w:div w:id="750934751">
      <w:bodyDiv w:val="1"/>
      <w:marLeft w:val="0"/>
      <w:marRight w:val="0"/>
      <w:marTop w:val="0"/>
      <w:marBottom w:val="0"/>
      <w:divBdr>
        <w:top w:val="none" w:sz="0" w:space="0" w:color="auto"/>
        <w:left w:val="none" w:sz="0" w:space="0" w:color="auto"/>
        <w:bottom w:val="none" w:sz="0" w:space="0" w:color="auto"/>
        <w:right w:val="none" w:sz="0" w:space="0" w:color="auto"/>
      </w:divBdr>
    </w:div>
    <w:div w:id="809174342">
      <w:bodyDiv w:val="1"/>
      <w:marLeft w:val="0"/>
      <w:marRight w:val="0"/>
      <w:marTop w:val="0"/>
      <w:marBottom w:val="0"/>
      <w:divBdr>
        <w:top w:val="none" w:sz="0" w:space="0" w:color="auto"/>
        <w:left w:val="none" w:sz="0" w:space="0" w:color="auto"/>
        <w:bottom w:val="none" w:sz="0" w:space="0" w:color="auto"/>
        <w:right w:val="none" w:sz="0" w:space="0" w:color="auto"/>
      </w:divBdr>
    </w:div>
    <w:div w:id="865216447">
      <w:bodyDiv w:val="1"/>
      <w:marLeft w:val="0"/>
      <w:marRight w:val="0"/>
      <w:marTop w:val="0"/>
      <w:marBottom w:val="0"/>
      <w:divBdr>
        <w:top w:val="none" w:sz="0" w:space="0" w:color="auto"/>
        <w:left w:val="none" w:sz="0" w:space="0" w:color="auto"/>
        <w:bottom w:val="none" w:sz="0" w:space="0" w:color="auto"/>
        <w:right w:val="none" w:sz="0" w:space="0" w:color="auto"/>
      </w:divBdr>
    </w:div>
    <w:div w:id="928083154">
      <w:bodyDiv w:val="1"/>
      <w:marLeft w:val="0"/>
      <w:marRight w:val="0"/>
      <w:marTop w:val="0"/>
      <w:marBottom w:val="0"/>
      <w:divBdr>
        <w:top w:val="none" w:sz="0" w:space="0" w:color="auto"/>
        <w:left w:val="none" w:sz="0" w:space="0" w:color="auto"/>
        <w:bottom w:val="none" w:sz="0" w:space="0" w:color="auto"/>
        <w:right w:val="none" w:sz="0" w:space="0" w:color="auto"/>
      </w:divBdr>
    </w:div>
    <w:div w:id="947082564">
      <w:bodyDiv w:val="1"/>
      <w:marLeft w:val="0"/>
      <w:marRight w:val="0"/>
      <w:marTop w:val="0"/>
      <w:marBottom w:val="0"/>
      <w:divBdr>
        <w:top w:val="none" w:sz="0" w:space="0" w:color="auto"/>
        <w:left w:val="none" w:sz="0" w:space="0" w:color="auto"/>
        <w:bottom w:val="none" w:sz="0" w:space="0" w:color="auto"/>
        <w:right w:val="none" w:sz="0" w:space="0" w:color="auto"/>
      </w:divBdr>
    </w:div>
    <w:div w:id="993022539">
      <w:bodyDiv w:val="1"/>
      <w:marLeft w:val="0"/>
      <w:marRight w:val="0"/>
      <w:marTop w:val="0"/>
      <w:marBottom w:val="0"/>
      <w:divBdr>
        <w:top w:val="none" w:sz="0" w:space="0" w:color="auto"/>
        <w:left w:val="none" w:sz="0" w:space="0" w:color="auto"/>
        <w:bottom w:val="none" w:sz="0" w:space="0" w:color="auto"/>
        <w:right w:val="none" w:sz="0" w:space="0" w:color="auto"/>
      </w:divBdr>
    </w:div>
    <w:div w:id="1100032665">
      <w:bodyDiv w:val="1"/>
      <w:marLeft w:val="0"/>
      <w:marRight w:val="0"/>
      <w:marTop w:val="0"/>
      <w:marBottom w:val="0"/>
      <w:divBdr>
        <w:top w:val="none" w:sz="0" w:space="0" w:color="auto"/>
        <w:left w:val="none" w:sz="0" w:space="0" w:color="auto"/>
        <w:bottom w:val="none" w:sz="0" w:space="0" w:color="auto"/>
        <w:right w:val="none" w:sz="0" w:space="0" w:color="auto"/>
      </w:divBdr>
    </w:div>
    <w:div w:id="1100299598">
      <w:bodyDiv w:val="1"/>
      <w:marLeft w:val="0"/>
      <w:marRight w:val="0"/>
      <w:marTop w:val="0"/>
      <w:marBottom w:val="0"/>
      <w:divBdr>
        <w:top w:val="none" w:sz="0" w:space="0" w:color="auto"/>
        <w:left w:val="none" w:sz="0" w:space="0" w:color="auto"/>
        <w:bottom w:val="none" w:sz="0" w:space="0" w:color="auto"/>
        <w:right w:val="none" w:sz="0" w:space="0" w:color="auto"/>
      </w:divBdr>
    </w:div>
    <w:div w:id="1211962345">
      <w:bodyDiv w:val="1"/>
      <w:marLeft w:val="0"/>
      <w:marRight w:val="0"/>
      <w:marTop w:val="0"/>
      <w:marBottom w:val="0"/>
      <w:divBdr>
        <w:top w:val="none" w:sz="0" w:space="0" w:color="auto"/>
        <w:left w:val="none" w:sz="0" w:space="0" w:color="auto"/>
        <w:bottom w:val="none" w:sz="0" w:space="0" w:color="auto"/>
        <w:right w:val="none" w:sz="0" w:space="0" w:color="auto"/>
      </w:divBdr>
    </w:div>
    <w:div w:id="1257059895">
      <w:bodyDiv w:val="1"/>
      <w:marLeft w:val="0"/>
      <w:marRight w:val="0"/>
      <w:marTop w:val="0"/>
      <w:marBottom w:val="0"/>
      <w:divBdr>
        <w:top w:val="none" w:sz="0" w:space="0" w:color="auto"/>
        <w:left w:val="none" w:sz="0" w:space="0" w:color="auto"/>
        <w:bottom w:val="none" w:sz="0" w:space="0" w:color="auto"/>
        <w:right w:val="none" w:sz="0" w:space="0" w:color="auto"/>
      </w:divBdr>
    </w:div>
    <w:div w:id="1269892466">
      <w:bodyDiv w:val="1"/>
      <w:marLeft w:val="0"/>
      <w:marRight w:val="0"/>
      <w:marTop w:val="0"/>
      <w:marBottom w:val="0"/>
      <w:divBdr>
        <w:top w:val="none" w:sz="0" w:space="0" w:color="auto"/>
        <w:left w:val="none" w:sz="0" w:space="0" w:color="auto"/>
        <w:bottom w:val="none" w:sz="0" w:space="0" w:color="auto"/>
        <w:right w:val="none" w:sz="0" w:space="0" w:color="auto"/>
      </w:divBdr>
    </w:div>
    <w:div w:id="1345667803">
      <w:bodyDiv w:val="1"/>
      <w:marLeft w:val="0"/>
      <w:marRight w:val="0"/>
      <w:marTop w:val="0"/>
      <w:marBottom w:val="0"/>
      <w:divBdr>
        <w:top w:val="none" w:sz="0" w:space="0" w:color="auto"/>
        <w:left w:val="none" w:sz="0" w:space="0" w:color="auto"/>
        <w:bottom w:val="none" w:sz="0" w:space="0" w:color="auto"/>
        <w:right w:val="none" w:sz="0" w:space="0" w:color="auto"/>
      </w:divBdr>
    </w:div>
    <w:div w:id="1367289516">
      <w:bodyDiv w:val="1"/>
      <w:marLeft w:val="0"/>
      <w:marRight w:val="0"/>
      <w:marTop w:val="0"/>
      <w:marBottom w:val="0"/>
      <w:divBdr>
        <w:top w:val="none" w:sz="0" w:space="0" w:color="auto"/>
        <w:left w:val="none" w:sz="0" w:space="0" w:color="auto"/>
        <w:bottom w:val="none" w:sz="0" w:space="0" w:color="auto"/>
        <w:right w:val="none" w:sz="0" w:space="0" w:color="auto"/>
      </w:divBdr>
    </w:div>
    <w:div w:id="1399592160">
      <w:bodyDiv w:val="1"/>
      <w:marLeft w:val="0"/>
      <w:marRight w:val="0"/>
      <w:marTop w:val="0"/>
      <w:marBottom w:val="0"/>
      <w:divBdr>
        <w:top w:val="none" w:sz="0" w:space="0" w:color="auto"/>
        <w:left w:val="none" w:sz="0" w:space="0" w:color="auto"/>
        <w:bottom w:val="none" w:sz="0" w:space="0" w:color="auto"/>
        <w:right w:val="none" w:sz="0" w:space="0" w:color="auto"/>
      </w:divBdr>
    </w:div>
    <w:div w:id="1410731536">
      <w:bodyDiv w:val="1"/>
      <w:marLeft w:val="0"/>
      <w:marRight w:val="0"/>
      <w:marTop w:val="0"/>
      <w:marBottom w:val="0"/>
      <w:divBdr>
        <w:top w:val="none" w:sz="0" w:space="0" w:color="auto"/>
        <w:left w:val="none" w:sz="0" w:space="0" w:color="auto"/>
        <w:bottom w:val="none" w:sz="0" w:space="0" w:color="auto"/>
        <w:right w:val="none" w:sz="0" w:space="0" w:color="auto"/>
      </w:divBdr>
    </w:div>
    <w:div w:id="1441145714">
      <w:bodyDiv w:val="1"/>
      <w:marLeft w:val="0"/>
      <w:marRight w:val="0"/>
      <w:marTop w:val="0"/>
      <w:marBottom w:val="0"/>
      <w:divBdr>
        <w:top w:val="none" w:sz="0" w:space="0" w:color="auto"/>
        <w:left w:val="none" w:sz="0" w:space="0" w:color="auto"/>
        <w:bottom w:val="none" w:sz="0" w:space="0" w:color="auto"/>
        <w:right w:val="none" w:sz="0" w:space="0" w:color="auto"/>
      </w:divBdr>
    </w:div>
    <w:div w:id="1472556070">
      <w:bodyDiv w:val="1"/>
      <w:marLeft w:val="0"/>
      <w:marRight w:val="0"/>
      <w:marTop w:val="0"/>
      <w:marBottom w:val="0"/>
      <w:divBdr>
        <w:top w:val="none" w:sz="0" w:space="0" w:color="auto"/>
        <w:left w:val="none" w:sz="0" w:space="0" w:color="auto"/>
        <w:bottom w:val="none" w:sz="0" w:space="0" w:color="auto"/>
        <w:right w:val="none" w:sz="0" w:space="0" w:color="auto"/>
      </w:divBdr>
    </w:div>
    <w:div w:id="1474636461">
      <w:bodyDiv w:val="1"/>
      <w:marLeft w:val="0"/>
      <w:marRight w:val="0"/>
      <w:marTop w:val="0"/>
      <w:marBottom w:val="0"/>
      <w:divBdr>
        <w:top w:val="none" w:sz="0" w:space="0" w:color="auto"/>
        <w:left w:val="none" w:sz="0" w:space="0" w:color="auto"/>
        <w:bottom w:val="none" w:sz="0" w:space="0" w:color="auto"/>
        <w:right w:val="none" w:sz="0" w:space="0" w:color="auto"/>
      </w:divBdr>
    </w:div>
    <w:div w:id="1492672001">
      <w:bodyDiv w:val="1"/>
      <w:marLeft w:val="0"/>
      <w:marRight w:val="0"/>
      <w:marTop w:val="0"/>
      <w:marBottom w:val="0"/>
      <w:divBdr>
        <w:top w:val="none" w:sz="0" w:space="0" w:color="auto"/>
        <w:left w:val="none" w:sz="0" w:space="0" w:color="auto"/>
        <w:bottom w:val="none" w:sz="0" w:space="0" w:color="auto"/>
        <w:right w:val="none" w:sz="0" w:space="0" w:color="auto"/>
      </w:divBdr>
    </w:div>
    <w:div w:id="1686321237">
      <w:bodyDiv w:val="1"/>
      <w:marLeft w:val="0"/>
      <w:marRight w:val="0"/>
      <w:marTop w:val="0"/>
      <w:marBottom w:val="0"/>
      <w:divBdr>
        <w:top w:val="none" w:sz="0" w:space="0" w:color="auto"/>
        <w:left w:val="none" w:sz="0" w:space="0" w:color="auto"/>
        <w:bottom w:val="none" w:sz="0" w:space="0" w:color="auto"/>
        <w:right w:val="none" w:sz="0" w:space="0" w:color="auto"/>
      </w:divBdr>
    </w:div>
    <w:div w:id="1754355688">
      <w:bodyDiv w:val="1"/>
      <w:marLeft w:val="0"/>
      <w:marRight w:val="0"/>
      <w:marTop w:val="0"/>
      <w:marBottom w:val="0"/>
      <w:divBdr>
        <w:top w:val="none" w:sz="0" w:space="0" w:color="auto"/>
        <w:left w:val="none" w:sz="0" w:space="0" w:color="auto"/>
        <w:bottom w:val="none" w:sz="0" w:space="0" w:color="auto"/>
        <w:right w:val="none" w:sz="0" w:space="0" w:color="auto"/>
      </w:divBdr>
    </w:div>
    <w:div w:id="1782607517">
      <w:bodyDiv w:val="1"/>
      <w:marLeft w:val="0"/>
      <w:marRight w:val="0"/>
      <w:marTop w:val="0"/>
      <w:marBottom w:val="0"/>
      <w:divBdr>
        <w:top w:val="none" w:sz="0" w:space="0" w:color="auto"/>
        <w:left w:val="none" w:sz="0" w:space="0" w:color="auto"/>
        <w:bottom w:val="none" w:sz="0" w:space="0" w:color="auto"/>
        <w:right w:val="none" w:sz="0" w:space="0" w:color="auto"/>
      </w:divBdr>
    </w:div>
    <w:div w:id="1816293803">
      <w:bodyDiv w:val="1"/>
      <w:marLeft w:val="0"/>
      <w:marRight w:val="0"/>
      <w:marTop w:val="0"/>
      <w:marBottom w:val="0"/>
      <w:divBdr>
        <w:top w:val="none" w:sz="0" w:space="0" w:color="auto"/>
        <w:left w:val="none" w:sz="0" w:space="0" w:color="auto"/>
        <w:bottom w:val="none" w:sz="0" w:space="0" w:color="auto"/>
        <w:right w:val="none" w:sz="0" w:space="0" w:color="auto"/>
      </w:divBdr>
    </w:div>
    <w:div w:id="1821918566">
      <w:bodyDiv w:val="1"/>
      <w:marLeft w:val="0"/>
      <w:marRight w:val="0"/>
      <w:marTop w:val="0"/>
      <w:marBottom w:val="0"/>
      <w:divBdr>
        <w:top w:val="none" w:sz="0" w:space="0" w:color="auto"/>
        <w:left w:val="none" w:sz="0" w:space="0" w:color="auto"/>
        <w:bottom w:val="none" w:sz="0" w:space="0" w:color="auto"/>
        <w:right w:val="none" w:sz="0" w:space="0" w:color="auto"/>
      </w:divBdr>
    </w:div>
    <w:div w:id="1869948389">
      <w:bodyDiv w:val="1"/>
      <w:marLeft w:val="0"/>
      <w:marRight w:val="0"/>
      <w:marTop w:val="0"/>
      <w:marBottom w:val="0"/>
      <w:divBdr>
        <w:top w:val="none" w:sz="0" w:space="0" w:color="auto"/>
        <w:left w:val="none" w:sz="0" w:space="0" w:color="auto"/>
        <w:bottom w:val="none" w:sz="0" w:space="0" w:color="auto"/>
        <w:right w:val="none" w:sz="0" w:space="0" w:color="auto"/>
      </w:divBdr>
    </w:div>
    <w:div w:id="1883596846">
      <w:bodyDiv w:val="1"/>
      <w:marLeft w:val="0"/>
      <w:marRight w:val="0"/>
      <w:marTop w:val="0"/>
      <w:marBottom w:val="0"/>
      <w:divBdr>
        <w:top w:val="none" w:sz="0" w:space="0" w:color="auto"/>
        <w:left w:val="none" w:sz="0" w:space="0" w:color="auto"/>
        <w:bottom w:val="none" w:sz="0" w:space="0" w:color="auto"/>
        <w:right w:val="none" w:sz="0" w:space="0" w:color="auto"/>
      </w:divBdr>
    </w:div>
    <w:div w:id="1921207906">
      <w:bodyDiv w:val="1"/>
      <w:marLeft w:val="0"/>
      <w:marRight w:val="0"/>
      <w:marTop w:val="0"/>
      <w:marBottom w:val="0"/>
      <w:divBdr>
        <w:top w:val="none" w:sz="0" w:space="0" w:color="auto"/>
        <w:left w:val="none" w:sz="0" w:space="0" w:color="auto"/>
        <w:bottom w:val="none" w:sz="0" w:space="0" w:color="auto"/>
        <w:right w:val="none" w:sz="0" w:space="0" w:color="auto"/>
      </w:divBdr>
    </w:div>
    <w:div w:id="1970159242">
      <w:bodyDiv w:val="1"/>
      <w:marLeft w:val="0"/>
      <w:marRight w:val="0"/>
      <w:marTop w:val="0"/>
      <w:marBottom w:val="0"/>
      <w:divBdr>
        <w:top w:val="none" w:sz="0" w:space="0" w:color="auto"/>
        <w:left w:val="none" w:sz="0" w:space="0" w:color="auto"/>
        <w:bottom w:val="none" w:sz="0" w:space="0" w:color="auto"/>
        <w:right w:val="none" w:sz="0" w:space="0" w:color="auto"/>
      </w:divBdr>
    </w:div>
    <w:div w:id="1990868113">
      <w:bodyDiv w:val="1"/>
      <w:marLeft w:val="0"/>
      <w:marRight w:val="0"/>
      <w:marTop w:val="0"/>
      <w:marBottom w:val="0"/>
      <w:divBdr>
        <w:top w:val="none" w:sz="0" w:space="0" w:color="auto"/>
        <w:left w:val="none" w:sz="0" w:space="0" w:color="auto"/>
        <w:bottom w:val="none" w:sz="0" w:space="0" w:color="auto"/>
        <w:right w:val="none" w:sz="0" w:space="0" w:color="auto"/>
      </w:divBdr>
    </w:div>
    <w:div w:id="2044556230">
      <w:bodyDiv w:val="1"/>
      <w:marLeft w:val="0"/>
      <w:marRight w:val="0"/>
      <w:marTop w:val="0"/>
      <w:marBottom w:val="0"/>
      <w:divBdr>
        <w:top w:val="none" w:sz="0" w:space="0" w:color="auto"/>
        <w:left w:val="none" w:sz="0" w:space="0" w:color="auto"/>
        <w:bottom w:val="none" w:sz="0" w:space="0" w:color="auto"/>
        <w:right w:val="none" w:sz="0" w:space="0" w:color="auto"/>
      </w:divBdr>
    </w:div>
    <w:div w:id="2057116836">
      <w:bodyDiv w:val="1"/>
      <w:marLeft w:val="0"/>
      <w:marRight w:val="0"/>
      <w:marTop w:val="0"/>
      <w:marBottom w:val="0"/>
      <w:divBdr>
        <w:top w:val="none" w:sz="0" w:space="0" w:color="auto"/>
        <w:left w:val="none" w:sz="0" w:space="0" w:color="auto"/>
        <w:bottom w:val="none" w:sz="0" w:space="0" w:color="auto"/>
        <w:right w:val="none" w:sz="0" w:space="0" w:color="auto"/>
      </w:divBdr>
    </w:div>
    <w:div w:id="2064671761">
      <w:bodyDiv w:val="1"/>
      <w:marLeft w:val="0"/>
      <w:marRight w:val="0"/>
      <w:marTop w:val="0"/>
      <w:marBottom w:val="0"/>
      <w:divBdr>
        <w:top w:val="none" w:sz="0" w:space="0" w:color="auto"/>
        <w:left w:val="none" w:sz="0" w:space="0" w:color="auto"/>
        <w:bottom w:val="none" w:sz="0" w:space="0" w:color="auto"/>
        <w:right w:val="none" w:sz="0" w:space="0" w:color="auto"/>
      </w:divBdr>
    </w:div>
    <w:div w:id="2105152853">
      <w:bodyDiv w:val="1"/>
      <w:marLeft w:val="0"/>
      <w:marRight w:val="0"/>
      <w:marTop w:val="0"/>
      <w:marBottom w:val="0"/>
      <w:divBdr>
        <w:top w:val="none" w:sz="0" w:space="0" w:color="auto"/>
        <w:left w:val="none" w:sz="0" w:space="0" w:color="auto"/>
        <w:bottom w:val="none" w:sz="0" w:space="0" w:color="auto"/>
        <w:right w:val="none" w:sz="0" w:space="0" w:color="auto"/>
      </w:divBdr>
    </w:div>
    <w:div w:id="211906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97" TargetMode="External"/><Relationship Id="rId13" Type="http://schemas.openxmlformats.org/officeDocument/2006/relationships/hyperlink" Target="https://www.health.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qc.org.uk/guidance-regulation/providers/regulations-service-providers-and-managers/health-social-care-act/regulation-9" TargetMode="External"/><Relationship Id="rId12" Type="http://schemas.openxmlformats.org/officeDocument/2006/relationships/hyperlink" Target="https://www.health.org.uk/sites/default/files/PersonCentredCareMadeSimple.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forhealth.org.uk/article/person-centred-care-meaning-implication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ngland.nhs.uk/long-read/working-in-partnership-with-people-and-communities-statutory-guidance/" TargetMode="External"/><Relationship Id="rId4" Type="http://schemas.openxmlformats.org/officeDocument/2006/relationships/webSettings" Target="webSettings.xml"/><Relationship Id="rId9" Type="http://schemas.openxmlformats.org/officeDocument/2006/relationships/hyperlink" Target="https://www.england.nhs.uk/personalisedcare/comprehensive-model-of-personalised-care/?utm_source=chatgpt.com" TargetMode="External"/><Relationship Id="rId14" Type="http://schemas.openxmlformats.org/officeDocument/2006/relationships/hyperlink" Target="https://www.kingsfund.org.uk/insight-and-analysis/long-reads/integrated-care-system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7644B0-A863-B94B-87C6-FFB6A6140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12</Pages>
  <Words>4123</Words>
  <Characters>23507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Ali (2433274)</dc:creator>
  <cp:keywords/>
  <dc:description/>
  <cp:lastModifiedBy>Ansar Ali (2433274)</cp:lastModifiedBy>
  <cp:revision>11</cp:revision>
  <dcterms:created xsi:type="dcterms:W3CDTF">2026-07-16T19:40:00Z</dcterms:created>
  <dcterms:modified xsi:type="dcterms:W3CDTF">2026-07-17T18:02:00Z</dcterms:modified>
</cp:coreProperties>
</file>