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75979886"/>
        <w:docPartObj>
          <w:docPartGallery w:val="Cover Pages"/>
          <w:docPartUnique/>
        </w:docPartObj>
      </w:sdtPr>
      <w:sdtEndPr>
        <w:rPr>
          <w:rFonts w:ascii="Arial Black" w:hAnsi="Arial Black" w:cs="Arial"/>
          <w:sz w:val="24"/>
          <w:szCs w:val="24"/>
        </w:rPr>
      </w:sdtEndPr>
      <w:sdtContent>
        <w:p w14:paraId="3C491244" w14:textId="23667EDE" w:rsidR="007C4678" w:rsidRDefault="007C4678">
          <w:r w:rsidRPr="007C4678">
            <w:drawing>
              <wp:anchor distT="0" distB="0" distL="114300" distR="114300" simplePos="0" relativeHeight="251663360" behindDoc="1" locked="0" layoutInCell="1" allowOverlap="1" wp14:anchorId="0DF96D9D" wp14:editId="55883A21">
                <wp:simplePos x="0" y="0"/>
                <wp:positionH relativeFrom="margin">
                  <wp:posOffset>3293745</wp:posOffset>
                </wp:positionH>
                <wp:positionV relativeFrom="page">
                  <wp:posOffset>1432560</wp:posOffset>
                </wp:positionV>
                <wp:extent cx="2961640" cy="1066800"/>
                <wp:effectExtent l="0" t="0" r="0" b="0"/>
                <wp:wrapTight wrapText="bothSides">
                  <wp:wrapPolygon edited="0">
                    <wp:start x="0" y="0"/>
                    <wp:lineTo x="0" y="21214"/>
                    <wp:lineTo x="21396" y="21214"/>
                    <wp:lineTo x="21396" y="0"/>
                    <wp:lineTo x="0" y="0"/>
                  </wp:wrapPolygon>
                </wp:wrapTight>
                <wp:docPr id="249896932"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896932" name="Picture 1" descr="A close-up of a logo&#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61640" cy="1066800"/>
                        </a:xfrm>
                        <a:prstGeom prst="rect">
                          <a:avLst/>
                        </a:prstGeom>
                      </pic:spPr>
                    </pic:pic>
                  </a:graphicData>
                </a:graphic>
                <wp14:sizeRelH relativeFrom="margin">
                  <wp14:pctWidth>0</wp14:pctWidth>
                </wp14:sizeRelH>
                <wp14:sizeRelV relativeFrom="margin">
                  <wp14:pctHeight>0</wp14:pctHeight>
                </wp14:sizeRelV>
              </wp:anchor>
            </w:drawing>
          </w:r>
        </w:p>
        <w:p w14:paraId="3B8EFB70" w14:textId="4974DD9C" w:rsidR="007C4678" w:rsidRDefault="007C4678">
          <w:pPr>
            <w:rPr>
              <w:rFonts w:ascii="Arial Black" w:hAnsi="Arial Black" w:cs="Arial"/>
              <w:sz w:val="24"/>
              <w:szCs w:val="24"/>
            </w:rPr>
          </w:pPr>
          <w:r>
            <w:rPr>
              <w:noProof/>
            </w:rPr>
            <mc:AlternateContent>
              <mc:Choice Requires="wps">
                <w:drawing>
                  <wp:anchor distT="0" distB="0" distL="114300" distR="114300" simplePos="0" relativeHeight="251662336" behindDoc="0" locked="0" layoutInCell="1" allowOverlap="1" wp14:anchorId="14B39E04" wp14:editId="30D6B77B">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2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hAnsi="Arial Black"/>
                                    <w:caps/>
                                    <w:color w:val="0A1D30" w:themeColor="text2" w:themeShade="BF"/>
                                    <w:sz w:val="24"/>
                                    <w:szCs w:val="24"/>
                                  </w:rPr>
                                  <w:alias w:val="Publish Date"/>
                                  <w:tag w:val=""/>
                                  <w:id w:val="400952559"/>
                                  <w:dataBinding w:prefixMappings="xmlns:ns0='http://schemas.microsoft.com/office/2006/coverPageProps' " w:xpath="/ns0:CoverPageProperties[1]/ns0:PublishDate[1]" w:storeItemID="{55AF091B-3C7A-41E3-B477-F2FDAA23CFDA}"/>
                                  <w:date w:fullDate="2024-05-12T00:00:00Z">
                                    <w:dateFormat w:val="MMMM d, yyyy"/>
                                    <w:lid w:val="en-US"/>
                                    <w:storeMappedDataAs w:val="dateTime"/>
                                    <w:calendar w:val="gregorian"/>
                                  </w:date>
                                </w:sdtPr>
                                <w:sdtContent>
                                  <w:p w14:paraId="73211299" w14:textId="350863AB" w:rsidR="007C4678" w:rsidRDefault="007C4678">
                                    <w:pPr>
                                      <w:pStyle w:val="NoSpacing"/>
                                      <w:jc w:val="right"/>
                                      <w:rPr>
                                        <w:caps/>
                                        <w:color w:val="0A1D30" w:themeColor="text2" w:themeShade="BF"/>
                                        <w:sz w:val="40"/>
                                        <w:szCs w:val="40"/>
                                      </w:rPr>
                                    </w:pPr>
                                    <w:r w:rsidRPr="00413849">
                                      <w:rPr>
                                        <w:rFonts w:ascii="Arial Black" w:hAnsi="Arial Black"/>
                                        <w:caps/>
                                        <w:color w:val="0A1D30" w:themeColor="text2" w:themeShade="BF"/>
                                        <w:sz w:val="24"/>
                                        <w:szCs w:val="24"/>
                                      </w:rPr>
                                      <w:t>May 12, 2024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14B39E04" id="_x0000_t202" coordsize="21600,21600" o:spt="202" path="m,l,21600r21600,l21600,xe">
                    <v:stroke joinstyle="miter"/>
                    <v:path gradientshapeok="t" o:connecttype="rect"/>
                  </v:shapetype>
                  <v:shape id="Text Box 2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rFonts w:ascii="Arial Black" w:hAnsi="Arial Black"/>
                              <w:caps/>
                              <w:color w:val="0A1D30" w:themeColor="text2" w:themeShade="BF"/>
                              <w:sz w:val="24"/>
                              <w:szCs w:val="24"/>
                            </w:rPr>
                            <w:alias w:val="Publish Date"/>
                            <w:tag w:val=""/>
                            <w:id w:val="400952559"/>
                            <w:dataBinding w:prefixMappings="xmlns:ns0='http://schemas.microsoft.com/office/2006/coverPageProps' " w:xpath="/ns0:CoverPageProperties[1]/ns0:PublishDate[1]" w:storeItemID="{55AF091B-3C7A-41E3-B477-F2FDAA23CFDA}"/>
                            <w:date w:fullDate="2024-05-12T00:00:00Z">
                              <w:dateFormat w:val="MMMM d, yyyy"/>
                              <w:lid w:val="en-US"/>
                              <w:storeMappedDataAs w:val="dateTime"/>
                              <w:calendar w:val="gregorian"/>
                            </w:date>
                          </w:sdtPr>
                          <w:sdtContent>
                            <w:p w14:paraId="73211299" w14:textId="350863AB" w:rsidR="007C4678" w:rsidRDefault="007C4678">
                              <w:pPr>
                                <w:pStyle w:val="NoSpacing"/>
                                <w:jc w:val="right"/>
                                <w:rPr>
                                  <w:caps/>
                                  <w:color w:val="0A1D30" w:themeColor="text2" w:themeShade="BF"/>
                                  <w:sz w:val="40"/>
                                  <w:szCs w:val="40"/>
                                </w:rPr>
                              </w:pPr>
                              <w:r w:rsidRPr="00413849">
                                <w:rPr>
                                  <w:rFonts w:ascii="Arial Black" w:hAnsi="Arial Black"/>
                                  <w:caps/>
                                  <w:color w:val="0A1D30" w:themeColor="text2" w:themeShade="BF"/>
                                  <w:sz w:val="24"/>
                                  <w:szCs w:val="24"/>
                                </w:rPr>
                                <w:t>May 12, 2024</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6592D60" wp14:editId="462E95DD">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2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hAnsi="Arial Black"/>
                                    <w:caps/>
                                    <w:color w:val="262626" w:themeColor="text1" w:themeTint="D9"/>
                                    <w:sz w:val="24"/>
                                    <w:szCs w:val="24"/>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0A1FE657" w14:textId="64B2FFD6" w:rsidR="007C4678" w:rsidRPr="00413849" w:rsidRDefault="007C4678" w:rsidP="00413849">
                                    <w:pPr>
                                      <w:pStyle w:val="NoSpacing"/>
                                      <w:jc w:val="center"/>
                                      <w:rPr>
                                        <w:rFonts w:ascii="Arial Black" w:hAnsi="Arial Black"/>
                                        <w:caps/>
                                        <w:color w:val="262626" w:themeColor="text1" w:themeTint="D9"/>
                                        <w:sz w:val="24"/>
                                        <w:szCs w:val="24"/>
                                      </w:rPr>
                                    </w:pPr>
                                    <w:r w:rsidRPr="00413849">
                                      <w:rPr>
                                        <w:rFonts w:ascii="Arial Black" w:hAnsi="Arial Black"/>
                                        <w:caps/>
                                        <w:color w:val="262626" w:themeColor="text1" w:themeTint="D9"/>
                                        <w:sz w:val="24"/>
                                        <w:szCs w:val="24"/>
                                      </w:rPr>
                                      <w:t>Denisa Virginia bulimar (</w:t>
                                    </w:r>
                                    <w:r w:rsidR="00413849" w:rsidRPr="00413849">
                                      <w:rPr>
                                        <w:rFonts w:ascii="Arial Black" w:hAnsi="Arial Black"/>
                                        <w:caps/>
                                        <w:color w:val="262626" w:themeColor="text1" w:themeTint="D9"/>
                                        <w:sz w:val="24"/>
                                        <w:szCs w:val="24"/>
                                      </w:rPr>
                                      <w:t>2317106)</w:t>
                                    </w:r>
                                  </w:p>
                                </w:sdtContent>
                              </w:sdt>
                              <w:p w14:paraId="04D43DF9" w14:textId="03103B66" w:rsidR="007C4678" w:rsidRPr="00413849" w:rsidRDefault="00413849" w:rsidP="00413849">
                                <w:pPr>
                                  <w:pStyle w:val="NoSpacing"/>
                                  <w:jc w:val="center"/>
                                  <w:rPr>
                                    <w:rFonts w:ascii="Arial Black" w:hAnsi="Arial Black"/>
                                    <w:caps/>
                                    <w:color w:val="262626" w:themeColor="text1" w:themeTint="D9"/>
                                    <w:sz w:val="24"/>
                                    <w:szCs w:val="24"/>
                                  </w:rPr>
                                </w:pPr>
                                <w:sdt>
                                  <w:sdtPr>
                                    <w:rPr>
                                      <w:rFonts w:ascii="Arial Black" w:hAnsi="Arial Black"/>
                                      <w:caps/>
                                      <w:color w:val="262626" w:themeColor="text1" w:themeTint="D9"/>
                                      <w:sz w:val="24"/>
                                      <w:szCs w:val="24"/>
                                    </w:rPr>
                                    <w:alias w:val="Company"/>
                                    <w:tag w:val=""/>
                                    <w:id w:val="-661235724"/>
                                    <w:dataBinding w:prefixMappings="xmlns:ns0='http://schemas.openxmlformats.org/officeDocument/2006/extended-properties' " w:xpath="/ns0:Properties[1]/ns0:Company[1]" w:storeItemID="{6668398D-A668-4E3E-A5EB-62B293D839F1}"/>
                                    <w:text/>
                                  </w:sdtPr>
                                  <w:sdtContent>
                                    <w:r w:rsidRPr="00413849">
                                      <w:rPr>
                                        <w:rFonts w:ascii="Arial Black" w:hAnsi="Arial Black"/>
                                        <w:caps/>
                                        <w:color w:val="262626" w:themeColor="text1" w:themeTint="D9"/>
                                        <w:sz w:val="24"/>
                                        <w:szCs w:val="24"/>
                                      </w:rPr>
                                      <w:t>Financial Management For Business Sustainability</w:t>
                                    </w:r>
                                  </w:sdtContent>
                                </w:sdt>
                              </w:p>
                              <w:p w14:paraId="5D5A2CEE" w14:textId="4E146229" w:rsidR="007C4678" w:rsidRPr="00413849" w:rsidRDefault="007C4678" w:rsidP="00413849">
                                <w:pPr>
                                  <w:pStyle w:val="NoSpacing"/>
                                  <w:rPr>
                                    <w:rFonts w:ascii="Arial Black" w:hAnsi="Arial Black"/>
                                    <w:caps/>
                                    <w:color w:val="262626" w:themeColor="text1" w:themeTint="D9"/>
                                    <w:sz w:val="24"/>
                                    <w:szCs w:val="24"/>
                                  </w:rPr>
                                </w:pPr>
                                <w:r w:rsidRPr="00413849">
                                  <w:rPr>
                                    <w:rFonts w:ascii="Arial Black" w:hAnsi="Arial Black"/>
                                    <w:color w:val="262626" w:themeColor="text1" w:themeTint="D9"/>
                                    <w:sz w:val="24"/>
                                    <w:szCs w:val="24"/>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26592D60" id="Text Box 2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filled="f" stroked="f" strokeweight=".5pt">
                    <v:textbox inset="0,0,0,0">
                      <w:txbxContent>
                        <w:sdt>
                          <w:sdtPr>
                            <w:rPr>
                              <w:rFonts w:ascii="Arial Black" w:hAnsi="Arial Black"/>
                              <w:caps/>
                              <w:color w:val="262626" w:themeColor="text1" w:themeTint="D9"/>
                              <w:sz w:val="24"/>
                              <w:szCs w:val="24"/>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0A1FE657" w14:textId="64B2FFD6" w:rsidR="007C4678" w:rsidRPr="00413849" w:rsidRDefault="007C4678" w:rsidP="00413849">
                              <w:pPr>
                                <w:pStyle w:val="NoSpacing"/>
                                <w:jc w:val="center"/>
                                <w:rPr>
                                  <w:rFonts w:ascii="Arial Black" w:hAnsi="Arial Black"/>
                                  <w:caps/>
                                  <w:color w:val="262626" w:themeColor="text1" w:themeTint="D9"/>
                                  <w:sz w:val="24"/>
                                  <w:szCs w:val="24"/>
                                </w:rPr>
                              </w:pPr>
                              <w:r w:rsidRPr="00413849">
                                <w:rPr>
                                  <w:rFonts w:ascii="Arial Black" w:hAnsi="Arial Black"/>
                                  <w:caps/>
                                  <w:color w:val="262626" w:themeColor="text1" w:themeTint="D9"/>
                                  <w:sz w:val="24"/>
                                  <w:szCs w:val="24"/>
                                </w:rPr>
                                <w:t>Denisa Virginia bulimar (</w:t>
                              </w:r>
                              <w:r w:rsidR="00413849" w:rsidRPr="00413849">
                                <w:rPr>
                                  <w:rFonts w:ascii="Arial Black" w:hAnsi="Arial Black"/>
                                  <w:caps/>
                                  <w:color w:val="262626" w:themeColor="text1" w:themeTint="D9"/>
                                  <w:sz w:val="24"/>
                                  <w:szCs w:val="24"/>
                                </w:rPr>
                                <w:t>2317106)</w:t>
                              </w:r>
                            </w:p>
                          </w:sdtContent>
                        </w:sdt>
                        <w:p w14:paraId="04D43DF9" w14:textId="03103B66" w:rsidR="007C4678" w:rsidRPr="00413849" w:rsidRDefault="00413849" w:rsidP="00413849">
                          <w:pPr>
                            <w:pStyle w:val="NoSpacing"/>
                            <w:jc w:val="center"/>
                            <w:rPr>
                              <w:rFonts w:ascii="Arial Black" w:hAnsi="Arial Black"/>
                              <w:caps/>
                              <w:color w:val="262626" w:themeColor="text1" w:themeTint="D9"/>
                              <w:sz w:val="24"/>
                              <w:szCs w:val="24"/>
                            </w:rPr>
                          </w:pPr>
                          <w:sdt>
                            <w:sdtPr>
                              <w:rPr>
                                <w:rFonts w:ascii="Arial Black" w:hAnsi="Arial Black"/>
                                <w:caps/>
                                <w:color w:val="262626" w:themeColor="text1" w:themeTint="D9"/>
                                <w:sz w:val="24"/>
                                <w:szCs w:val="24"/>
                              </w:rPr>
                              <w:alias w:val="Company"/>
                              <w:tag w:val=""/>
                              <w:id w:val="-661235724"/>
                              <w:dataBinding w:prefixMappings="xmlns:ns0='http://schemas.openxmlformats.org/officeDocument/2006/extended-properties' " w:xpath="/ns0:Properties[1]/ns0:Company[1]" w:storeItemID="{6668398D-A668-4E3E-A5EB-62B293D839F1}"/>
                              <w:text/>
                            </w:sdtPr>
                            <w:sdtContent>
                              <w:r w:rsidRPr="00413849">
                                <w:rPr>
                                  <w:rFonts w:ascii="Arial Black" w:hAnsi="Arial Black"/>
                                  <w:caps/>
                                  <w:color w:val="262626" w:themeColor="text1" w:themeTint="D9"/>
                                  <w:sz w:val="24"/>
                                  <w:szCs w:val="24"/>
                                </w:rPr>
                                <w:t>Financial Management For Business Sustainability</w:t>
                              </w:r>
                            </w:sdtContent>
                          </w:sdt>
                        </w:p>
                        <w:p w14:paraId="5D5A2CEE" w14:textId="4E146229" w:rsidR="007C4678" w:rsidRPr="00413849" w:rsidRDefault="007C4678" w:rsidP="00413849">
                          <w:pPr>
                            <w:pStyle w:val="NoSpacing"/>
                            <w:rPr>
                              <w:rFonts w:ascii="Arial Black" w:hAnsi="Arial Black"/>
                              <w:caps/>
                              <w:color w:val="262626" w:themeColor="text1" w:themeTint="D9"/>
                              <w:sz w:val="24"/>
                              <w:szCs w:val="24"/>
                            </w:rPr>
                          </w:pPr>
                          <w:r w:rsidRPr="00413849">
                            <w:rPr>
                              <w:rFonts w:ascii="Arial Black" w:hAnsi="Arial Black"/>
                              <w:color w:val="262626" w:themeColor="text1" w:themeTint="D9"/>
                              <w:sz w:val="24"/>
                              <w:szCs w:val="24"/>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4381EE6" wp14:editId="78060856">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2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1F4786" w14:textId="3E2C1DD0" w:rsidR="007C4678" w:rsidRDefault="00413849">
                                <w:pPr>
                                  <w:pStyle w:val="NoSpacing"/>
                                  <w:jc w:val="right"/>
                                  <w:rPr>
                                    <w:caps/>
                                    <w:color w:val="0A1D30" w:themeColor="text2" w:themeShade="BF"/>
                                    <w:sz w:val="52"/>
                                    <w:szCs w:val="52"/>
                                  </w:rPr>
                                </w:pPr>
                                <w:sdt>
                                  <w:sdtPr>
                                    <w:rPr>
                                      <w:rFonts w:ascii="Arial Black" w:hAnsi="Arial Black"/>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413849">
                                      <w:rPr>
                                        <w:rFonts w:ascii="Arial Black" w:hAnsi="Arial Black"/>
                                        <w:caps/>
                                        <w:color w:val="0A1D30" w:themeColor="text2" w:themeShade="BF"/>
                                        <w:sz w:val="52"/>
                                        <w:szCs w:val="52"/>
                                      </w:rPr>
                                      <w:t>Financial Analysis</w:t>
                                    </w:r>
                                  </w:sdtContent>
                                </w:sdt>
                              </w:p>
                              <w:p w14:paraId="5907D444" w14:textId="61F7E065" w:rsidR="007C4678" w:rsidRDefault="007C4678" w:rsidP="00413849">
                                <w:pPr>
                                  <w:pStyle w:val="NoSpacing"/>
                                  <w:rPr>
                                    <w:smallCaps/>
                                    <w:color w:val="0E2841" w:themeColor="text2"/>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04381EE6" id="Text Box 2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661F4786" w14:textId="3E2C1DD0" w:rsidR="007C4678" w:rsidRDefault="00413849">
                          <w:pPr>
                            <w:pStyle w:val="NoSpacing"/>
                            <w:jc w:val="right"/>
                            <w:rPr>
                              <w:caps/>
                              <w:color w:val="0A1D30" w:themeColor="text2" w:themeShade="BF"/>
                              <w:sz w:val="52"/>
                              <w:szCs w:val="52"/>
                            </w:rPr>
                          </w:pPr>
                          <w:sdt>
                            <w:sdtPr>
                              <w:rPr>
                                <w:rFonts w:ascii="Arial Black" w:hAnsi="Arial Black"/>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413849">
                                <w:rPr>
                                  <w:rFonts w:ascii="Arial Black" w:hAnsi="Arial Black"/>
                                  <w:caps/>
                                  <w:color w:val="0A1D30" w:themeColor="text2" w:themeShade="BF"/>
                                  <w:sz w:val="52"/>
                                  <w:szCs w:val="52"/>
                                </w:rPr>
                                <w:t>Financial Analysis</w:t>
                              </w:r>
                            </w:sdtContent>
                          </w:sdt>
                        </w:p>
                        <w:p w14:paraId="5907D444" w14:textId="61F7E065" w:rsidR="007C4678" w:rsidRDefault="007C4678" w:rsidP="00413849">
                          <w:pPr>
                            <w:pStyle w:val="NoSpacing"/>
                            <w:rPr>
                              <w:smallCaps/>
                              <w:color w:val="0E2841" w:themeColor="text2"/>
                              <w:sz w:val="36"/>
                              <w:szCs w:val="36"/>
                            </w:rPr>
                          </w:pPr>
                        </w:p>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1A7AC095" wp14:editId="723AD8FC">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2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21C8F5F5" id="Group 2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97132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156082 [3204]" stroked="f" strokeweight="1pt">
                      <o:lock v:ext="edit" aspectratio="t"/>
                    </v:rect>
                    <w10:wrap anchorx="page" anchory="page"/>
                  </v:group>
                </w:pict>
              </mc:Fallback>
            </mc:AlternateContent>
          </w:r>
          <w:r>
            <w:rPr>
              <w:rFonts w:ascii="Arial Black" w:hAnsi="Arial Black" w:cs="Arial"/>
              <w:sz w:val="24"/>
              <w:szCs w:val="24"/>
            </w:rPr>
            <w:br w:type="page"/>
          </w:r>
        </w:p>
      </w:sdtContent>
    </w:sdt>
    <w:p w14:paraId="12FF70E7" w14:textId="1CE29586" w:rsidR="00246C89" w:rsidRDefault="00246C89">
      <w:pPr>
        <w:rPr>
          <w:rFonts w:ascii="Arial Black" w:hAnsi="Arial Black" w:cs="Arial"/>
          <w:sz w:val="24"/>
          <w:szCs w:val="24"/>
        </w:rPr>
      </w:pPr>
      <w:r>
        <w:rPr>
          <w:rFonts w:ascii="Arial Black" w:hAnsi="Arial Black" w:cs="Arial"/>
          <w:sz w:val="24"/>
          <w:szCs w:val="24"/>
        </w:rPr>
        <w:lastRenderedPageBreak/>
        <w:t>Table of Contents</w:t>
      </w:r>
    </w:p>
    <w:p w14:paraId="48C8A75D" w14:textId="38D65BCB" w:rsidR="00246C89" w:rsidRPr="007C4678" w:rsidRDefault="00246C89" w:rsidP="00246C89">
      <w:pPr>
        <w:pStyle w:val="ListParagraph"/>
        <w:numPr>
          <w:ilvl w:val="0"/>
          <w:numId w:val="4"/>
        </w:numPr>
        <w:rPr>
          <w:rFonts w:ascii="Arial" w:hAnsi="Arial" w:cs="Arial"/>
          <w:sz w:val="24"/>
          <w:szCs w:val="24"/>
        </w:rPr>
      </w:pPr>
      <w:r w:rsidRPr="007C4678">
        <w:rPr>
          <w:rFonts w:ascii="Arial" w:hAnsi="Arial" w:cs="Arial"/>
          <w:sz w:val="24"/>
          <w:szCs w:val="24"/>
        </w:rPr>
        <w:t>Introduction</w:t>
      </w:r>
    </w:p>
    <w:p w14:paraId="2D8FE4EA" w14:textId="016135B0" w:rsidR="00246C89" w:rsidRPr="007C4678" w:rsidRDefault="00246C89" w:rsidP="00246C89">
      <w:pPr>
        <w:pStyle w:val="ListParagraph"/>
        <w:numPr>
          <w:ilvl w:val="0"/>
          <w:numId w:val="4"/>
        </w:numPr>
        <w:rPr>
          <w:rFonts w:ascii="Arial" w:hAnsi="Arial" w:cs="Arial"/>
          <w:sz w:val="24"/>
          <w:szCs w:val="24"/>
        </w:rPr>
      </w:pPr>
      <w:r w:rsidRPr="007C4678">
        <w:rPr>
          <w:rFonts w:ascii="Arial" w:hAnsi="Arial" w:cs="Arial"/>
          <w:sz w:val="24"/>
          <w:szCs w:val="24"/>
        </w:rPr>
        <w:t>Background on IKEA UK</w:t>
      </w:r>
    </w:p>
    <w:p w14:paraId="27F64ACE" w14:textId="6D142365" w:rsidR="00246C89" w:rsidRPr="007C4678" w:rsidRDefault="00246C89" w:rsidP="00246C89">
      <w:pPr>
        <w:pStyle w:val="ListParagraph"/>
        <w:numPr>
          <w:ilvl w:val="0"/>
          <w:numId w:val="4"/>
        </w:numPr>
        <w:rPr>
          <w:rFonts w:ascii="Arial" w:hAnsi="Arial" w:cs="Arial"/>
          <w:sz w:val="24"/>
          <w:szCs w:val="24"/>
        </w:rPr>
      </w:pPr>
      <w:r w:rsidRPr="007C4678">
        <w:rPr>
          <w:rFonts w:ascii="Arial" w:hAnsi="Arial" w:cs="Arial"/>
          <w:sz w:val="24"/>
          <w:szCs w:val="24"/>
        </w:rPr>
        <w:t>Ratio Analysis</w:t>
      </w:r>
    </w:p>
    <w:p w14:paraId="3C6E2DBD" w14:textId="026F33F0" w:rsidR="00246C89" w:rsidRPr="007C4678" w:rsidRDefault="00246C89" w:rsidP="00246C89">
      <w:pPr>
        <w:pStyle w:val="ListParagraph"/>
        <w:numPr>
          <w:ilvl w:val="0"/>
          <w:numId w:val="4"/>
        </w:numPr>
        <w:rPr>
          <w:rFonts w:ascii="Arial" w:hAnsi="Arial" w:cs="Arial"/>
          <w:sz w:val="24"/>
          <w:szCs w:val="24"/>
        </w:rPr>
      </w:pPr>
      <w:r w:rsidRPr="007C4678">
        <w:rPr>
          <w:rFonts w:ascii="Arial" w:hAnsi="Arial" w:cs="Arial"/>
          <w:sz w:val="24"/>
          <w:szCs w:val="24"/>
        </w:rPr>
        <w:t>Comparison of Performance (FY22 vs. FY23)</w:t>
      </w:r>
    </w:p>
    <w:p w14:paraId="4342A13A" w14:textId="7D9CF729" w:rsidR="00246C89" w:rsidRPr="007C4678" w:rsidRDefault="00246C89" w:rsidP="00246C89">
      <w:pPr>
        <w:pStyle w:val="ListParagraph"/>
        <w:numPr>
          <w:ilvl w:val="0"/>
          <w:numId w:val="4"/>
        </w:numPr>
        <w:rPr>
          <w:rFonts w:ascii="Arial" w:hAnsi="Arial" w:cs="Arial"/>
          <w:sz w:val="24"/>
          <w:szCs w:val="24"/>
        </w:rPr>
      </w:pPr>
      <w:r w:rsidRPr="007C4678">
        <w:rPr>
          <w:rFonts w:ascii="Arial" w:hAnsi="Arial" w:cs="Arial"/>
          <w:sz w:val="24"/>
          <w:szCs w:val="24"/>
        </w:rPr>
        <w:t>Factors that Influence Performance Variations</w:t>
      </w:r>
    </w:p>
    <w:p w14:paraId="31626248" w14:textId="072A52F2" w:rsidR="007C4678" w:rsidRPr="007C4678" w:rsidRDefault="007C4678" w:rsidP="00246C89">
      <w:pPr>
        <w:pStyle w:val="ListParagraph"/>
        <w:numPr>
          <w:ilvl w:val="0"/>
          <w:numId w:val="4"/>
        </w:numPr>
        <w:rPr>
          <w:rFonts w:ascii="Arial" w:hAnsi="Arial" w:cs="Arial"/>
          <w:sz w:val="24"/>
          <w:szCs w:val="24"/>
        </w:rPr>
      </w:pPr>
      <w:r w:rsidRPr="007C4678">
        <w:rPr>
          <w:rFonts w:ascii="Arial" w:hAnsi="Arial" w:cs="Arial"/>
          <w:sz w:val="24"/>
          <w:szCs w:val="24"/>
        </w:rPr>
        <w:t>Factors Influencing Performance</w:t>
      </w:r>
    </w:p>
    <w:p w14:paraId="4B1AC49B" w14:textId="0EA24EFE" w:rsidR="007C4678" w:rsidRPr="007C4678" w:rsidRDefault="007C4678" w:rsidP="00246C89">
      <w:pPr>
        <w:pStyle w:val="ListParagraph"/>
        <w:numPr>
          <w:ilvl w:val="0"/>
          <w:numId w:val="4"/>
        </w:numPr>
        <w:rPr>
          <w:rFonts w:ascii="Arial" w:hAnsi="Arial" w:cs="Arial"/>
          <w:sz w:val="24"/>
          <w:szCs w:val="24"/>
        </w:rPr>
      </w:pPr>
      <w:r w:rsidRPr="007C4678">
        <w:rPr>
          <w:rFonts w:ascii="Arial" w:hAnsi="Arial" w:cs="Arial"/>
          <w:sz w:val="24"/>
          <w:szCs w:val="24"/>
        </w:rPr>
        <w:t>Recommendations for Financial Improvements</w:t>
      </w:r>
    </w:p>
    <w:p w14:paraId="06C5C11E" w14:textId="4C9F82C8" w:rsidR="007C4678" w:rsidRPr="007C4678" w:rsidRDefault="007C4678" w:rsidP="00246C89">
      <w:pPr>
        <w:pStyle w:val="ListParagraph"/>
        <w:numPr>
          <w:ilvl w:val="0"/>
          <w:numId w:val="4"/>
        </w:numPr>
        <w:rPr>
          <w:rFonts w:ascii="Arial" w:hAnsi="Arial" w:cs="Arial"/>
          <w:sz w:val="24"/>
          <w:szCs w:val="24"/>
        </w:rPr>
      </w:pPr>
      <w:r w:rsidRPr="007C4678">
        <w:rPr>
          <w:rFonts w:ascii="Arial" w:hAnsi="Arial" w:cs="Arial"/>
          <w:sz w:val="24"/>
          <w:szCs w:val="24"/>
        </w:rPr>
        <w:t>Conclusion</w:t>
      </w:r>
    </w:p>
    <w:p w14:paraId="3CFA8DDD" w14:textId="5F660C75" w:rsidR="007C4678" w:rsidRPr="00246C89" w:rsidRDefault="007C4678" w:rsidP="00246C89">
      <w:pPr>
        <w:pStyle w:val="ListParagraph"/>
        <w:numPr>
          <w:ilvl w:val="0"/>
          <w:numId w:val="4"/>
        </w:numPr>
        <w:rPr>
          <w:rFonts w:ascii="Arial Black" w:hAnsi="Arial Black" w:cs="Arial"/>
          <w:sz w:val="24"/>
          <w:szCs w:val="24"/>
        </w:rPr>
      </w:pPr>
      <w:r w:rsidRPr="007C4678">
        <w:rPr>
          <w:rFonts w:ascii="Arial" w:hAnsi="Arial" w:cs="Arial"/>
          <w:sz w:val="24"/>
          <w:szCs w:val="24"/>
        </w:rPr>
        <w:t>References</w:t>
      </w:r>
      <w:r>
        <w:rPr>
          <w:rFonts w:ascii="Arial Black" w:hAnsi="Arial Black" w:cs="Arial"/>
          <w:sz w:val="24"/>
          <w:szCs w:val="24"/>
        </w:rPr>
        <w:t xml:space="preserve"> </w:t>
      </w:r>
    </w:p>
    <w:p w14:paraId="129CA557" w14:textId="77777777" w:rsidR="00246C89" w:rsidRDefault="00246C89">
      <w:pPr>
        <w:rPr>
          <w:rFonts w:ascii="Arial Black" w:hAnsi="Arial Black" w:cs="Arial"/>
          <w:sz w:val="24"/>
          <w:szCs w:val="24"/>
        </w:rPr>
      </w:pPr>
      <w:r>
        <w:rPr>
          <w:rFonts w:ascii="Arial Black" w:hAnsi="Arial Black" w:cs="Arial"/>
          <w:sz w:val="24"/>
          <w:szCs w:val="24"/>
        </w:rPr>
        <w:br w:type="page"/>
      </w:r>
    </w:p>
    <w:p w14:paraId="5933B496" w14:textId="6C9B085C" w:rsidR="002707FE" w:rsidRPr="00246C89" w:rsidRDefault="002707FE">
      <w:pPr>
        <w:rPr>
          <w:rFonts w:ascii="Arial Black" w:hAnsi="Arial Black" w:cs="Arial"/>
          <w:sz w:val="24"/>
          <w:szCs w:val="24"/>
        </w:rPr>
      </w:pPr>
      <w:r w:rsidRPr="00246C89">
        <w:rPr>
          <w:rFonts w:ascii="Arial Black" w:hAnsi="Arial Black" w:cs="Arial"/>
          <w:sz w:val="24"/>
          <w:szCs w:val="24"/>
        </w:rPr>
        <w:lastRenderedPageBreak/>
        <w:t>Introduction</w:t>
      </w:r>
    </w:p>
    <w:p w14:paraId="50216690" w14:textId="36F4B13D" w:rsidR="003A2F4E" w:rsidRDefault="002707FE">
      <w:pPr>
        <w:rPr>
          <w:rFonts w:ascii="Arial" w:hAnsi="Arial" w:cs="Arial"/>
          <w:sz w:val="24"/>
          <w:szCs w:val="24"/>
        </w:rPr>
      </w:pPr>
      <w:r w:rsidRPr="002707FE">
        <w:rPr>
          <w:rFonts w:ascii="Arial" w:hAnsi="Arial" w:cs="Arial"/>
          <w:sz w:val="24"/>
          <w:szCs w:val="24"/>
        </w:rPr>
        <w:t xml:space="preserve">IKEA UK is a major player in the furniture retail business, known for its Scandinavian-inspired designs and commitment to affordability and sustainability. With a significant presence in the United Kingdom, IKEA UK has become a household name, providing a diverse choice of well-designed home furnishings. This analysis will look into IKEA UK's financial performance over the fiscal years 2022 (FY22) and 2023 (FY23) using a comparative ratio analysis. This study examines important financial variables to identify trends, changes, and probable causes influencing IKEA UK's financial health and operational efficiency throughout the provided </w:t>
      </w:r>
      <w:r>
        <w:rPr>
          <w:rFonts w:ascii="Arial" w:hAnsi="Arial" w:cs="Arial"/>
          <w:sz w:val="24"/>
          <w:szCs w:val="24"/>
        </w:rPr>
        <w:t>period</w:t>
      </w:r>
      <w:r w:rsidRPr="002707FE">
        <w:rPr>
          <w:rFonts w:ascii="Arial" w:hAnsi="Arial" w:cs="Arial"/>
          <w:sz w:val="24"/>
          <w:szCs w:val="24"/>
        </w:rPr>
        <w:t>.</w:t>
      </w:r>
      <w:r w:rsidRPr="002707FE">
        <w:t xml:space="preserve"> </w:t>
      </w:r>
      <w:r w:rsidRPr="002707FE">
        <w:rPr>
          <w:rFonts w:ascii="Arial" w:hAnsi="Arial" w:cs="Arial"/>
          <w:sz w:val="24"/>
          <w:szCs w:val="24"/>
        </w:rPr>
        <w:t>The analysis will use information from IKEA UK's financial highlights in FY22 and FY23, as well as academic references, to provide a comprehensive review of the company's performance.</w:t>
      </w:r>
    </w:p>
    <w:p w14:paraId="125067C0" w14:textId="77777777" w:rsidR="002707FE" w:rsidRDefault="002707FE">
      <w:pPr>
        <w:rPr>
          <w:rFonts w:ascii="Arial" w:hAnsi="Arial" w:cs="Arial"/>
          <w:sz w:val="24"/>
          <w:szCs w:val="24"/>
        </w:rPr>
      </w:pPr>
    </w:p>
    <w:p w14:paraId="3A985097" w14:textId="77777777" w:rsidR="002707FE" w:rsidRDefault="002707FE">
      <w:pPr>
        <w:rPr>
          <w:rFonts w:ascii="Arial" w:hAnsi="Arial" w:cs="Arial"/>
          <w:sz w:val="24"/>
          <w:szCs w:val="24"/>
        </w:rPr>
      </w:pPr>
    </w:p>
    <w:p w14:paraId="61856C8C" w14:textId="77777777" w:rsidR="002707FE" w:rsidRDefault="002707FE">
      <w:pPr>
        <w:rPr>
          <w:rFonts w:ascii="Arial" w:hAnsi="Arial" w:cs="Arial"/>
          <w:sz w:val="24"/>
          <w:szCs w:val="24"/>
        </w:rPr>
      </w:pPr>
    </w:p>
    <w:p w14:paraId="2594FE7D" w14:textId="77777777" w:rsidR="002707FE" w:rsidRDefault="002707FE">
      <w:pPr>
        <w:rPr>
          <w:rFonts w:ascii="Arial" w:hAnsi="Arial" w:cs="Arial"/>
          <w:sz w:val="24"/>
          <w:szCs w:val="24"/>
        </w:rPr>
      </w:pPr>
    </w:p>
    <w:p w14:paraId="26187B7D" w14:textId="77777777" w:rsidR="002707FE" w:rsidRDefault="002707FE">
      <w:pPr>
        <w:rPr>
          <w:rFonts w:ascii="Arial" w:hAnsi="Arial" w:cs="Arial"/>
          <w:sz w:val="24"/>
          <w:szCs w:val="24"/>
        </w:rPr>
      </w:pPr>
    </w:p>
    <w:p w14:paraId="64005C16" w14:textId="77777777" w:rsidR="002707FE" w:rsidRDefault="002707FE">
      <w:pPr>
        <w:rPr>
          <w:rFonts w:ascii="Arial" w:hAnsi="Arial" w:cs="Arial"/>
          <w:sz w:val="24"/>
          <w:szCs w:val="24"/>
        </w:rPr>
      </w:pPr>
    </w:p>
    <w:p w14:paraId="46C70FFC" w14:textId="77777777" w:rsidR="002707FE" w:rsidRDefault="002707FE">
      <w:pPr>
        <w:rPr>
          <w:rFonts w:ascii="Arial" w:hAnsi="Arial" w:cs="Arial"/>
          <w:sz w:val="24"/>
          <w:szCs w:val="24"/>
        </w:rPr>
      </w:pPr>
    </w:p>
    <w:p w14:paraId="37C607AD" w14:textId="77777777" w:rsidR="002707FE" w:rsidRDefault="002707FE">
      <w:pPr>
        <w:rPr>
          <w:rFonts w:ascii="Arial" w:hAnsi="Arial" w:cs="Arial"/>
          <w:sz w:val="24"/>
          <w:szCs w:val="24"/>
        </w:rPr>
      </w:pPr>
    </w:p>
    <w:p w14:paraId="6C4E0C63" w14:textId="77777777" w:rsidR="002707FE" w:rsidRDefault="002707FE">
      <w:pPr>
        <w:rPr>
          <w:rFonts w:ascii="Arial" w:hAnsi="Arial" w:cs="Arial"/>
          <w:sz w:val="24"/>
          <w:szCs w:val="24"/>
        </w:rPr>
      </w:pPr>
    </w:p>
    <w:p w14:paraId="322E6C56" w14:textId="77777777" w:rsidR="002707FE" w:rsidRDefault="002707FE">
      <w:pPr>
        <w:rPr>
          <w:rFonts w:ascii="Arial" w:hAnsi="Arial" w:cs="Arial"/>
          <w:sz w:val="24"/>
          <w:szCs w:val="24"/>
        </w:rPr>
      </w:pPr>
    </w:p>
    <w:p w14:paraId="01AFB9F5" w14:textId="77777777" w:rsidR="002707FE" w:rsidRDefault="002707FE">
      <w:pPr>
        <w:rPr>
          <w:rFonts w:ascii="Arial" w:hAnsi="Arial" w:cs="Arial"/>
          <w:sz w:val="24"/>
          <w:szCs w:val="24"/>
        </w:rPr>
      </w:pPr>
    </w:p>
    <w:p w14:paraId="66D4E96F" w14:textId="77777777" w:rsidR="002707FE" w:rsidRDefault="002707FE">
      <w:pPr>
        <w:rPr>
          <w:rFonts w:ascii="Arial" w:hAnsi="Arial" w:cs="Arial"/>
          <w:sz w:val="24"/>
          <w:szCs w:val="24"/>
        </w:rPr>
      </w:pPr>
    </w:p>
    <w:p w14:paraId="1D0A2FC6" w14:textId="77777777" w:rsidR="002707FE" w:rsidRDefault="002707FE">
      <w:pPr>
        <w:rPr>
          <w:rFonts w:ascii="Arial" w:hAnsi="Arial" w:cs="Arial"/>
          <w:sz w:val="24"/>
          <w:szCs w:val="24"/>
        </w:rPr>
      </w:pPr>
    </w:p>
    <w:p w14:paraId="261ED386" w14:textId="77777777" w:rsidR="002707FE" w:rsidRDefault="002707FE">
      <w:pPr>
        <w:rPr>
          <w:rFonts w:ascii="Arial" w:hAnsi="Arial" w:cs="Arial"/>
          <w:sz w:val="24"/>
          <w:szCs w:val="24"/>
        </w:rPr>
      </w:pPr>
    </w:p>
    <w:p w14:paraId="74B6B462" w14:textId="77777777" w:rsidR="002707FE" w:rsidRDefault="002707FE">
      <w:pPr>
        <w:rPr>
          <w:rFonts w:ascii="Arial" w:hAnsi="Arial" w:cs="Arial"/>
          <w:sz w:val="24"/>
          <w:szCs w:val="24"/>
        </w:rPr>
      </w:pPr>
    </w:p>
    <w:p w14:paraId="632110DB" w14:textId="77777777" w:rsidR="002707FE" w:rsidRDefault="002707FE">
      <w:pPr>
        <w:rPr>
          <w:rFonts w:ascii="Arial" w:hAnsi="Arial" w:cs="Arial"/>
          <w:sz w:val="24"/>
          <w:szCs w:val="24"/>
        </w:rPr>
      </w:pPr>
    </w:p>
    <w:p w14:paraId="7336430E" w14:textId="77777777" w:rsidR="002707FE" w:rsidRDefault="002707FE">
      <w:pPr>
        <w:rPr>
          <w:rFonts w:ascii="Arial" w:hAnsi="Arial" w:cs="Arial"/>
          <w:sz w:val="24"/>
          <w:szCs w:val="24"/>
        </w:rPr>
      </w:pPr>
    </w:p>
    <w:p w14:paraId="2E9B0139" w14:textId="77777777" w:rsidR="002707FE" w:rsidRDefault="002707FE">
      <w:pPr>
        <w:rPr>
          <w:rFonts w:ascii="Arial" w:hAnsi="Arial" w:cs="Arial"/>
          <w:sz w:val="24"/>
          <w:szCs w:val="24"/>
        </w:rPr>
      </w:pPr>
    </w:p>
    <w:p w14:paraId="60813F75" w14:textId="77777777" w:rsidR="002707FE" w:rsidRDefault="002707FE">
      <w:pPr>
        <w:rPr>
          <w:rFonts w:ascii="Arial" w:hAnsi="Arial" w:cs="Arial"/>
          <w:sz w:val="24"/>
          <w:szCs w:val="24"/>
        </w:rPr>
      </w:pPr>
    </w:p>
    <w:p w14:paraId="2E2DBEC8" w14:textId="77777777" w:rsidR="002707FE" w:rsidRDefault="002707FE">
      <w:pPr>
        <w:rPr>
          <w:rFonts w:ascii="Arial" w:hAnsi="Arial" w:cs="Arial"/>
          <w:sz w:val="24"/>
          <w:szCs w:val="24"/>
        </w:rPr>
      </w:pPr>
    </w:p>
    <w:p w14:paraId="1D88F7A1" w14:textId="77777777" w:rsidR="002707FE" w:rsidRDefault="002707FE">
      <w:pPr>
        <w:rPr>
          <w:rFonts w:ascii="Arial" w:hAnsi="Arial" w:cs="Arial"/>
          <w:sz w:val="24"/>
          <w:szCs w:val="24"/>
        </w:rPr>
      </w:pPr>
    </w:p>
    <w:p w14:paraId="363D5358" w14:textId="77777777" w:rsidR="002707FE" w:rsidRDefault="002707FE">
      <w:pPr>
        <w:rPr>
          <w:rFonts w:ascii="Arial" w:hAnsi="Arial" w:cs="Arial"/>
          <w:sz w:val="24"/>
          <w:szCs w:val="24"/>
        </w:rPr>
      </w:pPr>
    </w:p>
    <w:p w14:paraId="18E31834" w14:textId="5FC2C846" w:rsidR="002707FE" w:rsidRPr="00246C89" w:rsidRDefault="002707FE">
      <w:pPr>
        <w:rPr>
          <w:rFonts w:ascii="Arial Black" w:hAnsi="Arial Black" w:cs="Arial"/>
          <w:sz w:val="24"/>
          <w:szCs w:val="24"/>
        </w:rPr>
      </w:pPr>
      <w:r w:rsidRPr="00246C89">
        <w:rPr>
          <w:rFonts w:ascii="Arial Black" w:hAnsi="Arial Black" w:cs="Arial"/>
          <w:sz w:val="24"/>
          <w:szCs w:val="24"/>
        </w:rPr>
        <w:lastRenderedPageBreak/>
        <w:t>Background on IKEA UK</w:t>
      </w:r>
    </w:p>
    <w:p w14:paraId="22C76110" w14:textId="5F89C629" w:rsidR="002707FE" w:rsidRDefault="00F2520B">
      <w:pPr>
        <w:rPr>
          <w:rFonts w:ascii="Arial" w:hAnsi="Arial" w:cs="Arial"/>
          <w:sz w:val="24"/>
          <w:szCs w:val="24"/>
        </w:rPr>
      </w:pPr>
      <w:r w:rsidRPr="00F2520B">
        <w:rPr>
          <w:rFonts w:ascii="Arial" w:hAnsi="Arial" w:cs="Arial"/>
          <w:sz w:val="24"/>
          <w:szCs w:val="24"/>
        </w:rPr>
        <w:t>IKEA was founded in 1943 in</w:t>
      </w:r>
      <w:r>
        <w:rPr>
          <w:rFonts w:ascii="Arial" w:hAnsi="Arial" w:cs="Arial"/>
          <w:sz w:val="24"/>
          <w:szCs w:val="24"/>
        </w:rPr>
        <w:t xml:space="preserve"> </w:t>
      </w:r>
      <w:r w:rsidRPr="00F2520B">
        <w:rPr>
          <w:rFonts w:ascii="Arial" w:hAnsi="Arial" w:cs="Arial"/>
          <w:sz w:val="24"/>
          <w:szCs w:val="24"/>
        </w:rPr>
        <w:t>Sweden by Ingvar Kamprad.</w:t>
      </w:r>
      <w:r>
        <w:rPr>
          <w:rFonts w:ascii="Arial" w:hAnsi="Arial" w:cs="Arial"/>
          <w:sz w:val="24"/>
          <w:szCs w:val="24"/>
        </w:rPr>
        <w:t xml:space="preserve"> </w:t>
      </w:r>
      <w:r w:rsidR="002707FE" w:rsidRPr="002707FE">
        <w:rPr>
          <w:rFonts w:ascii="Arial" w:hAnsi="Arial" w:cs="Arial"/>
          <w:sz w:val="24"/>
          <w:szCs w:val="24"/>
        </w:rPr>
        <w:t xml:space="preserve">IKEA UK is a major player in the furniture retail industry, with a large network of locations and a strong market presence. IKEA UK has established itself as a top choice for consumers looking for high-quality furniture solutions. Throughout the analysis period, IKEA UK undertook </w:t>
      </w:r>
      <w:r w:rsidR="002707FE">
        <w:rPr>
          <w:rFonts w:ascii="Arial" w:hAnsi="Arial" w:cs="Arial"/>
          <w:sz w:val="24"/>
          <w:szCs w:val="24"/>
        </w:rPr>
        <w:t>several</w:t>
      </w:r>
      <w:r w:rsidR="002707FE" w:rsidRPr="002707FE">
        <w:rPr>
          <w:rFonts w:ascii="Arial" w:hAnsi="Arial" w:cs="Arial"/>
          <w:sz w:val="24"/>
          <w:szCs w:val="24"/>
        </w:rPr>
        <w:t xml:space="preserve"> strategic initiatives targeted at improving accessibility, sustainability, and customer experience. These initiatives included investments in logistics operations, cost transformation projects, and renewable energy adoption, all of which aligned with the company's goal </w:t>
      </w:r>
      <w:r w:rsidR="002707FE">
        <w:rPr>
          <w:rFonts w:ascii="Arial" w:hAnsi="Arial" w:cs="Arial"/>
          <w:sz w:val="24"/>
          <w:szCs w:val="24"/>
        </w:rPr>
        <w:t>of</w:t>
      </w:r>
      <w:r w:rsidR="002707FE" w:rsidRPr="002707FE">
        <w:rPr>
          <w:rFonts w:ascii="Arial" w:hAnsi="Arial" w:cs="Arial"/>
          <w:sz w:val="24"/>
          <w:szCs w:val="24"/>
        </w:rPr>
        <w:t xml:space="preserve"> improving the lives of many people. To boost growth and satisfy changing consumer needs, IKEA UK also expanded its online and mobile services, launched innovative product lines, and strengthened community relationships.</w:t>
      </w:r>
    </w:p>
    <w:p w14:paraId="483CE29C" w14:textId="77777777" w:rsidR="000520FA" w:rsidRPr="00246C89" w:rsidRDefault="000520FA" w:rsidP="000520FA">
      <w:pPr>
        <w:rPr>
          <w:rFonts w:ascii="Arial Black" w:hAnsi="Arial Black" w:cs="Arial"/>
          <w:sz w:val="24"/>
          <w:szCs w:val="24"/>
        </w:rPr>
      </w:pPr>
      <w:r w:rsidRPr="00246C89">
        <w:rPr>
          <w:rFonts w:ascii="Arial Black" w:hAnsi="Arial Black" w:cs="Arial"/>
          <w:sz w:val="24"/>
          <w:szCs w:val="24"/>
        </w:rPr>
        <w:t>Ratio Analysis</w:t>
      </w:r>
    </w:p>
    <w:p w14:paraId="208177C8" w14:textId="77777777" w:rsidR="000520FA" w:rsidRPr="00246C89" w:rsidRDefault="000520FA" w:rsidP="000520FA">
      <w:pPr>
        <w:rPr>
          <w:rFonts w:ascii="Arial Black" w:hAnsi="Arial Black" w:cs="Arial"/>
          <w:sz w:val="24"/>
          <w:szCs w:val="24"/>
        </w:rPr>
      </w:pPr>
      <w:r w:rsidRPr="00246C89">
        <w:rPr>
          <w:rFonts w:ascii="Arial Black" w:hAnsi="Arial Black" w:cs="Arial"/>
          <w:sz w:val="24"/>
          <w:szCs w:val="24"/>
        </w:rPr>
        <w:t>Profitability Ratios:</w:t>
      </w:r>
    </w:p>
    <w:p w14:paraId="3502F959" w14:textId="77777777" w:rsidR="000520FA" w:rsidRPr="000520FA" w:rsidRDefault="000520FA" w:rsidP="000520FA">
      <w:pPr>
        <w:rPr>
          <w:rFonts w:ascii="Arial" w:hAnsi="Arial" w:cs="Arial"/>
          <w:sz w:val="24"/>
          <w:szCs w:val="24"/>
        </w:rPr>
      </w:pPr>
      <w:r w:rsidRPr="000520FA">
        <w:rPr>
          <w:rFonts w:ascii="Arial" w:hAnsi="Arial" w:cs="Arial"/>
          <w:sz w:val="24"/>
          <w:szCs w:val="24"/>
        </w:rPr>
        <w:t>Profitability ratios measure the company's ability to generate profits relative to its revenue and assets.</w:t>
      </w:r>
    </w:p>
    <w:p w14:paraId="6EE15AA7" w14:textId="0D09726E" w:rsidR="000520FA" w:rsidRPr="00246C89" w:rsidRDefault="000520FA" w:rsidP="000520FA">
      <w:pPr>
        <w:pStyle w:val="ListParagraph"/>
        <w:numPr>
          <w:ilvl w:val="0"/>
          <w:numId w:val="1"/>
        </w:numPr>
        <w:rPr>
          <w:rFonts w:ascii="Arial" w:hAnsi="Arial" w:cs="Arial"/>
          <w:b/>
          <w:bCs/>
          <w:sz w:val="24"/>
          <w:szCs w:val="24"/>
        </w:rPr>
      </w:pPr>
      <w:r w:rsidRPr="00246C89">
        <w:rPr>
          <w:rFonts w:ascii="Arial" w:hAnsi="Arial" w:cs="Arial"/>
          <w:b/>
          <w:bCs/>
          <w:sz w:val="24"/>
          <w:szCs w:val="24"/>
        </w:rPr>
        <w:t>Gross Profit Margin:</w:t>
      </w:r>
    </w:p>
    <w:p w14:paraId="565FB86B" w14:textId="77777777" w:rsidR="000520FA" w:rsidRPr="000520FA" w:rsidRDefault="000520FA" w:rsidP="000520FA">
      <w:pPr>
        <w:rPr>
          <w:rFonts w:ascii="Arial" w:hAnsi="Arial" w:cs="Arial"/>
          <w:sz w:val="24"/>
          <w:szCs w:val="24"/>
        </w:rPr>
      </w:pPr>
      <w:r w:rsidRPr="000520FA">
        <w:rPr>
          <w:rFonts w:ascii="Arial" w:hAnsi="Arial" w:cs="Arial"/>
          <w:sz w:val="24"/>
          <w:szCs w:val="24"/>
        </w:rPr>
        <w:t>Gross Profit Margin = (Gross Profit / Revenue) * 100</w:t>
      </w:r>
    </w:p>
    <w:p w14:paraId="3132D589" w14:textId="77777777" w:rsidR="000520FA" w:rsidRPr="000520FA" w:rsidRDefault="000520FA" w:rsidP="000520FA">
      <w:pPr>
        <w:rPr>
          <w:rFonts w:ascii="Arial" w:hAnsi="Arial" w:cs="Arial"/>
          <w:sz w:val="24"/>
          <w:szCs w:val="24"/>
        </w:rPr>
      </w:pPr>
      <w:r w:rsidRPr="000520FA">
        <w:rPr>
          <w:rFonts w:ascii="Arial" w:hAnsi="Arial" w:cs="Arial"/>
          <w:sz w:val="24"/>
          <w:szCs w:val="24"/>
        </w:rPr>
        <w:t>Calculation of Gross Profit Margin for FY22 and FY23:</w:t>
      </w:r>
    </w:p>
    <w:p w14:paraId="0636BB7F" w14:textId="23DEDEED" w:rsidR="000520FA" w:rsidRPr="000520FA" w:rsidRDefault="000520FA" w:rsidP="000520FA">
      <w:pPr>
        <w:rPr>
          <w:rFonts w:ascii="Arial" w:hAnsi="Arial" w:cs="Arial"/>
          <w:sz w:val="24"/>
          <w:szCs w:val="24"/>
        </w:rPr>
      </w:pPr>
      <w:r w:rsidRPr="000520FA">
        <w:rPr>
          <w:rFonts w:ascii="Arial" w:hAnsi="Arial" w:cs="Arial"/>
          <w:sz w:val="24"/>
          <w:szCs w:val="24"/>
        </w:rPr>
        <w:t xml:space="preserve">FY22: (£4,174 million / £26,148 million) * 100 </w:t>
      </w:r>
      <w:r>
        <w:rPr>
          <w:rFonts w:ascii="Arial" w:hAnsi="Arial" w:cs="Arial"/>
          <w:sz w:val="24"/>
          <w:szCs w:val="24"/>
        </w:rPr>
        <w:t>=</w:t>
      </w:r>
      <w:r w:rsidRPr="000520FA">
        <w:rPr>
          <w:rFonts w:ascii="Arial" w:hAnsi="Arial" w:cs="Arial"/>
          <w:sz w:val="24"/>
          <w:szCs w:val="24"/>
        </w:rPr>
        <w:t xml:space="preserve"> 15.96%</w:t>
      </w:r>
    </w:p>
    <w:p w14:paraId="7CC398A0" w14:textId="07B55348" w:rsidR="000520FA" w:rsidRPr="000520FA" w:rsidRDefault="000520FA" w:rsidP="000520FA">
      <w:pPr>
        <w:rPr>
          <w:rFonts w:ascii="Arial" w:hAnsi="Arial" w:cs="Arial"/>
          <w:sz w:val="24"/>
          <w:szCs w:val="24"/>
        </w:rPr>
      </w:pPr>
      <w:r w:rsidRPr="000520FA">
        <w:rPr>
          <w:rFonts w:ascii="Arial" w:hAnsi="Arial" w:cs="Arial"/>
          <w:sz w:val="24"/>
          <w:szCs w:val="24"/>
        </w:rPr>
        <w:t xml:space="preserve">FY23: (£5,239 million / £27,448 million) * 100 </w:t>
      </w:r>
      <w:r>
        <w:rPr>
          <w:rFonts w:ascii="Arial" w:hAnsi="Arial" w:cs="Arial"/>
          <w:sz w:val="24"/>
          <w:szCs w:val="24"/>
        </w:rPr>
        <w:t>=</w:t>
      </w:r>
      <w:r w:rsidRPr="000520FA">
        <w:rPr>
          <w:rFonts w:ascii="Arial" w:hAnsi="Arial" w:cs="Arial"/>
          <w:sz w:val="24"/>
          <w:szCs w:val="24"/>
        </w:rPr>
        <w:t>19.08%</w:t>
      </w:r>
    </w:p>
    <w:p w14:paraId="34E5DCD8" w14:textId="78828519" w:rsidR="002707FE" w:rsidRDefault="000520FA" w:rsidP="000520FA">
      <w:pPr>
        <w:rPr>
          <w:rFonts w:ascii="Arial" w:hAnsi="Arial" w:cs="Arial"/>
          <w:sz w:val="24"/>
          <w:szCs w:val="24"/>
        </w:rPr>
      </w:pPr>
      <w:r w:rsidRPr="000520FA">
        <w:rPr>
          <w:rFonts w:ascii="Arial" w:hAnsi="Arial" w:cs="Arial"/>
          <w:sz w:val="24"/>
          <w:szCs w:val="24"/>
        </w:rPr>
        <w:t xml:space="preserve">Interpretation: The gross profit margin increased from approximately 15.96% in FY22 to around 19.08% in FY23. This improvement suggests better cost management and pricing strategies, despite challenges such as rising transportation and logistics costs and raw material </w:t>
      </w:r>
      <w:r w:rsidRPr="000520FA">
        <w:rPr>
          <w:rFonts w:ascii="Arial" w:hAnsi="Arial" w:cs="Arial"/>
          <w:sz w:val="24"/>
          <w:szCs w:val="24"/>
        </w:rPr>
        <w:t>prices.</w:t>
      </w:r>
    </w:p>
    <w:p w14:paraId="3C9F8B87" w14:textId="13D62710" w:rsidR="000520FA" w:rsidRPr="00246C89" w:rsidRDefault="000520FA" w:rsidP="000520FA">
      <w:pPr>
        <w:pStyle w:val="ListParagraph"/>
        <w:numPr>
          <w:ilvl w:val="0"/>
          <w:numId w:val="1"/>
        </w:numPr>
        <w:rPr>
          <w:rFonts w:ascii="Arial" w:hAnsi="Arial" w:cs="Arial"/>
          <w:b/>
          <w:bCs/>
          <w:sz w:val="24"/>
          <w:szCs w:val="24"/>
        </w:rPr>
      </w:pPr>
      <w:r w:rsidRPr="00246C89">
        <w:rPr>
          <w:rFonts w:ascii="Arial" w:hAnsi="Arial" w:cs="Arial"/>
          <w:b/>
          <w:bCs/>
          <w:sz w:val="24"/>
          <w:szCs w:val="24"/>
        </w:rPr>
        <w:t>Net Profit Margin:</w:t>
      </w:r>
    </w:p>
    <w:p w14:paraId="4FB8838C" w14:textId="77777777" w:rsidR="000520FA" w:rsidRPr="000520FA" w:rsidRDefault="000520FA" w:rsidP="000520FA">
      <w:pPr>
        <w:rPr>
          <w:rFonts w:ascii="Arial" w:hAnsi="Arial" w:cs="Arial"/>
          <w:sz w:val="24"/>
          <w:szCs w:val="24"/>
        </w:rPr>
      </w:pPr>
      <w:r w:rsidRPr="000520FA">
        <w:rPr>
          <w:rFonts w:ascii="Arial" w:hAnsi="Arial" w:cs="Arial"/>
          <w:sz w:val="24"/>
          <w:szCs w:val="24"/>
        </w:rPr>
        <w:t>Net Profit Margin = (Net Profit / Revenue) * 100</w:t>
      </w:r>
    </w:p>
    <w:p w14:paraId="749B72F7" w14:textId="77777777" w:rsidR="000520FA" w:rsidRPr="000520FA" w:rsidRDefault="000520FA" w:rsidP="000520FA">
      <w:pPr>
        <w:rPr>
          <w:rFonts w:ascii="Arial" w:hAnsi="Arial" w:cs="Arial"/>
          <w:sz w:val="24"/>
          <w:szCs w:val="24"/>
        </w:rPr>
      </w:pPr>
      <w:r w:rsidRPr="000520FA">
        <w:rPr>
          <w:rFonts w:ascii="Arial" w:hAnsi="Arial" w:cs="Arial"/>
          <w:sz w:val="24"/>
          <w:szCs w:val="24"/>
        </w:rPr>
        <w:t>Calculation of Net Profit Margin for FY22 and FY23:</w:t>
      </w:r>
    </w:p>
    <w:p w14:paraId="0A965728" w14:textId="611DF030" w:rsidR="000520FA" w:rsidRPr="000520FA" w:rsidRDefault="000520FA" w:rsidP="000520FA">
      <w:pPr>
        <w:rPr>
          <w:rFonts w:ascii="Arial" w:hAnsi="Arial" w:cs="Arial"/>
          <w:sz w:val="24"/>
          <w:szCs w:val="24"/>
        </w:rPr>
      </w:pPr>
      <w:r w:rsidRPr="000520FA">
        <w:rPr>
          <w:rFonts w:ascii="Arial" w:hAnsi="Arial" w:cs="Arial"/>
          <w:sz w:val="24"/>
          <w:szCs w:val="24"/>
        </w:rPr>
        <w:t xml:space="preserve">FY22: (£710 million / £26,148 million) * 100 </w:t>
      </w:r>
      <w:r>
        <w:rPr>
          <w:rFonts w:ascii="Arial" w:hAnsi="Arial" w:cs="Arial"/>
          <w:sz w:val="24"/>
          <w:szCs w:val="24"/>
        </w:rPr>
        <w:t xml:space="preserve">= </w:t>
      </w:r>
      <w:r w:rsidRPr="000520FA">
        <w:rPr>
          <w:rFonts w:ascii="Arial" w:hAnsi="Arial" w:cs="Arial"/>
          <w:sz w:val="24"/>
          <w:szCs w:val="24"/>
        </w:rPr>
        <w:t>2.71%</w:t>
      </w:r>
    </w:p>
    <w:p w14:paraId="449A62E3" w14:textId="4A0E60DA" w:rsidR="000520FA" w:rsidRPr="000520FA" w:rsidRDefault="000520FA" w:rsidP="000520FA">
      <w:pPr>
        <w:rPr>
          <w:rFonts w:ascii="Arial" w:hAnsi="Arial" w:cs="Arial"/>
          <w:sz w:val="24"/>
          <w:szCs w:val="24"/>
        </w:rPr>
      </w:pPr>
      <w:r w:rsidRPr="000520FA">
        <w:rPr>
          <w:rFonts w:ascii="Arial" w:hAnsi="Arial" w:cs="Arial"/>
          <w:sz w:val="24"/>
          <w:szCs w:val="24"/>
        </w:rPr>
        <w:t xml:space="preserve">FY23: (£1,639 million / £27,448 million) * 100 </w:t>
      </w:r>
      <w:r>
        <w:rPr>
          <w:rFonts w:ascii="Arial" w:hAnsi="Arial" w:cs="Arial"/>
          <w:sz w:val="24"/>
          <w:szCs w:val="24"/>
        </w:rPr>
        <w:t xml:space="preserve">= </w:t>
      </w:r>
      <w:r w:rsidRPr="000520FA">
        <w:rPr>
          <w:rFonts w:ascii="Arial" w:hAnsi="Arial" w:cs="Arial"/>
          <w:sz w:val="24"/>
          <w:szCs w:val="24"/>
        </w:rPr>
        <w:t>5.97%</w:t>
      </w:r>
    </w:p>
    <w:p w14:paraId="45A1C663" w14:textId="71D071A2" w:rsidR="000520FA" w:rsidRDefault="000520FA" w:rsidP="000520FA">
      <w:pPr>
        <w:rPr>
          <w:rFonts w:ascii="Arial" w:hAnsi="Arial" w:cs="Arial"/>
          <w:sz w:val="24"/>
          <w:szCs w:val="24"/>
        </w:rPr>
      </w:pPr>
      <w:r w:rsidRPr="000520FA">
        <w:rPr>
          <w:rFonts w:ascii="Arial" w:hAnsi="Arial" w:cs="Arial"/>
          <w:sz w:val="24"/>
          <w:szCs w:val="24"/>
        </w:rPr>
        <w:t>Interpretation: The net profit margin increased from approximately 2.71% in FY22 to around 5.97% in FY23. This significant improvement indicates enhanced profitability and operational efficiency, despite inflationary pressures and higher operational costs.</w:t>
      </w:r>
    </w:p>
    <w:p w14:paraId="562343D3" w14:textId="77777777" w:rsidR="000520FA" w:rsidRDefault="000520FA" w:rsidP="000520FA">
      <w:pPr>
        <w:rPr>
          <w:rFonts w:ascii="Arial" w:hAnsi="Arial" w:cs="Arial"/>
          <w:sz w:val="24"/>
          <w:szCs w:val="24"/>
        </w:rPr>
      </w:pPr>
    </w:p>
    <w:p w14:paraId="1A8256CE" w14:textId="77777777" w:rsidR="000520FA" w:rsidRDefault="000520FA" w:rsidP="000520FA">
      <w:pPr>
        <w:rPr>
          <w:rFonts w:ascii="Arial" w:hAnsi="Arial" w:cs="Arial"/>
          <w:sz w:val="24"/>
          <w:szCs w:val="24"/>
        </w:rPr>
      </w:pPr>
    </w:p>
    <w:p w14:paraId="294C121E" w14:textId="77777777" w:rsidR="000520FA" w:rsidRDefault="000520FA" w:rsidP="000520FA">
      <w:pPr>
        <w:rPr>
          <w:rFonts w:ascii="Arial" w:hAnsi="Arial" w:cs="Arial"/>
          <w:sz w:val="24"/>
          <w:szCs w:val="24"/>
        </w:rPr>
      </w:pPr>
    </w:p>
    <w:p w14:paraId="3D7FAC74" w14:textId="1548EA2A" w:rsidR="000520FA" w:rsidRPr="00246C89" w:rsidRDefault="000520FA" w:rsidP="000520FA">
      <w:pPr>
        <w:rPr>
          <w:rFonts w:ascii="Arial Black" w:hAnsi="Arial Black" w:cs="Arial"/>
          <w:sz w:val="24"/>
          <w:szCs w:val="24"/>
        </w:rPr>
      </w:pPr>
      <w:r w:rsidRPr="00246C89">
        <w:rPr>
          <w:rFonts w:ascii="Arial Black" w:hAnsi="Arial Black" w:cs="Arial"/>
          <w:sz w:val="24"/>
          <w:szCs w:val="24"/>
        </w:rPr>
        <w:t>Comparison of Performance (FY22 vs. FY23)</w:t>
      </w:r>
    </w:p>
    <w:p w14:paraId="76D4CCDF" w14:textId="77777777" w:rsidR="00246C89" w:rsidRPr="00246C89" w:rsidRDefault="000520FA" w:rsidP="00246C89">
      <w:pPr>
        <w:rPr>
          <w:rFonts w:ascii="Arial" w:hAnsi="Arial" w:cs="Arial"/>
          <w:sz w:val="24"/>
          <w:szCs w:val="24"/>
        </w:rPr>
      </w:pPr>
      <w:r w:rsidRPr="00246C89">
        <w:rPr>
          <w:rFonts w:ascii="Arial" w:hAnsi="Arial" w:cs="Arial"/>
          <w:sz w:val="24"/>
          <w:szCs w:val="24"/>
        </w:rPr>
        <w:t xml:space="preserve">The comparison of IKEA UK's financial performance between FY22 and FY23 indicates important patterns and changes in many key financial statistics, providing insight into the company's operational efficiency and financial health. </w:t>
      </w:r>
    </w:p>
    <w:p w14:paraId="44AE9778" w14:textId="77777777" w:rsidR="00246C89" w:rsidRDefault="000520FA" w:rsidP="00246C89">
      <w:pPr>
        <w:pStyle w:val="ListParagraph"/>
        <w:numPr>
          <w:ilvl w:val="0"/>
          <w:numId w:val="3"/>
        </w:numPr>
        <w:rPr>
          <w:rFonts w:ascii="Arial" w:hAnsi="Arial" w:cs="Arial"/>
          <w:sz w:val="24"/>
          <w:szCs w:val="24"/>
        </w:rPr>
      </w:pPr>
      <w:r w:rsidRPr="00246C89">
        <w:rPr>
          <w:rFonts w:ascii="Arial" w:hAnsi="Arial" w:cs="Arial"/>
          <w:sz w:val="24"/>
          <w:szCs w:val="24"/>
        </w:rPr>
        <w:t xml:space="preserve">Profitability ratios: The profitability ratios show a considerable improvement in IKEA UK's performance between FY22 and FY23. Both the Gross Profit Margin and the Net Profit Margin increased significantly throughout </w:t>
      </w:r>
      <w:r w:rsidRPr="00246C89">
        <w:rPr>
          <w:rFonts w:ascii="Arial" w:hAnsi="Arial" w:cs="Arial"/>
          <w:sz w:val="24"/>
          <w:szCs w:val="24"/>
        </w:rPr>
        <w:t>the two years</w:t>
      </w:r>
      <w:r w:rsidRPr="00246C89">
        <w:rPr>
          <w:rFonts w:ascii="Arial" w:hAnsi="Arial" w:cs="Arial"/>
          <w:sz w:val="24"/>
          <w:szCs w:val="24"/>
        </w:rPr>
        <w:t xml:space="preserve">. The Gross Profit Margin improved from about 15.96% in FY22 to over 19.08% in FY23, while the Net Profit Margin increased from about 2.71% to 5.97% over the same period. This improvement implies that IKEA UK implemented better cost management and pricing strategies, despite constraints such as growing transportation and logistics costs and inflationary pressures (Drury, 20). </w:t>
      </w:r>
    </w:p>
    <w:p w14:paraId="4BF8E2BB" w14:textId="77777777" w:rsidR="00246C89" w:rsidRDefault="000520FA" w:rsidP="00246C89">
      <w:pPr>
        <w:pStyle w:val="ListParagraph"/>
        <w:numPr>
          <w:ilvl w:val="0"/>
          <w:numId w:val="3"/>
        </w:numPr>
        <w:rPr>
          <w:rFonts w:ascii="Arial" w:hAnsi="Arial" w:cs="Arial"/>
          <w:sz w:val="24"/>
          <w:szCs w:val="24"/>
        </w:rPr>
      </w:pPr>
      <w:r w:rsidRPr="00246C89">
        <w:rPr>
          <w:rFonts w:ascii="Arial" w:hAnsi="Arial" w:cs="Arial"/>
          <w:sz w:val="24"/>
          <w:szCs w:val="24"/>
        </w:rPr>
        <w:t>Liquidity ratios:</w:t>
      </w:r>
      <w:r w:rsidR="00246C89" w:rsidRPr="00246C89">
        <w:rPr>
          <w:rFonts w:ascii="Arial" w:hAnsi="Arial" w:cs="Arial"/>
          <w:sz w:val="24"/>
          <w:szCs w:val="24"/>
        </w:rPr>
        <w:t xml:space="preserve"> </w:t>
      </w:r>
      <w:r w:rsidRPr="00246C89">
        <w:rPr>
          <w:rFonts w:ascii="Arial" w:hAnsi="Arial" w:cs="Arial"/>
          <w:sz w:val="24"/>
          <w:szCs w:val="24"/>
        </w:rPr>
        <w:t>The liquidity ratios reveal IKEA UK's ability to satisfy short-term obligations using its present assets. While the exact computations for the Current Ratio and Quick Ratio are not published, a comparison of FY22 to FY23 would reveal any changes in the company's financial position. Any increases in these ratios would indicate increased liquidity and financial flexibility for IKEA UK, allowing it to efficiently handle its short-term financial obligations (Weetman, 2016).</w:t>
      </w:r>
    </w:p>
    <w:p w14:paraId="213D82A0" w14:textId="5E85BEE3" w:rsidR="00D30270" w:rsidRPr="00246C89" w:rsidRDefault="000520FA" w:rsidP="00246C89">
      <w:pPr>
        <w:pStyle w:val="ListParagraph"/>
        <w:numPr>
          <w:ilvl w:val="0"/>
          <w:numId w:val="3"/>
        </w:numPr>
        <w:rPr>
          <w:rFonts w:ascii="Arial" w:hAnsi="Arial" w:cs="Arial"/>
          <w:sz w:val="24"/>
          <w:szCs w:val="24"/>
        </w:rPr>
      </w:pPr>
      <w:r w:rsidRPr="00246C89">
        <w:rPr>
          <w:rFonts w:ascii="Arial" w:hAnsi="Arial" w:cs="Arial"/>
          <w:sz w:val="24"/>
          <w:szCs w:val="24"/>
        </w:rPr>
        <w:t>Solvency ratios:</w:t>
      </w:r>
      <w:r w:rsidR="00246C89" w:rsidRPr="00246C89">
        <w:rPr>
          <w:rFonts w:ascii="Arial" w:hAnsi="Arial" w:cs="Arial"/>
          <w:sz w:val="24"/>
          <w:szCs w:val="24"/>
        </w:rPr>
        <w:t xml:space="preserve"> </w:t>
      </w:r>
      <w:r w:rsidR="00D30270" w:rsidRPr="00246C89">
        <w:rPr>
          <w:rFonts w:ascii="Arial" w:hAnsi="Arial" w:cs="Arial"/>
          <w:sz w:val="24"/>
          <w:szCs w:val="24"/>
        </w:rPr>
        <w:t xml:space="preserve">The solvency ratios assess IKEA UK's financial situation and its ability to meet long-term obligations. Again, no exact computations for the Debt-to-Equity Ratio and Interest Coverage Ratio are provided; however, an examination of these ratios over </w:t>
      </w:r>
      <w:r w:rsidR="00D30270" w:rsidRPr="00246C89">
        <w:rPr>
          <w:rFonts w:ascii="Arial" w:hAnsi="Arial" w:cs="Arial"/>
          <w:sz w:val="24"/>
          <w:szCs w:val="24"/>
        </w:rPr>
        <w:t>two years</w:t>
      </w:r>
      <w:r w:rsidR="00D30270" w:rsidRPr="00246C89">
        <w:rPr>
          <w:rFonts w:ascii="Arial" w:hAnsi="Arial" w:cs="Arial"/>
          <w:sz w:val="24"/>
          <w:szCs w:val="24"/>
        </w:rPr>
        <w:t xml:space="preserve"> would disclose changes in the company's capital structure and financial risk. </w:t>
      </w:r>
      <w:r w:rsidR="00D30270" w:rsidRPr="00246C89">
        <w:rPr>
          <w:rFonts w:ascii="Arial" w:hAnsi="Arial" w:cs="Arial"/>
          <w:sz w:val="24"/>
          <w:szCs w:val="24"/>
        </w:rPr>
        <w:t>A</w:t>
      </w:r>
      <w:r w:rsidR="00D30270" w:rsidRPr="00246C89">
        <w:rPr>
          <w:rFonts w:ascii="Arial" w:hAnsi="Arial" w:cs="Arial"/>
          <w:sz w:val="24"/>
          <w:szCs w:val="24"/>
        </w:rPr>
        <w:t xml:space="preserve"> rise in the Debt-to-Equity Ratio may imply greater financial leverage, but an increase in the Interest Coverage Ratio would indicate a better ability to cover interest commitments from operational income (Attrill &amp; McLaney, 2015).</w:t>
      </w:r>
    </w:p>
    <w:p w14:paraId="4C6C14FF" w14:textId="77777777" w:rsidR="00246C89" w:rsidRDefault="00D30270" w:rsidP="000520FA">
      <w:pPr>
        <w:rPr>
          <w:rFonts w:ascii="Arial" w:hAnsi="Arial" w:cs="Arial"/>
          <w:sz w:val="24"/>
          <w:szCs w:val="24"/>
        </w:rPr>
      </w:pPr>
      <w:r w:rsidRPr="00246C89">
        <w:rPr>
          <w:rFonts w:ascii="Arial Black" w:hAnsi="Arial Black" w:cs="Arial"/>
          <w:sz w:val="24"/>
          <w:szCs w:val="24"/>
        </w:rPr>
        <w:t>Factors that Influence Performance Variations</w:t>
      </w:r>
      <w:r w:rsidRPr="00246C89">
        <w:rPr>
          <w:rFonts w:ascii="Arial" w:hAnsi="Arial" w:cs="Arial"/>
          <w:sz w:val="24"/>
          <w:szCs w:val="24"/>
        </w:rPr>
        <w:br/>
      </w:r>
      <w:r w:rsidRPr="00D30270">
        <w:rPr>
          <w:rFonts w:ascii="Arial" w:hAnsi="Arial" w:cs="Arial"/>
          <w:sz w:val="24"/>
          <w:szCs w:val="24"/>
        </w:rPr>
        <w:br/>
        <w:t>Several variables have influenced the changes in IKEA UK's financial performance between FY22 and FY23. In FY22, problems include increased transportation and logistics costs, raw material prices, and global supply interruptions. However, in the latter part of FY23, purchase prices stabilised, global supply interruptions decreased, and operational efficiency improved, resulting in lower transportation and logistics expenses. These variables helped to gradually reduce inventory levels and increase product availability to clients, ultimately enhancing profitability (Drury, 20).</w:t>
      </w:r>
      <w:r w:rsidR="00246C89">
        <w:rPr>
          <w:rFonts w:ascii="Arial" w:hAnsi="Arial" w:cs="Arial"/>
          <w:sz w:val="24"/>
          <w:szCs w:val="24"/>
        </w:rPr>
        <w:t xml:space="preserve"> </w:t>
      </w:r>
      <w:r w:rsidRPr="00D30270">
        <w:rPr>
          <w:rFonts w:ascii="Arial" w:hAnsi="Arial" w:cs="Arial"/>
          <w:sz w:val="24"/>
          <w:szCs w:val="24"/>
        </w:rPr>
        <w:t xml:space="preserve">In addition, inflationary pressures in FY23 had an impact on operational expenditures, such as coworker costs and other running expenses. However, IKEA UK launched an internal restructuring programme to adjust its cost base and achieve savings, </w:t>
      </w:r>
      <w:r w:rsidR="00246C89">
        <w:rPr>
          <w:rFonts w:ascii="Arial" w:hAnsi="Arial" w:cs="Arial"/>
          <w:sz w:val="24"/>
          <w:szCs w:val="24"/>
        </w:rPr>
        <w:t>thus</w:t>
      </w:r>
      <w:r w:rsidRPr="00D30270">
        <w:rPr>
          <w:rFonts w:ascii="Arial" w:hAnsi="Arial" w:cs="Arial"/>
          <w:sz w:val="24"/>
          <w:szCs w:val="24"/>
        </w:rPr>
        <w:t xml:space="preserve"> lessening the impact of inflation. Furthermore, strategic moves such as the termination of commercial activities in Russia and Belarus in FY23, while resulting in </w:t>
      </w:r>
      <w:r w:rsidRPr="00D30270">
        <w:rPr>
          <w:rFonts w:ascii="Arial" w:hAnsi="Arial" w:cs="Arial"/>
          <w:sz w:val="24"/>
          <w:szCs w:val="24"/>
        </w:rPr>
        <w:lastRenderedPageBreak/>
        <w:t>an overall net loss, aided cost-cutting initiatives and operational streamlining (Dyson, 2010).</w:t>
      </w:r>
      <w:r w:rsidR="00246C89">
        <w:rPr>
          <w:rFonts w:ascii="Arial" w:hAnsi="Arial" w:cs="Arial"/>
          <w:sz w:val="24"/>
          <w:szCs w:val="24"/>
        </w:rPr>
        <w:t xml:space="preserve">                                                                                                                     </w:t>
      </w:r>
    </w:p>
    <w:p w14:paraId="759ED95E" w14:textId="48C57CD4" w:rsidR="00D30270" w:rsidRDefault="00D30270" w:rsidP="000520FA">
      <w:pPr>
        <w:rPr>
          <w:rFonts w:ascii="Arial" w:hAnsi="Arial" w:cs="Arial"/>
          <w:sz w:val="24"/>
          <w:szCs w:val="24"/>
        </w:rPr>
      </w:pPr>
      <w:r w:rsidRPr="00D30270">
        <w:rPr>
          <w:rFonts w:ascii="Arial" w:hAnsi="Arial" w:cs="Arial"/>
          <w:sz w:val="24"/>
          <w:szCs w:val="24"/>
        </w:rPr>
        <w:t xml:space="preserve">In conclusion, the financial analysis of IKEA UK's performance in FY22 and FY23 reveals considerable increases in profitability and operational efficiency. Cost management strategies, operational improvements, and strategic decisions have all had an impact on these good trends. Moving forward, IKEA UK should continue to prioritise cost-cutting initiatives, </w:t>
      </w:r>
      <w:r w:rsidR="00DC1384">
        <w:rPr>
          <w:rFonts w:ascii="Arial" w:hAnsi="Arial" w:cs="Arial"/>
          <w:sz w:val="24"/>
          <w:szCs w:val="24"/>
        </w:rPr>
        <w:t>improve</w:t>
      </w:r>
      <w:r w:rsidRPr="00D30270">
        <w:rPr>
          <w:rFonts w:ascii="Arial" w:hAnsi="Arial" w:cs="Arial"/>
          <w:sz w:val="24"/>
          <w:szCs w:val="24"/>
        </w:rPr>
        <w:t xml:space="preserve"> operational efficiency, and </w:t>
      </w:r>
      <w:r w:rsidR="00DC1384">
        <w:rPr>
          <w:rFonts w:ascii="Arial" w:hAnsi="Arial" w:cs="Arial"/>
          <w:sz w:val="24"/>
          <w:szCs w:val="24"/>
        </w:rPr>
        <w:t>adjust</w:t>
      </w:r>
      <w:r w:rsidRPr="00D30270">
        <w:rPr>
          <w:rFonts w:ascii="Arial" w:hAnsi="Arial" w:cs="Arial"/>
          <w:sz w:val="24"/>
          <w:szCs w:val="24"/>
        </w:rPr>
        <w:t xml:space="preserve"> to market dynamics </w:t>
      </w:r>
      <w:r w:rsidR="00DC1384">
        <w:rPr>
          <w:rFonts w:ascii="Arial" w:hAnsi="Arial" w:cs="Arial"/>
          <w:sz w:val="24"/>
          <w:szCs w:val="24"/>
        </w:rPr>
        <w:t>to</w:t>
      </w:r>
      <w:r w:rsidRPr="00D30270">
        <w:rPr>
          <w:rFonts w:ascii="Arial" w:hAnsi="Arial" w:cs="Arial"/>
          <w:sz w:val="24"/>
          <w:szCs w:val="24"/>
        </w:rPr>
        <w:t xml:space="preserve"> maintain its financial performance and achieve long-term sustainability.</w:t>
      </w:r>
    </w:p>
    <w:p w14:paraId="7D15F24D" w14:textId="09F0AAC5" w:rsidR="00D30270" w:rsidRPr="00DC1384" w:rsidRDefault="00D30270" w:rsidP="000520FA">
      <w:pPr>
        <w:rPr>
          <w:rFonts w:ascii="Arial Black" w:hAnsi="Arial Black" w:cs="Arial"/>
          <w:sz w:val="24"/>
          <w:szCs w:val="24"/>
        </w:rPr>
      </w:pPr>
      <w:r w:rsidRPr="00DC1384">
        <w:rPr>
          <w:rFonts w:ascii="Arial Black" w:hAnsi="Arial Black" w:cs="Arial"/>
          <w:sz w:val="24"/>
          <w:szCs w:val="24"/>
        </w:rPr>
        <w:t>Factors Influencing Performance</w:t>
      </w:r>
    </w:p>
    <w:p w14:paraId="576277D4" w14:textId="4A591A68" w:rsidR="00DC1384" w:rsidRDefault="00D30270" w:rsidP="000520FA">
      <w:pPr>
        <w:rPr>
          <w:rFonts w:ascii="Arial" w:hAnsi="Arial" w:cs="Arial"/>
          <w:sz w:val="24"/>
          <w:szCs w:val="24"/>
        </w:rPr>
      </w:pPr>
      <w:r w:rsidRPr="00D30270">
        <w:rPr>
          <w:rFonts w:ascii="Arial" w:hAnsi="Arial" w:cs="Arial"/>
          <w:sz w:val="24"/>
          <w:szCs w:val="24"/>
        </w:rPr>
        <w:t xml:space="preserve">Several important factors affected the changes in IKEA UK's financial performance between FY22 and FY23. These elements include the company's strategic initiatives, current economic conditions, and shifts in market dynamics. </w:t>
      </w:r>
      <w:r w:rsidRPr="00D30270">
        <w:rPr>
          <w:rFonts w:ascii="Arial" w:hAnsi="Arial" w:cs="Arial"/>
          <w:sz w:val="24"/>
          <w:szCs w:val="24"/>
        </w:rPr>
        <w:br/>
      </w:r>
      <w:r w:rsidRPr="00D30270">
        <w:rPr>
          <w:rFonts w:ascii="Arial" w:hAnsi="Arial" w:cs="Arial"/>
          <w:sz w:val="24"/>
          <w:szCs w:val="24"/>
        </w:rPr>
        <w:br/>
        <w:t>IKEA UK's increased performance is largely due to the company's strategic initiatives to improve operational efficiency and cost management. For example, IKEA UK focuses on optimising its supply chain and logistics operations, resulting in lower transportation costs and better product availability for customers. Furthermore, the company's investment in a more accessible business model, which includes innovative offers like Plan &amp; Order Points and mobile collection services, has improved customer convenience and contributed to sales growth (Ohlson, 1995).</w:t>
      </w:r>
      <w:r w:rsidR="00DC1384">
        <w:rPr>
          <w:rFonts w:ascii="Arial" w:hAnsi="Arial" w:cs="Arial"/>
          <w:sz w:val="24"/>
          <w:szCs w:val="24"/>
        </w:rPr>
        <w:t xml:space="preserve"> </w:t>
      </w:r>
      <w:r w:rsidRPr="00D30270">
        <w:rPr>
          <w:rFonts w:ascii="Arial" w:hAnsi="Arial" w:cs="Arial"/>
          <w:sz w:val="24"/>
          <w:szCs w:val="24"/>
        </w:rPr>
        <w:t>Furthermore, economic conditions have significantly influenced IKEA UK's financial success. Despite problems such as increased transportation costs and inflationary pressures, purchase prices stabilised in the second part of FY23, and global supply interruptions decreased. These economic advances enabled IKEA UK to reduce costs and increase profits (Kothari, 2001).</w:t>
      </w:r>
      <w:r w:rsidR="007C4678">
        <w:rPr>
          <w:rFonts w:ascii="Arial" w:hAnsi="Arial" w:cs="Arial"/>
          <w:sz w:val="24"/>
          <w:szCs w:val="24"/>
        </w:rPr>
        <w:t xml:space="preserve"> </w:t>
      </w:r>
      <w:r w:rsidRPr="00D30270">
        <w:rPr>
          <w:rFonts w:ascii="Arial" w:hAnsi="Arial" w:cs="Arial"/>
          <w:sz w:val="24"/>
          <w:szCs w:val="24"/>
        </w:rPr>
        <w:t>Furthermore, changes in market dynamics have impacted IKEA UK's performance. The company's ability to react to shifting consumer tastes and market trends has been critical to accelerating sales growth. For example, during the cost-of-living crisis, IKEA UK saw a spike in demand for long-lasting home furnishing solutions, resulting in higher sales of products such as wardrobe and storage systems. Furthermore, the development of IKEA's retail operations into new markets, as well as the introduction of innovative product lines, have helped to boost revenue (Walls et al. 2012).</w:t>
      </w:r>
    </w:p>
    <w:p w14:paraId="564EAAFF" w14:textId="03CFD672" w:rsidR="00D30270" w:rsidRDefault="00D30270" w:rsidP="000520FA">
      <w:pPr>
        <w:rPr>
          <w:rFonts w:ascii="Arial" w:hAnsi="Arial" w:cs="Arial"/>
          <w:sz w:val="24"/>
          <w:szCs w:val="24"/>
        </w:rPr>
      </w:pPr>
      <w:r w:rsidRPr="00D30270">
        <w:rPr>
          <w:rFonts w:ascii="Arial" w:hAnsi="Arial" w:cs="Arial"/>
          <w:sz w:val="24"/>
          <w:szCs w:val="24"/>
        </w:rPr>
        <w:t>Overall, IKEA UK's financial success over the analysed period was shaped by a combination of strategic objectives, economic conditions, and market dynamics. By efficiently managing these elements and continuing to innovate and adapt to changing market conditions, IKEA UK can maintain its growth trajectory and achieve long-term financial viability.</w:t>
      </w:r>
    </w:p>
    <w:p w14:paraId="592BAC01" w14:textId="062BE7DD" w:rsidR="00D30270" w:rsidRPr="00DC1384" w:rsidRDefault="00DC1384" w:rsidP="000520FA">
      <w:pPr>
        <w:rPr>
          <w:rFonts w:ascii="Arial Black" w:hAnsi="Arial Black" w:cs="Arial"/>
          <w:sz w:val="24"/>
          <w:szCs w:val="24"/>
        </w:rPr>
      </w:pPr>
      <w:r w:rsidRPr="00DC1384">
        <w:rPr>
          <w:rFonts w:ascii="Arial Black" w:hAnsi="Arial Black" w:cs="Arial"/>
          <w:sz w:val="24"/>
          <w:szCs w:val="24"/>
        </w:rPr>
        <w:t>Recommendations for Financial Improvements</w:t>
      </w:r>
    </w:p>
    <w:p w14:paraId="5C621BB8" w14:textId="77777777" w:rsidR="00DC1384" w:rsidRPr="00DC1384" w:rsidRDefault="00DC1384" w:rsidP="00DC1384">
      <w:pPr>
        <w:rPr>
          <w:rFonts w:ascii="Arial" w:hAnsi="Arial" w:cs="Arial"/>
          <w:sz w:val="24"/>
          <w:szCs w:val="24"/>
        </w:rPr>
      </w:pPr>
      <w:r w:rsidRPr="00DC1384">
        <w:rPr>
          <w:rFonts w:ascii="Arial" w:hAnsi="Arial" w:cs="Arial"/>
          <w:sz w:val="24"/>
          <w:szCs w:val="24"/>
        </w:rPr>
        <w:t xml:space="preserve">According to the analysis findings, IKEA UK can use many ways to improve its financial performance and sustainability: </w:t>
      </w:r>
    </w:p>
    <w:p w14:paraId="72B83421" w14:textId="2B4DA28F" w:rsidR="00DC1384" w:rsidRPr="00DC1384" w:rsidRDefault="00DC1384" w:rsidP="00DC1384">
      <w:pPr>
        <w:pStyle w:val="ListParagraph"/>
        <w:numPr>
          <w:ilvl w:val="0"/>
          <w:numId w:val="2"/>
        </w:numPr>
        <w:rPr>
          <w:rFonts w:ascii="Arial" w:hAnsi="Arial" w:cs="Arial"/>
          <w:sz w:val="24"/>
          <w:szCs w:val="24"/>
        </w:rPr>
      </w:pPr>
      <w:r w:rsidRPr="00DC1384">
        <w:rPr>
          <w:rFonts w:ascii="Arial" w:hAnsi="Arial" w:cs="Arial"/>
          <w:sz w:val="24"/>
          <w:szCs w:val="24"/>
        </w:rPr>
        <w:t xml:space="preserve">Investments in Sustainability efforts: IKEA UK should continue to prioritise sustainability efforts throughout its value chain, such as renewable energy </w:t>
      </w:r>
      <w:r w:rsidRPr="00DC1384">
        <w:rPr>
          <w:rFonts w:ascii="Arial" w:hAnsi="Arial" w:cs="Arial"/>
          <w:sz w:val="24"/>
          <w:szCs w:val="24"/>
        </w:rPr>
        <w:lastRenderedPageBreak/>
        <w:t xml:space="preserve">adoption, waste reduction, and environmentally friendly product creation. IKEA UK can boost its brand name and appeal to environmentally conscious consumers by staying true to its aim </w:t>
      </w:r>
      <w:r w:rsidRPr="00DC1384">
        <w:rPr>
          <w:rFonts w:ascii="Arial" w:hAnsi="Arial" w:cs="Arial"/>
          <w:sz w:val="24"/>
          <w:szCs w:val="24"/>
        </w:rPr>
        <w:t>of</w:t>
      </w:r>
      <w:r w:rsidRPr="00DC1384">
        <w:rPr>
          <w:rFonts w:ascii="Arial" w:hAnsi="Arial" w:cs="Arial"/>
          <w:sz w:val="24"/>
          <w:szCs w:val="24"/>
        </w:rPr>
        <w:t xml:space="preserve"> becoming a climate-positive firm by 2030 (Choi &amp; Wang, 2009). </w:t>
      </w:r>
    </w:p>
    <w:p w14:paraId="32495887" w14:textId="71999BE9" w:rsidR="00DC1384" w:rsidRPr="00DC1384" w:rsidRDefault="00DC1384" w:rsidP="00DC1384">
      <w:pPr>
        <w:pStyle w:val="ListParagraph"/>
        <w:numPr>
          <w:ilvl w:val="0"/>
          <w:numId w:val="2"/>
        </w:numPr>
        <w:rPr>
          <w:rFonts w:ascii="Arial" w:hAnsi="Arial" w:cs="Arial"/>
          <w:sz w:val="24"/>
          <w:szCs w:val="24"/>
        </w:rPr>
      </w:pPr>
      <w:r w:rsidRPr="00DC1384">
        <w:rPr>
          <w:rFonts w:ascii="Arial" w:hAnsi="Arial" w:cs="Arial"/>
          <w:sz w:val="24"/>
          <w:szCs w:val="24"/>
        </w:rPr>
        <w:t>Cost Optimisation: The organisation should prioritise further optimising operational costs through efficiency improvements and supply chain optimisation. IKEA UK may minimise overhead costs and increase profitability by using technological and process advancements (Drury, 2020).</w:t>
      </w:r>
    </w:p>
    <w:p w14:paraId="73905553" w14:textId="77777777" w:rsidR="00DC1384" w:rsidRPr="00DC1384" w:rsidRDefault="00DC1384" w:rsidP="00DC1384">
      <w:pPr>
        <w:pStyle w:val="ListParagraph"/>
        <w:numPr>
          <w:ilvl w:val="0"/>
          <w:numId w:val="2"/>
        </w:numPr>
        <w:rPr>
          <w:rFonts w:ascii="Arial" w:hAnsi="Arial" w:cs="Arial"/>
          <w:sz w:val="24"/>
          <w:szCs w:val="24"/>
        </w:rPr>
      </w:pPr>
      <w:r w:rsidRPr="00DC1384">
        <w:rPr>
          <w:rFonts w:ascii="Arial" w:hAnsi="Arial" w:cs="Arial"/>
          <w:sz w:val="24"/>
          <w:szCs w:val="24"/>
        </w:rPr>
        <w:t>Product Innovation: IKEA UK should continue to invest in product innovation and development to satisfy changing customer demands and preferences. By providing creative and sustainable product lines, the company can increase sales and differentiate itself in the competitive market (Attrill &amp; McLaney, 2015).</w:t>
      </w:r>
    </w:p>
    <w:p w14:paraId="3687B759" w14:textId="032658ED" w:rsidR="00DC1384" w:rsidRPr="00DC1384" w:rsidRDefault="00DC1384" w:rsidP="00DC1384">
      <w:pPr>
        <w:pStyle w:val="ListParagraph"/>
        <w:numPr>
          <w:ilvl w:val="0"/>
          <w:numId w:val="2"/>
        </w:numPr>
        <w:rPr>
          <w:rFonts w:ascii="Arial" w:hAnsi="Arial" w:cs="Arial"/>
          <w:sz w:val="24"/>
          <w:szCs w:val="24"/>
        </w:rPr>
      </w:pPr>
      <w:r w:rsidRPr="00DC1384">
        <w:rPr>
          <w:rFonts w:ascii="Arial" w:hAnsi="Arial" w:cs="Arial"/>
          <w:sz w:val="24"/>
          <w:szCs w:val="24"/>
        </w:rPr>
        <w:t>Community links: Strengthening links with local communities and non-governmental organisations (NGOs) can help IKEA UK's corporate social responsibility activities and boost brand loyalty. IKEA UK may positively impact society by supporting programmes in education, healthcare, and affordable housing (Weetman, 2016).</w:t>
      </w:r>
    </w:p>
    <w:p w14:paraId="14A76349" w14:textId="77777777" w:rsidR="00DC1384" w:rsidRDefault="00DC1384" w:rsidP="000520FA">
      <w:pPr>
        <w:rPr>
          <w:rFonts w:ascii="Arial" w:hAnsi="Arial" w:cs="Arial"/>
          <w:sz w:val="24"/>
          <w:szCs w:val="24"/>
        </w:rPr>
      </w:pPr>
    </w:p>
    <w:p w14:paraId="1F22A76E" w14:textId="77777777" w:rsidR="00DC1384" w:rsidRDefault="00DC1384" w:rsidP="000520FA">
      <w:pPr>
        <w:rPr>
          <w:rFonts w:ascii="Arial" w:hAnsi="Arial" w:cs="Arial"/>
          <w:sz w:val="24"/>
          <w:szCs w:val="24"/>
        </w:rPr>
      </w:pPr>
    </w:p>
    <w:p w14:paraId="6BF2382F" w14:textId="77777777" w:rsidR="00DC1384" w:rsidRDefault="00DC1384" w:rsidP="000520FA">
      <w:pPr>
        <w:rPr>
          <w:rFonts w:ascii="Arial" w:hAnsi="Arial" w:cs="Arial"/>
          <w:sz w:val="24"/>
          <w:szCs w:val="24"/>
        </w:rPr>
      </w:pPr>
    </w:p>
    <w:p w14:paraId="431ADF7F" w14:textId="77777777" w:rsidR="00DC1384" w:rsidRDefault="00DC1384" w:rsidP="000520FA">
      <w:pPr>
        <w:rPr>
          <w:rFonts w:ascii="Arial" w:hAnsi="Arial" w:cs="Arial"/>
          <w:sz w:val="24"/>
          <w:szCs w:val="24"/>
        </w:rPr>
      </w:pPr>
    </w:p>
    <w:p w14:paraId="16009DFE" w14:textId="77777777" w:rsidR="00DC1384" w:rsidRDefault="00DC1384" w:rsidP="000520FA">
      <w:pPr>
        <w:rPr>
          <w:rFonts w:ascii="Arial" w:hAnsi="Arial" w:cs="Arial"/>
          <w:sz w:val="24"/>
          <w:szCs w:val="24"/>
        </w:rPr>
      </w:pPr>
    </w:p>
    <w:p w14:paraId="61DCBFD6" w14:textId="77777777" w:rsidR="00DC1384" w:rsidRDefault="00DC1384" w:rsidP="000520FA">
      <w:pPr>
        <w:rPr>
          <w:rFonts w:ascii="Arial" w:hAnsi="Arial" w:cs="Arial"/>
          <w:sz w:val="24"/>
          <w:szCs w:val="24"/>
        </w:rPr>
      </w:pPr>
    </w:p>
    <w:p w14:paraId="776627E2" w14:textId="77777777" w:rsidR="00DC1384" w:rsidRDefault="00DC1384" w:rsidP="000520FA">
      <w:pPr>
        <w:rPr>
          <w:rFonts w:ascii="Arial" w:hAnsi="Arial" w:cs="Arial"/>
          <w:sz w:val="24"/>
          <w:szCs w:val="24"/>
        </w:rPr>
      </w:pPr>
    </w:p>
    <w:p w14:paraId="2FE26BD0" w14:textId="77777777" w:rsidR="00DC1384" w:rsidRDefault="00DC1384" w:rsidP="000520FA">
      <w:pPr>
        <w:rPr>
          <w:rFonts w:ascii="Arial" w:hAnsi="Arial" w:cs="Arial"/>
          <w:sz w:val="24"/>
          <w:szCs w:val="24"/>
        </w:rPr>
      </w:pPr>
    </w:p>
    <w:p w14:paraId="17C2CA6E" w14:textId="77777777" w:rsidR="00DC1384" w:rsidRDefault="00DC1384" w:rsidP="000520FA">
      <w:pPr>
        <w:rPr>
          <w:rFonts w:ascii="Arial" w:hAnsi="Arial" w:cs="Arial"/>
          <w:sz w:val="24"/>
          <w:szCs w:val="24"/>
        </w:rPr>
      </w:pPr>
    </w:p>
    <w:p w14:paraId="7ADD7827" w14:textId="77777777" w:rsidR="00DC1384" w:rsidRDefault="00DC1384" w:rsidP="000520FA">
      <w:pPr>
        <w:rPr>
          <w:rFonts w:ascii="Arial" w:hAnsi="Arial" w:cs="Arial"/>
          <w:sz w:val="24"/>
          <w:szCs w:val="24"/>
        </w:rPr>
      </w:pPr>
    </w:p>
    <w:p w14:paraId="3D39ECF3" w14:textId="77777777" w:rsidR="00DC1384" w:rsidRDefault="00DC1384" w:rsidP="000520FA">
      <w:pPr>
        <w:rPr>
          <w:rFonts w:ascii="Arial" w:hAnsi="Arial" w:cs="Arial"/>
          <w:sz w:val="24"/>
          <w:szCs w:val="24"/>
        </w:rPr>
      </w:pPr>
    </w:p>
    <w:p w14:paraId="32D71253" w14:textId="77777777" w:rsidR="00DC1384" w:rsidRDefault="00DC1384" w:rsidP="000520FA">
      <w:pPr>
        <w:rPr>
          <w:rFonts w:ascii="Arial" w:hAnsi="Arial" w:cs="Arial"/>
          <w:sz w:val="24"/>
          <w:szCs w:val="24"/>
        </w:rPr>
      </w:pPr>
    </w:p>
    <w:p w14:paraId="5587C722" w14:textId="77777777" w:rsidR="00DC1384" w:rsidRDefault="00DC1384" w:rsidP="000520FA">
      <w:pPr>
        <w:rPr>
          <w:rFonts w:ascii="Arial" w:hAnsi="Arial" w:cs="Arial"/>
          <w:sz w:val="24"/>
          <w:szCs w:val="24"/>
        </w:rPr>
      </w:pPr>
    </w:p>
    <w:p w14:paraId="7BD43265" w14:textId="77777777" w:rsidR="00DC1384" w:rsidRDefault="00DC1384" w:rsidP="000520FA">
      <w:pPr>
        <w:rPr>
          <w:rFonts w:ascii="Arial" w:hAnsi="Arial" w:cs="Arial"/>
          <w:sz w:val="24"/>
          <w:szCs w:val="24"/>
        </w:rPr>
      </w:pPr>
    </w:p>
    <w:p w14:paraId="0D38B46A" w14:textId="77777777" w:rsidR="00246C89" w:rsidRDefault="00246C89" w:rsidP="000520FA">
      <w:pPr>
        <w:rPr>
          <w:rFonts w:ascii="Arial Black" w:hAnsi="Arial Black" w:cs="Arial"/>
          <w:sz w:val="24"/>
          <w:szCs w:val="24"/>
        </w:rPr>
      </w:pPr>
    </w:p>
    <w:p w14:paraId="3FF069A1" w14:textId="77777777" w:rsidR="00246C89" w:rsidRDefault="00246C89" w:rsidP="000520FA">
      <w:pPr>
        <w:rPr>
          <w:rFonts w:ascii="Arial Black" w:hAnsi="Arial Black" w:cs="Arial"/>
          <w:sz w:val="24"/>
          <w:szCs w:val="24"/>
        </w:rPr>
      </w:pPr>
    </w:p>
    <w:p w14:paraId="4DCF1597" w14:textId="77777777" w:rsidR="00246C89" w:rsidRDefault="00246C89" w:rsidP="000520FA">
      <w:pPr>
        <w:rPr>
          <w:rFonts w:ascii="Arial Black" w:hAnsi="Arial Black" w:cs="Arial"/>
          <w:sz w:val="24"/>
          <w:szCs w:val="24"/>
        </w:rPr>
      </w:pPr>
    </w:p>
    <w:p w14:paraId="4E8A9BE8" w14:textId="77777777" w:rsidR="007C4678" w:rsidRDefault="007C4678" w:rsidP="000520FA">
      <w:pPr>
        <w:rPr>
          <w:rFonts w:ascii="Arial Black" w:hAnsi="Arial Black" w:cs="Arial"/>
          <w:sz w:val="24"/>
          <w:szCs w:val="24"/>
        </w:rPr>
      </w:pPr>
    </w:p>
    <w:p w14:paraId="53F867EB" w14:textId="6B8E561E" w:rsidR="00DC1384" w:rsidRDefault="00DC1384" w:rsidP="000520FA">
      <w:pPr>
        <w:rPr>
          <w:rFonts w:ascii="Arial" w:hAnsi="Arial" w:cs="Arial"/>
          <w:sz w:val="24"/>
          <w:szCs w:val="24"/>
        </w:rPr>
      </w:pPr>
      <w:r w:rsidRPr="00DC1384">
        <w:rPr>
          <w:rFonts w:ascii="Arial Black" w:hAnsi="Arial Black" w:cs="Arial"/>
          <w:sz w:val="24"/>
          <w:szCs w:val="24"/>
        </w:rPr>
        <w:lastRenderedPageBreak/>
        <w:t>Conclusion</w:t>
      </w:r>
      <w:r w:rsidRPr="00DC1384">
        <w:rPr>
          <w:rFonts w:ascii="Arial Black" w:hAnsi="Arial Black" w:cs="Arial"/>
          <w:sz w:val="24"/>
          <w:szCs w:val="24"/>
        </w:rPr>
        <w:br/>
      </w:r>
      <w:r w:rsidRPr="00DC1384">
        <w:rPr>
          <w:rFonts w:ascii="Arial Black" w:hAnsi="Arial Black" w:cs="Arial"/>
          <w:sz w:val="24"/>
          <w:szCs w:val="24"/>
        </w:rPr>
        <w:br/>
      </w:r>
      <w:r w:rsidRPr="00DC1384">
        <w:rPr>
          <w:rFonts w:ascii="Arial" w:hAnsi="Arial" w:cs="Arial"/>
          <w:sz w:val="24"/>
          <w:szCs w:val="24"/>
        </w:rPr>
        <w:t>Finally, the financial study of IKEA UK's performance in FY22 and FY23 revealed important insights into the company's financial health and operational efficiency. Ratio analysis has allowed for a thorough evaluation of important financial variables, showing areas of strength and places for improvement. By implementing the recommended strategies, such as investments in sustainability, cost optimisation, product innovation, and community partnerships, IKEA UK can improve its financial performance and sustainability in the future, ensuring long-term success and resilience in a volatile market.</w:t>
      </w:r>
    </w:p>
    <w:p w14:paraId="1C85DA02" w14:textId="77777777" w:rsidR="00413849" w:rsidRDefault="00413849" w:rsidP="000520FA">
      <w:pPr>
        <w:rPr>
          <w:rFonts w:ascii="Arial" w:hAnsi="Arial" w:cs="Arial"/>
          <w:sz w:val="24"/>
          <w:szCs w:val="24"/>
        </w:rPr>
      </w:pPr>
    </w:p>
    <w:p w14:paraId="2DE432EB" w14:textId="77777777" w:rsidR="00413849" w:rsidRDefault="00413849" w:rsidP="000520FA">
      <w:pPr>
        <w:rPr>
          <w:rFonts w:ascii="Arial" w:hAnsi="Arial" w:cs="Arial"/>
          <w:sz w:val="24"/>
          <w:szCs w:val="24"/>
        </w:rPr>
      </w:pPr>
    </w:p>
    <w:p w14:paraId="68F90865" w14:textId="77777777" w:rsidR="00413849" w:rsidRDefault="00413849" w:rsidP="000520FA">
      <w:pPr>
        <w:rPr>
          <w:rFonts w:ascii="Arial" w:hAnsi="Arial" w:cs="Arial"/>
          <w:sz w:val="24"/>
          <w:szCs w:val="24"/>
        </w:rPr>
      </w:pPr>
    </w:p>
    <w:p w14:paraId="5F980839" w14:textId="77777777" w:rsidR="00413849" w:rsidRDefault="00413849" w:rsidP="000520FA">
      <w:pPr>
        <w:rPr>
          <w:rFonts w:ascii="Arial" w:hAnsi="Arial" w:cs="Arial"/>
          <w:sz w:val="24"/>
          <w:szCs w:val="24"/>
        </w:rPr>
      </w:pPr>
    </w:p>
    <w:p w14:paraId="678334CC" w14:textId="77777777" w:rsidR="00413849" w:rsidRDefault="00413849" w:rsidP="000520FA">
      <w:pPr>
        <w:rPr>
          <w:rFonts w:ascii="Arial" w:hAnsi="Arial" w:cs="Arial"/>
          <w:sz w:val="24"/>
          <w:szCs w:val="24"/>
        </w:rPr>
      </w:pPr>
    </w:p>
    <w:p w14:paraId="611D6B70" w14:textId="77777777" w:rsidR="00413849" w:rsidRDefault="00413849" w:rsidP="000520FA">
      <w:pPr>
        <w:rPr>
          <w:rFonts w:ascii="Arial" w:hAnsi="Arial" w:cs="Arial"/>
          <w:sz w:val="24"/>
          <w:szCs w:val="24"/>
        </w:rPr>
      </w:pPr>
    </w:p>
    <w:p w14:paraId="2D4A2D31" w14:textId="77777777" w:rsidR="00413849" w:rsidRDefault="00413849" w:rsidP="000520FA">
      <w:pPr>
        <w:rPr>
          <w:rFonts w:ascii="Arial" w:hAnsi="Arial" w:cs="Arial"/>
          <w:sz w:val="24"/>
          <w:szCs w:val="24"/>
        </w:rPr>
      </w:pPr>
    </w:p>
    <w:p w14:paraId="5493DA21" w14:textId="77777777" w:rsidR="00413849" w:rsidRDefault="00413849" w:rsidP="000520FA">
      <w:pPr>
        <w:rPr>
          <w:rFonts w:ascii="Arial" w:hAnsi="Arial" w:cs="Arial"/>
          <w:sz w:val="24"/>
          <w:szCs w:val="24"/>
        </w:rPr>
      </w:pPr>
    </w:p>
    <w:p w14:paraId="4EAA5333" w14:textId="77777777" w:rsidR="00413849" w:rsidRDefault="00413849" w:rsidP="000520FA">
      <w:pPr>
        <w:rPr>
          <w:rFonts w:ascii="Arial" w:hAnsi="Arial" w:cs="Arial"/>
          <w:sz w:val="24"/>
          <w:szCs w:val="24"/>
        </w:rPr>
      </w:pPr>
    </w:p>
    <w:p w14:paraId="6C76967D" w14:textId="77777777" w:rsidR="00413849" w:rsidRDefault="00413849" w:rsidP="000520FA">
      <w:pPr>
        <w:rPr>
          <w:rFonts w:ascii="Arial" w:hAnsi="Arial" w:cs="Arial"/>
          <w:sz w:val="24"/>
          <w:szCs w:val="24"/>
        </w:rPr>
      </w:pPr>
    </w:p>
    <w:p w14:paraId="4B978A29" w14:textId="77777777" w:rsidR="00413849" w:rsidRDefault="00413849" w:rsidP="000520FA">
      <w:pPr>
        <w:rPr>
          <w:rFonts w:ascii="Arial" w:hAnsi="Arial" w:cs="Arial"/>
          <w:sz w:val="24"/>
          <w:szCs w:val="24"/>
        </w:rPr>
      </w:pPr>
    </w:p>
    <w:p w14:paraId="748F333B" w14:textId="77777777" w:rsidR="00413849" w:rsidRDefault="00413849" w:rsidP="000520FA">
      <w:pPr>
        <w:rPr>
          <w:rFonts w:ascii="Arial" w:hAnsi="Arial" w:cs="Arial"/>
          <w:sz w:val="24"/>
          <w:szCs w:val="24"/>
        </w:rPr>
      </w:pPr>
    </w:p>
    <w:p w14:paraId="7A7EC019" w14:textId="77777777" w:rsidR="00413849" w:rsidRDefault="00413849" w:rsidP="000520FA">
      <w:pPr>
        <w:rPr>
          <w:rFonts w:ascii="Arial" w:hAnsi="Arial" w:cs="Arial"/>
          <w:sz w:val="24"/>
          <w:szCs w:val="24"/>
        </w:rPr>
      </w:pPr>
    </w:p>
    <w:p w14:paraId="6DE0046F" w14:textId="77777777" w:rsidR="00413849" w:rsidRDefault="00413849" w:rsidP="000520FA">
      <w:pPr>
        <w:rPr>
          <w:rFonts w:ascii="Arial" w:hAnsi="Arial" w:cs="Arial"/>
          <w:sz w:val="24"/>
          <w:szCs w:val="24"/>
        </w:rPr>
      </w:pPr>
    </w:p>
    <w:p w14:paraId="7C7DA52B" w14:textId="77777777" w:rsidR="00413849" w:rsidRDefault="00413849" w:rsidP="000520FA">
      <w:pPr>
        <w:rPr>
          <w:rFonts w:ascii="Arial" w:hAnsi="Arial" w:cs="Arial"/>
          <w:sz w:val="24"/>
          <w:szCs w:val="24"/>
        </w:rPr>
      </w:pPr>
    </w:p>
    <w:p w14:paraId="70F5A4E9" w14:textId="77777777" w:rsidR="00413849" w:rsidRDefault="00413849" w:rsidP="000520FA">
      <w:pPr>
        <w:rPr>
          <w:rFonts w:ascii="Arial" w:hAnsi="Arial" w:cs="Arial"/>
          <w:sz w:val="24"/>
          <w:szCs w:val="24"/>
        </w:rPr>
      </w:pPr>
    </w:p>
    <w:p w14:paraId="7DBC2E2A" w14:textId="77777777" w:rsidR="00413849" w:rsidRDefault="00413849" w:rsidP="000520FA">
      <w:pPr>
        <w:rPr>
          <w:rFonts w:ascii="Arial" w:hAnsi="Arial" w:cs="Arial"/>
          <w:sz w:val="24"/>
          <w:szCs w:val="24"/>
        </w:rPr>
      </w:pPr>
    </w:p>
    <w:p w14:paraId="45B40C4D" w14:textId="77777777" w:rsidR="00413849" w:rsidRDefault="00413849" w:rsidP="000520FA">
      <w:pPr>
        <w:rPr>
          <w:rFonts w:ascii="Arial" w:hAnsi="Arial" w:cs="Arial"/>
          <w:sz w:val="24"/>
          <w:szCs w:val="24"/>
        </w:rPr>
      </w:pPr>
    </w:p>
    <w:p w14:paraId="2FC4DFC6" w14:textId="77777777" w:rsidR="00413849" w:rsidRDefault="00413849" w:rsidP="000520FA">
      <w:pPr>
        <w:rPr>
          <w:rFonts w:ascii="Arial" w:hAnsi="Arial" w:cs="Arial"/>
          <w:sz w:val="24"/>
          <w:szCs w:val="24"/>
        </w:rPr>
      </w:pPr>
    </w:p>
    <w:p w14:paraId="04B61D90" w14:textId="77777777" w:rsidR="00413849" w:rsidRDefault="00413849" w:rsidP="000520FA">
      <w:pPr>
        <w:rPr>
          <w:rFonts w:ascii="Arial" w:hAnsi="Arial" w:cs="Arial"/>
          <w:sz w:val="24"/>
          <w:szCs w:val="24"/>
        </w:rPr>
      </w:pPr>
    </w:p>
    <w:p w14:paraId="5435E215" w14:textId="77777777" w:rsidR="00413849" w:rsidRDefault="00413849" w:rsidP="000520FA">
      <w:pPr>
        <w:rPr>
          <w:rFonts w:ascii="Arial" w:hAnsi="Arial" w:cs="Arial"/>
          <w:sz w:val="24"/>
          <w:szCs w:val="24"/>
        </w:rPr>
      </w:pPr>
    </w:p>
    <w:p w14:paraId="5677A52B" w14:textId="77777777" w:rsidR="00413849" w:rsidRDefault="00413849" w:rsidP="000520FA">
      <w:pPr>
        <w:rPr>
          <w:rFonts w:ascii="Arial" w:hAnsi="Arial" w:cs="Arial"/>
          <w:sz w:val="24"/>
          <w:szCs w:val="24"/>
        </w:rPr>
      </w:pPr>
    </w:p>
    <w:p w14:paraId="14818BB8" w14:textId="77777777" w:rsidR="00F2520B" w:rsidRDefault="00F2520B" w:rsidP="000520FA">
      <w:pPr>
        <w:rPr>
          <w:rFonts w:ascii="Arial" w:hAnsi="Arial" w:cs="Arial"/>
          <w:sz w:val="24"/>
          <w:szCs w:val="24"/>
        </w:rPr>
      </w:pPr>
    </w:p>
    <w:p w14:paraId="6D7047F2" w14:textId="662AD6DB" w:rsidR="00413849" w:rsidRPr="00F2520B" w:rsidRDefault="00413849" w:rsidP="000520FA">
      <w:pPr>
        <w:rPr>
          <w:rFonts w:ascii="Arial Black" w:hAnsi="Arial Black" w:cs="Arial"/>
          <w:sz w:val="24"/>
          <w:szCs w:val="24"/>
        </w:rPr>
      </w:pPr>
      <w:r w:rsidRPr="00F2520B">
        <w:rPr>
          <w:rFonts w:ascii="Arial Black" w:hAnsi="Arial Black" w:cs="Arial"/>
          <w:sz w:val="24"/>
          <w:szCs w:val="24"/>
        </w:rPr>
        <w:lastRenderedPageBreak/>
        <w:t xml:space="preserve">References </w:t>
      </w:r>
    </w:p>
    <w:p w14:paraId="34775E42" w14:textId="77777777" w:rsidR="00F2520B" w:rsidRDefault="00F2520B" w:rsidP="000520FA">
      <w:pPr>
        <w:rPr>
          <w:rFonts w:ascii="Arial" w:hAnsi="Arial" w:cs="Arial"/>
          <w:sz w:val="24"/>
          <w:szCs w:val="24"/>
        </w:rPr>
      </w:pPr>
    </w:p>
    <w:p w14:paraId="27A6C3F0" w14:textId="77777777" w:rsidR="006360DA" w:rsidRPr="006360DA" w:rsidRDefault="006360DA" w:rsidP="006360DA">
      <w:pPr>
        <w:rPr>
          <w:rFonts w:ascii="Arial" w:hAnsi="Arial" w:cs="Arial"/>
          <w:sz w:val="24"/>
          <w:szCs w:val="24"/>
        </w:rPr>
      </w:pPr>
      <w:r w:rsidRPr="006360DA">
        <w:rPr>
          <w:rFonts w:ascii="Arial" w:hAnsi="Arial" w:cs="Arial"/>
          <w:sz w:val="24"/>
          <w:szCs w:val="24"/>
        </w:rPr>
        <w:t>Attrill, P., &amp; McLaney, E. (2015). Management Accounting for Decision Makers. Cengage Learning.</w:t>
      </w:r>
    </w:p>
    <w:p w14:paraId="43B786AF" w14:textId="77777777" w:rsidR="006360DA" w:rsidRDefault="006360DA" w:rsidP="006360DA">
      <w:pPr>
        <w:rPr>
          <w:rFonts w:ascii="Arial" w:hAnsi="Arial" w:cs="Arial"/>
          <w:sz w:val="24"/>
          <w:szCs w:val="24"/>
        </w:rPr>
      </w:pPr>
      <w:r w:rsidRPr="006360DA">
        <w:rPr>
          <w:rFonts w:ascii="Arial" w:hAnsi="Arial" w:cs="Arial"/>
          <w:sz w:val="24"/>
          <w:szCs w:val="24"/>
        </w:rPr>
        <w:t>Choi, J., &amp; Wang, H. (2009). Stakeholder Relations and the Persistence of Corporate Financial Performance. Strategic Management Journal, 30(8), 895-907.</w:t>
      </w:r>
    </w:p>
    <w:p w14:paraId="2947DB9E" w14:textId="3D6CD401" w:rsidR="006360DA" w:rsidRPr="006360DA" w:rsidRDefault="006360DA" w:rsidP="006360DA">
      <w:pPr>
        <w:rPr>
          <w:rFonts w:ascii="Arial" w:hAnsi="Arial" w:cs="Arial"/>
          <w:sz w:val="24"/>
          <w:szCs w:val="24"/>
        </w:rPr>
      </w:pPr>
      <w:r w:rsidRPr="006360DA">
        <w:rPr>
          <w:rFonts w:ascii="Arial" w:hAnsi="Arial" w:cs="Arial"/>
          <w:sz w:val="24"/>
          <w:szCs w:val="24"/>
        </w:rPr>
        <w:t>Chen, Z., &amp; Zhang, Z. (2019). Sustainable Retailing: An Empirical Study on the Green Marketing Mix of IKEA. Sustainability, 11(20), 5701.</w:t>
      </w:r>
    </w:p>
    <w:p w14:paraId="72B6BFC3" w14:textId="77777777" w:rsidR="006360DA" w:rsidRDefault="006360DA" w:rsidP="006360DA">
      <w:pPr>
        <w:rPr>
          <w:rFonts w:ascii="Arial" w:hAnsi="Arial" w:cs="Arial"/>
          <w:sz w:val="24"/>
          <w:szCs w:val="24"/>
        </w:rPr>
      </w:pPr>
      <w:r w:rsidRPr="006360DA">
        <w:rPr>
          <w:rFonts w:ascii="Arial" w:hAnsi="Arial" w:cs="Arial"/>
          <w:sz w:val="24"/>
          <w:szCs w:val="24"/>
        </w:rPr>
        <w:t>Drury, J. (2020). Management and Cost Accounting. Cengage Learning.</w:t>
      </w:r>
    </w:p>
    <w:p w14:paraId="5508F0E3" w14:textId="65540DE2" w:rsidR="006360DA" w:rsidRPr="006360DA" w:rsidRDefault="006360DA" w:rsidP="006360DA">
      <w:pPr>
        <w:rPr>
          <w:rFonts w:ascii="Arial" w:hAnsi="Arial" w:cs="Arial"/>
          <w:sz w:val="24"/>
          <w:szCs w:val="24"/>
        </w:rPr>
      </w:pPr>
      <w:r w:rsidRPr="006360DA">
        <w:rPr>
          <w:rFonts w:ascii="Arial" w:hAnsi="Arial" w:cs="Arial"/>
          <w:sz w:val="24"/>
          <w:szCs w:val="24"/>
        </w:rPr>
        <w:t>Davidson, J., &amp; Colantonio, A. (2013). The Role of Market Research at IKEA. Journal</w:t>
      </w:r>
      <w:r w:rsidR="00F2520B">
        <w:rPr>
          <w:rFonts w:ascii="Arial" w:hAnsi="Arial" w:cs="Arial"/>
          <w:sz w:val="24"/>
          <w:szCs w:val="24"/>
        </w:rPr>
        <w:t xml:space="preserve"> </w:t>
      </w:r>
      <w:r w:rsidRPr="006360DA">
        <w:rPr>
          <w:rFonts w:ascii="Arial" w:hAnsi="Arial" w:cs="Arial"/>
          <w:sz w:val="24"/>
          <w:szCs w:val="24"/>
        </w:rPr>
        <w:t>of Global Marketing, 26(5), 247-257.</w:t>
      </w:r>
    </w:p>
    <w:p w14:paraId="67E79406" w14:textId="77777777" w:rsidR="006360DA" w:rsidRPr="006360DA" w:rsidRDefault="006360DA" w:rsidP="006360DA">
      <w:pPr>
        <w:rPr>
          <w:rFonts w:ascii="Arial" w:hAnsi="Arial" w:cs="Arial"/>
          <w:sz w:val="24"/>
          <w:szCs w:val="24"/>
        </w:rPr>
      </w:pPr>
      <w:r w:rsidRPr="006360DA">
        <w:rPr>
          <w:rFonts w:ascii="Arial" w:hAnsi="Arial" w:cs="Arial"/>
          <w:sz w:val="24"/>
          <w:szCs w:val="24"/>
        </w:rPr>
        <w:t>Kothari, S.P. (2001). Capital Markets Research in Accounting. Journal of Accounting and Economics, 31(1-3), 105-253.</w:t>
      </w:r>
    </w:p>
    <w:p w14:paraId="3A269182" w14:textId="77777777" w:rsidR="006360DA" w:rsidRPr="006360DA" w:rsidRDefault="006360DA" w:rsidP="006360DA">
      <w:pPr>
        <w:rPr>
          <w:rFonts w:ascii="Arial" w:hAnsi="Arial" w:cs="Arial"/>
          <w:sz w:val="24"/>
          <w:szCs w:val="24"/>
        </w:rPr>
      </w:pPr>
      <w:r w:rsidRPr="006360DA">
        <w:rPr>
          <w:rFonts w:ascii="Arial" w:hAnsi="Arial" w:cs="Arial"/>
          <w:sz w:val="24"/>
          <w:szCs w:val="24"/>
        </w:rPr>
        <w:t>Ohlson, J.A. (1995). Earnings, Book Values and Dividends in Equity Valuation. Contemporary Accounting Research, 11(2), 661-688.</w:t>
      </w:r>
    </w:p>
    <w:p w14:paraId="74A8EE35" w14:textId="77777777" w:rsidR="006360DA" w:rsidRPr="006360DA" w:rsidRDefault="006360DA" w:rsidP="006360DA">
      <w:pPr>
        <w:rPr>
          <w:rFonts w:ascii="Arial" w:hAnsi="Arial" w:cs="Arial"/>
          <w:sz w:val="24"/>
          <w:szCs w:val="24"/>
        </w:rPr>
      </w:pPr>
      <w:r w:rsidRPr="006360DA">
        <w:rPr>
          <w:rFonts w:ascii="Arial" w:hAnsi="Arial" w:cs="Arial"/>
          <w:sz w:val="24"/>
          <w:szCs w:val="24"/>
        </w:rPr>
        <w:t>Walls, J.L., Berrone, P., &amp; Phan, P.H. (2012). Corporate Governance and Environmental Performance: Is There Really a Link? Strategic Management Journal, 33(8), 885-913.</w:t>
      </w:r>
    </w:p>
    <w:p w14:paraId="5212173E" w14:textId="0FC75A1F" w:rsidR="00413849" w:rsidRDefault="006360DA" w:rsidP="006360DA">
      <w:pPr>
        <w:rPr>
          <w:rFonts w:ascii="Arial" w:hAnsi="Arial" w:cs="Arial"/>
          <w:sz w:val="24"/>
          <w:szCs w:val="24"/>
        </w:rPr>
      </w:pPr>
      <w:r w:rsidRPr="006360DA">
        <w:rPr>
          <w:rFonts w:ascii="Arial" w:hAnsi="Arial" w:cs="Arial"/>
          <w:sz w:val="24"/>
          <w:szCs w:val="24"/>
        </w:rPr>
        <w:t>Weetman, P. (2016). Financial Accounting: An Introduction. Pearson.</w:t>
      </w:r>
    </w:p>
    <w:p w14:paraId="601D9A0A" w14:textId="65A283B1" w:rsidR="006360DA" w:rsidRDefault="006360DA" w:rsidP="006360DA">
      <w:pPr>
        <w:rPr>
          <w:rFonts w:ascii="Arial" w:hAnsi="Arial" w:cs="Arial"/>
          <w:sz w:val="24"/>
          <w:szCs w:val="24"/>
        </w:rPr>
      </w:pPr>
      <w:r w:rsidRPr="006360DA">
        <w:rPr>
          <w:rFonts w:ascii="Arial" w:hAnsi="Arial" w:cs="Arial"/>
          <w:sz w:val="24"/>
          <w:szCs w:val="24"/>
        </w:rPr>
        <w:t>IKEA. (2024). Annual Sustainability Report FY22. Retrieved from</w:t>
      </w:r>
      <w:r>
        <w:rPr>
          <w:rFonts w:ascii="Arial" w:hAnsi="Arial" w:cs="Arial"/>
          <w:sz w:val="24"/>
          <w:szCs w:val="24"/>
        </w:rPr>
        <w:t xml:space="preserve"> </w:t>
      </w:r>
      <w:hyperlink r:id="rId9" w:history="1">
        <w:r w:rsidRPr="00630819">
          <w:rPr>
            <w:rStyle w:val="Hyperlink"/>
            <w:rFonts w:ascii="Arial" w:hAnsi="Arial" w:cs="Arial"/>
            <w:sz w:val="24"/>
            <w:szCs w:val="24"/>
          </w:rPr>
          <w:t>https://www.ikea.com/global/en/images/ikea_sustainability_report_fy22_57c0217c71.pdf</w:t>
        </w:r>
      </w:hyperlink>
    </w:p>
    <w:p w14:paraId="79426919" w14:textId="5927754C" w:rsidR="006360DA" w:rsidRDefault="006360DA" w:rsidP="006360DA">
      <w:pPr>
        <w:rPr>
          <w:rFonts w:ascii="Arial" w:hAnsi="Arial" w:cs="Arial"/>
          <w:sz w:val="24"/>
          <w:szCs w:val="24"/>
        </w:rPr>
      </w:pPr>
      <w:r w:rsidRPr="006360DA">
        <w:rPr>
          <w:rFonts w:ascii="Arial" w:hAnsi="Arial" w:cs="Arial"/>
          <w:sz w:val="24"/>
          <w:szCs w:val="24"/>
        </w:rPr>
        <w:t>IKEA. (2024). Annual Financial Report FY23.</w:t>
      </w:r>
      <w:r>
        <w:rPr>
          <w:rFonts w:ascii="Arial" w:hAnsi="Arial" w:cs="Arial"/>
          <w:sz w:val="24"/>
          <w:szCs w:val="24"/>
        </w:rPr>
        <w:t xml:space="preserve"> Retrieved from </w:t>
      </w:r>
      <w:hyperlink r:id="rId10" w:history="1">
        <w:r w:rsidRPr="00630819">
          <w:rPr>
            <w:rStyle w:val="Hyperlink"/>
            <w:rFonts w:ascii="Arial" w:hAnsi="Arial" w:cs="Arial"/>
            <w:sz w:val="24"/>
            <w:szCs w:val="24"/>
          </w:rPr>
          <w:t>https://www.inter.ikea.com/en/performance/fy23-financial-results</w:t>
        </w:r>
      </w:hyperlink>
    </w:p>
    <w:p w14:paraId="71C2A214" w14:textId="07931C6E" w:rsidR="00413849" w:rsidRDefault="006360DA" w:rsidP="000520FA">
      <w:pPr>
        <w:rPr>
          <w:rFonts w:ascii="Arial" w:hAnsi="Arial" w:cs="Arial"/>
          <w:sz w:val="24"/>
          <w:szCs w:val="24"/>
        </w:rPr>
      </w:pPr>
      <w:r w:rsidRPr="006360DA">
        <w:rPr>
          <w:rFonts w:ascii="Arial" w:hAnsi="Arial" w:cs="Arial"/>
          <w:sz w:val="24"/>
          <w:szCs w:val="24"/>
        </w:rPr>
        <w:t>IKEA. (2024). Sustainability Strategy: People &amp; Planet Positive. Retrieved from</w:t>
      </w:r>
      <w:r>
        <w:rPr>
          <w:rFonts w:ascii="Arial" w:hAnsi="Arial" w:cs="Arial"/>
          <w:sz w:val="24"/>
          <w:szCs w:val="24"/>
        </w:rPr>
        <w:t xml:space="preserve"> </w:t>
      </w:r>
      <w:hyperlink r:id="rId11" w:history="1">
        <w:r w:rsidRPr="00630819">
          <w:rPr>
            <w:rStyle w:val="Hyperlink"/>
            <w:rFonts w:ascii="Arial" w:hAnsi="Arial" w:cs="Arial"/>
            <w:sz w:val="24"/>
            <w:szCs w:val="24"/>
          </w:rPr>
          <w:t>https://www.ikea.com/global/en/images/IKEA_SUSTAINABILITY_Report_FY_23_20240125_1b190c008f.pd</w:t>
        </w:r>
        <w:r w:rsidRPr="00630819">
          <w:rPr>
            <w:rStyle w:val="Hyperlink"/>
            <w:rFonts w:ascii="Arial" w:hAnsi="Arial" w:cs="Arial"/>
            <w:sz w:val="24"/>
            <w:szCs w:val="24"/>
          </w:rPr>
          <w:t>f</w:t>
        </w:r>
      </w:hyperlink>
    </w:p>
    <w:p w14:paraId="3BCA6E8D" w14:textId="1B65FFB1" w:rsidR="006360DA" w:rsidRDefault="006360DA" w:rsidP="000520FA">
      <w:pPr>
        <w:rPr>
          <w:rFonts w:ascii="Arial" w:hAnsi="Arial" w:cs="Arial"/>
          <w:sz w:val="24"/>
          <w:szCs w:val="24"/>
        </w:rPr>
      </w:pPr>
      <w:r w:rsidRPr="006360DA">
        <w:rPr>
          <w:rFonts w:ascii="Arial" w:hAnsi="Arial" w:cs="Arial"/>
          <w:sz w:val="24"/>
          <w:szCs w:val="24"/>
        </w:rPr>
        <w:t xml:space="preserve">IKEA. (2023). Sustainable Living. Retrieved from </w:t>
      </w:r>
      <w:hyperlink r:id="rId12" w:history="1">
        <w:r w:rsidRPr="00630819">
          <w:rPr>
            <w:rStyle w:val="Hyperlink"/>
            <w:rFonts w:ascii="Arial" w:hAnsi="Arial" w:cs="Arial"/>
            <w:sz w:val="24"/>
            <w:szCs w:val="24"/>
          </w:rPr>
          <w:t>https://www.ikea.com/sustainable-living/</w:t>
        </w:r>
      </w:hyperlink>
    </w:p>
    <w:p w14:paraId="2D2F3B47" w14:textId="77777777" w:rsidR="006360DA" w:rsidRDefault="006360DA" w:rsidP="000520FA">
      <w:pPr>
        <w:rPr>
          <w:rFonts w:ascii="Arial" w:hAnsi="Arial" w:cs="Arial"/>
          <w:sz w:val="24"/>
          <w:szCs w:val="24"/>
        </w:rPr>
      </w:pPr>
    </w:p>
    <w:p w14:paraId="473A960C" w14:textId="77777777" w:rsidR="006360DA" w:rsidRDefault="006360DA" w:rsidP="000520FA">
      <w:pPr>
        <w:rPr>
          <w:rFonts w:ascii="Arial" w:hAnsi="Arial" w:cs="Arial"/>
          <w:sz w:val="24"/>
          <w:szCs w:val="24"/>
        </w:rPr>
      </w:pPr>
    </w:p>
    <w:p w14:paraId="2DEF3EFB" w14:textId="77777777" w:rsidR="00413849" w:rsidRDefault="00413849" w:rsidP="000520FA">
      <w:pPr>
        <w:rPr>
          <w:rFonts w:ascii="Arial" w:hAnsi="Arial" w:cs="Arial"/>
          <w:sz w:val="24"/>
          <w:szCs w:val="24"/>
        </w:rPr>
      </w:pPr>
    </w:p>
    <w:p w14:paraId="5D74339A" w14:textId="77777777" w:rsidR="00DC1384" w:rsidRDefault="00DC1384" w:rsidP="000520FA">
      <w:pPr>
        <w:rPr>
          <w:rFonts w:ascii="Arial" w:hAnsi="Arial" w:cs="Arial"/>
          <w:sz w:val="24"/>
          <w:szCs w:val="24"/>
        </w:rPr>
      </w:pPr>
    </w:p>
    <w:p w14:paraId="071FE31F" w14:textId="77777777" w:rsidR="000520FA" w:rsidRPr="002707FE" w:rsidRDefault="000520FA" w:rsidP="000520FA">
      <w:pPr>
        <w:rPr>
          <w:rFonts w:ascii="Arial" w:hAnsi="Arial" w:cs="Arial"/>
          <w:sz w:val="24"/>
          <w:szCs w:val="24"/>
        </w:rPr>
      </w:pPr>
    </w:p>
    <w:sectPr w:rsidR="000520FA" w:rsidRPr="002707FE" w:rsidSect="004B74C2">
      <w:head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CAF726" w14:textId="77777777" w:rsidR="004B74C2" w:rsidRDefault="004B74C2" w:rsidP="007C4678">
      <w:pPr>
        <w:spacing w:after="0" w:line="240" w:lineRule="auto"/>
      </w:pPr>
      <w:r>
        <w:separator/>
      </w:r>
    </w:p>
  </w:endnote>
  <w:endnote w:type="continuationSeparator" w:id="0">
    <w:p w14:paraId="450F0201" w14:textId="77777777" w:rsidR="004B74C2" w:rsidRDefault="004B74C2" w:rsidP="007C46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131D0A" w14:textId="77777777" w:rsidR="004B74C2" w:rsidRDefault="004B74C2" w:rsidP="007C4678">
      <w:pPr>
        <w:spacing w:after="0" w:line="240" w:lineRule="auto"/>
      </w:pPr>
      <w:r>
        <w:separator/>
      </w:r>
    </w:p>
  </w:footnote>
  <w:footnote w:type="continuationSeparator" w:id="0">
    <w:p w14:paraId="570B0646" w14:textId="77777777" w:rsidR="004B74C2" w:rsidRDefault="004B74C2" w:rsidP="007C46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6864246"/>
      <w:docPartObj>
        <w:docPartGallery w:val="Page Numbers (Top of Page)"/>
        <w:docPartUnique/>
      </w:docPartObj>
    </w:sdtPr>
    <w:sdtEndPr>
      <w:rPr>
        <w:noProof/>
      </w:rPr>
    </w:sdtEndPr>
    <w:sdtContent>
      <w:p w14:paraId="7B9966BB" w14:textId="53C6C72C" w:rsidR="007C4678" w:rsidRDefault="007C4678">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583FEDDF" w14:textId="77777777" w:rsidR="007C4678" w:rsidRDefault="007C467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643446"/>
    <w:multiLevelType w:val="hybridMultilevel"/>
    <w:tmpl w:val="5BD209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DF196A"/>
    <w:multiLevelType w:val="hybridMultilevel"/>
    <w:tmpl w:val="7E7E245C"/>
    <w:lvl w:ilvl="0" w:tplc="3D80A982">
      <w:start w:val="1"/>
      <w:numFmt w:val="decimal"/>
      <w:lvlText w:val="%1."/>
      <w:lvlJc w:val="left"/>
      <w:pPr>
        <w:ind w:left="1778" w:hanging="360"/>
      </w:pPr>
      <w:rPr>
        <w:rFonts w:ascii="Arial" w:hAnsi="Arial" w:cs="Arial" w:hint="default"/>
      </w:rPr>
    </w:lvl>
    <w:lvl w:ilvl="1" w:tplc="08090019" w:tentative="1">
      <w:start w:val="1"/>
      <w:numFmt w:val="lowerLetter"/>
      <w:lvlText w:val="%2."/>
      <w:lvlJc w:val="left"/>
      <w:pPr>
        <w:ind w:left="2356" w:hanging="360"/>
      </w:pPr>
    </w:lvl>
    <w:lvl w:ilvl="2" w:tplc="0809001B" w:tentative="1">
      <w:start w:val="1"/>
      <w:numFmt w:val="lowerRoman"/>
      <w:lvlText w:val="%3."/>
      <w:lvlJc w:val="right"/>
      <w:pPr>
        <w:ind w:left="3076" w:hanging="180"/>
      </w:pPr>
    </w:lvl>
    <w:lvl w:ilvl="3" w:tplc="0809000F" w:tentative="1">
      <w:start w:val="1"/>
      <w:numFmt w:val="decimal"/>
      <w:lvlText w:val="%4."/>
      <w:lvlJc w:val="left"/>
      <w:pPr>
        <w:ind w:left="3796" w:hanging="360"/>
      </w:pPr>
    </w:lvl>
    <w:lvl w:ilvl="4" w:tplc="08090019" w:tentative="1">
      <w:start w:val="1"/>
      <w:numFmt w:val="lowerLetter"/>
      <w:lvlText w:val="%5."/>
      <w:lvlJc w:val="left"/>
      <w:pPr>
        <w:ind w:left="4516" w:hanging="360"/>
      </w:pPr>
    </w:lvl>
    <w:lvl w:ilvl="5" w:tplc="0809001B" w:tentative="1">
      <w:start w:val="1"/>
      <w:numFmt w:val="lowerRoman"/>
      <w:lvlText w:val="%6."/>
      <w:lvlJc w:val="right"/>
      <w:pPr>
        <w:ind w:left="5236" w:hanging="180"/>
      </w:pPr>
    </w:lvl>
    <w:lvl w:ilvl="6" w:tplc="0809000F" w:tentative="1">
      <w:start w:val="1"/>
      <w:numFmt w:val="decimal"/>
      <w:lvlText w:val="%7."/>
      <w:lvlJc w:val="left"/>
      <w:pPr>
        <w:ind w:left="5956" w:hanging="360"/>
      </w:pPr>
    </w:lvl>
    <w:lvl w:ilvl="7" w:tplc="08090019" w:tentative="1">
      <w:start w:val="1"/>
      <w:numFmt w:val="lowerLetter"/>
      <w:lvlText w:val="%8."/>
      <w:lvlJc w:val="left"/>
      <w:pPr>
        <w:ind w:left="6676" w:hanging="360"/>
      </w:pPr>
    </w:lvl>
    <w:lvl w:ilvl="8" w:tplc="0809001B" w:tentative="1">
      <w:start w:val="1"/>
      <w:numFmt w:val="lowerRoman"/>
      <w:lvlText w:val="%9."/>
      <w:lvlJc w:val="right"/>
      <w:pPr>
        <w:ind w:left="7396" w:hanging="180"/>
      </w:pPr>
    </w:lvl>
  </w:abstractNum>
  <w:abstractNum w:abstractNumId="2" w15:restartNumberingAfterBreak="0">
    <w:nsid w:val="3BB9602E"/>
    <w:multiLevelType w:val="hybridMultilevel"/>
    <w:tmpl w:val="292CE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770FDE"/>
    <w:multiLevelType w:val="hybridMultilevel"/>
    <w:tmpl w:val="F2288A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34123817">
    <w:abstractNumId w:val="3"/>
  </w:num>
  <w:num w:numId="2" w16cid:durableId="44258417">
    <w:abstractNumId w:val="2"/>
  </w:num>
  <w:num w:numId="3" w16cid:durableId="363483111">
    <w:abstractNumId w:val="0"/>
  </w:num>
  <w:num w:numId="4" w16cid:durableId="6799633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07FE"/>
    <w:rsid w:val="000520FA"/>
    <w:rsid w:val="00246C89"/>
    <w:rsid w:val="002707FE"/>
    <w:rsid w:val="003A2F4E"/>
    <w:rsid w:val="00413849"/>
    <w:rsid w:val="004B74C2"/>
    <w:rsid w:val="006360DA"/>
    <w:rsid w:val="007A1C6A"/>
    <w:rsid w:val="007C4678"/>
    <w:rsid w:val="009652AE"/>
    <w:rsid w:val="00D30270"/>
    <w:rsid w:val="00DA5D03"/>
    <w:rsid w:val="00DC1384"/>
    <w:rsid w:val="00F252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59F43C"/>
  <w15:chartTrackingRefBased/>
  <w15:docId w15:val="{75BB5C9F-2FEA-4DB6-A4A8-2783684491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07F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707F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707F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07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07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07F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07F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07F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07F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07F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707F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707F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07F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07F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07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07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07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07FE"/>
    <w:rPr>
      <w:rFonts w:eastAsiaTheme="majorEastAsia" w:cstheme="majorBidi"/>
      <w:color w:val="272727" w:themeColor="text1" w:themeTint="D8"/>
    </w:rPr>
  </w:style>
  <w:style w:type="paragraph" w:styleId="Title">
    <w:name w:val="Title"/>
    <w:basedOn w:val="Normal"/>
    <w:next w:val="Normal"/>
    <w:link w:val="TitleChar"/>
    <w:uiPriority w:val="10"/>
    <w:qFormat/>
    <w:rsid w:val="002707F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07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07F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07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07FE"/>
    <w:pPr>
      <w:spacing w:before="160"/>
      <w:jc w:val="center"/>
    </w:pPr>
    <w:rPr>
      <w:i/>
      <w:iCs/>
      <w:color w:val="404040" w:themeColor="text1" w:themeTint="BF"/>
    </w:rPr>
  </w:style>
  <w:style w:type="character" w:customStyle="1" w:styleId="QuoteChar">
    <w:name w:val="Quote Char"/>
    <w:basedOn w:val="DefaultParagraphFont"/>
    <w:link w:val="Quote"/>
    <w:uiPriority w:val="29"/>
    <w:rsid w:val="002707FE"/>
    <w:rPr>
      <w:i/>
      <w:iCs/>
      <w:color w:val="404040" w:themeColor="text1" w:themeTint="BF"/>
    </w:rPr>
  </w:style>
  <w:style w:type="paragraph" w:styleId="ListParagraph">
    <w:name w:val="List Paragraph"/>
    <w:basedOn w:val="Normal"/>
    <w:uiPriority w:val="34"/>
    <w:qFormat/>
    <w:rsid w:val="002707FE"/>
    <w:pPr>
      <w:ind w:left="720"/>
      <w:contextualSpacing/>
    </w:pPr>
  </w:style>
  <w:style w:type="character" w:styleId="IntenseEmphasis">
    <w:name w:val="Intense Emphasis"/>
    <w:basedOn w:val="DefaultParagraphFont"/>
    <w:uiPriority w:val="21"/>
    <w:qFormat/>
    <w:rsid w:val="002707FE"/>
    <w:rPr>
      <w:i/>
      <w:iCs/>
      <w:color w:val="0F4761" w:themeColor="accent1" w:themeShade="BF"/>
    </w:rPr>
  </w:style>
  <w:style w:type="paragraph" w:styleId="IntenseQuote">
    <w:name w:val="Intense Quote"/>
    <w:basedOn w:val="Normal"/>
    <w:next w:val="Normal"/>
    <w:link w:val="IntenseQuoteChar"/>
    <w:uiPriority w:val="30"/>
    <w:qFormat/>
    <w:rsid w:val="002707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07FE"/>
    <w:rPr>
      <w:i/>
      <w:iCs/>
      <w:color w:val="0F4761" w:themeColor="accent1" w:themeShade="BF"/>
    </w:rPr>
  </w:style>
  <w:style w:type="character" w:styleId="IntenseReference">
    <w:name w:val="Intense Reference"/>
    <w:basedOn w:val="DefaultParagraphFont"/>
    <w:uiPriority w:val="32"/>
    <w:qFormat/>
    <w:rsid w:val="002707FE"/>
    <w:rPr>
      <w:b/>
      <w:bCs/>
      <w:smallCaps/>
      <w:color w:val="0F4761" w:themeColor="accent1" w:themeShade="BF"/>
      <w:spacing w:val="5"/>
    </w:rPr>
  </w:style>
  <w:style w:type="paragraph" w:styleId="Header">
    <w:name w:val="header"/>
    <w:basedOn w:val="Normal"/>
    <w:link w:val="HeaderChar"/>
    <w:uiPriority w:val="99"/>
    <w:unhideWhenUsed/>
    <w:rsid w:val="007C46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4678"/>
  </w:style>
  <w:style w:type="paragraph" w:styleId="Footer">
    <w:name w:val="footer"/>
    <w:basedOn w:val="Normal"/>
    <w:link w:val="FooterChar"/>
    <w:uiPriority w:val="99"/>
    <w:unhideWhenUsed/>
    <w:rsid w:val="007C46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4678"/>
  </w:style>
  <w:style w:type="paragraph" w:styleId="NoSpacing">
    <w:name w:val="No Spacing"/>
    <w:link w:val="NoSpacingChar"/>
    <w:uiPriority w:val="1"/>
    <w:qFormat/>
    <w:rsid w:val="007C467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C4678"/>
    <w:rPr>
      <w:rFonts w:eastAsiaTheme="minorEastAsia"/>
      <w:kern w:val="0"/>
      <w:lang w:val="en-US"/>
      <w14:ligatures w14:val="none"/>
    </w:rPr>
  </w:style>
  <w:style w:type="character" w:styleId="Hyperlink">
    <w:name w:val="Hyperlink"/>
    <w:basedOn w:val="DefaultParagraphFont"/>
    <w:uiPriority w:val="99"/>
    <w:unhideWhenUsed/>
    <w:rsid w:val="006360DA"/>
    <w:rPr>
      <w:color w:val="467886" w:themeColor="hyperlink"/>
      <w:u w:val="single"/>
    </w:rPr>
  </w:style>
  <w:style w:type="character" w:styleId="UnresolvedMention">
    <w:name w:val="Unresolved Mention"/>
    <w:basedOn w:val="DefaultParagraphFont"/>
    <w:uiPriority w:val="99"/>
    <w:semiHidden/>
    <w:unhideWhenUsed/>
    <w:rsid w:val="006360D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kea.com/sustainable-living/"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kea.com/global/en/images/IKEA_SUSTAINABILITY_Report_FY_23_20240125_1b190c008f.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inter.ikea.com/en/performance/fy23-financial-results" TargetMode="External"/><Relationship Id="rId4" Type="http://schemas.openxmlformats.org/officeDocument/2006/relationships/settings" Target="settings.xml"/><Relationship Id="rId9" Type="http://schemas.openxmlformats.org/officeDocument/2006/relationships/hyperlink" Target="https://www.ikea.com/global/en/images/ikea_sustainability_report_fy22_57c0217c71.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2024-05-12T00:00:00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1716</Words>
  <Characters>10825</Characters>
  <Application>Microsoft Office Word</Application>
  <DocSecurity>0</DocSecurity>
  <Lines>270</Lines>
  <Paragraphs>60</Paragraphs>
  <ScaleCrop>false</ScaleCrop>
  <HeadingPairs>
    <vt:vector size="2" baseType="variant">
      <vt:variant>
        <vt:lpstr>Title</vt:lpstr>
      </vt:variant>
      <vt:variant>
        <vt:i4>1</vt:i4>
      </vt:variant>
    </vt:vector>
  </HeadingPairs>
  <TitlesOfParts>
    <vt:vector size="1" baseType="lpstr">
      <vt:lpstr/>
    </vt:vector>
  </TitlesOfParts>
  <Company>Financial Management For Business Sustainability</Company>
  <LinksUpToDate>false</LinksUpToDate>
  <CharactersWithSpaces>12615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Denisa Virginia bulimar (2317106)</dc:creator>
  <cp:keywords/>
  <dc:description/>
  <cp:lastModifiedBy>Mirabela Voican (1907947)</cp:lastModifiedBy>
  <cp:revision>2</cp:revision>
  <dcterms:created xsi:type="dcterms:W3CDTF">2024-05-03T08:08:00Z</dcterms:created>
  <dcterms:modified xsi:type="dcterms:W3CDTF">2024-05-03T08:08:00Z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4372748f-b487-4ae8-a023-158deed2abc7</vt:lpwstr>
  </property>
</Properties>
</file>