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20804" w14:textId="4D2F7805" w:rsidR="0037630B" w:rsidRDefault="0083685E" w:rsidP="002B1CCF">
      <w:pPr>
        <w:rPr>
          <w:rFonts w:ascii="Arial" w:hAnsi="Arial" w:cs="Arial"/>
          <w:b/>
          <w:bCs/>
        </w:rPr>
      </w:pPr>
      <w:r>
        <w:rPr>
          <w:rFonts w:ascii="Arial" w:hAnsi="Arial" w:cs="Arial"/>
          <w:b/>
          <w:bCs/>
        </w:rPr>
        <w:t xml:space="preserve"> </w:t>
      </w:r>
      <w:r w:rsidR="00543ADC">
        <w:rPr>
          <w:noProof/>
        </w:rPr>
        <w:drawing>
          <wp:inline distT="0" distB="0" distL="0" distR="0" wp14:anchorId="0B41FAF0" wp14:editId="4EADD1BD">
            <wp:extent cx="6454775" cy="2990728"/>
            <wp:effectExtent l="0" t="0" r="0" b="0"/>
            <wp:docPr id="132" name="Picture 2" descr="Free Employability Workshop with University of Wales Trinity Saint David -  scvo.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Free Employability Workshop with University of Wales Trinity Saint David -  scvo.inf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04706" cy="3013863"/>
                    </a:xfrm>
                    <a:prstGeom prst="rect">
                      <a:avLst/>
                    </a:prstGeom>
                    <a:noFill/>
                    <a:ln>
                      <a:noFill/>
                    </a:ln>
                  </pic:spPr>
                </pic:pic>
              </a:graphicData>
            </a:graphic>
          </wp:inline>
        </w:drawing>
      </w:r>
    </w:p>
    <w:p w14:paraId="0F5DF152" w14:textId="77777777" w:rsidR="0037630B" w:rsidRDefault="0037630B" w:rsidP="002B1CCF">
      <w:pPr>
        <w:rPr>
          <w:rFonts w:ascii="Arial" w:hAnsi="Arial" w:cs="Arial"/>
          <w:b/>
          <w:bCs/>
        </w:rPr>
      </w:pPr>
    </w:p>
    <w:p w14:paraId="63FD9DA6" w14:textId="77777777" w:rsidR="0037630B" w:rsidRDefault="0037630B" w:rsidP="002B1CCF">
      <w:pPr>
        <w:rPr>
          <w:rFonts w:ascii="Arial" w:hAnsi="Arial" w:cs="Arial"/>
          <w:b/>
          <w:bCs/>
        </w:rPr>
      </w:pPr>
    </w:p>
    <w:p w14:paraId="0262BF34" w14:textId="104E4852" w:rsidR="008142B5" w:rsidRPr="005641F4" w:rsidRDefault="00C63CDC" w:rsidP="000070A7">
      <w:pPr>
        <w:spacing w:line="360" w:lineRule="auto"/>
        <w:rPr>
          <w:rFonts w:ascii="Arial" w:hAnsi="Arial" w:cs="Arial"/>
          <w:b/>
          <w:bCs/>
        </w:rPr>
      </w:pPr>
      <w:r w:rsidRPr="005641F4">
        <w:rPr>
          <w:rFonts w:ascii="Arial" w:hAnsi="Arial" w:cs="Arial"/>
          <w:b/>
          <w:bCs/>
        </w:rPr>
        <w:t>Name</w:t>
      </w:r>
      <w:r w:rsidR="00235F04" w:rsidRPr="005641F4">
        <w:rPr>
          <w:rFonts w:ascii="Arial" w:hAnsi="Arial" w:cs="Arial"/>
          <w:b/>
          <w:bCs/>
        </w:rPr>
        <w:t>:</w:t>
      </w:r>
      <w:r w:rsidRPr="005641F4">
        <w:rPr>
          <w:rFonts w:ascii="Arial" w:hAnsi="Arial" w:cs="Arial"/>
        </w:rPr>
        <w:t xml:space="preserve"> </w:t>
      </w:r>
      <w:r w:rsidR="005B3E8F" w:rsidRPr="005641F4">
        <w:rPr>
          <w:rFonts w:ascii="Arial" w:hAnsi="Arial" w:cs="Arial"/>
        </w:rPr>
        <w:t>Ravjeet Kaur</w:t>
      </w:r>
    </w:p>
    <w:p w14:paraId="3CBEF8CB" w14:textId="77777777" w:rsidR="0037630B" w:rsidRPr="005641F4" w:rsidRDefault="0037630B" w:rsidP="000070A7">
      <w:pPr>
        <w:spacing w:line="360" w:lineRule="auto"/>
        <w:rPr>
          <w:rFonts w:ascii="Arial" w:hAnsi="Arial" w:cs="Arial"/>
          <w:b/>
          <w:bCs/>
        </w:rPr>
      </w:pPr>
    </w:p>
    <w:p w14:paraId="78F3F014" w14:textId="68BB94C8" w:rsidR="0037630B" w:rsidRPr="005641F4" w:rsidRDefault="00C63CDC" w:rsidP="000070A7">
      <w:pPr>
        <w:spacing w:line="360" w:lineRule="auto"/>
        <w:rPr>
          <w:rFonts w:ascii="Arial" w:hAnsi="Arial" w:cs="Arial"/>
        </w:rPr>
      </w:pPr>
      <w:r w:rsidRPr="005641F4">
        <w:rPr>
          <w:rFonts w:ascii="Arial" w:hAnsi="Arial" w:cs="Arial"/>
          <w:b/>
          <w:bCs/>
        </w:rPr>
        <w:t>Number</w:t>
      </w:r>
      <w:r w:rsidR="00923B30" w:rsidRPr="005641F4">
        <w:rPr>
          <w:rFonts w:ascii="Arial" w:hAnsi="Arial" w:cs="Arial"/>
          <w:b/>
          <w:bCs/>
        </w:rPr>
        <w:t>:</w:t>
      </w:r>
      <w:r w:rsidRPr="005641F4">
        <w:rPr>
          <w:rFonts w:ascii="Arial" w:hAnsi="Arial" w:cs="Arial"/>
        </w:rPr>
        <w:t xml:space="preserve"> </w:t>
      </w:r>
      <w:r w:rsidR="005B3E8F" w:rsidRPr="005641F4">
        <w:rPr>
          <w:rFonts w:ascii="Arial" w:hAnsi="Arial" w:cs="Arial"/>
        </w:rPr>
        <w:t>2421160</w:t>
      </w:r>
      <w:r w:rsidRPr="005641F4">
        <w:rPr>
          <w:rFonts w:ascii="Arial" w:hAnsi="Arial" w:cs="Arial"/>
        </w:rPr>
        <w:br/>
      </w:r>
    </w:p>
    <w:p w14:paraId="28444D2B" w14:textId="32AC7B33" w:rsidR="008142B5" w:rsidRPr="005641F4" w:rsidRDefault="00C63CDC" w:rsidP="000070A7">
      <w:pPr>
        <w:spacing w:line="360" w:lineRule="auto"/>
        <w:rPr>
          <w:rFonts w:ascii="Arial" w:hAnsi="Arial" w:cs="Arial"/>
        </w:rPr>
      </w:pPr>
      <w:r w:rsidRPr="005641F4">
        <w:rPr>
          <w:rFonts w:ascii="Arial" w:hAnsi="Arial" w:cs="Arial"/>
          <w:b/>
          <w:bCs/>
        </w:rPr>
        <w:t xml:space="preserve">Module </w:t>
      </w:r>
      <w:r w:rsidR="00D705D3" w:rsidRPr="005641F4">
        <w:rPr>
          <w:rFonts w:ascii="Arial" w:hAnsi="Arial" w:cs="Arial"/>
          <w:b/>
          <w:bCs/>
        </w:rPr>
        <w:t>Title</w:t>
      </w:r>
      <w:r w:rsidR="00923B30" w:rsidRPr="005641F4">
        <w:rPr>
          <w:rFonts w:ascii="Arial" w:hAnsi="Arial" w:cs="Arial"/>
          <w:b/>
          <w:bCs/>
        </w:rPr>
        <w:t xml:space="preserve">: </w:t>
      </w:r>
      <w:r w:rsidRPr="005641F4">
        <w:rPr>
          <w:rFonts w:ascii="Arial" w:hAnsi="Arial" w:cs="Arial"/>
        </w:rPr>
        <w:t xml:space="preserve">Psychology in Health </w:t>
      </w:r>
      <w:r w:rsidR="0037493B" w:rsidRPr="005641F4">
        <w:rPr>
          <w:rFonts w:ascii="Arial" w:hAnsi="Arial" w:cs="Arial"/>
        </w:rPr>
        <w:t xml:space="preserve">Care </w:t>
      </w:r>
      <w:r w:rsidRPr="005641F4">
        <w:rPr>
          <w:rFonts w:ascii="Arial" w:hAnsi="Arial" w:cs="Arial"/>
        </w:rPr>
        <w:t>and Social Care</w:t>
      </w:r>
    </w:p>
    <w:p w14:paraId="702C5894" w14:textId="77777777" w:rsidR="0037630B" w:rsidRPr="005641F4" w:rsidRDefault="0037630B" w:rsidP="000070A7">
      <w:pPr>
        <w:spacing w:line="360" w:lineRule="auto"/>
        <w:rPr>
          <w:rFonts w:ascii="Arial" w:hAnsi="Arial" w:cs="Arial"/>
          <w:b/>
          <w:bCs/>
        </w:rPr>
      </w:pPr>
    </w:p>
    <w:p w14:paraId="25DB1F27" w14:textId="2298FCCC" w:rsidR="0037630B" w:rsidRPr="005641F4" w:rsidRDefault="00D705D3" w:rsidP="000070A7">
      <w:pPr>
        <w:spacing w:line="360" w:lineRule="auto"/>
        <w:rPr>
          <w:rFonts w:ascii="Arial" w:hAnsi="Arial" w:cs="Arial"/>
          <w:b/>
          <w:bCs/>
        </w:rPr>
      </w:pPr>
      <w:r w:rsidRPr="005641F4">
        <w:rPr>
          <w:rFonts w:ascii="Arial" w:hAnsi="Arial" w:cs="Arial"/>
          <w:b/>
          <w:bCs/>
        </w:rPr>
        <w:t>Module Code</w:t>
      </w:r>
      <w:r w:rsidR="00923B30" w:rsidRPr="005641F4">
        <w:rPr>
          <w:rFonts w:ascii="Arial" w:hAnsi="Arial" w:cs="Arial"/>
          <w:b/>
          <w:bCs/>
        </w:rPr>
        <w:t>:</w:t>
      </w:r>
      <w:r w:rsidR="00BA338D" w:rsidRPr="005641F4">
        <w:rPr>
          <w:rFonts w:ascii="Arial" w:hAnsi="Arial" w:cs="Arial"/>
        </w:rPr>
        <w:t xml:space="preserve"> LCHS</w:t>
      </w:r>
      <w:r w:rsidR="00A16832" w:rsidRPr="005641F4">
        <w:rPr>
          <w:rFonts w:ascii="Arial" w:hAnsi="Arial" w:cs="Arial"/>
        </w:rPr>
        <w:t>4010</w:t>
      </w:r>
      <w:r w:rsidR="00C63CDC" w:rsidRPr="005641F4">
        <w:rPr>
          <w:rFonts w:ascii="Arial" w:hAnsi="Arial" w:cs="Arial"/>
        </w:rPr>
        <w:br/>
      </w:r>
    </w:p>
    <w:p w14:paraId="30461124" w14:textId="0F52486C" w:rsidR="00C63CDC" w:rsidRPr="005641F4" w:rsidRDefault="00C63CDC" w:rsidP="000070A7">
      <w:pPr>
        <w:spacing w:line="360" w:lineRule="auto"/>
        <w:rPr>
          <w:rFonts w:ascii="Arial" w:hAnsi="Arial" w:cs="Arial"/>
        </w:rPr>
      </w:pPr>
      <w:r w:rsidRPr="005641F4">
        <w:rPr>
          <w:rFonts w:ascii="Arial" w:hAnsi="Arial" w:cs="Arial"/>
          <w:b/>
          <w:bCs/>
        </w:rPr>
        <w:t>Assignment Title</w:t>
      </w:r>
      <w:r w:rsidR="00923B30" w:rsidRPr="005641F4">
        <w:rPr>
          <w:rFonts w:ascii="Arial" w:hAnsi="Arial" w:cs="Arial"/>
          <w:b/>
          <w:bCs/>
        </w:rPr>
        <w:t>:</w:t>
      </w:r>
      <w:r w:rsidR="001475E7" w:rsidRPr="005641F4">
        <w:rPr>
          <w:rFonts w:ascii="Arial" w:hAnsi="Arial" w:cs="Arial"/>
          <w:b/>
          <w:bCs/>
        </w:rPr>
        <w:t xml:space="preserve"> </w:t>
      </w:r>
      <w:r w:rsidR="00B15DC4" w:rsidRPr="005641F4">
        <w:rPr>
          <w:rFonts w:ascii="Arial" w:hAnsi="Arial" w:cs="Arial"/>
        </w:rPr>
        <w:t xml:space="preserve">Assignment </w:t>
      </w:r>
      <w:r w:rsidR="001475E7" w:rsidRPr="005641F4">
        <w:rPr>
          <w:rFonts w:ascii="Arial" w:hAnsi="Arial" w:cs="Arial"/>
        </w:rPr>
        <w:t>2:</w:t>
      </w:r>
      <w:r w:rsidR="00187AD9" w:rsidRPr="005641F4">
        <w:rPr>
          <w:rFonts w:ascii="Arial" w:hAnsi="Arial" w:cs="Arial"/>
        </w:rPr>
        <w:t xml:space="preserve"> Wri</w:t>
      </w:r>
      <w:r w:rsidR="00E17361" w:rsidRPr="005641F4">
        <w:rPr>
          <w:rFonts w:ascii="Arial" w:hAnsi="Arial" w:cs="Arial"/>
        </w:rPr>
        <w:t>tten Task</w:t>
      </w:r>
    </w:p>
    <w:p w14:paraId="54524081" w14:textId="77777777" w:rsidR="0037630B" w:rsidRPr="005641F4" w:rsidRDefault="0037630B" w:rsidP="000070A7">
      <w:pPr>
        <w:spacing w:line="360" w:lineRule="auto"/>
        <w:rPr>
          <w:rFonts w:ascii="Arial" w:hAnsi="Arial" w:cs="Arial"/>
          <w:b/>
          <w:bCs/>
        </w:rPr>
      </w:pPr>
    </w:p>
    <w:p w14:paraId="0620FE33" w14:textId="03F3DBF2" w:rsidR="00B10E27" w:rsidRPr="005641F4" w:rsidRDefault="00B10E27" w:rsidP="000070A7">
      <w:pPr>
        <w:spacing w:line="360" w:lineRule="auto"/>
        <w:rPr>
          <w:rFonts w:ascii="Arial" w:hAnsi="Arial" w:cs="Arial"/>
        </w:rPr>
      </w:pPr>
      <w:r w:rsidRPr="005641F4">
        <w:rPr>
          <w:rFonts w:ascii="Arial" w:hAnsi="Arial" w:cs="Arial"/>
          <w:b/>
          <w:bCs/>
        </w:rPr>
        <w:t>Lecturer</w:t>
      </w:r>
      <w:r w:rsidR="0061159B" w:rsidRPr="005641F4">
        <w:rPr>
          <w:rFonts w:ascii="Arial" w:hAnsi="Arial" w:cs="Arial"/>
          <w:b/>
          <w:bCs/>
        </w:rPr>
        <w:t>:</w:t>
      </w:r>
      <w:r w:rsidRPr="005641F4">
        <w:rPr>
          <w:rFonts w:ascii="Arial" w:hAnsi="Arial" w:cs="Arial"/>
        </w:rPr>
        <w:t xml:space="preserve"> Neale Haddon</w:t>
      </w:r>
      <w:r w:rsidRPr="005641F4">
        <w:rPr>
          <w:rFonts w:ascii="Arial" w:hAnsi="Arial" w:cs="Arial"/>
        </w:rPr>
        <w:br/>
      </w:r>
    </w:p>
    <w:p w14:paraId="77E76A18" w14:textId="77777777" w:rsidR="0037630B" w:rsidRPr="005641F4" w:rsidRDefault="0037630B" w:rsidP="000070A7">
      <w:pPr>
        <w:spacing w:line="360" w:lineRule="auto"/>
        <w:rPr>
          <w:rFonts w:ascii="Arial" w:hAnsi="Arial" w:cs="Arial"/>
        </w:rPr>
      </w:pPr>
    </w:p>
    <w:p w14:paraId="7F7FE7DF" w14:textId="77777777" w:rsidR="0037630B" w:rsidRPr="005641F4" w:rsidRDefault="0037630B" w:rsidP="000070A7">
      <w:pPr>
        <w:spacing w:line="360" w:lineRule="auto"/>
        <w:rPr>
          <w:rFonts w:ascii="Arial" w:hAnsi="Arial" w:cs="Arial"/>
        </w:rPr>
      </w:pPr>
    </w:p>
    <w:p w14:paraId="4FB20C13" w14:textId="77777777" w:rsidR="0037493B" w:rsidRPr="005641F4" w:rsidRDefault="0037493B" w:rsidP="000070A7">
      <w:pPr>
        <w:spacing w:line="360" w:lineRule="auto"/>
        <w:rPr>
          <w:rFonts w:ascii="Arial" w:hAnsi="Arial" w:cs="Arial"/>
          <w:b/>
          <w:bCs/>
          <w:u w:val="single"/>
        </w:rPr>
      </w:pPr>
    </w:p>
    <w:p w14:paraId="40D03F97" w14:textId="77777777" w:rsidR="0037493B" w:rsidRPr="005641F4" w:rsidRDefault="0037493B" w:rsidP="000070A7">
      <w:pPr>
        <w:spacing w:line="360" w:lineRule="auto"/>
        <w:rPr>
          <w:rFonts w:ascii="Arial" w:hAnsi="Arial" w:cs="Arial"/>
          <w:b/>
          <w:bCs/>
          <w:u w:val="single"/>
        </w:rPr>
      </w:pPr>
    </w:p>
    <w:p w14:paraId="28A610C4" w14:textId="7C8621EB" w:rsidR="00C63CDC" w:rsidRPr="005641F4" w:rsidRDefault="00C63CDC" w:rsidP="000070A7">
      <w:pPr>
        <w:spacing w:line="360" w:lineRule="auto"/>
        <w:rPr>
          <w:rFonts w:ascii="Arial" w:hAnsi="Arial" w:cs="Arial"/>
          <w:b/>
          <w:bCs/>
        </w:rPr>
      </w:pPr>
      <w:r w:rsidRPr="005641F4">
        <w:rPr>
          <w:rFonts w:ascii="Arial" w:hAnsi="Arial" w:cs="Arial"/>
          <w:b/>
          <w:bCs/>
        </w:rPr>
        <w:t>Introduction</w:t>
      </w:r>
    </w:p>
    <w:p w14:paraId="76ED19BF" w14:textId="1F1B4DBA" w:rsidR="0037630B" w:rsidRPr="005641F4" w:rsidRDefault="0020470B" w:rsidP="000070A7">
      <w:pPr>
        <w:spacing w:line="360" w:lineRule="auto"/>
        <w:rPr>
          <w:rFonts w:ascii="Arial" w:hAnsi="Arial" w:cs="Arial"/>
        </w:rPr>
      </w:pPr>
      <w:r w:rsidRPr="005641F4">
        <w:rPr>
          <w:rFonts w:ascii="Arial" w:hAnsi="Arial" w:cs="Arial"/>
        </w:rPr>
        <w:t>P</w:t>
      </w:r>
      <w:r w:rsidR="00C63CDC" w:rsidRPr="005641F4">
        <w:rPr>
          <w:rFonts w:ascii="Arial" w:hAnsi="Arial" w:cs="Arial"/>
        </w:rPr>
        <w:t>eople may experience changes in their physical, cognitive, and emotional health</w:t>
      </w:r>
      <w:r w:rsidRPr="005641F4">
        <w:rPr>
          <w:rFonts w:ascii="Arial" w:hAnsi="Arial" w:cs="Arial"/>
        </w:rPr>
        <w:t xml:space="preserve"> according </w:t>
      </w:r>
      <w:r w:rsidR="00BE7722" w:rsidRPr="005641F4">
        <w:rPr>
          <w:rFonts w:ascii="Arial" w:hAnsi="Arial" w:cs="Arial"/>
        </w:rPr>
        <w:t>to age</w:t>
      </w:r>
      <w:r w:rsidR="00C63CDC" w:rsidRPr="005641F4">
        <w:rPr>
          <w:rFonts w:ascii="Arial" w:hAnsi="Arial" w:cs="Arial"/>
        </w:rPr>
        <w:t xml:space="preserve">. Dementia is one of the most common psychological conditions affecting adults aged 65 and over. It causes progressive decline in memory, thinking, and behaviour, which can lead to difficulties in communication, social interaction, and daily functioning </w:t>
      </w:r>
      <w:r w:rsidR="00C63CDC" w:rsidRPr="005641F4">
        <w:rPr>
          <w:rFonts w:ascii="Arial" w:hAnsi="Arial" w:cs="Arial"/>
          <w:b/>
          <w:bCs/>
        </w:rPr>
        <w:t>(NICE, 2022).</w:t>
      </w:r>
      <w:r w:rsidR="00C63CDC" w:rsidRPr="005641F4">
        <w:rPr>
          <w:rFonts w:ascii="Arial" w:hAnsi="Arial" w:cs="Arial"/>
        </w:rPr>
        <w:t xml:space="preserve"> Older adults living in dementia care homes often need specialised psychological and emotional support to maintain their dignity, well-being, and sense of identity.</w:t>
      </w:r>
    </w:p>
    <w:p w14:paraId="26C54D9E" w14:textId="3920A30F" w:rsidR="003D01C2" w:rsidRPr="005641F4" w:rsidRDefault="007343C4" w:rsidP="000070A7">
      <w:pPr>
        <w:spacing w:line="360" w:lineRule="auto"/>
        <w:rPr>
          <w:rFonts w:ascii="Arial" w:hAnsi="Arial" w:cs="Arial"/>
        </w:rPr>
      </w:pPr>
      <w:r w:rsidRPr="005641F4">
        <w:rPr>
          <w:rFonts w:ascii="Arial" w:hAnsi="Arial" w:cs="Arial"/>
        </w:rPr>
        <w:t>Psychological health conditions such as anxiety, depression, and agitation are common in dementia care homes.</w:t>
      </w:r>
      <w:r w:rsidR="000B5575" w:rsidRPr="005641F4">
        <w:rPr>
          <w:rFonts w:ascii="Arial" w:hAnsi="Arial" w:cs="Arial"/>
        </w:rPr>
        <w:t xml:space="preserve"> </w:t>
      </w:r>
      <w:r w:rsidRPr="005641F4">
        <w:rPr>
          <w:rFonts w:ascii="Arial" w:hAnsi="Arial" w:cs="Arial"/>
        </w:rPr>
        <w:t>Health</w:t>
      </w:r>
      <w:r w:rsidR="00F72113" w:rsidRPr="005641F4">
        <w:rPr>
          <w:rFonts w:ascii="Arial" w:hAnsi="Arial" w:cs="Arial"/>
        </w:rPr>
        <w:t xml:space="preserve"> </w:t>
      </w:r>
      <w:r w:rsidRPr="005641F4">
        <w:rPr>
          <w:rFonts w:ascii="Arial" w:hAnsi="Arial" w:cs="Arial"/>
        </w:rPr>
        <w:t xml:space="preserve">and social care </w:t>
      </w:r>
      <w:r w:rsidR="00211C40" w:rsidRPr="005641F4">
        <w:rPr>
          <w:rFonts w:ascii="Arial" w:hAnsi="Arial" w:cs="Arial"/>
        </w:rPr>
        <w:t>worker need to</w:t>
      </w:r>
      <w:r w:rsidR="007100BC" w:rsidRPr="005641F4">
        <w:rPr>
          <w:rFonts w:ascii="Arial" w:hAnsi="Arial" w:cs="Arial"/>
        </w:rPr>
        <w:t xml:space="preserve"> understand</w:t>
      </w:r>
      <w:r w:rsidRPr="005641F4">
        <w:rPr>
          <w:rFonts w:ascii="Arial" w:hAnsi="Arial" w:cs="Arial"/>
        </w:rPr>
        <w:t xml:space="preserve"> psychological theories to enhance quality of care,</w:t>
      </w:r>
      <w:r w:rsidR="003D01C2" w:rsidRPr="005641F4">
        <w:rPr>
          <w:rFonts w:ascii="Arial" w:hAnsi="Arial" w:cs="Arial"/>
        </w:rPr>
        <w:t xml:space="preserve"> </w:t>
      </w:r>
      <w:r w:rsidRPr="005641F4">
        <w:rPr>
          <w:rFonts w:ascii="Arial" w:hAnsi="Arial" w:cs="Arial"/>
        </w:rPr>
        <w:t>and person-centred support.</w:t>
      </w:r>
    </w:p>
    <w:p w14:paraId="66AAD49A" w14:textId="77777777" w:rsidR="00812F40" w:rsidRPr="005641F4" w:rsidRDefault="00C63CDC" w:rsidP="00812F40">
      <w:pPr>
        <w:spacing w:line="360" w:lineRule="auto"/>
        <w:rPr>
          <w:rFonts w:ascii="Arial" w:hAnsi="Arial" w:cs="Arial"/>
        </w:rPr>
      </w:pPr>
      <w:r w:rsidRPr="005641F4">
        <w:rPr>
          <w:rFonts w:ascii="Arial" w:hAnsi="Arial" w:cs="Arial"/>
        </w:rPr>
        <w:t xml:space="preserve"> </w:t>
      </w:r>
      <w:r w:rsidRPr="005641F4">
        <w:rPr>
          <w:rFonts w:ascii="Arial" w:hAnsi="Arial" w:cs="Arial"/>
          <w:b/>
          <w:bCs/>
        </w:rPr>
        <w:t>Erikson’s Psychosocial Theory of Development</w:t>
      </w:r>
      <w:r w:rsidRPr="005641F4">
        <w:rPr>
          <w:rFonts w:ascii="Arial" w:hAnsi="Arial" w:cs="Arial"/>
        </w:rPr>
        <w:t xml:space="preserve"> and </w:t>
      </w:r>
      <w:r w:rsidRPr="005641F4">
        <w:rPr>
          <w:rFonts w:ascii="Arial" w:hAnsi="Arial" w:cs="Arial"/>
          <w:b/>
          <w:bCs/>
        </w:rPr>
        <w:t>Bandura’s Social Learning Theory</w:t>
      </w:r>
      <w:r w:rsidRPr="005641F4">
        <w:rPr>
          <w:rFonts w:ascii="Arial" w:hAnsi="Arial" w:cs="Arial"/>
        </w:rPr>
        <w:t xml:space="preserve"> can be applied to support older adults with dementia. It will explain both theories, describe how they relate to adults aged 65 and over, and evaluate how they can be applied in a dementia care home setting. </w:t>
      </w:r>
      <w:r w:rsidR="00812F40" w:rsidRPr="005641F4">
        <w:rPr>
          <w:rFonts w:ascii="Arial" w:hAnsi="Arial" w:cs="Arial"/>
        </w:rPr>
        <w:t>The report will also look at the problems professionals might face when using these theories and suggest ways to deal with them.</w:t>
      </w:r>
    </w:p>
    <w:p w14:paraId="6DBE4332" w14:textId="42AAF6A8" w:rsidR="00C63CDC" w:rsidRPr="005641F4" w:rsidRDefault="00C63CDC" w:rsidP="000070A7">
      <w:pPr>
        <w:spacing w:line="360" w:lineRule="auto"/>
        <w:rPr>
          <w:rFonts w:ascii="Arial" w:hAnsi="Arial" w:cs="Arial"/>
        </w:rPr>
      </w:pPr>
    </w:p>
    <w:p w14:paraId="16715E7E" w14:textId="788FB3CB" w:rsidR="00C63CDC" w:rsidRPr="005641F4" w:rsidRDefault="00C63CDC" w:rsidP="000070A7">
      <w:pPr>
        <w:spacing w:line="360" w:lineRule="auto"/>
        <w:rPr>
          <w:rFonts w:ascii="Arial" w:hAnsi="Arial" w:cs="Arial"/>
          <w:b/>
          <w:bCs/>
        </w:rPr>
      </w:pPr>
    </w:p>
    <w:p w14:paraId="1642D10E" w14:textId="2FB27E85" w:rsidR="00C63CDC" w:rsidRPr="005641F4" w:rsidRDefault="00C63CDC" w:rsidP="000070A7">
      <w:pPr>
        <w:spacing w:line="360" w:lineRule="auto"/>
        <w:rPr>
          <w:rFonts w:ascii="Arial" w:hAnsi="Arial" w:cs="Arial"/>
          <w:b/>
          <w:bCs/>
          <w:u w:val="single"/>
        </w:rPr>
      </w:pPr>
      <w:r w:rsidRPr="005641F4">
        <w:rPr>
          <w:rFonts w:ascii="Arial" w:hAnsi="Arial" w:cs="Arial"/>
          <w:b/>
          <w:bCs/>
        </w:rPr>
        <w:t xml:space="preserve"> </w:t>
      </w:r>
      <w:r w:rsidRPr="005641F4">
        <w:rPr>
          <w:rFonts w:ascii="Arial" w:hAnsi="Arial" w:cs="Arial"/>
          <w:b/>
          <w:bCs/>
          <w:u w:val="single"/>
        </w:rPr>
        <w:t>Erikson’s Psychosocial Theory of Development</w:t>
      </w:r>
    </w:p>
    <w:p w14:paraId="0E8AB1CF" w14:textId="1654F272" w:rsidR="00A768C2" w:rsidRPr="005641F4" w:rsidRDefault="009C2C54" w:rsidP="000070A7">
      <w:pPr>
        <w:spacing w:line="360" w:lineRule="auto"/>
        <w:rPr>
          <w:rFonts w:ascii="Arial" w:hAnsi="Arial" w:cs="Arial"/>
          <w:b/>
          <w:bCs/>
        </w:rPr>
      </w:pPr>
      <w:r w:rsidRPr="005641F4">
        <w:rPr>
          <w:rFonts w:ascii="Arial" w:hAnsi="Arial" w:cs="Arial"/>
        </w:rPr>
        <w:t xml:space="preserve"> </w:t>
      </w:r>
      <w:r w:rsidR="006A44E2" w:rsidRPr="005641F4">
        <w:rPr>
          <w:rFonts w:ascii="Arial" w:hAnsi="Arial" w:cs="Arial"/>
        </w:rPr>
        <w:t xml:space="preserve"> </w:t>
      </w:r>
      <w:r w:rsidR="00C63CDC" w:rsidRPr="005641F4">
        <w:rPr>
          <w:rFonts w:ascii="Arial" w:hAnsi="Arial" w:cs="Arial"/>
        </w:rPr>
        <w:t xml:space="preserve">Erik Erikson </w:t>
      </w:r>
      <w:r w:rsidR="00C63CDC" w:rsidRPr="005641F4">
        <w:rPr>
          <w:rFonts w:ascii="Arial" w:hAnsi="Arial" w:cs="Arial"/>
          <w:b/>
          <w:bCs/>
        </w:rPr>
        <w:t>(</w:t>
      </w:r>
      <w:r w:rsidR="008F1AA0" w:rsidRPr="005641F4">
        <w:rPr>
          <w:rFonts w:ascii="Arial" w:hAnsi="Arial" w:cs="Arial"/>
          <w:b/>
          <w:bCs/>
        </w:rPr>
        <w:t>E</w:t>
      </w:r>
      <w:r w:rsidR="00F54B9E" w:rsidRPr="005641F4">
        <w:rPr>
          <w:rFonts w:ascii="Arial" w:hAnsi="Arial" w:cs="Arial"/>
          <w:b/>
          <w:bCs/>
        </w:rPr>
        <w:t xml:space="preserve">rikson, </w:t>
      </w:r>
      <w:r w:rsidR="00C63CDC" w:rsidRPr="005641F4">
        <w:rPr>
          <w:rFonts w:ascii="Arial" w:hAnsi="Arial" w:cs="Arial"/>
          <w:b/>
          <w:bCs/>
        </w:rPr>
        <w:t>1950</w:t>
      </w:r>
      <w:r w:rsidR="00A768C2" w:rsidRPr="005641F4">
        <w:rPr>
          <w:rFonts w:ascii="Arial" w:hAnsi="Arial" w:cs="Arial"/>
          <w:b/>
          <w:bCs/>
        </w:rPr>
        <w:t>)</w:t>
      </w:r>
      <w:r w:rsidR="00110B68" w:rsidRPr="005641F4">
        <w:rPr>
          <w:rFonts w:ascii="Arial" w:hAnsi="Arial" w:cs="Arial"/>
          <w:b/>
          <w:bCs/>
        </w:rPr>
        <w:t xml:space="preserve"> </w:t>
      </w:r>
      <w:r w:rsidR="00A768C2" w:rsidRPr="005641F4">
        <w:rPr>
          <w:rFonts w:ascii="Arial" w:hAnsi="Arial" w:cs="Arial"/>
        </w:rPr>
        <w:t xml:space="preserve">said that people go through eight stages in life, each with a challenge to overcome. The last stage happens in later life, usually after age 65, and is </w:t>
      </w:r>
      <w:r w:rsidR="00925D5A" w:rsidRPr="005641F4">
        <w:rPr>
          <w:rFonts w:ascii="Arial" w:hAnsi="Arial" w:cs="Arial"/>
        </w:rPr>
        <w:t>Looking back on life with contentment or with regret.</w:t>
      </w:r>
    </w:p>
    <w:p w14:paraId="6342304E" w14:textId="16FD488F" w:rsidR="00C63CDC" w:rsidRPr="005641F4" w:rsidRDefault="00A768C2" w:rsidP="000070A7">
      <w:pPr>
        <w:spacing w:line="360" w:lineRule="auto"/>
        <w:rPr>
          <w:rFonts w:ascii="Arial" w:hAnsi="Arial" w:cs="Arial"/>
        </w:rPr>
      </w:pPr>
      <w:r w:rsidRPr="005641F4">
        <w:rPr>
          <w:rFonts w:ascii="Arial" w:hAnsi="Arial" w:cs="Arial"/>
        </w:rPr>
        <w:t xml:space="preserve">At </w:t>
      </w:r>
      <w:r w:rsidR="00197EB7" w:rsidRPr="005641F4">
        <w:rPr>
          <w:rFonts w:ascii="Arial" w:hAnsi="Arial" w:cs="Arial"/>
        </w:rPr>
        <w:t>last stage</w:t>
      </w:r>
      <w:r w:rsidRPr="005641F4">
        <w:rPr>
          <w:rFonts w:ascii="Arial" w:hAnsi="Arial" w:cs="Arial"/>
        </w:rPr>
        <w:t xml:space="preserve"> older people look back on their lives and think about what they’ve done. If they feel proud and happy with how they lived, they feel a sense of peace and satisfaction — this is ego integrity. But if they have many regrets or feel unhappy about their past, they may experience despair, which can lead to sadness or hopelessness</w:t>
      </w:r>
      <w:r w:rsidR="00110B68" w:rsidRPr="005641F4">
        <w:rPr>
          <w:rFonts w:ascii="Arial" w:hAnsi="Arial" w:cs="Arial"/>
        </w:rPr>
        <w:t xml:space="preserve"> </w:t>
      </w:r>
      <w:r w:rsidR="00C63CDC" w:rsidRPr="005641F4">
        <w:rPr>
          <w:rFonts w:ascii="Arial" w:hAnsi="Arial" w:cs="Arial"/>
          <w:b/>
          <w:bCs/>
        </w:rPr>
        <w:t>(Erikson, 1982)</w:t>
      </w:r>
      <w:r w:rsidR="00C63CDC" w:rsidRPr="005641F4">
        <w:rPr>
          <w:rFonts w:ascii="Arial" w:hAnsi="Arial" w:cs="Arial"/>
        </w:rPr>
        <w:t>.</w:t>
      </w:r>
    </w:p>
    <w:p w14:paraId="29ABFC55" w14:textId="0EC16809" w:rsidR="00795EFD" w:rsidRPr="005641F4" w:rsidRDefault="00C63CDC" w:rsidP="000070A7">
      <w:pPr>
        <w:spacing w:line="360" w:lineRule="auto"/>
        <w:rPr>
          <w:rFonts w:ascii="Arial" w:hAnsi="Arial" w:cs="Arial"/>
        </w:rPr>
      </w:pPr>
      <w:r w:rsidRPr="005641F4">
        <w:rPr>
          <w:rFonts w:ascii="Arial" w:hAnsi="Arial" w:cs="Arial"/>
        </w:rPr>
        <w:t>For people with dementia, memory loss and confusion can make it difficult to reflect on their past accurately. This may increase feelings of despair or anxiety.</w:t>
      </w:r>
      <w:r w:rsidR="00E67111" w:rsidRPr="005641F4">
        <w:rPr>
          <w:rFonts w:ascii="Arial" w:hAnsi="Arial" w:cs="Arial"/>
        </w:rPr>
        <w:t xml:space="preserve"> </w:t>
      </w:r>
      <w:r w:rsidR="00CC7953" w:rsidRPr="005641F4">
        <w:rPr>
          <w:rFonts w:ascii="Arial" w:hAnsi="Arial" w:cs="Arial"/>
        </w:rPr>
        <w:t>H</w:t>
      </w:r>
      <w:r w:rsidRPr="005641F4">
        <w:rPr>
          <w:rFonts w:ascii="Arial" w:hAnsi="Arial" w:cs="Arial"/>
        </w:rPr>
        <w:t xml:space="preserve">ealth and social care </w:t>
      </w:r>
      <w:r w:rsidR="00CC7953" w:rsidRPr="005641F4">
        <w:rPr>
          <w:rFonts w:ascii="Arial" w:hAnsi="Arial" w:cs="Arial"/>
        </w:rPr>
        <w:t>worker</w:t>
      </w:r>
      <w:r w:rsidRPr="005641F4">
        <w:rPr>
          <w:rFonts w:ascii="Arial" w:hAnsi="Arial" w:cs="Arial"/>
        </w:rPr>
        <w:t xml:space="preserve"> can use Erikson’s theory to </w:t>
      </w:r>
      <w:r w:rsidR="001A7541" w:rsidRPr="005641F4">
        <w:rPr>
          <w:rFonts w:ascii="Arial" w:eastAsia="Times New Roman" w:hAnsi="Arial" w:cs="Arial"/>
          <w:kern w:val="0"/>
          <w:lang w:eastAsia="en-GB"/>
          <w14:ligatures w14:val="none"/>
        </w:rPr>
        <w:t>h</w:t>
      </w:r>
      <w:r w:rsidR="00795EFD" w:rsidRPr="005641F4">
        <w:rPr>
          <w:rFonts w:ascii="Arial" w:hAnsi="Arial" w:cs="Arial"/>
        </w:rPr>
        <w:t>elping older people remember good memories and stay true to who they are can make them feel proud of their life and give them a sense of peace and happiness.</w:t>
      </w:r>
    </w:p>
    <w:p w14:paraId="7D440EDA" w14:textId="45FC21BE" w:rsidR="00C63CDC" w:rsidRPr="005641F4" w:rsidRDefault="00C63CDC" w:rsidP="000070A7">
      <w:pPr>
        <w:spacing w:line="360" w:lineRule="auto"/>
        <w:rPr>
          <w:rFonts w:ascii="Arial" w:hAnsi="Arial" w:cs="Arial"/>
          <w:b/>
          <w:bCs/>
        </w:rPr>
      </w:pPr>
      <w:r w:rsidRPr="005641F4">
        <w:rPr>
          <w:rFonts w:ascii="Arial" w:hAnsi="Arial" w:cs="Arial"/>
        </w:rPr>
        <w:lastRenderedPageBreak/>
        <w:t xml:space="preserve"> By recognising that this stage focuses on reflection and life meaning, care staff can provide opportunities for reminiscence, validation, and emotional comfort </w:t>
      </w:r>
      <w:r w:rsidRPr="005641F4">
        <w:rPr>
          <w:rFonts w:ascii="Arial" w:hAnsi="Arial" w:cs="Arial"/>
          <w:b/>
          <w:bCs/>
        </w:rPr>
        <w:t>(Clarke and Wolverson, 2016).</w:t>
      </w:r>
    </w:p>
    <w:p w14:paraId="36FABE54" w14:textId="4A3B63B1" w:rsidR="00C63CDC" w:rsidRPr="005641F4" w:rsidRDefault="00C63CDC" w:rsidP="000070A7">
      <w:pPr>
        <w:spacing w:line="360" w:lineRule="auto"/>
        <w:rPr>
          <w:rFonts w:ascii="Arial" w:hAnsi="Arial" w:cs="Arial"/>
        </w:rPr>
      </w:pPr>
    </w:p>
    <w:p w14:paraId="4C645D2E" w14:textId="5A8E8AC0" w:rsidR="00C63CDC" w:rsidRPr="005641F4" w:rsidRDefault="00C63CDC" w:rsidP="000070A7">
      <w:pPr>
        <w:spacing w:line="360" w:lineRule="auto"/>
        <w:rPr>
          <w:rFonts w:ascii="Arial" w:hAnsi="Arial" w:cs="Arial"/>
          <w:b/>
          <w:bCs/>
          <w:u w:val="single"/>
        </w:rPr>
      </w:pPr>
      <w:r w:rsidRPr="005641F4">
        <w:rPr>
          <w:rFonts w:ascii="Arial" w:hAnsi="Arial" w:cs="Arial"/>
          <w:b/>
          <w:bCs/>
          <w:u w:val="single"/>
        </w:rPr>
        <w:t>Bandura’s Social Learning Theory</w:t>
      </w:r>
    </w:p>
    <w:p w14:paraId="41577E2F" w14:textId="0413E0E8" w:rsidR="00C63CDC" w:rsidRPr="005641F4" w:rsidRDefault="00C63CDC" w:rsidP="000070A7">
      <w:pPr>
        <w:spacing w:line="360" w:lineRule="auto"/>
        <w:rPr>
          <w:rFonts w:ascii="Arial" w:hAnsi="Arial" w:cs="Arial"/>
          <w:b/>
          <w:bCs/>
        </w:rPr>
      </w:pPr>
      <w:r w:rsidRPr="005641F4">
        <w:rPr>
          <w:rFonts w:ascii="Arial" w:hAnsi="Arial" w:cs="Arial"/>
        </w:rPr>
        <w:t xml:space="preserve">Albert Bandura </w:t>
      </w:r>
      <w:r w:rsidRPr="005641F4">
        <w:rPr>
          <w:rFonts w:ascii="Arial" w:hAnsi="Arial" w:cs="Arial"/>
          <w:b/>
          <w:bCs/>
        </w:rPr>
        <w:t>(</w:t>
      </w:r>
      <w:r w:rsidR="000C0644" w:rsidRPr="005641F4">
        <w:rPr>
          <w:rFonts w:ascii="Arial" w:hAnsi="Arial" w:cs="Arial"/>
          <w:b/>
          <w:bCs/>
        </w:rPr>
        <w:t xml:space="preserve">Bandura, </w:t>
      </w:r>
      <w:r w:rsidRPr="005641F4">
        <w:rPr>
          <w:rFonts w:ascii="Arial" w:hAnsi="Arial" w:cs="Arial"/>
          <w:b/>
          <w:bCs/>
        </w:rPr>
        <w:t>1977)</w:t>
      </w:r>
      <w:r w:rsidRPr="005641F4">
        <w:rPr>
          <w:rFonts w:ascii="Arial" w:hAnsi="Arial" w:cs="Arial"/>
        </w:rPr>
        <w:t xml:space="preserve"> developed the Social Learning Theory, which emphasises that people learn through observing others, imitating behaviours, and receiving reinforcement. This process, known as modelling, suggests that learning does not only happen through direct experience but also by watching and interacting with others</w:t>
      </w:r>
      <w:r w:rsidR="0038446A" w:rsidRPr="005641F4">
        <w:rPr>
          <w:rFonts w:ascii="Arial" w:hAnsi="Arial" w:cs="Arial"/>
        </w:rPr>
        <w:t xml:space="preserve"> </w:t>
      </w:r>
      <w:r w:rsidRPr="005641F4">
        <w:rPr>
          <w:rFonts w:ascii="Arial" w:hAnsi="Arial" w:cs="Arial"/>
          <w:b/>
          <w:bCs/>
        </w:rPr>
        <w:t>(Bandura, 1997).</w:t>
      </w:r>
    </w:p>
    <w:p w14:paraId="5490AE0F" w14:textId="77777777" w:rsidR="00C63CDC" w:rsidRPr="005641F4" w:rsidRDefault="00C63CDC" w:rsidP="000070A7">
      <w:pPr>
        <w:spacing w:line="360" w:lineRule="auto"/>
        <w:rPr>
          <w:rFonts w:ascii="Arial" w:hAnsi="Arial" w:cs="Arial"/>
        </w:rPr>
      </w:pPr>
      <w:r w:rsidRPr="005641F4">
        <w:rPr>
          <w:rFonts w:ascii="Arial" w:hAnsi="Arial" w:cs="Arial"/>
        </w:rPr>
        <w:t xml:space="preserve">In a dementia care home, social learning plays an important role. Older adults observe the actions, tone, and attitudes of staff and other residents. Positive social environments can encourage desirable behaviours, such as cooperation and calmness, while negative interactions can increase agitation or withdrawal. By modelling positive behaviours—such as patience, empathy, and encouragement—care staff can promote a sense of security and confidence among residents </w:t>
      </w:r>
      <w:r w:rsidRPr="005641F4">
        <w:rPr>
          <w:rFonts w:ascii="Arial" w:hAnsi="Arial" w:cs="Arial"/>
          <w:b/>
          <w:bCs/>
        </w:rPr>
        <w:t>(Wheeler, 2018).</w:t>
      </w:r>
    </w:p>
    <w:p w14:paraId="4D725F3F" w14:textId="77777777" w:rsidR="00C63CDC" w:rsidRPr="005641F4" w:rsidRDefault="00C63CDC" w:rsidP="000070A7">
      <w:pPr>
        <w:spacing w:line="360" w:lineRule="auto"/>
        <w:rPr>
          <w:rFonts w:ascii="Arial" w:hAnsi="Arial" w:cs="Arial"/>
        </w:rPr>
      </w:pPr>
      <w:r w:rsidRPr="005641F4">
        <w:rPr>
          <w:rFonts w:ascii="Arial" w:hAnsi="Arial" w:cs="Arial"/>
        </w:rPr>
        <w:t xml:space="preserve">For example, if a carer approaches a resident calmly during personal care, the resident may imitate this calmness and respond more cooperatively. Encouraging small successes and acknowledging residents’ abilities, such as folding towels or watering plants, helps build self-efficacy and enhances self-esteem </w:t>
      </w:r>
      <w:r w:rsidRPr="005641F4">
        <w:rPr>
          <w:rFonts w:ascii="Arial" w:hAnsi="Arial" w:cs="Arial"/>
          <w:b/>
          <w:bCs/>
        </w:rPr>
        <w:t>(McCormack and McCance, 2017)</w:t>
      </w:r>
      <w:r w:rsidRPr="005641F4">
        <w:rPr>
          <w:rFonts w:ascii="Arial" w:hAnsi="Arial" w:cs="Arial"/>
        </w:rPr>
        <w:t>.</w:t>
      </w:r>
    </w:p>
    <w:p w14:paraId="37BCE002" w14:textId="636C4EE5" w:rsidR="00C63CDC" w:rsidRPr="005641F4" w:rsidRDefault="00C63CDC" w:rsidP="000070A7">
      <w:pPr>
        <w:spacing w:line="360" w:lineRule="auto"/>
        <w:rPr>
          <w:rFonts w:ascii="Arial" w:hAnsi="Arial" w:cs="Arial"/>
        </w:rPr>
      </w:pPr>
    </w:p>
    <w:p w14:paraId="7120605A" w14:textId="77777777" w:rsidR="00A254ED" w:rsidRPr="005641F4" w:rsidRDefault="00C63CDC" w:rsidP="00A254ED">
      <w:pPr>
        <w:spacing w:line="360" w:lineRule="auto"/>
        <w:rPr>
          <w:rFonts w:ascii="Arial" w:hAnsi="Arial" w:cs="Arial"/>
        </w:rPr>
      </w:pPr>
      <w:r w:rsidRPr="005641F4">
        <w:rPr>
          <w:rFonts w:ascii="Arial" w:hAnsi="Arial" w:cs="Arial"/>
          <w:b/>
          <w:bCs/>
        </w:rPr>
        <w:t xml:space="preserve"> </w:t>
      </w:r>
      <w:r w:rsidR="00A254ED" w:rsidRPr="005641F4">
        <w:rPr>
          <w:rFonts w:ascii="Arial" w:hAnsi="Arial" w:cs="Arial"/>
        </w:rPr>
        <w:t>Using Erikson’s Theory in Dementia Care Homes</w:t>
      </w:r>
      <w:r w:rsidR="00A254ED" w:rsidRPr="005641F4">
        <w:rPr>
          <w:rFonts w:ascii="Arial" w:hAnsi="Arial" w:cs="Arial"/>
        </w:rPr>
        <w:br/>
        <w:t>Erikson’s theory helps us understand the feelings and emotional needs of older people with dementia. In care homes, residents may find it hard to feel like themselves because of memory loss and losing independence. Care staff can use Erikson’s last stage—Ego Integrity vs. Despair—to help residents feel satisfied with their life and support their emotional well-being.</w:t>
      </w:r>
    </w:p>
    <w:p w14:paraId="5AA101B5" w14:textId="021D3E8E" w:rsidR="00C63CDC" w:rsidRPr="005641F4" w:rsidRDefault="00C63CDC" w:rsidP="00A254ED">
      <w:pPr>
        <w:spacing w:line="360" w:lineRule="auto"/>
        <w:rPr>
          <w:rFonts w:ascii="Arial" w:hAnsi="Arial" w:cs="Arial"/>
        </w:rPr>
      </w:pPr>
    </w:p>
    <w:p w14:paraId="6DCB5F95" w14:textId="77777777" w:rsidR="00C63CDC" w:rsidRPr="005641F4" w:rsidRDefault="00C63CDC" w:rsidP="005641F4">
      <w:pPr>
        <w:spacing w:line="360" w:lineRule="auto"/>
        <w:rPr>
          <w:rFonts w:ascii="Arial" w:hAnsi="Arial" w:cs="Arial"/>
        </w:rPr>
      </w:pPr>
      <w:r w:rsidRPr="005641F4">
        <w:rPr>
          <w:rFonts w:ascii="Arial" w:hAnsi="Arial" w:cs="Arial"/>
          <w:b/>
          <w:bCs/>
        </w:rPr>
        <w:t>Practical applications:</w:t>
      </w:r>
    </w:p>
    <w:p w14:paraId="2E1EC75F" w14:textId="28EF1B0C" w:rsidR="00C63CDC" w:rsidRPr="005641F4" w:rsidRDefault="00C63CDC" w:rsidP="000070A7">
      <w:pPr>
        <w:numPr>
          <w:ilvl w:val="0"/>
          <w:numId w:val="1"/>
        </w:numPr>
        <w:spacing w:line="360" w:lineRule="auto"/>
        <w:rPr>
          <w:rFonts w:ascii="Arial" w:hAnsi="Arial" w:cs="Arial"/>
        </w:rPr>
      </w:pPr>
      <w:r w:rsidRPr="005641F4">
        <w:rPr>
          <w:rFonts w:ascii="Arial" w:hAnsi="Arial" w:cs="Arial"/>
          <w:b/>
          <w:bCs/>
        </w:rPr>
        <w:t>Reminiscence Therapy</w:t>
      </w:r>
      <w:r w:rsidRPr="005641F4">
        <w:rPr>
          <w:rFonts w:ascii="Arial" w:hAnsi="Arial" w:cs="Arial"/>
        </w:rPr>
        <w:br/>
        <w:t>Reminiscence therapy involves using photos</w:t>
      </w:r>
      <w:r w:rsidR="000F5D28" w:rsidRPr="005641F4">
        <w:rPr>
          <w:rFonts w:ascii="Arial" w:hAnsi="Arial" w:cs="Arial"/>
        </w:rPr>
        <w:t xml:space="preserve"> and</w:t>
      </w:r>
      <w:r w:rsidRPr="005641F4">
        <w:rPr>
          <w:rFonts w:ascii="Arial" w:hAnsi="Arial" w:cs="Arial"/>
        </w:rPr>
        <w:t xml:space="preserve"> familiar objects to help residents recall past experiences. It encourages positive reflection and helps older adults </w:t>
      </w:r>
      <w:r w:rsidRPr="005641F4">
        <w:rPr>
          <w:rFonts w:ascii="Arial" w:hAnsi="Arial" w:cs="Arial"/>
        </w:rPr>
        <w:lastRenderedPageBreak/>
        <w:t>connect with their life stories. Research shows that reminiscence therapy can improve mood, self-esteem</w:t>
      </w:r>
      <w:r w:rsidR="00D05A77" w:rsidRPr="005641F4">
        <w:rPr>
          <w:rFonts w:ascii="Arial" w:hAnsi="Arial" w:cs="Arial"/>
        </w:rPr>
        <w:t xml:space="preserve"> </w:t>
      </w:r>
      <w:r w:rsidRPr="005641F4">
        <w:rPr>
          <w:rFonts w:ascii="Arial" w:hAnsi="Arial" w:cs="Arial"/>
        </w:rPr>
        <w:t xml:space="preserve">in people with dementia </w:t>
      </w:r>
      <w:r w:rsidRPr="005641F4">
        <w:rPr>
          <w:rFonts w:ascii="Arial" w:hAnsi="Arial" w:cs="Arial"/>
          <w:b/>
          <w:bCs/>
        </w:rPr>
        <w:t>(Woods et al., 2018).</w:t>
      </w:r>
    </w:p>
    <w:p w14:paraId="6DD3653F" w14:textId="77777777" w:rsidR="00C63CDC" w:rsidRPr="005641F4" w:rsidRDefault="00C63CDC" w:rsidP="000070A7">
      <w:pPr>
        <w:numPr>
          <w:ilvl w:val="0"/>
          <w:numId w:val="1"/>
        </w:numPr>
        <w:spacing w:line="360" w:lineRule="auto"/>
        <w:rPr>
          <w:rFonts w:ascii="Arial" w:hAnsi="Arial" w:cs="Arial"/>
        </w:rPr>
      </w:pPr>
      <w:r w:rsidRPr="005641F4">
        <w:rPr>
          <w:rFonts w:ascii="Arial" w:hAnsi="Arial" w:cs="Arial"/>
          <w:b/>
          <w:bCs/>
        </w:rPr>
        <w:t>Life Story Work</w:t>
      </w:r>
      <w:r w:rsidRPr="005641F4">
        <w:rPr>
          <w:rFonts w:ascii="Arial" w:hAnsi="Arial" w:cs="Arial"/>
        </w:rPr>
        <w:br/>
        <w:t xml:space="preserve">Life story work allows residents to create personal memory books with the help of family members and care staff. This process helps them remember key life events and strengthens their identity. It also enables carers to understand the resident’s background, preferences, and values, which supports person-centred care </w:t>
      </w:r>
      <w:r w:rsidRPr="005641F4">
        <w:rPr>
          <w:rFonts w:ascii="Arial" w:hAnsi="Arial" w:cs="Arial"/>
          <w:b/>
          <w:bCs/>
        </w:rPr>
        <w:t>(McKeown et al., 2015).</w:t>
      </w:r>
    </w:p>
    <w:p w14:paraId="61E004A4" w14:textId="286083B7" w:rsidR="00C63CDC" w:rsidRPr="005641F4" w:rsidRDefault="00C63CDC" w:rsidP="000070A7">
      <w:pPr>
        <w:numPr>
          <w:ilvl w:val="0"/>
          <w:numId w:val="1"/>
        </w:numPr>
        <w:spacing w:line="360" w:lineRule="auto"/>
        <w:rPr>
          <w:rFonts w:ascii="Arial" w:hAnsi="Arial" w:cs="Arial"/>
          <w:b/>
          <w:bCs/>
        </w:rPr>
      </w:pPr>
      <w:r w:rsidRPr="005641F4">
        <w:rPr>
          <w:rFonts w:ascii="Arial" w:hAnsi="Arial" w:cs="Arial"/>
          <w:b/>
          <w:bCs/>
        </w:rPr>
        <w:t>Promoting Dignity and Acceptance</w:t>
      </w:r>
      <w:r w:rsidRPr="005641F4">
        <w:rPr>
          <w:rFonts w:ascii="Arial" w:hAnsi="Arial" w:cs="Arial"/>
        </w:rPr>
        <w:br/>
        <w:t xml:space="preserve">Staff can help residents experience a sense of integrity by treating them with respect and involving them in decisions about their care. Simple actions, such as allowing residents to choose their clothing or participate in daily routines, reinforce their sense of control and self-worth </w:t>
      </w:r>
      <w:r w:rsidRPr="005641F4">
        <w:rPr>
          <w:rFonts w:ascii="Arial" w:hAnsi="Arial" w:cs="Arial"/>
          <w:b/>
          <w:bCs/>
        </w:rPr>
        <w:t>(Kitwood, 1997).</w:t>
      </w:r>
    </w:p>
    <w:p w14:paraId="1A158EC2" w14:textId="77777777" w:rsidR="00EC343F" w:rsidRPr="005641F4" w:rsidRDefault="00EC343F" w:rsidP="000070A7">
      <w:pPr>
        <w:spacing w:line="360" w:lineRule="auto"/>
        <w:rPr>
          <w:rFonts w:ascii="Arial" w:hAnsi="Arial" w:cs="Arial"/>
          <w:b/>
          <w:bCs/>
          <w:u w:val="single"/>
        </w:rPr>
      </w:pPr>
    </w:p>
    <w:p w14:paraId="6A1EF100" w14:textId="4FD6697C" w:rsidR="00C63CDC" w:rsidRPr="005641F4" w:rsidRDefault="00C63CDC" w:rsidP="000070A7">
      <w:pPr>
        <w:spacing w:line="360" w:lineRule="auto"/>
        <w:rPr>
          <w:rFonts w:ascii="Arial" w:hAnsi="Arial" w:cs="Arial"/>
        </w:rPr>
      </w:pPr>
      <w:r w:rsidRPr="005641F4">
        <w:rPr>
          <w:rFonts w:ascii="Arial" w:hAnsi="Arial" w:cs="Arial"/>
          <w:b/>
          <w:bCs/>
          <w:u w:val="single"/>
        </w:rPr>
        <w:t>Challenges and strategies:</w:t>
      </w:r>
      <w:r w:rsidRPr="005641F4">
        <w:rPr>
          <w:rFonts w:ascii="Arial" w:hAnsi="Arial" w:cs="Arial"/>
        </w:rPr>
        <w:br/>
        <w:t>Residents with advanced dementia may have limited memory or verbal communication, making reminiscence difficult. In such cases, care staff can focus on emotional memory—using familiar sounds, scents, or touch to trigger positive feelings rather than factual recall. Staff training in validation therapy—which focuses on acknowledging the resident’s emotions rather than correcting their memory—can also reduce distress and strengthen relationships</w:t>
      </w:r>
      <w:r w:rsidR="00FA3F75" w:rsidRPr="005641F4">
        <w:rPr>
          <w:rFonts w:ascii="Arial" w:hAnsi="Arial" w:cs="Arial"/>
        </w:rPr>
        <w:t>.</w:t>
      </w:r>
    </w:p>
    <w:p w14:paraId="40107CA5" w14:textId="4D1B9FFA" w:rsidR="00C63CDC" w:rsidRPr="005641F4" w:rsidRDefault="00C63CDC" w:rsidP="000070A7">
      <w:pPr>
        <w:spacing w:line="360" w:lineRule="auto"/>
        <w:rPr>
          <w:rFonts w:ascii="Arial" w:hAnsi="Arial" w:cs="Arial"/>
        </w:rPr>
      </w:pPr>
    </w:p>
    <w:p w14:paraId="538A9225" w14:textId="04BAEB9C" w:rsidR="00C63CDC" w:rsidRPr="005641F4" w:rsidRDefault="00C63CDC" w:rsidP="000070A7">
      <w:pPr>
        <w:spacing w:line="360" w:lineRule="auto"/>
        <w:rPr>
          <w:rFonts w:ascii="Arial" w:hAnsi="Arial" w:cs="Arial"/>
          <w:b/>
          <w:bCs/>
        </w:rPr>
      </w:pPr>
      <w:r w:rsidRPr="005641F4">
        <w:rPr>
          <w:rFonts w:ascii="Arial" w:hAnsi="Arial" w:cs="Arial"/>
          <w:b/>
          <w:bCs/>
        </w:rPr>
        <w:t>Applying Bandura’s Social Learning Theory in Dementia Care Homes</w:t>
      </w:r>
    </w:p>
    <w:p w14:paraId="061564DF" w14:textId="77777777" w:rsidR="00C63CDC" w:rsidRPr="005641F4" w:rsidRDefault="00C63CDC" w:rsidP="000070A7">
      <w:pPr>
        <w:spacing w:line="360" w:lineRule="auto"/>
        <w:rPr>
          <w:rFonts w:ascii="Arial" w:hAnsi="Arial" w:cs="Arial"/>
        </w:rPr>
      </w:pPr>
      <w:r w:rsidRPr="005641F4">
        <w:rPr>
          <w:rFonts w:ascii="Arial" w:hAnsi="Arial" w:cs="Arial"/>
        </w:rPr>
        <w:t>Bandura’s theory can help professionals understand how social environments influence behaviour in dementia care. Residents often mirror the behaviour and attitudes of those around them, so staff play a critical role as role models.</w:t>
      </w:r>
    </w:p>
    <w:p w14:paraId="7DCB60CD" w14:textId="77777777" w:rsidR="00C63CDC" w:rsidRPr="005641F4" w:rsidRDefault="00C63CDC" w:rsidP="000070A7">
      <w:pPr>
        <w:spacing w:line="360" w:lineRule="auto"/>
        <w:rPr>
          <w:rFonts w:ascii="Arial" w:hAnsi="Arial" w:cs="Arial"/>
        </w:rPr>
      </w:pPr>
      <w:r w:rsidRPr="005641F4">
        <w:rPr>
          <w:rFonts w:ascii="Arial" w:hAnsi="Arial" w:cs="Arial"/>
          <w:b/>
          <w:bCs/>
        </w:rPr>
        <w:t>Practical applications:</w:t>
      </w:r>
    </w:p>
    <w:p w14:paraId="7E4D9599" w14:textId="77777777" w:rsidR="00C63CDC" w:rsidRPr="005641F4" w:rsidRDefault="00C63CDC" w:rsidP="000070A7">
      <w:pPr>
        <w:numPr>
          <w:ilvl w:val="0"/>
          <w:numId w:val="2"/>
        </w:numPr>
        <w:spacing w:line="360" w:lineRule="auto"/>
        <w:rPr>
          <w:rFonts w:ascii="Arial" w:hAnsi="Arial" w:cs="Arial"/>
          <w:b/>
          <w:bCs/>
        </w:rPr>
      </w:pPr>
      <w:r w:rsidRPr="005641F4">
        <w:rPr>
          <w:rFonts w:ascii="Arial" w:hAnsi="Arial" w:cs="Arial"/>
          <w:b/>
          <w:bCs/>
        </w:rPr>
        <w:t>Modelling Positive Behaviour</w:t>
      </w:r>
      <w:r w:rsidRPr="005641F4">
        <w:rPr>
          <w:rFonts w:ascii="Arial" w:hAnsi="Arial" w:cs="Arial"/>
        </w:rPr>
        <w:br/>
        <w:t xml:space="preserve">Care workers should demonstrate calm, patient, and compassionate behaviour. When residents observe staff speaking gently and offering reassurance, they are more likely to respond positively and remain calm. This approach can reduce agitation and aggression, which are common in dementia </w:t>
      </w:r>
      <w:r w:rsidRPr="005641F4">
        <w:rPr>
          <w:rFonts w:ascii="Arial" w:hAnsi="Arial" w:cs="Arial"/>
          <w:b/>
          <w:bCs/>
        </w:rPr>
        <w:t>(Brodaty and Arasaratnam, 2012).</w:t>
      </w:r>
    </w:p>
    <w:p w14:paraId="01711BFA" w14:textId="77777777" w:rsidR="00C63CDC" w:rsidRPr="005641F4" w:rsidRDefault="00C63CDC" w:rsidP="000070A7">
      <w:pPr>
        <w:numPr>
          <w:ilvl w:val="0"/>
          <w:numId w:val="2"/>
        </w:numPr>
        <w:spacing w:line="360" w:lineRule="auto"/>
        <w:rPr>
          <w:rFonts w:ascii="Arial" w:hAnsi="Arial" w:cs="Arial"/>
          <w:b/>
          <w:bCs/>
        </w:rPr>
      </w:pPr>
      <w:r w:rsidRPr="005641F4">
        <w:rPr>
          <w:rFonts w:ascii="Arial" w:hAnsi="Arial" w:cs="Arial"/>
          <w:b/>
          <w:bCs/>
        </w:rPr>
        <w:lastRenderedPageBreak/>
        <w:t>Encouraging Social Participation</w:t>
      </w:r>
      <w:r w:rsidRPr="005641F4">
        <w:rPr>
          <w:rFonts w:ascii="Arial" w:hAnsi="Arial" w:cs="Arial"/>
        </w:rPr>
        <w:br/>
        <w:t xml:space="preserve">Group activities such as singing, exercise, or craft sessions allow residents to observe and imitate others. Watching peers engage successfully in these activities can motivate others to join in. This form of observational learning can enhance social interaction and reduce loneliness </w:t>
      </w:r>
      <w:r w:rsidRPr="005641F4">
        <w:rPr>
          <w:rFonts w:ascii="Arial" w:hAnsi="Arial" w:cs="Arial"/>
          <w:b/>
          <w:bCs/>
        </w:rPr>
        <w:t>(Clark et al., 2020).</w:t>
      </w:r>
    </w:p>
    <w:p w14:paraId="6B4AF001" w14:textId="77777777" w:rsidR="00C63CDC" w:rsidRPr="005641F4" w:rsidRDefault="00C63CDC" w:rsidP="000070A7">
      <w:pPr>
        <w:numPr>
          <w:ilvl w:val="0"/>
          <w:numId w:val="2"/>
        </w:numPr>
        <w:spacing w:line="360" w:lineRule="auto"/>
        <w:rPr>
          <w:rFonts w:ascii="Arial" w:hAnsi="Arial" w:cs="Arial"/>
          <w:b/>
          <w:bCs/>
        </w:rPr>
      </w:pPr>
      <w:r w:rsidRPr="005641F4">
        <w:rPr>
          <w:rFonts w:ascii="Arial" w:hAnsi="Arial" w:cs="Arial"/>
          <w:b/>
          <w:bCs/>
        </w:rPr>
        <w:t>Building Self-Efficacy</w:t>
      </w:r>
      <w:r w:rsidRPr="005641F4">
        <w:rPr>
          <w:rFonts w:ascii="Arial" w:hAnsi="Arial" w:cs="Arial"/>
        </w:rPr>
        <w:br/>
        <w:t xml:space="preserve">By supporting residents to complete small, achievable tasks—like setting the table or brushing their hair—staff can help increase confidence and self-efficacy. Recognising and celebrating these achievements reinforces positive behaviour and emotional well-being </w:t>
      </w:r>
      <w:r w:rsidRPr="005641F4">
        <w:rPr>
          <w:rFonts w:ascii="Arial" w:hAnsi="Arial" w:cs="Arial"/>
          <w:b/>
          <w:bCs/>
        </w:rPr>
        <w:t>(Bandura, 1997).</w:t>
      </w:r>
    </w:p>
    <w:p w14:paraId="0FE9AAF0" w14:textId="77777777" w:rsidR="00EC343F" w:rsidRPr="005641F4" w:rsidRDefault="00EC343F" w:rsidP="000070A7">
      <w:pPr>
        <w:spacing w:line="360" w:lineRule="auto"/>
        <w:rPr>
          <w:rFonts w:ascii="Arial" w:hAnsi="Arial" w:cs="Arial"/>
          <w:b/>
          <w:bCs/>
        </w:rPr>
      </w:pPr>
    </w:p>
    <w:p w14:paraId="34E63A52" w14:textId="3A0B4749" w:rsidR="00C63CDC" w:rsidRPr="005641F4" w:rsidRDefault="00C63CDC" w:rsidP="000070A7">
      <w:pPr>
        <w:spacing w:line="360" w:lineRule="auto"/>
        <w:rPr>
          <w:rFonts w:ascii="Arial" w:hAnsi="Arial" w:cs="Arial"/>
        </w:rPr>
      </w:pPr>
      <w:r w:rsidRPr="005641F4">
        <w:rPr>
          <w:rFonts w:ascii="Arial" w:hAnsi="Arial" w:cs="Arial"/>
          <w:b/>
          <w:bCs/>
          <w:u w:val="single"/>
        </w:rPr>
        <w:t>Challenges and strategies:</w:t>
      </w:r>
      <w:r w:rsidRPr="005641F4">
        <w:rPr>
          <w:rFonts w:ascii="Arial" w:hAnsi="Arial" w:cs="Arial"/>
          <w:u w:val="single"/>
        </w:rPr>
        <w:br/>
      </w:r>
      <w:r w:rsidRPr="005641F4">
        <w:rPr>
          <w:rFonts w:ascii="Arial" w:hAnsi="Arial" w:cs="Arial"/>
        </w:rPr>
        <w:t xml:space="preserve">Some residents may struggle to imitate behaviours or remember actions due to cognitive impairment. </w:t>
      </w:r>
      <w:r w:rsidR="003152F1" w:rsidRPr="005641F4">
        <w:rPr>
          <w:rFonts w:ascii="Arial" w:hAnsi="Arial" w:cs="Arial"/>
        </w:rPr>
        <w:t xml:space="preserve">Worker </w:t>
      </w:r>
      <w:r w:rsidRPr="005641F4">
        <w:rPr>
          <w:rFonts w:ascii="Arial" w:hAnsi="Arial" w:cs="Arial"/>
        </w:rPr>
        <w:t xml:space="preserve">can simplify instructions, use visual prompts, and repeat demonstrations as needed. Creating a consistent routine also helps residents learn through repetition. Staff training in communication and behaviour management ensures consistent modelling and reinforcement across the care team </w:t>
      </w:r>
      <w:r w:rsidRPr="005641F4">
        <w:rPr>
          <w:rFonts w:ascii="Arial" w:hAnsi="Arial" w:cs="Arial"/>
          <w:b/>
          <w:bCs/>
        </w:rPr>
        <w:t>(NICE, 2022).</w:t>
      </w:r>
    </w:p>
    <w:p w14:paraId="7F5826A4" w14:textId="6BC63D97" w:rsidR="00C63CDC" w:rsidRPr="005641F4" w:rsidRDefault="00C63CDC" w:rsidP="000070A7">
      <w:pPr>
        <w:spacing w:line="360" w:lineRule="auto"/>
        <w:rPr>
          <w:rFonts w:ascii="Arial" w:hAnsi="Arial" w:cs="Arial"/>
        </w:rPr>
      </w:pPr>
    </w:p>
    <w:p w14:paraId="73CF4D06" w14:textId="386EA7FA" w:rsidR="00C63CDC" w:rsidRPr="005641F4" w:rsidRDefault="00C63CDC" w:rsidP="000070A7">
      <w:pPr>
        <w:spacing w:line="360" w:lineRule="auto"/>
        <w:rPr>
          <w:rFonts w:ascii="Arial" w:hAnsi="Arial" w:cs="Arial"/>
          <w:b/>
          <w:bCs/>
          <w:u w:val="single"/>
        </w:rPr>
      </w:pPr>
      <w:r w:rsidRPr="005641F4">
        <w:rPr>
          <w:rFonts w:ascii="Arial" w:hAnsi="Arial" w:cs="Arial"/>
          <w:b/>
          <w:bCs/>
          <w:u w:val="single"/>
        </w:rPr>
        <w:t>Critical Evaluation</w:t>
      </w:r>
    </w:p>
    <w:p w14:paraId="72CACB4C" w14:textId="04E008C4" w:rsidR="00C63CDC" w:rsidRPr="005641F4" w:rsidRDefault="00C63CDC" w:rsidP="000070A7">
      <w:pPr>
        <w:spacing w:line="360" w:lineRule="auto"/>
        <w:rPr>
          <w:rFonts w:ascii="Arial" w:hAnsi="Arial" w:cs="Arial"/>
        </w:rPr>
      </w:pPr>
      <w:r w:rsidRPr="005641F4">
        <w:rPr>
          <w:rFonts w:ascii="Arial" w:hAnsi="Arial" w:cs="Arial"/>
        </w:rPr>
        <w:t>Erikson’s and Bandura’s theories frameworks for understanding and supporting older adults with dementia, though they focus on different aspects of human behaviour.</w:t>
      </w:r>
    </w:p>
    <w:p w14:paraId="386FD57E" w14:textId="26470BEE" w:rsidR="005A338C" w:rsidRPr="005641F4" w:rsidRDefault="00C63CDC" w:rsidP="000070A7">
      <w:pPr>
        <w:spacing w:line="360" w:lineRule="auto"/>
        <w:rPr>
          <w:rFonts w:ascii="Arial" w:hAnsi="Arial" w:cs="Arial"/>
        </w:rPr>
      </w:pPr>
      <w:r w:rsidRPr="005641F4">
        <w:rPr>
          <w:rFonts w:ascii="Arial" w:hAnsi="Arial" w:cs="Arial"/>
        </w:rPr>
        <w:t xml:space="preserve">Erikson’s theory emphasises emotional and developmental needs, encouraging reflection, identity, and life </w:t>
      </w:r>
      <w:r w:rsidR="005A338C" w:rsidRPr="005641F4">
        <w:rPr>
          <w:rFonts w:ascii="Arial" w:hAnsi="Arial" w:cs="Arial"/>
        </w:rPr>
        <w:t>satisfaction It helps carers see the whole person, respecting their life story and treating them with dignity.</w:t>
      </w:r>
    </w:p>
    <w:p w14:paraId="68E62701" w14:textId="355E1F03" w:rsidR="00C63CDC" w:rsidRPr="005641F4" w:rsidRDefault="00C63CDC" w:rsidP="000070A7">
      <w:pPr>
        <w:spacing w:line="360" w:lineRule="auto"/>
        <w:rPr>
          <w:rFonts w:ascii="Arial" w:hAnsi="Arial" w:cs="Arial"/>
          <w:b/>
          <w:bCs/>
        </w:rPr>
      </w:pPr>
      <w:r w:rsidRPr="005641F4">
        <w:rPr>
          <w:rFonts w:ascii="Arial" w:hAnsi="Arial" w:cs="Arial"/>
        </w:rPr>
        <w:t xml:space="preserve">. </w:t>
      </w:r>
      <w:r w:rsidR="003D1E0D" w:rsidRPr="005641F4">
        <w:rPr>
          <w:rFonts w:ascii="Arial" w:hAnsi="Arial" w:cs="Arial"/>
        </w:rPr>
        <w:t>T</w:t>
      </w:r>
      <w:r w:rsidRPr="005641F4">
        <w:rPr>
          <w:rFonts w:ascii="Arial" w:hAnsi="Arial" w:cs="Arial"/>
        </w:rPr>
        <w:t xml:space="preserve">he theory assumes that individuals have the cognitive ability to reflect on their past. In dementia care, memory impairment can make this process challenging. Care staff therefore need to adapt the theory by focusing on emotional well-being rather than factual recollection </w:t>
      </w:r>
      <w:r w:rsidRPr="005641F4">
        <w:rPr>
          <w:rFonts w:ascii="Arial" w:hAnsi="Arial" w:cs="Arial"/>
          <w:b/>
          <w:bCs/>
        </w:rPr>
        <w:t>(Clarke and Wolverson, 2016).</w:t>
      </w:r>
    </w:p>
    <w:p w14:paraId="60735011" w14:textId="418347EA" w:rsidR="00C63CDC" w:rsidRPr="005641F4" w:rsidRDefault="00C63CDC" w:rsidP="000070A7">
      <w:pPr>
        <w:spacing w:line="360" w:lineRule="auto"/>
        <w:rPr>
          <w:rFonts w:ascii="Arial" w:hAnsi="Arial" w:cs="Arial"/>
          <w:b/>
          <w:bCs/>
        </w:rPr>
      </w:pPr>
      <w:r w:rsidRPr="005641F4">
        <w:rPr>
          <w:rFonts w:ascii="Arial" w:hAnsi="Arial" w:cs="Arial"/>
        </w:rPr>
        <w:t>Bandura’s Social Learning Theory focuses on behavioural and social influences. It helps professionals understand that residents continue to learn through observation even when memory is impaired.</w:t>
      </w:r>
      <w:r w:rsidR="00A5091E" w:rsidRPr="005641F4">
        <w:rPr>
          <w:rFonts w:ascii="Arial" w:hAnsi="Arial" w:cs="Arial"/>
        </w:rPr>
        <w:t xml:space="preserve"> I</w:t>
      </w:r>
      <w:r w:rsidRPr="005641F4">
        <w:rPr>
          <w:rFonts w:ascii="Arial" w:hAnsi="Arial" w:cs="Arial"/>
        </w:rPr>
        <w:t xml:space="preserve">t may not fully explain behaviours that result from neurological decline rather than social interaction. Still, using Bandura’s principles of modelling, positive </w:t>
      </w:r>
      <w:r w:rsidRPr="005641F4">
        <w:rPr>
          <w:rFonts w:ascii="Arial" w:hAnsi="Arial" w:cs="Arial"/>
        </w:rPr>
        <w:lastRenderedPageBreak/>
        <w:t xml:space="preserve">reinforcement, and self-efficacy can promote engagement, calmness, and social connection </w:t>
      </w:r>
      <w:r w:rsidRPr="005641F4">
        <w:rPr>
          <w:rFonts w:ascii="Arial" w:hAnsi="Arial" w:cs="Arial"/>
          <w:b/>
          <w:bCs/>
        </w:rPr>
        <w:t>(McCormack and McCance, 2017).</w:t>
      </w:r>
    </w:p>
    <w:p w14:paraId="42D37BEF" w14:textId="77777777" w:rsidR="00C63CDC" w:rsidRPr="005641F4" w:rsidRDefault="00C63CDC" w:rsidP="000070A7">
      <w:pPr>
        <w:spacing w:line="360" w:lineRule="auto"/>
        <w:rPr>
          <w:rFonts w:ascii="Arial" w:hAnsi="Arial" w:cs="Arial"/>
        </w:rPr>
      </w:pPr>
      <w:r w:rsidRPr="005641F4">
        <w:rPr>
          <w:rFonts w:ascii="Arial" w:hAnsi="Arial" w:cs="Arial"/>
        </w:rPr>
        <w:t>In practice, combining both theories provides a comprehensive approach. Erikson’s framework supports emotional and identity-based care, while Bandura’s approach helps create positive learning and social environments. Together, they encourage person-centred</w:t>
      </w:r>
      <w:r w:rsidRPr="005641F4">
        <w:rPr>
          <w:rFonts w:ascii="Arial" w:hAnsi="Arial" w:cs="Arial"/>
          <w:b/>
          <w:bCs/>
        </w:rPr>
        <w:t xml:space="preserve"> </w:t>
      </w:r>
      <w:r w:rsidRPr="005641F4">
        <w:rPr>
          <w:rFonts w:ascii="Arial" w:hAnsi="Arial" w:cs="Arial"/>
        </w:rPr>
        <w:t>care—focusing on the resident’s feelings, abilities, and relationships.</w:t>
      </w:r>
    </w:p>
    <w:p w14:paraId="382E8E13" w14:textId="77777777" w:rsidR="00EC343F" w:rsidRPr="005641F4" w:rsidRDefault="00EC343F" w:rsidP="000070A7">
      <w:pPr>
        <w:spacing w:line="360" w:lineRule="auto"/>
        <w:rPr>
          <w:rFonts w:ascii="Arial" w:hAnsi="Arial" w:cs="Arial"/>
        </w:rPr>
      </w:pPr>
    </w:p>
    <w:p w14:paraId="14B3D761" w14:textId="42B1C064" w:rsidR="00C63CDC" w:rsidRPr="005641F4" w:rsidRDefault="00C63CDC" w:rsidP="000070A7">
      <w:pPr>
        <w:spacing w:line="360" w:lineRule="auto"/>
        <w:rPr>
          <w:rFonts w:ascii="Arial" w:hAnsi="Arial" w:cs="Arial"/>
          <w:b/>
          <w:bCs/>
          <w:u w:val="single"/>
        </w:rPr>
      </w:pPr>
      <w:r w:rsidRPr="005641F4">
        <w:rPr>
          <w:rFonts w:ascii="Arial" w:hAnsi="Arial" w:cs="Arial"/>
          <w:b/>
          <w:bCs/>
          <w:u w:val="single"/>
        </w:rPr>
        <w:t>Conclusion</w:t>
      </w:r>
    </w:p>
    <w:p w14:paraId="525A69B2" w14:textId="77777777" w:rsidR="00C63CDC" w:rsidRPr="005641F4" w:rsidRDefault="00C63CDC" w:rsidP="000070A7">
      <w:pPr>
        <w:spacing w:line="360" w:lineRule="auto"/>
        <w:rPr>
          <w:rFonts w:ascii="Arial" w:hAnsi="Arial" w:cs="Arial"/>
        </w:rPr>
      </w:pPr>
      <w:r w:rsidRPr="005641F4">
        <w:rPr>
          <w:rFonts w:ascii="Arial" w:hAnsi="Arial" w:cs="Arial"/>
        </w:rPr>
        <w:t>Psychological theories are vital for guiding care in dementia settings. Erikson’s Psychosocial Theory helps staff understand the emotional challenges older adults face as they reflect on their lives, while Bandura’s Social Learning Theory highlights the importance of social interaction and modelling in shaping behaviour and confidence.</w:t>
      </w:r>
    </w:p>
    <w:p w14:paraId="7195BA1D" w14:textId="77777777" w:rsidR="00C63CDC" w:rsidRPr="005641F4" w:rsidRDefault="00C63CDC" w:rsidP="000070A7">
      <w:pPr>
        <w:spacing w:line="360" w:lineRule="auto"/>
        <w:rPr>
          <w:rFonts w:ascii="Arial" w:hAnsi="Arial" w:cs="Arial"/>
        </w:rPr>
      </w:pPr>
      <w:r w:rsidRPr="005641F4">
        <w:rPr>
          <w:rFonts w:ascii="Arial" w:hAnsi="Arial" w:cs="Arial"/>
        </w:rPr>
        <w:t>Applying these theories in dementia care homes allows professionals to promote dignity, engagement, and emotional comfort. Strategies such as reminiscence therapy, life story work, positive modelling, and confidence-building activities support the psychological well-being of residents. Although challenges such as memory loss and communication difficulties exist, these can be managed through patience, adaptation, and staff training.</w:t>
      </w:r>
    </w:p>
    <w:p w14:paraId="1811CC52" w14:textId="77777777" w:rsidR="00C63CDC" w:rsidRPr="005641F4" w:rsidRDefault="00C63CDC" w:rsidP="000070A7">
      <w:pPr>
        <w:spacing w:line="360" w:lineRule="auto"/>
        <w:rPr>
          <w:rFonts w:ascii="Arial" w:hAnsi="Arial" w:cs="Arial"/>
        </w:rPr>
      </w:pPr>
      <w:r w:rsidRPr="005641F4">
        <w:rPr>
          <w:rFonts w:ascii="Arial" w:hAnsi="Arial" w:cs="Arial"/>
        </w:rPr>
        <w:t>Understanding and applying psychological principles not only enhances the quality of care but also ensures that older adults living with dementia are treated with respect, empathy, and humanity.</w:t>
      </w:r>
    </w:p>
    <w:p w14:paraId="7DD81AE9" w14:textId="3B7BEB4E" w:rsidR="00C63CDC" w:rsidRPr="005641F4" w:rsidRDefault="00C63CDC" w:rsidP="000070A7">
      <w:pPr>
        <w:spacing w:line="360" w:lineRule="auto"/>
        <w:rPr>
          <w:rFonts w:ascii="Arial" w:hAnsi="Arial" w:cs="Arial"/>
        </w:rPr>
      </w:pPr>
    </w:p>
    <w:p w14:paraId="668D5487" w14:textId="71F951E4" w:rsidR="00C63CDC" w:rsidRPr="005641F4" w:rsidRDefault="00C63CDC" w:rsidP="000070A7">
      <w:pPr>
        <w:spacing w:line="360" w:lineRule="auto"/>
        <w:rPr>
          <w:rFonts w:ascii="Arial" w:hAnsi="Arial" w:cs="Arial"/>
          <w:b/>
          <w:bCs/>
        </w:rPr>
      </w:pPr>
      <w:r w:rsidRPr="005641F4">
        <w:rPr>
          <w:rFonts w:ascii="Arial" w:hAnsi="Arial" w:cs="Arial"/>
          <w:b/>
          <w:bCs/>
        </w:rPr>
        <w:t xml:space="preserve">References </w:t>
      </w:r>
    </w:p>
    <w:p w14:paraId="56F0B0DC" w14:textId="77777777" w:rsidR="00C63CDC" w:rsidRPr="005641F4" w:rsidRDefault="00C63CDC" w:rsidP="000070A7">
      <w:pPr>
        <w:spacing w:line="360" w:lineRule="auto"/>
        <w:rPr>
          <w:rFonts w:ascii="Arial" w:hAnsi="Arial" w:cs="Arial"/>
        </w:rPr>
      </w:pPr>
      <w:r w:rsidRPr="005641F4">
        <w:rPr>
          <w:rFonts w:ascii="Arial" w:hAnsi="Arial" w:cs="Arial"/>
        </w:rPr>
        <w:t xml:space="preserve">Bandura, A. (1977) </w:t>
      </w:r>
      <w:r w:rsidRPr="005641F4">
        <w:rPr>
          <w:rFonts w:ascii="Arial" w:hAnsi="Arial" w:cs="Arial"/>
          <w:i/>
          <w:iCs/>
        </w:rPr>
        <w:t>Social Learning Theory.</w:t>
      </w:r>
      <w:r w:rsidRPr="005641F4">
        <w:rPr>
          <w:rFonts w:ascii="Arial" w:hAnsi="Arial" w:cs="Arial"/>
        </w:rPr>
        <w:t xml:space="preserve"> Englewood Cliffs, NJ: Prentice Hall.</w:t>
      </w:r>
    </w:p>
    <w:p w14:paraId="6ABDBE63" w14:textId="77777777" w:rsidR="00C63CDC" w:rsidRPr="005641F4" w:rsidRDefault="00C63CDC" w:rsidP="000070A7">
      <w:pPr>
        <w:spacing w:line="360" w:lineRule="auto"/>
        <w:rPr>
          <w:rFonts w:ascii="Arial" w:hAnsi="Arial" w:cs="Arial"/>
        </w:rPr>
      </w:pPr>
      <w:r w:rsidRPr="005641F4">
        <w:rPr>
          <w:rFonts w:ascii="Arial" w:hAnsi="Arial" w:cs="Arial"/>
        </w:rPr>
        <w:t xml:space="preserve">Bandura, A. (1997) </w:t>
      </w:r>
      <w:r w:rsidRPr="005641F4">
        <w:rPr>
          <w:rFonts w:ascii="Arial" w:hAnsi="Arial" w:cs="Arial"/>
          <w:i/>
          <w:iCs/>
        </w:rPr>
        <w:t>Self-Efficacy: The Exercise of Control.</w:t>
      </w:r>
      <w:r w:rsidRPr="005641F4">
        <w:rPr>
          <w:rFonts w:ascii="Arial" w:hAnsi="Arial" w:cs="Arial"/>
        </w:rPr>
        <w:t xml:space="preserve"> New York: Freeman.</w:t>
      </w:r>
    </w:p>
    <w:p w14:paraId="790CBFFF" w14:textId="25E9E938" w:rsidR="00174FDC" w:rsidRPr="00174FDC" w:rsidRDefault="00C63CDC" w:rsidP="000070A7">
      <w:pPr>
        <w:spacing w:line="360" w:lineRule="auto"/>
        <w:rPr>
          <w:rFonts w:ascii="Arial" w:hAnsi="Arial" w:cs="Arial"/>
        </w:rPr>
      </w:pPr>
      <w:r w:rsidRPr="005641F4">
        <w:rPr>
          <w:rFonts w:ascii="Arial" w:hAnsi="Arial" w:cs="Arial"/>
        </w:rPr>
        <w:t xml:space="preserve">Brodaty, H. and Arasaratnam, C. (2012) ‘Meta-analysis of nonpharmacological interventions for neuropsychiatric symptoms of dementia,’ </w:t>
      </w:r>
      <w:r w:rsidRPr="005641F4">
        <w:rPr>
          <w:rFonts w:ascii="Arial" w:hAnsi="Arial" w:cs="Arial"/>
          <w:i/>
          <w:iCs/>
        </w:rPr>
        <w:t>American Journal of Psychiatry,</w:t>
      </w:r>
      <w:r w:rsidRPr="005641F4">
        <w:rPr>
          <w:rFonts w:ascii="Arial" w:hAnsi="Arial" w:cs="Arial"/>
        </w:rPr>
        <w:t xml:space="preserve"> 169(9), pp. 946–953.</w:t>
      </w:r>
      <w:r w:rsidR="00AF0B09" w:rsidRPr="005641F4">
        <w:rPr>
          <w:rFonts w:ascii="Arial" w:hAnsi="Arial" w:cs="Arial"/>
        </w:rPr>
        <w:t xml:space="preserve"> </w:t>
      </w:r>
      <w:r w:rsidR="00F35BA6" w:rsidRPr="005641F4">
        <w:rPr>
          <w:rFonts w:ascii="Arial" w:hAnsi="Arial" w:cs="Arial"/>
        </w:rPr>
        <w:t xml:space="preserve"> </w:t>
      </w:r>
      <w:r w:rsidR="00EB088B" w:rsidRPr="005641F4">
        <w:rPr>
          <w:rFonts w:ascii="Arial" w:hAnsi="Arial" w:cs="Arial"/>
        </w:rPr>
        <w:t xml:space="preserve">Available </w:t>
      </w:r>
      <w:r w:rsidR="00545C0E" w:rsidRPr="005641F4">
        <w:rPr>
          <w:rFonts w:ascii="Arial" w:hAnsi="Arial" w:cs="Arial"/>
        </w:rPr>
        <w:t>on:</w:t>
      </w:r>
      <w:r w:rsidR="00D77238" w:rsidRPr="005641F4">
        <w:rPr>
          <w:rFonts w:ascii="Arial" w:hAnsi="Arial" w:cs="Arial"/>
        </w:rPr>
        <w:t xml:space="preserve"> </w:t>
      </w:r>
      <w:hyperlink r:id="rId11" w:history="1">
        <w:r w:rsidR="00D77238" w:rsidRPr="00174FDC">
          <w:rPr>
            <w:rStyle w:val="Hyperlink"/>
            <w:rFonts w:ascii="Arial" w:hAnsi="Arial" w:cs="Arial"/>
          </w:rPr>
          <w:t>https://psychiatryonline.org/doi/full/10.1176/appi.ajp.2012.11101529</w:t>
        </w:r>
      </w:hyperlink>
      <w:r w:rsidR="00D77238" w:rsidRPr="005641F4">
        <w:rPr>
          <w:rFonts w:ascii="Arial" w:hAnsi="Arial" w:cs="Arial"/>
        </w:rPr>
        <w:t xml:space="preserve"> </w:t>
      </w:r>
      <w:r w:rsidR="00086F1F" w:rsidRPr="005641F4">
        <w:rPr>
          <w:rFonts w:ascii="Arial" w:hAnsi="Arial" w:cs="Arial"/>
        </w:rPr>
        <w:t>(</w:t>
      </w:r>
      <w:r w:rsidR="00D77238" w:rsidRPr="005641F4">
        <w:rPr>
          <w:rFonts w:ascii="Arial" w:hAnsi="Arial" w:cs="Arial"/>
        </w:rPr>
        <w:t>acc</w:t>
      </w:r>
      <w:r w:rsidR="00086F1F" w:rsidRPr="005641F4">
        <w:rPr>
          <w:rFonts w:ascii="Arial" w:hAnsi="Arial" w:cs="Arial"/>
        </w:rPr>
        <w:t>essed</w:t>
      </w:r>
      <w:r w:rsidR="00BF0D37" w:rsidRPr="005641F4">
        <w:rPr>
          <w:rFonts w:ascii="Arial" w:hAnsi="Arial" w:cs="Arial"/>
        </w:rPr>
        <w:t xml:space="preserve">: 05 November </w:t>
      </w:r>
      <w:r w:rsidR="003414EC" w:rsidRPr="005641F4">
        <w:rPr>
          <w:rFonts w:ascii="Arial" w:hAnsi="Arial" w:cs="Arial"/>
        </w:rPr>
        <w:t>2025)</w:t>
      </w:r>
    </w:p>
    <w:p w14:paraId="39FB08E6" w14:textId="77777777" w:rsidR="00C63CDC" w:rsidRPr="005641F4" w:rsidRDefault="00C63CDC" w:rsidP="000070A7">
      <w:pPr>
        <w:spacing w:line="360" w:lineRule="auto"/>
        <w:rPr>
          <w:rFonts w:ascii="Arial" w:hAnsi="Arial" w:cs="Arial"/>
        </w:rPr>
      </w:pPr>
      <w:r w:rsidRPr="005641F4">
        <w:rPr>
          <w:rFonts w:ascii="Arial" w:hAnsi="Arial" w:cs="Arial"/>
        </w:rPr>
        <w:t xml:space="preserve">Clark, M., Woods, B. and Moniz-Cook, E. (2020) ‘Using group activities to promote wellbeing in dementia care homes,’ </w:t>
      </w:r>
      <w:r w:rsidRPr="005641F4">
        <w:rPr>
          <w:rFonts w:ascii="Arial" w:hAnsi="Arial" w:cs="Arial"/>
          <w:i/>
          <w:iCs/>
        </w:rPr>
        <w:t>Aging and Mental Health,</w:t>
      </w:r>
      <w:r w:rsidRPr="005641F4">
        <w:rPr>
          <w:rFonts w:ascii="Arial" w:hAnsi="Arial" w:cs="Arial"/>
        </w:rPr>
        <w:t xml:space="preserve"> 24(2), pp. 198–206.</w:t>
      </w:r>
    </w:p>
    <w:p w14:paraId="6E914348" w14:textId="77777777" w:rsidR="00C63CDC" w:rsidRPr="005641F4" w:rsidRDefault="00C63CDC" w:rsidP="000070A7">
      <w:pPr>
        <w:spacing w:line="360" w:lineRule="auto"/>
        <w:rPr>
          <w:rFonts w:ascii="Arial" w:hAnsi="Arial" w:cs="Arial"/>
        </w:rPr>
      </w:pPr>
      <w:r w:rsidRPr="005641F4">
        <w:rPr>
          <w:rFonts w:ascii="Arial" w:hAnsi="Arial" w:cs="Arial"/>
        </w:rPr>
        <w:lastRenderedPageBreak/>
        <w:t xml:space="preserve">Clarke, C. and Wolverson, E. (2016) </w:t>
      </w:r>
      <w:r w:rsidRPr="005641F4">
        <w:rPr>
          <w:rFonts w:ascii="Arial" w:hAnsi="Arial" w:cs="Arial"/>
          <w:i/>
          <w:iCs/>
        </w:rPr>
        <w:t>Positive Psychology Approaches to Dementia.</w:t>
      </w:r>
      <w:r w:rsidRPr="005641F4">
        <w:rPr>
          <w:rFonts w:ascii="Arial" w:hAnsi="Arial" w:cs="Arial"/>
        </w:rPr>
        <w:t xml:space="preserve"> London: Jessica Kingsley Publishers.</w:t>
      </w:r>
    </w:p>
    <w:p w14:paraId="55CF184B" w14:textId="77777777" w:rsidR="00C63CDC" w:rsidRPr="005641F4" w:rsidRDefault="00C63CDC" w:rsidP="000070A7">
      <w:pPr>
        <w:spacing w:line="360" w:lineRule="auto"/>
        <w:rPr>
          <w:rFonts w:ascii="Arial" w:hAnsi="Arial" w:cs="Arial"/>
        </w:rPr>
      </w:pPr>
      <w:r w:rsidRPr="005641F4">
        <w:rPr>
          <w:rFonts w:ascii="Arial" w:hAnsi="Arial" w:cs="Arial"/>
        </w:rPr>
        <w:t xml:space="preserve">Erikson, E.H. (1950) </w:t>
      </w:r>
      <w:r w:rsidRPr="005641F4">
        <w:rPr>
          <w:rFonts w:ascii="Arial" w:hAnsi="Arial" w:cs="Arial"/>
          <w:i/>
          <w:iCs/>
        </w:rPr>
        <w:t>Childhood and Society.</w:t>
      </w:r>
      <w:r w:rsidRPr="005641F4">
        <w:rPr>
          <w:rFonts w:ascii="Arial" w:hAnsi="Arial" w:cs="Arial"/>
        </w:rPr>
        <w:t xml:space="preserve"> New York: W.W. Norton.</w:t>
      </w:r>
    </w:p>
    <w:p w14:paraId="04E3C7E5" w14:textId="77777777" w:rsidR="00C63CDC" w:rsidRPr="005641F4" w:rsidRDefault="00C63CDC" w:rsidP="000070A7">
      <w:pPr>
        <w:spacing w:line="360" w:lineRule="auto"/>
        <w:rPr>
          <w:rFonts w:ascii="Arial" w:hAnsi="Arial" w:cs="Arial"/>
        </w:rPr>
      </w:pPr>
      <w:r w:rsidRPr="005641F4">
        <w:rPr>
          <w:rFonts w:ascii="Arial" w:hAnsi="Arial" w:cs="Arial"/>
        </w:rPr>
        <w:t xml:space="preserve">Erikson, E.H. (1982) </w:t>
      </w:r>
      <w:r w:rsidRPr="005641F4">
        <w:rPr>
          <w:rFonts w:ascii="Arial" w:hAnsi="Arial" w:cs="Arial"/>
          <w:i/>
          <w:iCs/>
        </w:rPr>
        <w:t>The Life Cycle Completed.</w:t>
      </w:r>
      <w:r w:rsidRPr="005641F4">
        <w:rPr>
          <w:rFonts w:ascii="Arial" w:hAnsi="Arial" w:cs="Arial"/>
        </w:rPr>
        <w:t xml:space="preserve"> New York: W.W. Norton.</w:t>
      </w:r>
    </w:p>
    <w:p w14:paraId="4811763C" w14:textId="77777777" w:rsidR="00C63CDC" w:rsidRPr="005641F4" w:rsidRDefault="00C63CDC" w:rsidP="000070A7">
      <w:pPr>
        <w:spacing w:line="360" w:lineRule="auto"/>
        <w:rPr>
          <w:rFonts w:ascii="Arial" w:hAnsi="Arial" w:cs="Arial"/>
        </w:rPr>
      </w:pPr>
      <w:r w:rsidRPr="005641F4">
        <w:rPr>
          <w:rFonts w:ascii="Arial" w:hAnsi="Arial" w:cs="Arial"/>
        </w:rPr>
        <w:t xml:space="preserve">McKeown, J., Clarke, A. and Repper, J. (2015) ‘Life story work in health and social care: Systematic review,’ </w:t>
      </w:r>
      <w:r w:rsidRPr="005641F4">
        <w:rPr>
          <w:rFonts w:ascii="Arial" w:hAnsi="Arial" w:cs="Arial"/>
          <w:i/>
          <w:iCs/>
        </w:rPr>
        <w:t>Journal of Advanced Nursing,</w:t>
      </w:r>
      <w:r w:rsidRPr="005641F4">
        <w:rPr>
          <w:rFonts w:ascii="Arial" w:hAnsi="Arial" w:cs="Arial"/>
        </w:rPr>
        <w:t xml:space="preserve"> 71(12), pp. 2757–2767.</w:t>
      </w:r>
    </w:p>
    <w:p w14:paraId="273D6F7A" w14:textId="759F5028" w:rsidR="00F516F6" w:rsidRPr="005641F4" w:rsidRDefault="00C63CDC" w:rsidP="000070A7">
      <w:pPr>
        <w:spacing w:line="360" w:lineRule="auto"/>
        <w:rPr>
          <w:rFonts w:ascii="Arial" w:hAnsi="Arial" w:cs="Arial"/>
        </w:rPr>
      </w:pPr>
      <w:r w:rsidRPr="005641F4">
        <w:rPr>
          <w:rFonts w:ascii="Arial" w:hAnsi="Arial" w:cs="Arial"/>
        </w:rPr>
        <w:t xml:space="preserve">NICE (2022) </w:t>
      </w:r>
      <w:r w:rsidRPr="005641F4">
        <w:rPr>
          <w:rFonts w:ascii="Arial" w:hAnsi="Arial" w:cs="Arial"/>
          <w:i/>
          <w:iCs/>
        </w:rPr>
        <w:t>Dementia: assessment, management and support for people living with dementia and their carers (NG97).</w:t>
      </w:r>
      <w:r w:rsidRPr="005641F4">
        <w:rPr>
          <w:rFonts w:ascii="Arial" w:hAnsi="Arial" w:cs="Arial"/>
        </w:rPr>
        <w:t xml:space="preserve"> London: National Institute for Health and Care Excellence.</w:t>
      </w:r>
      <w:r w:rsidR="00D37034" w:rsidRPr="005641F4">
        <w:rPr>
          <w:rFonts w:ascii="Arial" w:hAnsi="Arial" w:cs="Arial"/>
        </w:rPr>
        <w:t xml:space="preserve"> </w:t>
      </w:r>
      <w:r w:rsidR="000D7DBB" w:rsidRPr="005641F4">
        <w:rPr>
          <w:rFonts w:ascii="Arial" w:hAnsi="Arial" w:cs="Arial"/>
        </w:rPr>
        <w:t>Available at:</w:t>
      </w:r>
      <w:r w:rsidR="000D7DBB" w:rsidRPr="005641F4">
        <w:rPr>
          <w:rFonts w:ascii="Arial" w:hAnsi="Arial" w:cs="Arial"/>
        </w:rPr>
        <w:t xml:space="preserve"> </w:t>
      </w:r>
      <w:hyperlink r:id="rId12" w:history="1">
        <w:r w:rsidR="000D7DBB" w:rsidRPr="005641F4">
          <w:rPr>
            <w:rStyle w:val="Hyperlink"/>
            <w:rFonts w:ascii="Arial" w:hAnsi="Arial" w:cs="Arial"/>
          </w:rPr>
          <w:t>https://www.nice.org.uk/guidance/ng97</w:t>
        </w:r>
      </w:hyperlink>
      <w:r w:rsidR="000D7DBB" w:rsidRPr="005641F4">
        <w:rPr>
          <w:rFonts w:ascii="Arial" w:hAnsi="Arial" w:cs="Arial"/>
        </w:rPr>
        <w:t xml:space="preserve"> </w:t>
      </w:r>
      <w:r w:rsidR="003D2B30" w:rsidRPr="005641F4">
        <w:rPr>
          <w:rFonts w:ascii="Arial" w:hAnsi="Arial" w:cs="Arial"/>
        </w:rPr>
        <w:t xml:space="preserve">(Accessed: </w:t>
      </w:r>
      <w:r w:rsidR="003D2B30" w:rsidRPr="005641F4">
        <w:rPr>
          <w:rFonts w:ascii="Arial" w:hAnsi="Arial" w:cs="Arial"/>
        </w:rPr>
        <w:t>06</w:t>
      </w:r>
      <w:r w:rsidR="003D2B30" w:rsidRPr="005641F4">
        <w:rPr>
          <w:rFonts w:ascii="Arial" w:hAnsi="Arial" w:cs="Arial"/>
        </w:rPr>
        <w:t xml:space="preserve"> November 2025).</w:t>
      </w:r>
    </w:p>
    <w:p w14:paraId="78A71B97" w14:textId="748E996F" w:rsidR="00C63CDC" w:rsidRPr="005641F4" w:rsidRDefault="00C63CDC" w:rsidP="000070A7">
      <w:pPr>
        <w:spacing w:line="360" w:lineRule="auto"/>
        <w:rPr>
          <w:rFonts w:ascii="Arial" w:hAnsi="Arial" w:cs="Arial"/>
        </w:rPr>
      </w:pPr>
      <w:r w:rsidRPr="005641F4">
        <w:rPr>
          <w:rFonts w:ascii="Arial" w:hAnsi="Arial" w:cs="Arial"/>
        </w:rPr>
        <w:t xml:space="preserve">Wheeler, A. (2018) ‘Learning through observation: applying Bandura’s theory in dementia care practice,’ </w:t>
      </w:r>
      <w:r w:rsidRPr="005641F4">
        <w:rPr>
          <w:rFonts w:ascii="Arial" w:hAnsi="Arial" w:cs="Arial"/>
          <w:i/>
          <w:iCs/>
        </w:rPr>
        <w:t>British Journal of Healthcare Assistants,</w:t>
      </w:r>
      <w:r w:rsidRPr="005641F4">
        <w:rPr>
          <w:rFonts w:ascii="Arial" w:hAnsi="Arial" w:cs="Arial"/>
        </w:rPr>
        <w:t xml:space="preserve"> 12(6), pp. 284–288.</w:t>
      </w:r>
    </w:p>
    <w:p w14:paraId="3DDA64AB" w14:textId="1BFEEC1A" w:rsidR="00C63CDC" w:rsidRPr="005641F4" w:rsidRDefault="00C63CDC" w:rsidP="000070A7">
      <w:pPr>
        <w:spacing w:line="360" w:lineRule="auto"/>
        <w:rPr>
          <w:rFonts w:ascii="Arial" w:hAnsi="Arial" w:cs="Arial"/>
        </w:rPr>
      </w:pPr>
    </w:p>
    <w:p w14:paraId="06ED5E4A" w14:textId="2F920DEC" w:rsidR="007E4210" w:rsidRPr="005641F4" w:rsidRDefault="00EA0F64" w:rsidP="000070A7">
      <w:pPr>
        <w:spacing w:line="360" w:lineRule="auto"/>
        <w:rPr>
          <w:rFonts w:ascii="Arial" w:hAnsi="Arial" w:cs="Arial"/>
        </w:rPr>
      </w:pPr>
      <w:r w:rsidRPr="005641F4">
        <w:rPr>
          <w:rFonts w:ascii="Arial" w:hAnsi="Arial" w:cs="Arial"/>
        </w:rPr>
        <w:t xml:space="preserve"> </w:t>
      </w:r>
    </w:p>
    <w:sectPr w:rsidR="007E4210" w:rsidRPr="005641F4" w:rsidSect="007561A5">
      <w:footerReference w:type="default" r:id="rId1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A86A1" w14:textId="77777777" w:rsidR="006F3411" w:rsidRDefault="006F3411" w:rsidP="00C63CDC">
      <w:pPr>
        <w:spacing w:after="0" w:line="240" w:lineRule="auto"/>
      </w:pPr>
      <w:r>
        <w:separator/>
      </w:r>
    </w:p>
  </w:endnote>
  <w:endnote w:type="continuationSeparator" w:id="0">
    <w:p w14:paraId="78680997" w14:textId="77777777" w:rsidR="006F3411" w:rsidRDefault="006F3411" w:rsidP="00C63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2705614"/>
      <w:docPartObj>
        <w:docPartGallery w:val="Page Numbers (Bottom of Page)"/>
        <w:docPartUnique/>
      </w:docPartObj>
    </w:sdtPr>
    <w:sdtEndPr>
      <w:rPr>
        <w:noProof/>
      </w:rPr>
    </w:sdtEndPr>
    <w:sdtContent>
      <w:p w14:paraId="2D5704E8" w14:textId="6868D374" w:rsidR="00406030" w:rsidRDefault="0040603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B85833" w14:textId="4379A90C" w:rsidR="00C63CDC" w:rsidRDefault="00C63CDC" w:rsidP="005B3E8F">
    <w:pPr>
      <w:pStyle w:val="Footer"/>
      <w:spacing w:line="36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84836" w14:textId="77777777" w:rsidR="006F3411" w:rsidRDefault="006F3411" w:rsidP="00C63CDC">
      <w:pPr>
        <w:spacing w:after="0" w:line="240" w:lineRule="auto"/>
      </w:pPr>
      <w:r>
        <w:separator/>
      </w:r>
    </w:p>
  </w:footnote>
  <w:footnote w:type="continuationSeparator" w:id="0">
    <w:p w14:paraId="7022EB7F" w14:textId="77777777" w:rsidR="006F3411" w:rsidRDefault="006F3411" w:rsidP="00C63C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350EDD"/>
    <w:multiLevelType w:val="multilevel"/>
    <w:tmpl w:val="1024A77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2C6FA8"/>
    <w:multiLevelType w:val="multilevel"/>
    <w:tmpl w:val="9D0EC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6065658">
    <w:abstractNumId w:val="0"/>
  </w:num>
  <w:num w:numId="2" w16cid:durableId="13454710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CDC"/>
    <w:rsid w:val="000070A7"/>
    <w:rsid w:val="00031071"/>
    <w:rsid w:val="000605BC"/>
    <w:rsid w:val="00086F1F"/>
    <w:rsid w:val="000B5575"/>
    <w:rsid w:val="000C0644"/>
    <w:rsid w:val="000D2895"/>
    <w:rsid w:val="000D7DBB"/>
    <w:rsid w:val="000F5D28"/>
    <w:rsid w:val="00103332"/>
    <w:rsid w:val="00110B68"/>
    <w:rsid w:val="00110FA9"/>
    <w:rsid w:val="001154FB"/>
    <w:rsid w:val="00122170"/>
    <w:rsid w:val="001314E5"/>
    <w:rsid w:val="001475E7"/>
    <w:rsid w:val="00147B1E"/>
    <w:rsid w:val="00164B4A"/>
    <w:rsid w:val="00174FDC"/>
    <w:rsid w:val="00187AD9"/>
    <w:rsid w:val="00194949"/>
    <w:rsid w:val="00197EB7"/>
    <w:rsid w:val="001A7541"/>
    <w:rsid w:val="0020470B"/>
    <w:rsid w:val="00211C40"/>
    <w:rsid w:val="00235F04"/>
    <w:rsid w:val="0025398C"/>
    <w:rsid w:val="00256A5B"/>
    <w:rsid w:val="00260C5A"/>
    <w:rsid w:val="00282960"/>
    <w:rsid w:val="002B1CCF"/>
    <w:rsid w:val="00310A5C"/>
    <w:rsid w:val="00314C13"/>
    <w:rsid w:val="003152F1"/>
    <w:rsid w:val="00320781"/>
    <w:rsid w:val="003414EC"/>
    <w:rsid w:val="0037493B"/>
    <w:rsid w:val="0037630B"/>
    <w:rsid w:val="0038446A"/>
    <w:rsid w:val="00395563"/>
    <w:rsid w:val="003B2F9B"/>
    <w:rsid w:val="003D01C2"/>
    <w:rsid w:val="003D1E0D"/>
    <w:rsid w:val="003D2B30"/>
    <w:rsid w:val="0040588C"/>
    <w:rsid w:val="00406030"/>
    <w:rsid w:val="00446535"/>
    <w:rsid w:val="0048327E"/>
    <w:rsid w:val="004B6835"/>
    <w:rsid w:val="00543ADC"/>
    <w:rsid w:val="00545C0E"/>
    <w:rsid w:val="005462CC"/>
    <w:rsid w:val="005604B4"/>
    <w:rsid w:val="005641F4"/>
    <w:rsid w:val="00584B30"/>
    <w:rsid w:val="00590293"/>
    <w:rsid w:val="005A338C"/>
    <w:rsid w:val="005B3E8F"/>
    <w:rsid w:val="005F373B"/>
    <w:rsid w:val="0061159B"/>
    <w:rsid w:val="00617ABE"/>
    <w:rsid w:val="00643941"/>
    <w:rsid w:val="006558B5"/>
    <w:rsid w:val="0066019D"/>
    <w:rsid w:val="00662000"/>
    <w:rsid w:val="006669EF"/>
    <w:rsid w:val="006A44E2"/>
    <w:rsid w:val="006E7FC3"/>
    <w:rsid w:val="006F3411"/>
    <w:rsid w:val="00704A55"/>
    <w:rsid w:val="007100BC"/>
    <w:rsid w:val="00716D94"/>
    <w:rsid w:val="00727E64"/>
    <w:rsid w:val="007343C4"/>
    <w:rsid w:val="007561A5"/>
    <w:rsid w:val="00756441"/>
    <w:rsid w:val="00795EFD"/>
    <w:rsid w:val="00796333"/>
    <w:rsid w:val="007E4210"/>
    <w:rsid w:val="00812F40"/>
    <w:rsid w:val="008142B5"/>
    <w:rsid w:val="00824946"/>
    <w:rsid w:val="008362A7"/>
    <w:rsid w:val="0083685E"/>
    <w:rsid w:val="00841ADC"/>
    <w:rsid w:val="008474B3"/>
    <w:rsid w:val="008C3AD9"/>
    <w:rsid w:val="008C3CB8"/>
    <w:rsid w:val="008C5850"/>
    <w:rsid w:val="008D2339"/>
    <w:rsid w:val="008E16E1"/>
    <w:rsid w:val="008F1AA0"/>
    <w:rsid w:val="00906D97"/>
    <w:rsid w:val="00923B30"/>
    <w:rsid w:val="00925D5A"/>
    <w:rsid w:val="00930408"/>
    <w:rsid w:val="009C2C54"/>
    <w:rsid w:val="009D06F3"/>
    <w:rsid w:val="009D26AF"/>
    <w:rsid w:val="009D4230"/>
    <w:rsid w:val="00A13E37"/>
    <w:rsid w:val="00A16832"/>
    <w:rsid w:val="00A254ED"/>
    <w:rsid w:val="00A5091E"/>
    <w:rsid w:val="00A768C2"/>
    <w:rsid w:val="00AF0B09"/>
    <w:rsid w:val="00B05809"/>
    <w:rsid w:val="00B10E27"/>
    <w:rsid w:val="00B15DC4"/>
    <w:rsid w:val="00B539A2"/>
    <w:rsid w:val="00BA338D"/>
    <w:rsid w:val="00BD0947"/>
    <w:rsid w:val="00BE0D63"/>
    <w:rsid w:val="00BE7722"/>
    <w:rsid w:val="00BF0D37"/>
    <w:rsid w:val="00C05603"/>
    <w:rsid w:val="00C06B16"/>
    <w:rsid w:val="00C22E1E"/>
    <w:rsid w:val="00C30279"/>
    <w:rsid w:val="00C35C7B"/>
    <w:rsid w:val="00C63CDC"/>
    <w:rsid w:val="00CC3EC2"/>
    <w:rsid w:val="00CC484B"/>
    <w:rsid w:val="00CC7953"/>
    <w:rsid w:val="00D05A77"/>
    <w:rsid w:val="00D37034"/>
    <w:rsid w:val="00D705D3"/>
    <w:rsid w:val="00D77238"/>
    <w:rsid w:val="00DE0851"/>
    <w:rsid w:val="00DF7DB3"/>
    <w:rsid w:val="00E17361"/>
    <w:rsid w:val="00E23627"/>
    <w:rsid w:val="00E2721E"/>
    <w:rsid w:val="00E315E4"/>
    <w:rsid w:val="00E55D41"/>
    <w:rsid w:val="00E67111"/>
    <w:rsid w:val="00EA0F64"/>
    <w:rsid w:val="00EB088B"/>
    <w:rsid w:val="00EC343F"/>
    <w:rsid w:val="00ED3DEF"/>
    <w:rsid w:val="00EF6615"/>
    <w:rsid w:val="00F03604"/>
    <w:rsid w:val="00F138ED"/>
    <w:rsid w:val="00F35BA6"/>
    <w:rsid w:val="00F516F6"/>
    <w:rsid w:val="00F54B9E"/>
    <w:rsid w:val="00F72113"/>
    <w:rsid w:val="00F73282"/>
    <w:rsid w:val="00F97D17"/>
    <w:rsid w:val="00FA3F75"/>
    <w:rsid w:val="00FE1F56"/>
    <w:rsid w:val="00FF6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E25C0"/>
  <w15:chartTrackingRefBased/>
  <w15:docId w15:val="{DE1C37CD-1CB3-4CB9-8F27-581D4EE9A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Black" w:eastAsiaTheme="minorHAnsi" w:hAnsi="Arial Black" w:cstheme="minorBidi"/>
        <w:kern w:val="2"/>
        <w:sz w:val="22"/>
        <w:szCs w:val="22"/>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3E8F"/>
  </w:style>
  <w:style w:type="paragraph" w:styleId="Heading1">
    <w:name w:val="heading 1"/>
    <w:basedOn w:val="Normal"/>
    <w:next w:val="Normal"/>
    <w:link w:val="Heading1Char"/>
    <w:uiPriority w:val="9"/>
    <w:qFormat/>
    <w:rsid w:val="00C63C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3C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3C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3C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3C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3C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3C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3C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3C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3C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3C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3C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3C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3C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3C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3C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3C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3CDC"/>
    <w:rPr>
      <w:rFonts w:eastAsiaTheme="majorEastAsia" w:cstheme="majorBidi"/>
      <w:color w:val="272727" w:themeColor="text1" w:themeTint="D8"/>
    </w:rPr>
  </w:style>
  <w:style w:type="paragraph" w:styleId="Title">
    <w:name w:val="Title"/>
    <w:basedOn w:val="Normal"/>
    <w:next w:val="Normal"/>
    <w:link w:val="TitleChar"/>
    <w:uiPriority w:val="10"/>
    <w:qFormat/>
    <w:rsid w:val="00C63C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3C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3C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3C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3CDC"/>
    <w:pPr>
      <w:spacing w:before="160"/>
      <w:jc w:val="center"/>
    </w:pPr>
    <w:rPr>
      <w:i/>
      <w:iCs/>
      <w:color w:val="404040" w:themeColor="text1" w:themeTint="BF"/>
    </w:rPr>
  </w:style>
  <w:style w:type="character" w:customStyle="1" w:styleId="QuoteChar">
    <w:name w:val="Quote Char"/>
    <w:basedOn w:val="DefaultParagraphFont"/>
    <w:link w:val="Quote"/>
    <w:uiPriority w:val="29"/>
    <w:rsid w:val="00C63CDC"/>
    <w:rPr>
      <w:i/>
      <w:iCs/>
      <w:color w:val="404040" w:themeColor="text1" w:themeTint="BF"/>
    </w:rPr>
  </w:style>
  <w:style w:type="paragraph" w:styleId="ListParagraph">
    <w:name w:val="List Paragraph"/>
    <w:basedOn w:val="Normal"/>
    <w:uiPriority w:val="34"/>
    <w:qFormat/>
    <w:rsid w:val="00C63CDC"/>
    <w:pPr>
      <w:ind w:left="720"/>
      <w:contextualSpacing/>
    </w:pPr>
  </w:style>
  <w:style w:type="character" w:styleId="IntenseEmphasis">
    <w:name w:val="Intense Emphasis"/>
    <w:basedOn w:val="DefaultParagraphFont"/>
    <w:uiPriority w:val="21"/>
    <w:qFormat/>
    <w:rsid w:val="00C63CDC"/>
    <w:rPr>
      <w:i/>
      <w:iCs/>
      <w:color w:val="0F4761" w:themeColor="accent1" w:themeShade="BF"/>
    </w:rPr>
  </w:style>
  <w:style w:type="paragraph" w:styleId="IntenseQuote">
    <w:name w:val="Intense Quote"/>
    <w:basedOn w:val="Normal"/>
    <w:next w:val="Normal"/>
    <w:link w:val="IntenseQuoteChar"/>
    <w:uiPriority w:val="30"/>
    <w:qFormat/>
    <w:rsid w:val="00C63C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3CDC"/>
    <w:rPr>
      <w:i/>
      <w:iCs/>
      <w:color w:val="0F4761" w:themeColor="accent1" w:themeShade="BF"/>
    </w:rPr>
  </w:style>
  <w:style w:type="character" w:styleId="IntenseReference">
    <w:name w:val="Intense Reference"/>
    <w:basedOn w:val="DefaultParagraphFont"/>
    <w:uiPriority w:val="32"/>
    <w:qFormat/>
    <w:rsid w:val="00C63CDC"/>
    <w:rPr>
      <w:b/>
      <w:bCs/>
      <w:smallCaps/>
      <w:color w:val="0F4761" w:themeColor="accent1" w:themeShade="BF"/>
      <w:spacing w:val="5"/>
    </w:rPr>
  </w:style>
  <w:style w:type="paragraph" w:styleId="Header">
    <w:name w:val="header"/>
    <w:basedOn w:val="Normal"/>
    <w:link w:val="HeaderChar"/>
    <w:uiPriority w:val="99"/>
    <w:unhideWhenUsed/>
    <w:rsid w:val="00C63C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3CDC"/>
  </w:style>
  <w:style w:type="paragraph" w:styleId="Footer">
    <w:name w:val="footer"/>
    <w:basedOn w:val="Normal"/>
    <w:link w:val="FooterChar"/>
    <w:uiPriority w:val="99"/>
    <w:unhideWhenUsed/>
    <w:rsid w:val="00C63C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3CDC"/>
  </w:style>
  <w:style w:type="character" w:styleId="Hyperlink">
    <w:name w:val="Hyperlink"/>
    <w:basedOn w:val="DefaultParagraphFont"/>
    <w:uiPriority w:val="99"/>
    <w:unhideWhenUsed/>
    <w:rsid w:val="00BE0D63"/>
    <w:rPr>
      <w:color w:val="467886" w:themeColor="hyperlink"/>
      <w:u w:val="single"/>
    </w:rPr>
  </w:style>
  <w:style w:type="character" w:styleId="UnresolvedMention">
    <w:name w:val="Unresolved Mention"/>
    <w:basedOn w:val="DefaultParagraphFont"/>
    <w:uiPriority w:val="99"/>
    <w:semiHidden/>
    <w:unhideWhenUsed/>
    <w:rsid w:val="00BE0D63"/>
    <w:rPr>
      <w:color w:val="605E5C"/>
      <w:shd w:val="clear" w:color="auto" w:fill="E1DFDD"/>
    </w:rPr>
  </w:style>
  <w:style w:type="paragraph" w:styleId="NormalWeb">
    <w:name w:val="Normal (Web)"/>
    <w:basedOn w:val="Normal"/>
    <w:uiPriority w:val="99"/>
    <w:semiHidden/>
    <w:unhideWhenUsed/>
    <w:rsid w:val="00A768C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ice.org.uk/guidance/ng97"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sychiatryonline.org/doi/full/10.1176/appi.ajp.2012.11101529"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BBA30E815171B49A8B0A90D5B17D9C5" ma:contentTypeVersion="6" ma:contentTypeDescription="Create a new document." ma:contentTypeScope="" ma:versionID="6a336eb4b9355d8b7f0da419c85c4102">
  <xsd:schema xmlns:xsd="http://www.w3.org/2001/XMLSchema" xmlns:xs="http://www.w3.org/2001/XMLSchema" xmlns:p="http://schemas.microsoft.com/office/2006/metadata/properties" xmlns:ns3="2d776912-36ab-4ca7-8616-6adea31f3d7c" targetNamespace="http://schemas.microsoft.com/office/2006/metadata/properties" ma:root="true" ma:fieldsID="9a480254fea29ea1f5925ef4f32367e8" ns3:_="">
    <xsd:import namespace="2d776912-36ab-4ca7-8616-6adea31f3d7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776912-36ab-4ca7-8616-6adea31f3d7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d776912-36ab-4ca7-8616-6adea31f3d7c" xsi:nil="true"/>
  </documentManagement>
</p:properties>
</file>

<file path=customXml/itemProps1.xml><?xml version="1.0" encoding="utf-8"?>
<ds:datastoreItem xmlns:ds="http://schemas.openxmlformats.org/officeDocument/2006/customXml" ds:itemID="{633A4302-E300-4F72-BE16-3EE670E7ECD0}">
  <ds:schemaRefs>
    <ds:schemaRef ds:uri="http://schemas.microsoft.com/sharepoint/v3/contenttype/forms"/>
  </ds:schemaRefs>
</ds:datastoreItem>
</file>

<file path=customXml/itemProps2.xml><?xml version="1.0" encoding="utf-8"?>
<ds:datastoreItem xmlns:ds="http://schemas.openxmlformats.org/officeDocument/2006/customXml" ds:itemID="{0FC75A7D-EFF7-44DC-BB3F-A30FEF4C2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776912-36ab-4ca7-8616-6adea31f3d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B15668-0C09-4A9B-8EBE-316CF857240A}">
  <ds:schemaRefs>
    <ds:schemaRef ds:uri="http://schemas.microsoft.com/office/2006/metadata/properties"/>
    <ds:schemaRef ds:uri="http://schemas.microsoft.com/office/infopath/2007/PartnerControls"/>
    <ds:schemaRef ds:uri="2d776912-36ab-4ca7-8616-6adea31f3d7c"/>
  </ds:schemaRefs>
</ds:datastoreItem>
</file>

<file path=docProps/app.xml><?xml version="1.0" encoding="utf-8"?>
<Properties xmlns="http://schemas.openxmlformats.org/officeDocument/2006/extended-properties" xmlns:vt="http://schemas.openxmlformats.org/officeDocument/2006/docPropsVTypes">
  <Template>Normal.dotm</Template>
  <TotalTime>7019</TotalTime>
  <Pages>7</Pages>
  <Words>1636</Words>
  <Characters>9983</Characters>
  <Application>Microsoft Office Word</Application>
  <DocSecurity>0</DocSecurity>
  <Lines>191</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Ravjeet Kaur (2421160)</dc:creator>
  <cp:keywords/>
  <dc:description/>
  <cp:lastModifiedBy>Ravjeet Kaur (2421160)</cp:lastModifiedBy>
  <cp:revision>139</cp:revision>
  <dcterms:created xsi:type="dcterms:W3CDTF">2025-10-30T17:15:00Z</dcterms:created>
  <dcterms:modified xsi:type="dcterms:W3CDTF">2025-11-15T23:02:00Z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0x0101007BBA30E815171B49A8B0A90D5B17D9C5</vt:lpwstr>
  </property>
</Properties>
</file>