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24"/>
          <w:sz-cs w:val="24"/>
          <w:b/>
          <w:color w:val="000000"/>
        </w:rPr>
        <w:t xml:space="preserve">How have past instances of police malpractice and misconduct influenced modern professional policing? Support your answer with relevant evidence drawn from academic sources. </w:t>
      </w:r>
    </w:p>
    <w:p>
      <w:pPr/>
      <w:r>
        <w:rPr>
          <w:rFonts w:ascii="Times" w:hAnsi="Times" w:cs="Times"/>
          <w:sz w:val="24"/>
          <w:sz-cs w:val="24"/>
          <w:b/>
          <w:color w:val="000000"/>
        </w:rPr>
        <w:t xml:space="preserve"/>
      </w:r>
    </w:p>
    <w:p>
      <w:pPr/>
      <w:r>
        <w:rPr>
          <w:rFonts w:ascii="Times" w:hAnsi="Times" w:cs="Times"/>
          <w:sz w:val="24"/>
          <w:sz-cs w:val="24"/>
          <w:color w:val="000000"/>
        </w:rPr>
        <w:t xml:space="preserve">In this essay I will be analysing past instances of police malpractice and misconduct, which have influenced modern professional policing. In order to do that, I will firstly define and expand upon the definitions of ‘malpractice’ and ‘misconduct’. I will then critically analyse past instances where malpractice and misconduct have been present, so that we can further discuss how these instances have influenced modern professional policing.</w:t>
      </w:r>
    </w:p>
    <w:p>
      <w:pPr/>
      <w:r>
        <w:rPr>
          <w:rFonts w:ascii="Times" w:hAnsi="Times" w:cs="Times"/>
          <w:sz w:val="24"/>
          <w:sz-cs w:val="24"/>
          <w:color w:val="000000"/>
        </w:rPr>
        <w:t xml:space="preserve"/>
      </w:r>
    </w:p>
    <w:p>
      <w:pPr/>
      <w:r>
        <w:rPr>
          <w:rFonts w:ascii="Times" w:hAnsi="Times" w:cs="Times"/>
          <w:sz w:val="24"/>
          <w:sz-cs w:val="24"/>
          <w:color w:val="000000"/>
        </w:rPr>
        <w:t xml:space="preserve">Examples of police malpractice and misconduct include, but are not limited to, coerced confessions, false imprisonment or arrest and use of excessive force (Newburn, 2015). In this essay, I will examine a specific incident whereby false imprisonment or arrest has taken place.</w:t>
      </w:r>
    </w:p>
    <w:p>
      <w:pPr/>
      <w:r>
        <w:rPr>
          <w:rFonts w:ascii="Times" w:hAnsi="Times" w:cs="Times"/>
          <w:sz w:val="24"/>
          <w:sz-cs w:val="24"/>
          <w:color w:val="000000"/>
        </w:rPr>
        <w:t xml:space="preserve"/>
      </w:r>
    </w:p>
    <w:p>
      <w:pPr/>
      <w:r>
        <w:rPr>
          <w:rFonts w:ascii="Times" w:hAnsi="Times" w:cs="Times"/>
          <w:sz w:val="24"/>
          <w:sz-cs w:val="24"/>
          <w:color w:val="000000"/>
        </w:rPr>
        <w:t xml:space="preserve">In 1988 South Wales Police investigated the murder of Lynette Deborah White (South Wales Police, 2021). White had been known to the local community as a prostitute, working in the Cardiff area. White’s body had been found in her home address, surrounded by a multitude of forensic opportunities. </w:t>
      </w:r>
    </w:p>
    <w:p>
      <w:pPr/>
      <w:r>
        <w:rPr>
          <w:rFonts w:ascii="Times" w:hAnsi="Times" w:cs="Times"/>
          <w:sz w:val="24"/>
          <w:sz-cs w:val="24"/>
          <w:color w:val="000000"/>
        </w:rPr>
        <w:t xml:space="preserve"/>
      </w:r>
    </w:p>
    <w:p>
      <w:pPr/>
      <w:r>
        <w:rPr>
          <w:rFonts w:ascii="Times" w:hAnsi="Times" w:cs="Times"/>
          <w:sz w:val="24"/>
          <w:sz-cs w:val="24"/>
          <w:color w:val="000000"/>
        </w:rPr>
        <w:t xml:space="preserve">On examination, pathologists determined that azoospermic semen had been present in White’s vagina and underwear, which had been deposited within 6 hours of her death. The mention of azoospermic semen is crucial to this investigation, as azoospermic semen is the condition of a man whose semen contains no sperm (</w:t>
      </w:r>
      <w:r>
        <w:rPr>
          <w:rFonts w:ascii="Times" w:hAnsi="Times" w:cs="Times"/>
          <w:sz w:val="24"/>
          <w:sz-cs w:val="24"/>
        </w:rPr>
        <w:t xml:space="preserve">Magalhães </w:t>
      </w:r>
      <w:r>
        <w:rPr>
          <w:rFonts w:ascii="Times" w:hAnsi="Times" w:cs="Times"/>
          <w:sz w:val="24"/>
          <w:sz-cs w:val="24"/>
          <w:i/>
        </w:rPr>
        <w:t xml:space="preserve">et al.</w:t>
      </w:r>
      <w:r>
        <w:rPr>
          <w:rFonts w:ascii="Times" w:hAnsi="Times" w:cs="Times"/>
          <w:sz w:val="24"/>
          <w:sz-cs w:val="24"/>
        </w:rPr>
        <w:t xml:space="preserve">, 2015)</w:t>
      </w:r>
      <w:r>
        <w:rPr>
          <w:rFonts w:ascii="Times" w:hAnsi="Times" w:cs="Times"/>
          <w:sz w:val="24"/>
          <w:sz-cs w:val="24"/>
          <w:color w:val="000000"/>
        </w:rPr>
        <w:t xml:space="preserve">. Blood samples taken from White’s clothing were found to belong to a male, with the blood type AB. </w:t>
      </w:r>
    </w:p>
    <w:p>
      <w:pPr/>
      <w:r>
        <w:rPr>
          <w:rFonts w:ascii="Times" w:hAnsi="Times" w:cs="Times"/>
          <w:sz w:val="24"/>
          <w:sz-cs w:val="24"/>
          <w:color w:val="000000"/>
        </w:rPr>
        <w:t xml:space="preserve"/>
      </w:r>
    </w:p>
    <w:p>
      <w:pPr/>
      <w:r>
        <w:rPr>
          <w:rFonts w:ascii="Times" w:hAnsi="Times" w:cs="Times"/>
          <w:sz w:val="24"/>
          <w:sz-cs w:val="24"/>
          <w:color w:val="000000"/>
        </w:rPr>
        <w:t xml:space="preserve">Police investigation led to several potential witnesses who described the suspect as a white male, approximately 5ft 8”-5ft 10”, in his mid 30’s, with dark hair and a dishevelled appearance. It had also been noted that this male was seen in the vicinity of the crime scene, with a cut to his hand and blood on his clothing. Approximately 4 weeks after Lynette White’s murder, DCS Williams appeared on Crimewatch UK where he stated that the police believed this man to be responsible for White’s murder (</w:t>
      </w:r>
      <w:r>
        <w:rPr>
          <w:rFonts w:ascii="Times" w:hAnsi="Times" w:cs="Times"/>
          <w:sz w:val="24"/>
          <w:sz-cs w:val="24"/>
        </w:rPr>
        <w:t xml:space="preserve">Williams, 2021)</w:t>
      </w:r>
      <w:r>
        <w:rPr>
          <w:rFonts w:ascii="Times" w:hAnsi="Times" w:cs="Times"/>
          <w:sz w:val="24"/>
          <w:sz-cs w:val="24"/>
          <w:color w:val="000000"/>
        </w:rPr>
        <w:t xml:space="preserve">.</w:t>
      </w:r>
    </w:p>
    <w:p>
      <w:pPr/>
      <w:r>
        <w:rPr>
          <w:rFonts w:ascii="Times" w:hAnsi="Times" w:cs="Times"/>
          <w:sz w:val="24"/>
          <w:sz-cs w:val="24"/>
          <w:color w:val="000000"/>
        </w:rPr>
        <w:t xml:space="preserve"/>
      </w:r>
    </w:p>
    <w:p>
      <w:pPr/>
      <w:r>
        <w:rPr>
          <w:rFonts w:ascii="Times" w:hAnsi="Times" w:cs="Times"/>
          <w:sz w:val="24"/>
          <w:sz-cs w:val="24"/>
          <w:color w:val="000000"/>
        </w:rPr>
        <w:t xml:space="preserve">Despite witnesses coming forward with different descriptions of the suspect, two black and one mixed race male were convicted of this crime. I will now discuss how malpractice and misconduct led to this conviction. </w:t>
      </w:r>
    </w:p>
    <w:p>
      <w:pPr/>
      <w:r>
        <w:rPr>
          <w:rFonts w:ascii="Times" w:hAnsi="Times" w:cs="Times"/>
          <w:sz w:val="24"/>
          <w:sz-cs w:val="24"/>
          <w:color w:val="000000"/>
        </w:rPr>
        <w:t xml:space="preserve"/>
      </w:r>
    </w:p>
    <w:p>
      <w:pPr/>
      <w:r>
        <w:rPr>
          <w:rFonts w:ascii="Times" w:hAnsi="Times" w:cs="Times"/>
          <w:sz w:val="24"/>
          <w:sz-cs w:val="24"/>
          <w:color w:val="000000"/>
        </w:rPr>
        <w:t xml:space="preserve">The first suspect, Stephen Miller had been interviewed wearing the same clothing that he had been wearing at the time of the murder. These items of clothing produced no traces of blood, despite initial witness descriptions. Millers blood type had also been tested and did not match blood type found on White’s clothing. A witness known as David Orton had given a statement to police, whereby he stated that he had been with Miller at the time of the murder. Over the period of four days, Miller had been interviewed on 19 occasions and denied access to a solicitor. It was also noted that Miller had a mental age of 11 and therefore should have been entitled to both a solicitor and appropriate adult (UK Public General Acts, 1984). Despite making 307 previous denials, Miller confessed to the murder to Lynette White. </w:t>
      </w:r>
    </w:p>
    <w:p>
      <w:pPr/>
      <w:r>
        <w:rPr>
          <w:rFonts w:ascii="Times" w:hAnsi="Times" w:cs="Times"/>
          <w:sz w:val="24"/>
          <w:sz-cs w:val="24"/>
          <w:color w:val="000000"/>
        </w:rPr>
        <w:t xml:space="preserve"/>
      </w:r>
    </w:p>
    <w:p>
      <w:pPr>
        <w:spacing w:before="240"/>
      </w:pPr>
      <w:r>
        <w:rPr>
          <w:rFonts w:ascii="Times" w:hAnsi="Times" w:cs="Times"/>
          <w:sz w:val="24"/>
          <w:sz-cs w:val="24"/>
          <w:color w:val="000000"/>
        </w:rPr>
        <w:t xml:space="preserve">A witness known as Anegla Psalia lived in an address with an unrestricted view of White’s address, thus making her an active witness. It is important to note that Psalia was known to have a low IQ. Psalia made a formal statement to police, stating that she had witnessed a group of black males outside the flat at the time of the murder. Police questioned Psalia and “insisted” that she had been connected with the crime. As a result of this, an argument could be made that the coercive and insistent nature of police attempting to place Psalia at the centre of this crime, resulted in Psalia making false statements</w:t>
      </w:r>
      <w:r>
        <w:rPr>
          <w:rFonts w:ascii="Times" w:hAnsi="Times" w:cs="Times"/>
          <w:sz w:val="24"/>
          <w:sz-cs w:val="24"/>
        </w:rPr>
        <w:t xml:space="preserve"> </w:t>
      </w:r>
      <w:r>
        <w:rPr>
          <w:rFonts w:ascii="Times" w:hAnsi="Times" w:cs="Times"/>
          <w:sz w:val="24"/>
          <w:sz-cs w:val="24"/>
          <w:color w:val="000000"/>
        </w:rPr>
        <w:t xml:space="preserve">(Adam and van Golde, 2019). These false statements would go on to be used as evidential material when linking suspects to this offence. The men arrested in connected to this crime, had all been named in Psalia’s witness statement. However, none of these men could be tied to the scene with forensic evidence. </w:t>
      </w:r>
    </w:p>
    <w:p>
      <w:pPr/>
      <w:r>
        <w:rPr>
          <w:rFonts w:ascii="Times" w:hAnsi="Times" w:cs="Times"/>
          <w:sz w:val="24"/>
          <w:sz-cs w:val="24"/>
          <w:color w:val="000000"/>
        </w:rPr>
        <w:t xml:space="preserve"/>
      </w:r>
    </w:p>
    <w:p>
      <w:pPr/>
      <w:r>
        <w:rPr>
          <w:rFonts w:ascii="Times" w:hAnsi="Times" w:cs="Times"/>
          <w:sz w:val="24"/>
          <w:sz-cs w:val="24"/>
          <w:color w:val="000000"/>
        </w:rPr>
        <w:t xml:space="preserve">Following the obtainment of these statements, police had been notified that Psaila’s blood type was AB. Despite Psaila being female, the police disregarded this fact and went ahead with the arrest. During an interview between police and Psaila, police insisted that it was her blood they had found within the crime scene and claimed that she had taken part in the killing. Psaila went on to name suspects and naming herself as responsible for cutting the throat of White. Police went on to use this disclosure within an interview with one of the male suspects, in order to coerce a further disclosure. It could be argued that police had coerced confessions and brought forth these admissions into interviews with potential suspects, in order to have potential suspects incriminate each other. For example, by coercing Psalia into naming Miller as a suspect, it is possible that Miller could have incriminated Psalia in retaliation. </w:t>
      </w:r>
    </w:p>
    <w:p>
      <w:pPr/>
      <w:r>
        <w:rPr>
          <w:rFonts w:ascii="Times" w:hAnsi="Times" w:cs="Times"/>
          <w:sz w:val="24"/>
          <w:sz-cs w:val="24"/>
          <w:color w:val="000000"/>
        </w:rPr>
        <w:t xml:space="preserve"/>
      </w:r>
    </w:p>
    <w:p>
      <w:pPr>
        <w:spacing w:before="240"/>
      </w:pPr>
      <w:r>
        <w:rPr>
          <w:rFonts w:ascii="Times" w:hAnsi="Times" w:cs="Times"/>
          <w:sz w:val="24"/>
          <w:sz-cs w:val="24"/>
          <w:color w:val="000000"/>
        </w:rPr>
        <w:t xml:space="preserve">The police working on this case had used coercive language and created an intense environment which aided the outcome of forced false confessions and false incrimination (</w:t>
      </w:r>
      <w:r>
        <w:rPr>
          <w:rFonts w:ascii="Times" w:hAnsi="Times" w:cs="Times"/>
          <w:sz w:val="24"/>
          <w:sz-cs w:val="24"/>
        </w:rPr>
        <w:t xml:space="preserve">Chapman, 2014)</w:t>
      </w:r>
      <w:r>
        <w:rPr>
          <w:rFonts w:ascii="Times" w:hAnsi="Times" w:cs="Times"/>
          <w:sz w:val="24"/>
          <w:sz-cs w:val="24"/>
          <w:color w:val="000000"/>
        </w:rPr>
        <w:t xml:space="preserve">. Suspects had requested but were denied the entitlement to legal advice and as a result had been legally unprotected and unknowing during interview (</w:t>
      </w:r>
      <w:r>
        <w:rPr>
          <w:rFonts w:ascii="Times" w:hAnsi="Times" w:cs="Times"/>
          <w:sz w:val="24"/>
          <w:sz-cs w:val="24"/>
        </w:rPr>
        <w:t xml:space="preserve">UK Public General Acts, 1998)</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As a result of this coercive nature, a further investigation took place years later. Due to new evidence being identified, the Independent Police Complaints Commission investigated police officers involved with the interrogation of Miller. Involved officers were later arrested in connection with offences of false imprisonment, conspiring to pervert the course of justice and misconduct in public office. </w:t>
      </w:r>
    </w:p>
    <w:p>
      <w:pPr/>
      <w:r>
        <w:rPr>
          <w:rFonts w:ascii="Times" w:hAnsi="Times" w:cs="Times"/>
          <w:sz w:val="24"/>
          <w:sz-cs w:val="24"/>
          <w:color w:val="000000"/>
        </w:rPr>
        <w:t xml:space="preserve"/>
      </w:r>
    </w:p>
    <w:p>
      <w:pPr/>
      <w:r>
        <w:rPr>
          <w:rFonts w:ascii="Times" w:hAnsi="Times" w:cs="Times"/>
          <w:sz w:val="24"/>
          <w:sz-cs w:val="24"/>
          <w:color w:val="000000"/>
        </w:rPr>
        <w:t xml:space="preserve"/>
      </w:r>
    </w:p>
    <w:p>
      <w:pPr/>
      <w:r>
        <w:rPr>
          <w:rFonts w:ascii="Times" w:hAnsi="Times" w:cs="Times"/>
          <w:sz w:val="24"/>
          <w:sz-cs w:val="24"/>
          <w:color w:val="000000"/>
        </w:rPr>
        <w:t xml:space="preserve">Following the Lynette White case, amongst other cases of malpractice and misconduct, changes have been made to modern professional policing. To give an example of this, the Independent Office for Police Conduct (IOPC) was established in 2018. The IOPC are independent of the police and government and “investigate the most serious matters, including deaths following police contact and set the standards by which the police should handle complaints” (IOPC, 2018). In 2020, they launched their final phase of legislative reforms surrounding the police complaints system. This reform aims to deliver a “more efficient system for dealing with police misconduct, making the investigation processes simpler and therefore quicker, including a requirement to provide explanation where investigations take longer than 12 months” (</w:t>
      </w:r>
      <w:r>
        <w:rPr>
          <w:rFonts w:ascii="Times" w:hAnsi="Times" w:cs="Times"/>
          <w:sz w:val="24"/>
          <w:sz-cs w:val="24"/>
        </w:rPr>
        <w:t xml:space="preserve">IOPC, 2020)</w:t>
      </w:r>
      <w:r>
        <w:rPr>
          <w:rFonts w:ascii="Times" w:hAnsi="Times" w:cs="Times"/>
          <w:sz w:val="24"/>
          <w:sz-cs w:val="24"/>
          <w:color w:val="000000"/>
        </w:rPr>
        <w:t xml:space="preserve">. In turn, this means that the reforms give the IOPC legislative power to investigate all misconduct allegations. </w:t>
      </w:r>
    </w:p>
    <w:p>
      <w:pPr/>
      <w:r>
        <w:rPr>
          <w:rFonts w:ascii="Times" w:hAnsi="Times" w:cs="Times"/>
          <w:sz w:val="24"/>
          <w:sz-cs w:val="24"/>
          <w:color w:val="000000"/>
        </w:rPr>
        <w:t xml:space="preserve"/>
      </w:r>
    </w:p>
    <w:p>
      <w:pPr/>
      <w:r>
        <w:rPr>
          <w:rFonts w:ascii="Times" w:hAnsi="Times" w:cs="Times"/>
          <w:sz w:val="24"/>
          <w:sz-cs w:val="24"/>
          <w:color w:val="000000"/>
        </w:rPr>
        <w:t xml:space="preserve">In 2014, Her Majesty’s Inspectorate of Constabulary (HMIC) conducted an inspection on the welfare of vulnerable people held in police custody. The HMIC concluded that all detainees are entitled to a solicitor and must be helped to gain one, if necessary. The HMIC also concluded that all detainees deemed ‘mentally vulnerable’ must be supported by an Appropriate Adult (</w:t>
      </w:r>
      <w:r>
        <w:rPr>
          <w:rFonts w:ascii="Times" w:hAnsi="Times" w:cs="Times"/>
          <w:sz w:val="24"/>
          <w:sz-cs w:val="24"/>
        </w:rPr>
        <w:t xml:space="preserve">HMIC, 2015)</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
      </w:r>
    </w:p>
    <w:p>
      <w:pPr/>
      <w:r>
        <w:rPr>
          <w:rFonts w:ascii="Times" w:hAnsi="Times" w:cs="Times"/>
          <w:sz w:val="24"/>
          <w:sz-cs w:val="24"/>
          <w:u w:val="single"/>
          <w:color w:val="000000"/>
        </w:rPr>
        <w:t xml:space="preserve">References</w:t>
      </w:r>
    </w:p>
    <w:p>
      <w:pPr/>
      <w:r>
        <w:rPr>
          <w:rFonts w:ascii="Times" w:hAnsi="Times" w:cs="Times"/>
          <w:sz w:val="24"/>
          <w:sz-cs w:val="24"/>
          <w:u w:val="single"/>
          <w:color w:val="000000"/>
        </w:rPr>
        <w:t xml:space="preserve"/>
      </w:r>
    </w:p>
    <w:p>
      <w:pPr>
        <w:ind w:left="360"/>
      </w:pPr>
      <w:r>
        <w:rPr>
          <w:rFonts w:ascii="Times" w:hAnsi="Times" w:cs="Times"/>
          <w:sz w:val="24"/>
          <w:sz-cs w:val="24"/>
        </w:rPr>
        <w:t xml:space="preserve">Adam, L. and van Golde, C. (2019) “Police practice and false confessions: A search for the implementation of investigative interviewing in Australia,” </w:t>
      </w:r>
      <w:r>
        <w:rPr>
          <w:rFonts w:ascii="Times" w:hAnsi="Times" w:cs="Times"/>
          <w:sz w:val="24"/>
          <w:sz-cs w:val="24"/>
          <w:i/>
        </w:rPr>
        <w:t xml:space="preserve">Alternative Law Journal</w:t>
      </w:r>
      <w:r>
        <w:rPr>
          <w:rFonts w:ascii="Times" w:hAnsi="Times" w:cs="Times"/>
          <w:sz w:val="24"/>
          <w:sz-cs w:val="24"/>
        </w:rPr>
        <w:t xml:space="preserve">, 45(1), pp. 52–59. Available at: https://doi.org/10.1177/1037969x19874415. </w:t>
      </w:r>
    </w:p>
    <w:p>
      <w:pPr>
        <w:ind w:left="360"/>
      </w:pPr>
      <w:r>
        <w:rPr>
          <w:rFonts w:ascii="Times" w:hAnsi="Times" w:cs="Times"/>
          <w:sz w:val="24"/>
          <w:sz-cs w:val="24"/>
        </w:rPr>
        <w:t xml:space="preserve"/>
      </w:r>
    </w:p>
    <w:p>
      <w:pPr>
        <w:ind w:left="360"/>
      </w:pPr>
      <w:r>
        <w:rPr>
          <w:rFonts w:ascii="Times" w:hAnsi="Times" w:cs="Times"/>
          <w:sz w:val="24"/>
          <w:sz-cs w:val="24"/>
        </w:rPr>
        <w:t xml:space="preserve">Chapman, F.E. (2014) “Coerced internalized false confessions and police interrogations: The power of coercion,” </w:t>
      </w:r>
      <w:r>
        <w:rPr>
          <w:rFonts w:ascii="Times" w:hAnsi="Times" w:cs="Times"/>
          <w:sz w:val="24"/>
          <w:sz-cs w:val="24"/>
          <w:i/>
        </w:rPr>
        <w:t xml:space="preserve">SSRN Electronic Journal</w:t>
      </w:r>
      <w:r>
        <w:rPr>
          <w:rFonts w:ascii="Times" w:hAnsi="Times" w:cs="Times"/>
          <w:sz w:val="24"/>
          <w:sz-cs w:val="24"/>
        </w:rPr>
        <w:t xml:space="preserve"> [Preprint]. Available at: https://doi.org/10.2139/ssrn.2467049. </w:t>
      </w:r>
    </w:p>
    <w:p>
      <w:pPr>
        <w:ind w:left="360"/>
      </w:pPr>
      <w:r>
        <w:rPr>
          <w:rFonts w:ascii="Times" w:hAnsi="Times" w:cs="Times"/>
          <w:sz w:val="24"/>
          <w:sz-cs w:val="24"/>
        </w:rPr>
        <w:t xml:space="preserve"/>
      </w:r>
    </w:p>
    <w:p>
      <w:pPr>
        <w:ind w:left="360"/>
      </w:pPr>
      <w:r>
        <w:rPr>
          <w:rFonts w:ascii="Times" w:hAnsi="Times" w:cs="Times"/>
          <w:sz w:val="24"/>
          <w:sz-cs w:val="24"/>
        </w:rPr>
        <w:t xml:space="preserve">HMIC (2015) </w:t>
      </w:r>
      <w:r>
        <w:rPr>
          <w:rFonts w:ascii="Times" w:hAnsi="Times" w:cs="Times"/>
          <w:sz w:val="24"/>
          <w:sz-cs w:val="24"/>
          <w:i/>
        </w:rPr>
        <w:t xml:space="preserve">The welfare of vulnerable people in police custody - justice inspectorates</w:t>
      </w:r>
      <w:r>
        <w:rPr>
          <w:rFonts w:ascii="Times" w:hAnsi="Times" w:cs="Times"/>
          <w:sz w:val="24"/>
          <w:sz-cs w:val="24"/>
        </w:rPr>
        <w:t xml:space="preserve">. Available at: https://www.justiceinspectorates.gov.uk/hmicfrs/wp-content/uploads/the-welfare-of-vulnerable-people-in-police-custody.pdf (Accessed: April 23, 2023). </w:t>
      </w:r>
    </w:p>
    <w:p>
      <w:pPr>
        <w:ind w:left="360"/>
      </w:pPr>
      <w:r>
        <w:rPr>
          <w:rFonts w:ascii="Times" w:hAnsi="Times" w:cs="Times"/>
          <w:sz w:val="24"/>
          <w:sz-cs w:val="24"/>
        </w:rPr>
        <w:t xml:space="preserve"/>
      </w:r>
    </w:p>
    <w:p>
      <w:pPr>
        <w:ind w:left="360"/>
      </w:pPr>
      <w:r>
        <w:rPr>
          <w:rFonts w:ascii="Times" w:hAnsi="Times" w:cs="Times"/>
          <w:sz w:val="24"/>
          <w:sz-cs w:val="24"/>
        </w:rPr>
        <w:t xml:space="preserve">IOPC (2018) </w:t>
      </w:r>
      <w:r>
        <w:rPr>
          <w:rFonts w:ascii="Times" w:hAnsi="Times" w:cs="Times"/>
          <w:sz w:val="24"/>
          <w:sz-cs w:val="24"/>
          <w:i/>
        </w:rPr>
        <w:t xml:space="preserve">IOPC- Who we are</w:t>
      </w:r>
      <w:r>
        <w:rPr>
          <w:rFonts w:ascii="Times" w:hAnsi="Times" w:cs="Times"/>
          <w:sz w:val="24"/>
          <w:sz-cs w:val="24"/>
        </w:rPr>
        <w:t xml:space="preserve">, </w:t>
      </w:r>
      <w:r>
        <w:rPr>
          <w:rFonts w:ascii="Times" w:hAnsi="Times" w:cs="Times"/>
          <w:sz w:val="24"/>
          <w:sz-cs w:val="24"/>
          <w:i/>
        </w:rPr>
        <w:t xml:space="preserve">Swyddfa Annibynnol Ymddygiad yr Heddlu</w:t>
      </w:r>
      <w:r>
        <w:rPr>
          <w:rFonts w:ascii="Times" w:hAnsi="Times" w:cs="Times"/>
          <w:sz w:val="24"/>
          <w:sz-cs w:val="24"/>
        </w:rPr>
        <w:t xml:space="preserve">. Available at: https://www.policeconduct.gov.uk/who-we-are (Accessed: April 23, 2023). </w:t>
      </w:r>
    </w:p>
    <w:p>
      <w:pPr>
        <w:ind w:left="360"/>
      </w:pPr>
      <w:r>
        <w:rPr>
          <w:rFonts w:ascii="Times" w:hAnsi="Times" w:cs="Times"/>
          <w:sz w:val="24"/>
          <w:sz-cs w:val="24"/>
        </w:rPr>
        <w:t xml:space="preserve"/>
      </w:r>
    </w:p>
    <w:p>
      <w:pPr>
        <w:ind w:left="360"/>
      </w:pPr>
      <w:r>
        <w:rPr>
          <w:rFonts w:ascii="Times" w:hAnsi="Times" w:cs="Times"/>
          <w:sz w:val="24"/>
          <w:sz-cs w:val="24"/>
        </w:rPr>
        <w:t xml:space="preserve">IOPC (2020) </w:t>
      </w:r>
      <w:r>
        <w:rPr>
          <w:rFonts w:ascii="Times" w:hAnsi="Times" w:cs="Times"/>
          <w:sz w:val="24"/>
          <w:sz-cs w:val="24"/>
          <w:i/>
        </w:rPr>
        <w:t xml:space="preserve">Legislative Reforms Signal a new direction for Police Complaints System</w:t>
      </w:r>
      <w:r>
        <w:rPr>
          <w:rFonts w:ascii="Times" w:hAnsi="Times" w:cs="Times"/>
          <w:sz w:val="24"/>
          <w:sz-cs w:val="24"/>
        </w:rPr>
        <w:t xml:space="preserve">, </w:t>
      </w:r>
      <w:r>
        <w:rPr>
          <w:rFonts w:ascii="Times" w:hAnsi="Times" w:cs="Times"/>
          <w:sz w:val="24"/>
          <w:sz-cs w:val="24"/>
          <w:i/>
        </w:rPr>
        <w:t xml:space="preserve">Swyddfa Annibynnol Ymddygiad yr Heddlu</w:t>
      </w:r>
      <w:r>
        <w:rPr>
          <w:rFonts w:ascii="Times" w:hAnsi="Times" w:cs="Times"/>
          <w:sz w:val="24"/>
          <w:sz-cs w:val="24"/>
        </w:rPr>
        <w:t xml:space="preserve">. Available at: https://www.policeconduct.gov.uk/news/legislative-reforms-signal-new-direction-police-complaints-system (Accessed: April 23, 2023). </w:t>
      </w:r>
    </w:p>
    <w:p>
      <w:pPr>
        <w:ind w:left="360"/>
      </w:pPr>
      <w:r>
        <w:rPr>
          <w:rFonts w:ascii="Times" w:hAnsi="Times" w:cs="Times"/>
          <w:sz w:val="24"/>
          <w:sz-cs w:val="24"/>
        </w:rPr>
        <w:t xml:space="preserve"/>
      </w:r>
    </w:p>
    <w:p>
      <w:pPr>
        <w:ind w:left="360"/>
      </w:pPr>
      <w:r>
        <w:rPr>
          <w:rFonts w:ascii="Times" w:hAnsi="Times" w:cs="Times"/>
          <w:sz w:val="24"/>
          <w:sz-cs w:val="24"/>
        </w:rPr>
        <w:t xml:space="preserve">Magalhães, T. </w:t>
      </w:r>
      <w:r>
        <w:rPr>
          <w:rFonts w:ascii="Times" w:hAnsi="Times" w:cs="Times"/>
          <w:sz w:val="24"/>
          <w:sz-cs w:val="24"/>
          <w:i/>
        </w:rPr>
        <w:t xml:space="preserve">et al.</w:t>
      </w:r>
      <w:r>
        <w:rPr>
          <w:rFonts w:ascii="Times" w:hAnsi="Times" w:cs="Times"/>
          <w:sz w:val="24"/>
          <w:sz-cs w:val="24"/>
        </w:rPr>
        <w:t xml:space="preserve"> (2015) “Biological Evidence Management for DNA analysis in cases of sexual assault,” </w:t>
      </w:r>
      <w:r>
        <w:rPr>
          <w:rFonts w:ascii="Times" w:hAnsi="Times" w:cs="Times"/>
          <w:sz w:val="24"/>
          <w:sz-cs w:val="24"/>
          <w:i/>
        </w:rPr>
        <w:t xml:space="preserve">The Scientific World Journal</w:t>
      </w:r>
      <w:r>
        <w:rPr>
          <w:rFonts w:ascii="Times" w:hAnsi="Times" w:cs="Times"/>
          <w:sz w:val="24"/>
          <w:sz-cs w:val="24"/>
        </w:rPr>
        <w:t xml:space="preserve">, 2015, pp. 1–11. Available at: https://doi.org/10.1155/2015/365674. </w:t>
      </w:r>
    </w:p>
    <w:p>
      <w:pPr>
        <w:ind w:left="360"/>
      </w:pPr>
      <w:r>
        <w:rPr>
          <w:rFonts w:ascii="Times" w:hAnsi="Times" w:cs="Times"/>
          <w:sz w:val="24"/>
          <w:sz-cs w:val="24"/>
        </w:rPr>
        <w:t xml:space="preserve"/>
      </w:r>
    </w:p>
    <w:p>
      <w:pPr>
        <w:ind w:left="360"/>
      </w:pPr>
      <w:r>
        <w:rPr>
          <w:rFonts w:ascii="Times" w:hAnsi="Times" w:cs="Times"/>
          <w:sz w:val="24"/>
          <w:sz-cs w:val="24"/>
        </w:rPr>
        <w:t xml:space="preserve">Newburn, Tim (2015) Literature review: police integrity and corruption. Her Majesty’s Inspectorate of Constabulary, London, UK, 2015</w:t>
      </w:r>
    </w:p>
    <w:p>
      <w:pPr>
        <w:ind w:left="360"/>
      </w:pPr>
      <w:r>
        <w:rPr>
          <w:rFonts w:ascii="Times" w:hAnsi="Times" w:cs="Times"/>
          <w:sz w:val="24"/>
          <w:sz-cs w:val="24"/>
        </w:rPr>
        <w:t xml:space="preserve">SWP (2021) </w:t>
      </w:r>
      <w:r>
        <w:rPr>
          <w:rFonts w:ascii="Times" w:hAnsi="Times" w:cs="Times"/>
          <w:sz w:val="24"/>
          <w:sz-cs w:val="24"/>
          <w:i/>
        </w:rPr>
        <w:t xml:space="preserve">Murder of Lynette White in 1988 | South Wales police</w:t>
      </w:r>
      <w:r>
        <w:rPr>
          <w:rFonts w:ascii="Times" w:hAnsi="Times" w:cs="Times"/>
          <w:sz w:val="24"/>
          <w:sz-cs w:val="24"/>
        </w:rPr>
        <w:t xml:space="preserve">. Available at: https://www.south-wales.police.uk/news/south-wales/news/2021/september/murder-of-lynette-white-in-1988/ (Accessed: April 23, 2023). </w:t>
      </w:r>
    </w:p>
    <w:p>
      <w:pPr>
        <w:ind w:left="360"/>
      </w:pPr>
      <w:r>
        <w:rPr>
          <w:rFonts w:ascii="Times" w:hAnsi="Times" w:cs="Times"/>
          <w:sz w:val="24"/>
          <w:sz-cs w:val="24"/>
        </w:rPr>
        <w:t xml:space="preserve"/>
      </w:r>
    </w:p>
    <w:p>
      <w:pPr>
        <w:ind w:left="360"/>
      </w:pPr>
      <w:r>
        <w:rPr>
          <w:rFonts w:ascii="Times" w:hAnsi="Times" w:cs="Times"/>
          <w:sz w:val="24"/>
          <w:sz-cs w:val="24"/>
        </w:rPr>
        <w:t xml:space="preserve">UK Public General Acts (1984) </w:t>
      </w:r>
      <w:r>
        <w:rPr>
          <w:rFonts w:ascii="Times" w:hAnsi="Times" w:cs="Times"/>
          <w:sz w:val="24"/>
          <w:sz-cs w:val="24"/>
          <w:i/>
        </w:rPr>
        <w:t xml:space="preserve">Police and criminal evidence act 1984</w:t>
      </w:r>
      <w:r>
        <w:rPr>
          <w:rFonts w:ascii="Times" w:hAnsi="Times" w:cs="Times"/>
          <w:sz w:val="24"/>
          <w:sz-cs w:val="24"/>
        </w:rPr>
        <w:t xml:space="preserve">, </w:t>
      </w:r>
      <w:r>
        <w:rPr>
          <w:rFonts w:ascii="Times" w:hAnsi="Times" w:cs="Times"/>
          <w:sz w:val="24"/>
          <w:sz-cs w:val="24"/>
          <w:i/>
        </w:rPr>
        <w:t xml:space="preserve">Legislation.gov.uk</w:t>
      </w:r>
      <w:r>
        <w:rPr>
          <w:rFonts w:ascii="Times" w:hAnsi="Times" w:cs="Times"/>
          <w:sz w:val="24"/>
          <w:sz-cs w:val="24"/>
        </w:rPr>
        <w:t xml:space="preserve">. Statute Law Database. Available at: https://www.legislation.gov.uk/ukpga/1984/60/contents (Accessed: April 23, 2023). </w:t>
      </w:r>
    </w:p>
    <w:p>
      <w:pPr>
        <w:ind w:left="360"/>
      </w:pPr>
      <w:r>
        <w:rPr>
          <w:rFonts w:ascii="Times" w:hAnsi="Times" w:cs="Times"/>
          <w:sz w:val="24"/>
          <w:sz-cs w:val="24"/>
        </w:rPr>
        <w:t xml:space="preserve"/>
      </w:r>
    </w:p>
    <w:p>
      <w:pPr>
        <w:ind w:left="360"/>
      </w:pPr>
      <w:r>
        <w:rPr>
          <w:rFonts w:ascii="Times" w:hAnsi="Times" w:cs="Times"/>
          <w:sz w:val="24"/>
          <w:sz-cs w:val="24"/>
        </w:rPr>
        <w:t xml:space="preserve">UK Public General Acts (1998) </w:t>
      </w:r>
      <w:r>
        <w:rPr>
          <w:rFonts w:ascii="Times" w:hAnsi="Times" w:cs="Times"/>
          <w:sz w:val="24"/>
          <w:sz-cs w:val="24"/>
          <w:i/>
        </w:rPr>
        <w:t xml:space="preserve">Crime and disorder act 1998</w:t>
      </w:r>
      <w:r>
        <w:rPr>
          <w:rFonts w:ascii="Times" w:hAnsi="Times" w:cs="Times"/>
          <w:sz w:val="24"/>
          <w:sz-cs w:val="24"/>
        </w:rPr>
        <w:t xml:space="preserve">, </w:t>
      </w:r>
      <w:r>
        <w:rPr>
          <w:rFonts w:ascii="Times" w:hAnsi="Times" w:cs="Times"/>
          <w:sz w:val="24"/>
          <w:sz-cs w:val="24"/>
          <w:i/>
        </w:rPr>
        <w:t xml:space="preserve">Legislation.gov.uk</w:t>
      </w:r>
      <w:r>
        <w:rPr>
          <w:rFonts w:ascii="Times" w:hAnsi="Times" w:cs="Times"/>
          <w:sz w:val="24"/>
          <w:sz-cs w:val="24"/>
        </w:rPr>
        <w:t xml:space="preserve">. Statute Law Database. Available at: https://www.legislation.gov.uk/ukpga/1998/37/contents (Accessed: April 23, 2023). </w:t>
      </w:r>
    </w:p>
    <w:p>
      <w:pPr>
        <w:ind w:left="360"/>
      </w:pPr>
      <w:r>
        <w:rPr>
          <w:rFonts w:ascii="Times" w:hAnsi="Times" w:cs="Times"/>
          <w:sz w:val="24"/>
          <w:sz-cs w:val="24"/>
        </w:rPr>
        <w:t xml:space="preserve"/>
      </w:r>
    </w:p>
    <w:p>
      <w:pPr>
        <w:ind w:left="360"/>
      </w:pPr>
      <w:r>
        <w:rPr>
          <w:rFonts w:ascii="Times" w:hAnsi="Times" w:cs="Times"/>
          <w:sz w:val="24"/>
          <w:sz-cs w:val="24"/>
        </w:rPr>
        <w:t xml:space="preserve">Williams, K. (2021) </w:t>
      </w:r>
      <w:r>
        <w:rPr>
          <w:rFonts w:ascii="Times" w:hAnsi="Times" w:cs="Times"/>
          <w:sz w:val="24"/>
          <w:sz-cs w:val="24"/>
          <w:i/>
        </w:rPr>
        <w:t xml:space="preserve">The Lynette White murder case and the devastating aftermath for the Cardiff five</w:t>
      </w:r>
      <w:r>
        <w:rPr>
          <w:rFonts w:ascii="Times" w:hAnsi="Times" w:cs="Times"/>
          <w:sz w:val="24"/>
          <w:sz-cs w:val="24"/>
        </w:rPr>
        <w:t xml:space="preserve">, </w:t>
      </w:r>
      <w:r>
        <w:rPr>
          <w:rFonts w:ascii="Times" w:hAnsi="Times" w:cs="Times"/>
          <w:sz w:val="24"/>
          <w:sz-cs w:val="24"/>
          <w:i/>
        </w:rPr>
        <w:t xml:space="preserve">WalesOnline</w:t>
      </w:r>
      <w:r>
        <w:rPr>
          <w:rFonts w:ascii="Times" w:hAnsi="Times" w:cs="Times"/>
          <w:sz w:val="24"/>
          <w:sz-cs w:val="24"/>
        </w:rPr>
        <w:t xml:space="preserve">. Available at: https://www.walesonline.co.uk/lifestyle/tv/lynette-white-killing-tiger-bay-21528509 (Accessed: April 23, 2023).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b/>
          <w:color w:val="000000"/>
        </w:rPr>
        <w:t xml:space="preserve">How does media coverage affect policing strategies in relation to public protection incidents? Your answer must be based on academic research, but you may make reference to relevant case studies.</w:t>
      </w:r>
    </w:p>
    <w:p>
      <w:pPr/>
      <w:r>
        <w:rPr>
          <w:rFonts w:ascii="Times" w:hAnsi="Times" w:cs="Times"/>
          <w:sz w:val="24"/>
          <w:sz-cs w:val="24"/>
          <w:b/>
          <w:color w:val="000000"/>
        </w:rPr>
        <w:t xml:space="preserve"/>
      </w:r>
    </w:p>
    <w:p>
      <w:pPr/>
      <w:r>
        <w:rPr>
          <w:rFonts w:ascii="Times" w:hAnsi="Times" w:cs="Times"/>
          <w:sz w:val="24"/>
          <w:sz-cs w:val="24"/>
          <w:color w:val="000000"/>
        </w:rPr>
        <w:t xml:space="preserve">In this essay I will be discussing media coverage and its affect upon policing strategies, as well as it’s correlation to public protection incidents. In order to do this, I will be referring to both case studies and academic research. </w:t>
      </w:r>
    </w:p>
    <w:p>
      <w:pPr/>
      <w:r>
        <w:rPr>
          <w:rFonts w:ascii="Times" w:hAnsi="Times" w:cs="Times"/>
          <w:sz w:val="24"/>
          <w:sz-cs w:val="24"/>
          <w:color w:val="000000"/>
        </w:rPr>
        <w:t xml:space="preserve"/>
      </w:r>
    </w:p>
    <w:p>
      <w:pPr/>
      <w:r>
        <w:rPr>
          <w:rFonts w:ascii="Times" w:hAnsi="Times" w:cs="Times"/>
          <w:sz w:val="24"/>
          <w:sz-cs w:val="24"/>
          <w:color w:val="000000"/>
        </w:rPr>
        <w:t xml:space="preserve">In order to appropriately deal with public protection incidents such as sexual and violent offenders, police forces will work closely with partner agencies such as Probation, Prison services, Children’s services and more (</w:t>
      </w:r>
      <w:r>
        <w:rPr>
          <w:rFonts w:ascii="Times" w:hAnsi="Times" w:cs="Times"/>
          <w:sz w:val="24"/>
          <w:sz-cs w:val="24"/>
        </w:rPr>
        <w:t xml:space="preserve">College of Policing, 2020)</w:t>
      </w:r>
      <w:r>
        <w:rPr>
          <w:rFonts w:ascii="Times" w:hAnsi="Times" w:cs="Times"/>
          <w:sz w:val="24"/>
          <w:sz-cs w:val="24"/>
          <w:color w:val="000000"/>
        </w:rPr>
        <w:t xml:space="preserve">. In 2003, Multi-Agency Public Protection Arrangements (MAPPA), had been designed in order to protect the public and work with these partnership agencies and offenders (</w:t>
      </w:r>
      <w:r>
        <w:rPr>
          <w:rFonts w:ascii="Times" w:hAnsi="Times" w:cs="Times"/>
          <w:sz w:val="24"/>
          <w:sz-cs w:val="24"/>
        </w:rPr>
        <w:t xml:space="preserve">Ministry of Justice, 2019)</w:t>
      </w:r>
      <w:r>
        <w:rPr>
          <w:rFonts w:ascii="Times" w:hAnsi="Times" w:cs="Times"/>
          <w:sz w:val="24"/>
          <w:sz-cs w:val="24"/>
          <w:color w:val="000000"/>
        </w:rPr>
        <w:t xml:space="preserve">. Offenders who have committed certain crimes can attract high levels of attention within the media and this can cause significant alarm and distress to the general public. In order to combat the heightened levels of emotion and media scrutiny, it is essential that police forces work with partner agencies to ensure that public protection is at the heart of all decisions made.</w:t>
      </w:r>
    </w:p>
    <w:p>
      <w:pP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To highlight the use of media coverage during a police investigation, I will discuss the case of Baby P</w:t>
      </w:r>
      <w:r>
        <w:rPr>
          <w:rFonts w:ascii="Times" w:hAnsi="Times" w:cs="Times"/>
          <w:sz w:val="24"/>
          <w:sz-cs w:val="24"/>
        </w:rPr>
        <w:t xml:space="preserve"> (Local Safeguarding Children Board, 2009)</w:t>
      </w:r>
      <w:r>
        <w:rPr>
          <w:rFonts w:ascii="Times" w:hAnsi="Times" w:cs="Times"/>
          <w:sz w:val="24"/>
          <w:sz-cs w:val="24"/>
          <w:color w:val="000000"/>
        </w:rPr>
        <w:t xml:space="preserve">. It could be argued that media reporting identified a number of failings from partner agencies that had been involved in this case, which suggests that a more productive alliance is required between agencies. Due to the overwhelming media interest surrounding this particular case, the UK Government commissioned Lord Laming to report on progress in safeguarding children in England. It could be suggested that due to the overwhelming media support, the government had been encouraged to take action.</w:t>
      </w:r>
    </w:p>
    <w:p>
      <w:pPr/>
      <w:r>
        <w:rPr>
          <w:rFonts w:ascii="Times" w:hAnsi="Times" w:cs="Times"/>
          <w:sz w:val="24"/>
          <w:sz-cs w:val="24"/>
          <w:color w:val="000000"/>
        </w:rPr>
        <w:t xml:space="preserve"/>
      </w:r>
    </w:p>
    <w:p>
      <w:pPr/>
      <w:r>
        <w:rPr>
          <w:rFonts w:ascii="Times" w:hAnsi="Times" w:cs="Times"/>
          <w:sz w:val="24"/>
          <w:sz-cs w:val="24"/>
          <w:color w:val="000000"/>
        </w:rPr>
        <w:t xml:space="preserve">Lord Laming’s report, accepted by government officials, provides a detailed response and action plan on guidance when dealing with cases involving protection of children. This report, including recommendations shows the development in legislation, policy and practice when safeguarding children (</w:t>
      </w:r>
      <w:r>
        <w:rPr>
          <w:rFonts w:ascii="Times" w:hAnsi="Times" w:cs="Times"/>
          <w:sz w:val="24"/>
          <w:sz-cs w:val="24"/>
        </w:rPr>
        <w:t xml:space="preserve">Laming, 2009)</w:t>
      </w:r>
      <w:r>
        <w:rPr>
          <w:rFonts w:ascii="Times" w:hAnsi="Times" w:cs="Times"/>
          <w:sz w:val="24"/>
          <w:sz-cs w:val="24"/>
          <w:color w:val="000000"/>
        </w:rPr>
        <w:t xml:space="preserve">.</w:t>
      </w:r>
    </w:p>
    <w:p>
      <w:pPr/>
      <w:r>
        <w:rPr>
          <w:rFonts w:ascii="Times" w:hAnsi="Times" w:cs="Times"/>
          <w:sz w:val="24"/>
          <w:sz-cs w:val="24"/>
          <w:color w:val="000000"/>
        </w:rPr>
        <w:t xml:space="preserve"/>
      </w:r>
    </w:p>
    <w:p>
      <w:pPr/>
      <w:r>
        <w:rPr>
          <w:rFonts w:ascii="Times" w:hAnsi="Times" w:cs="Times"/>
          <w:sz w:val="24"/>
          <w:sz-cs w:val="24"/>
          <w:color w:val="000000"/>
        </w:rPr>
        <w:t xml:space="preserve">It is noted within numerous media reports, such as The Guardian newsletter which stated that Baby P had suffered numerous injuries despite “receiving 60 visits from social workers, doctors and police over an eight-month period”</w:t>
      </w:r>
      <w:r>
        <w:rPr>
          <w:rFonts w:ascii="Times" w:hAnsi="Times" w:cs="Times"/>
          <w:sz w:val="24"/>
          <w:sz-cs w:val="24"/>
        </w:rPr>
        <w:t xml:space="preserve"> </w:t>
      </w:r>
      <w:r>
        <w:rPr>
          <w:rFonts w:ascii="Times" w:hAnsi="Times" w:cs="Times"/>
          <w:sz w:val="24"/>
          <w:sz-cs w:val="24"/>
          <w:color w:val="000000"/>
        </w:rPr>
        <w:t xml:space="preserve">(Williams, 2010</w:t>
      </w:r>
      <w:r>
        <w:rPr>
          <w:rFonts w:ascii="Times" w:hAnsi="Times" w:cs="Times"/>
          <w:sz w:val="24"/>
          <w:sz-cs w:val="24"/>
        </w:rPr>
        <w:t xml:space="preserve">)</w:t>
      </w:r>
      <w:r>
        <w:rPr>
          <w:rFonts w:ascii="Times" w:hAnsi="Times" w:cs="Times"/>
          <w:sz w:val="24"/>
          <w:sz-cs w:val="24"/>
          <w:color w:val="000000"/>
        </w:rPr>
        <w:t xml:space="preserve">. This alone highlighted that there had been a breakdown of miscommunication between involved agencies. It is further stated that Baby P’s mother had entered a new relationship with a male who would have likely raised significant child protection issues, thus suggesting that more visits could have been made in an effort to recognise and remedy this. </w:t>
      </w:r>
    </w:p>
    <w:p>
      <w:pPr/>
      <w:r>
        <w:rPr>
          <w:rFonts w:ascii="Times" w:hAnsi="Times" w:cs="Times"/>
          <w:sz w:val="24"/>
          <w:sz-cs w:val="24"/>
          <w:color w:val="000000"/>
        </w:rPr>
        <w:t xml:space="preserve"/>
      </w:r>
    </w:p>
    <w:p>
      <w:pPr/>
      <w:r>
        <w:rPr>
          <w:rFonts w:ascii="Times" w:hAnsi="Times" w:cs="Times"/>
          <w:sz w:val="24"/>
          <w:sz-cs w:val="24"/>
          <w:color w:val="000000"/>
        </w:rPr>
        <w:t xml:space="preserve">In the guardian news article, it had also been suggested that response officers who had attended concern calls for Baby P, had been more likely to listen to his mother and believe her version of events. Due to this particular statement in media recourses, Laming’s report suggested a new legislation which would later be passed. This new legislation was introduced in 2005 and states that “local authorities have been under a duty under the Children’s Act section 53 2004, to ascertain the child’s wishes and feelings”</w:t>
      </w:r>
      <w:r>
        <w:rPr>
          <w:rFonts w:ascii="Times" w:hAnsi="Times" w:cs="Times"/>
          <w:sz w:val="24"/>
          <w:sz-cs w:val="24"/>
        </w:rPr>
        <w:t xml:space="preserve"> (Berelowitz, 2009)</w:t>
      </w:r>
      <w:r>
        <w:rPr>
          <w:rFonts w:ascii="Times" w:hAnsi="Times" w:cs="Times"/>
          <w:sz w:val="24"/>
          <w:sz-cs w:val="24"/>
          <w:color w:val="000000"/>
        </w:rPr>
        <w:t xml:space="preserve">.</w:t>
      </w:r>
    </w:p>
    <w:p>
      <w:pPr/>
      <w:r>
        <w:rPr>
          <w:rFonts w:ascii="Times" w:hAnsi="Times" w:cs="Times"/>
          <w:sz w:val="24"/>
          <w:sz-cs w:val="24"/>
          <w:color w:val="000000"/>
        </w:rPr>
        <w:t xml:space="preserve"/>
      </w:r>
    </w:p>
    <w:p>
      <w:pPr/>
      <w:r>
        <w:rPr>
          <w:rFonts w:ascii="Times" w:hAnsi="Times" w:cs="Times"/>
          <w:sz w:val="24"/>
          <w:sz-cs w:val="24"/>
          <w:color w:val="000000"/>
        </w:rPr>
        <w:t xml:space="preserve">In 2007, Baby P was found to have further injuries to his body. Despite being made aware of this, police did not investigate the cause of these injuries. Instead, this would be left to the social worker. It could be speculated that if police and social services had worked in a more collaborative manner, then communication and transference of certain important information could have led to better outcomes for this family. </w:t>
      </w:r>
    </w:p>
    <w:p>
      <w:pPr/>
      <w:r>
        <w:rPr>
          <w:rFonts w:ascii="Times" w:hAnsi="Times" w:cs="Times"/>
          <w:sz w:val="24"/>
          <w:sz-cs w:val="24"/>
          <w:color w:val="000000"/>
        </w:rPr>
        <w:t xml:space="preserve"/>
      </w:r>
    </w:p>
    <w:p>
      <w:pPr/>
      <w:r>
        <w:rPr>
          <w:rFonts w:ascii="Times" w:hAnsi="Times" w:cs="Times"/>
          <w:sz w:val="24"/>
          <w:sz-cs w:val="24"/>
          <w:color w:val="000000"/>
        </w:rPr>
        <w:t xml:space="preserve">It is also noted within online articles by various media sources, that certain medical professionals did not attend Baby P’s child protection conference which could have provided an insight into the type of injuries he had sustained (</w:t>
      </w:r>
      <w:r>
        <w:rPr>
          <w:rFonts w:ascii="Times" w:hAnsi="Times" w:cs="Times"/>
          <w:sz w:val="24"/>
          <w:sz-cs w:val="24"/>
        </w:rPr>
        <w:t xml:space="preserve">Virtual College, 2019).</w:t>
      </w:r>
    </w:p>
    <w:p>
      <w:pPr/>
      <w:r>
        <w:rPr>
          <w:rFonts w:ascii="Times" w:hAnsi="Times" w:cs="Times"/>
          <w:sz w:val="24"/>
          <w:sz-cs w:val="24"/>
        </w:rPr>
        <w:t xml:space="preserve"/>
      </w:r>
    </w:p>
    <w:p>
      <w:pPr/>
      <w:r>
        <w:rPr>
          <w:rFonts w:ascii="Times" w:hAnsi="Times" w:cs="Times"/>
          <w:sz w:val="24"/>
          <w:sz-cs w:val="24"/>
          <w:color w:val="000000"/>
        </w:rPr>
        <w:t xml:space="preserve">Due to the overwhelming media coverage and the lack of police involvement in this case, in 2015 a tool known as a Public Protection Notice (PPN) had been introduced to certain police forces who would be able to communicate with offenders as well as victims in order to gain information that would be passed to partner agencies (</w:t>
      </w:r>
      <w:r>
        <w:rPr>
          <w:rFonts w:ascii="Times" w:hAnsi="Times" w:cs="Times"/>
          <w:sz w:val="24"/>
          <w:sz-cs w:val="24"/>
        </w:rPr>
        <w:t xml:space="preserve">College of Policing, 2015)</w:t>
      </w:r>
      <w:r>
        <w:rPr>
          <w:rFonts w:ascii="Times" w:hAnsi="Times" w:cs="Times"/>
          <w:sz w:val="24"/>
          <w:sz-cs w:val="24"/>
          <w:color w:val="000000"/>
        </w:rPr>
        <w:t xml:space="preserve">. It could be argued that media coverage highlighting mistakes or missed opportunities by agencies involved in certain cases, that this in turn ensured that agencies would work together to communicate and disseminate information in a professional way. South Wales Police has educated officers on the use of PPN’s and how to disseminate this information to partner agencies, which in turn has created “well developed partnerships which help to focus on providing services that meet the needs of vulnerable victims” (</w:t>
      </w:r>
      <w:r>
        <w:rPr>
          <w:rFonts w:ascii="Times" w:hAnsi="Times" w:cs="Times"/>
          <w:sz w:val="24"/>
          <w:sz-cs w:val="24"/>
        </w:rPr>
        <w:t xml:space="preserve">HMIC, 2015).</w:t>
      </w:r>
    </w:p>
    <w:p>
      <w:pPr/>
      <w:r>
        <w:rPr>
          <w:rFonts w:ascii="Times" w:hAnsi="Times" w:cs="Times"/>
          <w:sz w:val="24"/>
          <w:sz-cs w:val="24"/>
        </w:rPr>
        <w:t xml:space="preserve"/>
      </w:r>
    </w:p>
    <w:p>
      <w:pPr/>
      <w:r>
        <w:rPr>
          <w:rFonts w:ascii="Times" w:hAnsi="Times" w:cs="Times"/>
          <w:sz w:val="24"/>
          <w:sz-cs w:val="24"/>
          <w:color w:val="000000"/>
        </w:rPr>
        <w:t xml:space="preserve">In order to provide effective communications for all partner agencies, concerning that of vulnerable victims, many forces have access to The Multi-Agency Safeguarding Hub, who’s main purpose is that of improving the quality of information sharing and decision making at the point of referral (</w:t>
      </w:r>
      <w:r>
        <w:rPr>
          <w:rFonts w:ascii="Times" w:hAnsi="Times" w:cs="Times"/>
          <w:sz w:val="24"/>
          <w:sz-cs w:val="24"/>
        </w:rPr>
        <w:t xml:space="preserve">Preston-Shoot, 2015)</w:t>
      </w:r>
      <w:r>
        <w:rPr>
          <w:rFonts w:ascii="Times" w:hAnsi="Times" w:cs="Times"/>
          <w:sz w:val="24"/>
          <w:sz-cs w:val="24"/>
          <w:color w:val="000000"/>
        </w:rPr>
        <w:t xml:space="preserve">. Partners involved with this include Youth Offenders Service, Education and victim support. This particular Safeguarding facility had been brought forth and accessed following the case of Baby P.</w:t>
      </w:r>
    </w:p>
    <w:p>
      <w:pPr/>
      <w:r>
        <w:rPr>
          <w:rFonts w:ascii="Times" w:hAnsi="Times" w:cs="Times"/>
          <w:sz w:val="24"/>
          <w:sz-cs w:val="24"/>
          <w:color w:val="000000"/>
        </w:rPr>
        <w:t xml:space="preserve"/>
      </w:r>
    </w:p>
    <w:p>
      <w:pPr/>
      <w:r>
        <w:rPr>
          <w:rFonts w:ascii="Times" w:hAnsi="Times" w:cs="Times"/>
          <w:sz w:val="24"/>
          <w:sz-cs w:val="24"/>
          <w:color w:val="000000"/>
        </w:rPr>
        <w:t xml:space="preserve">It could be argued that due to media coverage on this particular case amongst others, is what highlighted the downfall of sharing information and communication between all partner agencies. It was media coverage that encouraged government to enlist Laming to undergo an investigation into safeguarding children which in turn brought forth new legislation. This investigation also provided partner agencies with information and a deeper insight on how to communicate better in order to prevent further cases.</w:t>
      </w:r>
    </w:p>
    <w:p>
      <w:pPr/>
      <w:r>
        <w:rPr>
          <w:rFonts w:ascii="Times" w:hAnsi="Times" w:cs="Times"/>
          <w:sz w:val="24"/>
          <w:sz-cs w:val="24"/>
          <w:color w:val="000000"/>
        </w:rPr>
        <w:t xml:space="preserve"/>
      </w:r>
    </w:p>
    <w:p>
      <w:pPr/>
      <w:r>
        <w:rPr>
          <w:rFonts w:ascii="Times" w:hAnsi="Times" w:cs="Times"/>
          <w:sz w:val="24"/>
          <w:sz-cs w:val="24"/>
          <w:color w:val="000000"/>
        </w:rPr>
        <w:t xml:space="preserve"/>
      </w:r>
    </w:p>
    <w:p>
      <w:pPr/>
      <w:r>
        <w:rPr>
          <w:rFonts w:ascii="Times" w:hAnsi="Times" w:cs="Times"/>
          <w:sz w:val="24"/>
          <w:sz-cs w:val="24"/>
          <w:u w:val="single"/>
          <w:color w:val="000000"/>
        </w:rPr>
        <w:t xml:space="preserve">References</w:t>
      </w:r>
    </w:p>
    <w:p>
      <w:pPr/>
      <w:r>
        <w:rPr>
          <w:rFonts w:ascii="Times" w:hAnsi="Times" w:cs="Times"/>
          <w:sz w:val="24"/>
          <w:sz-cs w:val="24"/>
          <w:u w:val="single"/>
          <w:color w:val="000000"/>
        </w:rPr>
        <w:t xml:space="preserve"/>
      </w:r>
    </w:p>
    <w:p>
      <w:pPr/>
      <w:r>
        <w:rPr>
          <w:rFonts w:ascii="Times" w:hAnsi="Times" w:cs="Times"/>
          <w:sz w:val="24"/>
          <w:sz-cs w:val="24"/>
        </w:rPr>
        <w:t xml:space="preserve">Berelowitz, S. (2009) “Lord laming: A timely and welcome review of the Child Protection Services,” </w:t>
      </w:r>
      <w:r>
        <w:rPr>
          <w:rFonts w:ascii="Times" w:hAnsi="Times" w:cs="Times"/>
          <w:sz w:val="24"/>
          <w:sz-cs w:val="24"/>
          <w:i/>
        </w:rPr>
        <w:t xml:space="preserve">Criminal Justice Matters</w:t>
      </w:r>
      <w:r>
        <w:rPr>
          <w:rFonts w:ascii="Times" w:hAnsi="Times" w:cs="Times"/>
          <w:sz w:val="24"/>
          <w:sz-cs w:val="24"/>
        </w:rPr>
        <w:t xml:space="preserve">, 76(1), pp. 47–47. Available at: https://doi.org/10.1080/09627250902952048. </w:t>
      </w:r>
    </w:p>
    <w:p>
      <w:pPr/>
      <w:r>
        <w:rPr>
          <w:rFonts w:ascii="Times" w:hAnsi="Times" w:cs="Times"/>
          <w:sz w:val="24"/>
          <w:sz-cs w:val="24"/>
        </w:rPr>
        <w:t xml:space="preserve"/>
      </w:r>
    </w:p>
    <w:p>
      <w:pPr/>
      <w:r>
        <w:rPr>
          <w:rFonts w:ascii="Times" w:hAnsi="Times" w:cs="Times"/>
          <w:sz w:val="24"/>
          <w:sz-cs w:val="24"/>
        </w:rPr>
        <w:t xml:space="preserve">College of Policing (2015) </w:t>
      </w:r>
      <w:r>
        <w:rPr>
          <w:rFonts w:ascii="Times" w:hAnsi="Times" w:cs="Times"/>
          <w:sz w:val="24"/>
          <w:sz-cs w:val="24"/>
          <w:i/>
        </w:rPr>
        <w:t xml:space="preserve">Using domestic violence protection notices and domestic violence protection orders to make victims safer</w:t>
      </w:r>
      <w:r>
        <w:rPr>
          <w:rFonts w:ascii="Times" w:hAnsi="Times" w:cs="Times"/>
          <w:sz w:val="24"/>
          <w:sz-cs w:val="24"/>
        </w:rPr>
        <w:t xml:space="preserve">, </w:t>
      </w:r>
      <w:r>
        <w:rPr>
          <w:rFonts w:ascii="Times" w:hAnsi="Times" w:cs="Times"/>
          <w:sz w:val="24"/>
          <w:sz-cs w:val="24"/>
          <w:i/>
        </w:rPr>
        <w:t xml:space="preserve">College of Policing</w:t>
      </w:r>
      <w:r>
        <w:rPr>
          <w:rFonts w:ascii="Times" w:hAnsi="Times" w:cs="Times"/>
          <w:sz w:val="24"/>
          <w:sz-cs w:val="24"/>
        </w:rPr>
        <w:t xml:space="preserve">. Available at: https://www.college.police.uk/app/major-investigation-and-public-protection/domestic-abuse/using-domestic-violence-protection-notices-and-domestic-violence-protection-orders-make-victims-safer (Accessed: April 23, 2023). </w:t>
      </w:r>
    </w:p>
    <w:p>
      <w:pPr/>
      <w:r>
        <w:rPr>
          <w:rFonts w:ascii="Times" w:hAnsi="Times" w:cs="Times"/>
          <w:sz w:val="24"/>
          <w:sz-cs w:val="24"/>
        </w:rPr>
        <w:t xml:space="preserve"/>
      </w:r>
    </w:p>
    <w:p>
      <w:pPr/>
      <w:r>
        <w:rPr>
          <w:rFonts w:ascii="Times" w:hAnsi="Times" w:cs="Times"/>
          <w:sz w:val="24"/>
          <w:sz-cs w:val="24"/>
        </w:rPr>
        <w:t xml:space="preserve">College of Policing (2020) </w:t>
      </w:r>
      <w:r>
        <w:rPr>
          <w:rFonts w:ascii="Times" w:hAnsi="Times" w:cs="Times"/>
          <w:sz w:val="24"/>
          <w:sz-cs w:val="24"/>
          <w:i/>
        </w:rPr>
        <w:t xml:space="preserve">Partner agencies</w:t>
      </w:r>
      <w:r>
        <w:rPr>
          <w:rFonts w:ascii="Times" w:hAnsi="Times" w:cs="Times"/>
          <w:sz w:val="24"/>
          <w:sz-cs w:val="24"/>
        </w:rPr>
        <w:t xml:space="preserve">, </w:t>
      </w:r>
      <w:r>
        <w:rPr>
          <w:rFonts w:ascii="Times" w:hAnsi="Times" w:cs="Times"/>
          <w:sz w:val="24"/>
          <w:sz-cs w:val="24"/>
          <w:i/>
        </w:rPr>
        <w:t xml:space="preserve">College of Policing</w:t>
      </w:r>
      <w:r>
        <w:rPr>
          <w:rFonts w:ascii="Times" w:hAnsi="Times" w:cs="Times"/>
          <w:sz w:val="24"/>
          <w:sz-cs w:val="24"/>
        </w:rPr>
        <w:t xml:space="preserve">. Available at: https://www.college.police.uk/app/roads-policing/partner-agencies (Accessed: April 23, 2023). </w:t>
      </w:r>
    </w:p>
    <w:p>
      <w:pPr/>
      <w:r>
        <w:rPr>
          <w:rFonts w:ascii="Times" w:hAnsi="Times" w:cs="Times"/>
          <w:sz w:val="24"/>
          <w:sz-cs w:val="24"/>
        </w:rPr>
        <w:t xml:space="preserve"/>
      </w:r>
    </w:p>
    <w:p>
      <w:pPr/>
      <w:r>
        <w:rPr>
          <w:rFonts w:ascii="Times" w:hAnsi="Times" w:cs="Times"/>
          <w:sz w:val="24"/>
          <w:sz-cs w:val="24"/>
        </w:rPr>
        <w:t xml:space="preserve">HMIC (2015) </w:t>
      </w:r>
      <w:r>
        <w:rPr>
          <w:rFonts w:ascii="Times" w:hAnsi="Times" w:cs="Times"/>
          <w:sz w:val="24"/>
          <w:sz-cs w:val="24"/>
          <w:i/>
        </w:rPr>
        <w:t xml:space="preserve">Peel: Police effectiveness 2015 (vulnerability) - justice inspectorates</w:t>
      </w:r>
      <w:r>
        <w:rPr>
          <w:rFonts w:ascii="Times" w:hAnsi="Times" w:cs="Times"/>
          <w:sz w:val="24"/>
          <w:sz-cs w:val="24"/>
        </w:rPr>
        <w:t xml:space="preserve">. Available at: https://www.justiceinspectorates.gov.uk/hmicfrs/wp-content/uploads/police-effectiveness-vulnerability-2015.pdf (Accessed: April 23, 2023). </w:t>
      </w:r>
    </w:p>
    <w:p>
      <w:pPr/>
      <w:r>
        <w:rPr>
          <w:rFonts w:ascii="Times" w:hAnsi="Times" w:cs="Times"/>
          <w:sz w:val="24"/>
          <w:sz-cs w:val="24"/>
        </w:rPr>
        <w:t xml:space="preserve"/>
      </w:r>
    </w:p>
    <w:p>
      <w:pPr/>
      <w:r>
        <w:rPr>
          <w:rFonts w:ascii="Times" w:hAnsi="Times" w:cs="Times"/>
          <w:sz w:val="24"/>
          <w:sz-cs w:val="24"/>
        </w:rPr>
        <w:t xml:space="preserve">Laming, H. (2009) </w:t>
      </w:r>
      <w:r>
        <w:rPr>
          <w:rFonts w:ascii="Times" w:hAnsi="Times" w:cs="Times"/>
          <w:sz w:val="24"/>
          <w:sz-cs w:val="24"/>
          <w:i/>
        </w:rPr>
        <w:t xml:space="preserve">The protection of children in england: A progress report</w:t>
      </w:r>
      <w:r>
        <w:rPr>
          <w:rFonts w:ascii="Times" w:hAnsi="Times" w:cs="Times"/>
          <w:sz w:val="24"/>
          <w:sz-cs w:val="24"/>
        </w:rPr>
        <w:t xml:space="preserve">. London: Stationery Office.</w:t>
      </w:r>
    </w:p>
    <w:p>
      <w:pPr/>
      <w:r>
        <w:rPr>
          <w:rFonts w:ascii="Times" w:hAnsi="Times" w:cs="Times"/>
          <w:sz w:val="24"/>
          <w:sz-cs w:val="24"/>
        </w:rPr>
        <w:t xml:space="preserve"/>
      </w:r>
    </w:p>
    <w:p>
      <w:pPr/>
      <w:r>
        <w:rPr>
          <w:rFonts w:ascii="Times" w:hAnsi="Times" w:cs="Times"/>
          <w:sz w:val="24"/>
          <w:sz-cs w:val="24"/>
        </w:rPr>
        <w:t xml:space="preserve">Local Safeguarding Children Board (2009) </w:t>
      </w:r>
      <w:r>
        <w:rPr>
          <w:rFonts w:ascii="Times" w:hAnsi="Times" w:cs="Times"/>
          <w:sz w:val="24"/>
          <w:sz-cs w:val="24"/>
          <w:i/>
        </w:rPr>
        <w:t xml:space="preserve">Serious case review: Baby Peter - British association of social workers</w:t>
      </w:r>
      <w:r>
        <w:rPr>
          <w:rFonts w:ascii="Times" w:hAnsi="Times" w:cs="Times"/>
          <w:sz w:val="24"/>
          <w:sz-cs w:val="24"/>
        </w:rPr>
        <w:t xml:space="preserve">. Available at: https://www.basw.co.uk/system/files/resources/basw_111257-10_0.pdf (Accessed: April 23, 2023). </w:t>
      </w:r>
    </w:p>
    <w:p>
      <w:pPr/>
      <w:r>
        <w:rPr>
          <w:rFonts w:ascii="Times" w:hAnsi="Times" w:cs="Times"/>
          <w:sz w:val="24"/>
          <w:sz-cs w:val="24"/>
        </w:rPr>
        <w:t xml:space="preserve"/>
      </w:r>
    </w:p>
    <w:p>
      <w:pPr/>
      <w:r>
        <w:rPr>
          <w:rFonts w:ascii="Times" w:hAnsi="Times" w:cs="Times"/>
          <w:sz w:val="24"/>
          <w:sz-cs w:val="24"/>
        </w:rPr>
        <w:t xml:space="preserve">Michael Preston-Shoot (2015) </w:t>
      </w:r>
      <w:r>
        <w:rPr>
          <w:rFonts w:ascii="Times" w:hAnsi="Times" w:cs="Times"/>
          <w:sz w:val="24"/>
          <w:sz-cs w:val="24"/>
          <w:i/>
        </w:rPr>
        <w:t xml:space="preserve">Safeguarding in light of the Care Act - ssaspb.org.uk</w:t>
      </w:r>
      <w:r>
        <w:rPr>
          <w:rFonts w:ascii="Times" w:hAnsi="Times" w:cs="Times"/>
          <w:sz w:val="24"/>
          <w:sz-cs w:val="24"/>
        </w:rPr>
        <w:t xml:space="preserve">. Available at: https://www.ssaspb.org.uk/About-us/SafeguardinginlightoftheCareAct.pdf (Accessed: April 23, 2023). </w:t>
      </w:r>
    </w:p>
    <w:p>
      <w:pPr/>
      <w:r>
        <w:rPr>
          <w:rFonts w:ascii="Times" w:hAnsi="Times" w:cs="Times"/>
          <w:sz w:val="24"/>
          <w:sz-cs w:val="24"/>
        </w:rPr>
        <w:t xml:space="preserve"/>
      </w:r>
    </w:p>
    <w:p>
      <w:pPr/>
      <w:r>
        <w:rPr>
          <w:rFonts w:ascii="Times" w:hAnsi="Times" w:cs="Times"/>
          <w:sz w:val="24"/>
          <w:sz-cs w:val="24"/>
        </w:rPr>
        <w:t xml:space="preserve">Ministry of Justice (2019) </w:t>
      </w:r>
      <w:r>
        <w:rPr>
          <w:rFonts w:ascii="Times" w:hAnsi="Times" w:cs="Times"/>
          <w:sz w:val="24"/>
          <w:sz-cs w:val="24"/>
          <w:i/>
        </w:rPr>
        <w:t xml:space="preserve">Multi-Agency Public Protection Arrangements - Annual Report 2018/19</w:t>
      </w:r>
      <w:r>
        <w:rPr>
          <w:rFonts w:ascii="Times" w:hAnsi="Times" w:cs="Times"/>
          <w:sz w:val="24"/>
          <w:sz-cs w:val="24"/>
        </w:rPr>
        <w:t xml:space="preserve">. Available at: https://assets.publishing.service.gov.uk/government/uploads/system/uploads/attachment_data/file/843057/mappa-annual-report-2018-19.pdf (Accessed: April 23, 2023). </w:t>
      </w:r>
    </w:p>
    <w:p>
      <w:pPr/>
      <w:r>
        <w:rPr>
          <w:rFonts w:ascii="Times" w:hAnsi="Times" w:cs="Times"/>
          <w:sz w:val="24"/>
          <w:sz-cs w:val="24"/>
        </w:rPr>
        <w:t xml:space="preserve"/>
      </w:r>
    </w:p>
    <w:p>
      <w:pPr/>
      <w:r>
        <w:rPr>
          <w:rFonts w:ascii="Times" w:hAnsi="Times" w:cs="Times"/>
          <w:sz w:val="24"/>
          <w:sz-cs w:val="24"/>
        </w:rPr>
        <w:t xml:space="preserve">Virtual College (2019) </w:t>
      </w:r>
      <w:r>
        <w:rPr>
          <w:rFonts w:ascii="Times" w:hAnsi="Times" w:cs="Times"/>
          <w:sz w:val="24"/>
          <w:sz-cs w:val="24"/>
          <w:i/>
        </w:rPr>
        <w:t xml:space="preserve">Serious Case Review: Baby P</w:t>
      </w:r>
      <w:r>
        <w:rPr>
          <w:rFonts w:ascii="Times" w:hAnsi="Times" w:cs="Times"/>
          <w:sz w:val="24"/>
          <w:sz-cs w:val="24"/>
        </w:rPr>
        <w:t xml:space="preserve">, </w:t>
      </w:r>
      <w:r>
        <w:rPr>
          <w:rFonts w:ascii="Times" w:hAnsi="Times" w:cs="Times"/>
          <w:sz w:val="24"/>
          <w:sz-cs w:val="24"/>
          <w:i/>
        </w:rPr>
        <w:t xml:space="preserve">Serious Case Review: Baby P | Virtual College</w:t>
      </w:r>
      <w:r>
        <w:rPr>
          <w:rFonts w:ascii="Times" w:hAnsi="Times" w:cs="Times"/>
          <w:sz w:val="24"/>
          <w:sz-cs w:val="24"/>
        </w:rPr>
        <w:t xml:space="preserve">. Available at: https://www.virtual-college.co.uk/resources/serious-case-review-baby-p-(2009) (Accessed: April 23, 2023). </w:t>
      </w:r>
    </w:p>
    <w:p>
      <w:pPr/>
      <w:r>
        <w:rPr>
          <w:rFonts w:ascii="Times" w:hAnsi="Times" w:cs="Times"/>
          <w:sz w:val="24"/>
          <w:sz-cs w:val="24"/>
        </w:rPr>
        <w:t xml:space="preserve"/>
      </w:r>
    </w:p>
    <w:p>
      <w:pPr/>
      <w:r>
        <w:rPr>
          <w:rFonts w:ascii="Times" w:hAnsi="Times" w:cs="Times"/>
          <w:sz w:val="24"/>
          <w:sz-cs w:val="24"/>
        </w:rPr>
        <w:t xml:space="preserve">Williams, R. (2010) </w:t>
      </w:r>
      <w:r>
        <w:rPr>
          <w:rFonts w:ascii="Times" w:hAnsi="Times" w:cs="Times"/>
          <w:sz w:val="24"/>
          <w:sz-cs w:val="24"/>
          <w:i/>
        </w:rPr>
        <w:t xml:space="preserve">Baby P's death could and should have been prevented, report says</w:t>
      </w:r>
      <w:r>
        <w:rPr>
          <w:rFonts w:ascii="Times" w:hAnsi="Times" w:cs="Times"/>
          <w:sz w:val="24"/>
          <w:sz-cs w:val="24"/>
        </w:rPr>
        <w:t xml:space="preserve">, </w:t>
      </w:r>
      <w:r>
        <w:rPr>
          <w:rFonts w:ascii="Times" w:hAnsi="Times" w:cs="Times"/>
          <w:sz w:val="24"/>
          <w:sz-cs w:val="24"/>
          <w:i/>
        </w:rPr>
        <w:t xml:space="preserve">The Guardian</w:t>
      </w:r>
      <w:r>
        <w:rPr>
          <w:rFonts w:ascii="Times" w:hAnsi="Times" w:cs="Times"/>
          <w:sz w:val="24"/>
          <w:sz-cs w:val="24"/>
        </w:rPr>
        <w:t xml:space="preserve">. Guardian News and Media. Available at: https://www.theguardian.com/society/2010/oct/26/baby-p-death-should-have-been-prevented (Accessed: April 23, 2023). </w:t>
      </w:r>
    </w:p>
    <w:p>
      <w:pPr>
        <w:ind w:left="567"/>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b/>
          <w:color w:val="000000"/>
        </w:rPr>
        <w:t xml:space="preserve">How effective is early intervention in preventing young people from offending, or re-offending? Your answer must be based on academic research, but you may make reference to relevant case studies.</w:t>
      </w:r>
    </w:p>
    <w:p>
      <w:pPr/>
      <w:r>
        <w:rPr>
          <w:rFonts w:ascii="Times" w:hAnsi="Times" w:cs="Times"/>
          <w:sz w:val="24"/>
          <w:sz-cs w:val="24"/>
          <w:b/>
          <w:color w:val="000000"/>
        </w:rPr>
        <w:t xml:space="preserve"/>
      </w:r>
    </w:p>
    <w:p>
      <w:pPr/>
      <w:r>
        <w:rPr>
          <w:rFonts w:ascii="Times" w:hAnsi="Times" w:cs="Times"/>
          <w:sz w:val="24"/>
          <w:sz-cs w:val="24"/>
          <w:color w:val="000000"/>
        </w:rPr>
        <w:t xml:space="preserve">In this essay I will discuss different forms of early intervention when dealing with young people who are liable to offending or re-offending. I will also discuss how effective these forms of intervention are. I will refer to academic research to appraise these methods.</w:t>
      </w:r>
    </w:p>
    <w:p>
      <w:pPr/>
      <w:r>
        <w:rPr>
          <w:rFonts w:ascii="Times" w:hAnsi="Times" w:cs="Times"/>
          <w:sz w:val="24"/>
          <w:sz-cs w:val="24"/>
          <w:color w:val="000000"/>
        </w:rPr>
        <w:t xml:space="preserve"/>
      </w:r>
    </w:p>
    <w:p>
      <w:pPr/>
      <w:r>
        <w:rPr>
          <w:rFonts w:ascii="Times" w:hAnsi="Times" w:cs="Times"/>
          <w:sz w:val="24"/>
          <w:sz-cs w:val="24"/>
          <w:color w:val="000000"/>
        </w:rPr>
        <w:t xml:space="preserve">Early intervention is important as its main aim is to prevent young people from offending. The ministry of Justice estimates that reoffending by children costs society around £1.5billion per year (</w:t>
      </w:r>
      <w:r>
        <w:rPr>
          <w:rFonts w:ascii="Times" w:hAnsi="Times" w:cs="Times"/>
          <w:sz w:val="24"/>
          <w:sz-cs w:val="24"/>
        </w:rPr>
        <w:t xml:space="preserve">Youth Justice Board for England and Wales, 2023)</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The role of the British justice system is to deliver justice for all, by protecting the innocent, punishing the guilty and stopping those who are guilty from re-offending. In order to do this, a criminal justice strategy plan had been delivered and passed by parliament with the goal to “develop a shared vision for a more joined-up criminal justice system, where criminal justice organisations think beyond organisational boundaries when making decisions” (</w:t>
      </w:r>
      <w:r>
        <w:rPr>
          <w:rFonts w:ascii="Times" w:hAnsi="Times" w:cs="Times"/>
          <w:sz w:val="24"/>
          <w:sz-cs w:val="24"/>
        </w:rPr>
        <w:t xml:space="preserve">The Criminal Justice Strategic Committee, 2015).</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Within the published Criminal Justice strategic article, it states that “crime continues to fall” and “the risk of being a victim of crime is at its lowest level since 1981” which could suggest that interventions in place are causing a positive effect (</w:t>
      </w:r>
      <w:r>
        <w:rPr>
          <w:rFonts w:ascii="Times" w:hAnsi="Times" w:cs="Times"/>
          <w:sz w:val="24"/>
          <w:sz-cs w:val="24"/>
        </w:rPr>
        <w:t xml:space="preserve">Jones, 2022)</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The Role of the Youth Offender Service (YOS) is to supervise 10–18-year-olds who have been sentenced by a court, or who have come to the attention of police due offending behaviour (</w:t>
      </w:r>
      <w:r>
        <w:rPr>
          <w:rFonts w:ascii="Times" w:hAnsi="Times" w:cs="Times"/>
          <w:sz w:val="24"/>
          <w:sz-cs w:val="24"/>
        </w:rPr>
        <w:t xml:space="preserve">CPS, 2020)</w:t>
      </w:r>
      <w:r>
        <w:rPr>
          <w:rFonts w:ascii="Times" w:hAnsi="Times" w:cs="Times"/>
          <w:sz w:val="24"/>
          <w:sz-cs w:val="24"/>
          <w:color w:val="000000"/>
        </w:rPr>
        <w:t xml:space="preserve">. YOS will also work alongside young children who have not committed a crime but are at risk of doing so.</w:t>
      </w:r>
    </w:p>
    <w:p>
      <w:pPr/>
      <w:r>
        <w:rPr>
          <w:rFonts w:ascii="Times" w:hAnsi="Times" w:cs="Times"/>
          <w:sz w:val="24"/>
          <w:sz-cs w:val="24"/>
          <w:color w:val="000000"/>
        </w:rPr>
        <w:t xml:space="preserve"/>
      </w:r>
    </w:p>
    <w:p>
      <w:pPr/>
      <w:r>
        <w:rPr>
          <w:rFonts w:ascii="Times" w:hAnsi="Times" w:cs="Times"/>
          <w:sz w:val="24"/>
          <w:sz-cs w:val="24"/>
          <w:color w:val="000000"/>
        </w:rPr>
        <w:t xml:space="preserve">It is stated in Prevention and Reduction article, that in order to combat offending and re-offending it is essential that those at risk undergo forms of counselling and skills training (</w:t>
      </w:r>
      <w:r>
        <w:rPr>
          <w:rFonts w:ascii="Times" w:hAnsi="Times" w:cs="Times"/>
          <w:sz w:val="24"/>
          <w:sz-cs w:val="24"/>
        </w:rPr>
        <w:t xml:space="preserve">Public Health England, 2019)</w:t>
      </w:r>
      <w:r>
        <w:rPr>
          <w:rFonts w:ascii="Times" w:hAnsi="Times" w:cs="Times"/>
          <w:sz w:val="24"/>
          <w:sz-cs w:val="24"/>
          <w:color w:val="000000"/>
        </w:rPr>
        <w:t xml:space="preserve">. This aims to promote a positive change in the young person’s life. The article states that skills training programmes provide instruction, practice, incentives, and other actives which are aimed at developing skills to help control behaviour. These programmes have demonstrated a positive impact when encouraging young people to engage in social activities (</w:t>
      </w:r>
      <w:r>
        <w:rPr>
          <w:rFonts w:ascii="Times" w:hAnsi="Times" w:cs="Times"/>
          <w:sz w:val="24"/>
          <w:sz-cs w:val="24"/>
        </w:rPr>
        <w:t xml:space="preserve">Department for Education, 2011)</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However, the article states that “on average, programmes were more effective when administered to high-risk juveniles”, which could suggest that these particular programmes are less effective when dealing with young people who have not offended (</w:t>
      </w:r>
      <w:r>
        <w:rPr>
          <w:rFonts w:ascii="Times" w:hAnsi="Times" w:cs="Times"/>
          <w:sz w:val="24"/>
          <w:sz-cs w:val="24"/>
        </w:rPr>
        <w:t xml:space="preserve">Department for Education, 2011)</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The article further states that statistically those who exhibit low intelligence, low school attainment, low empathy, impulsivity, and hyperactivity are more likely to offend. Farrington and Welsh (2007) identified one type of individual focused programme shown to have effective results to combat this, which is known as child skills training. The child skills training programmes are designed to teach certain children social emotion and cognitive skills. Farrington and Welsh (2007) also state within their findings that in order for child skills training to be effective, the size of children within a classroom must be limited so that a child has more attention. It is also noted that young people who had received child skills training showed a 38 percent increased chance of improvement (</w:t>
      </w:r>
      <w:r>
        <w:rPr>
          <w:rFonts w:ascii="Times" w:hAnsi="Times" w:cs="Times"/>
          <w:sz w:val="24"/>
          <w:sz-cs w:val="24"/>
        </w:rPr>
        <w:t xml:space="preserve">Department for Education, 2011)</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It is further stated that “interventions designed to teach children emotional and communication skills at primary school have been shown to have a positive impact in reducing problems in adolescence”</w:t>
      </w:r>
      <w:r>
        <w:rPr>
          <w:rFonts w:ascii="Times" w:hAnsi="Times" w:cs="Times"/>
          <w:sz w:val="24"/>
          <w:sz-cs w:val="24"/>
        </w:rPr>
        <w:t xml:space="preserve"> (La Grutta </w:t>
      </w:r>
      <w:r>
        <w:rPr>
          <w:rFonts w:ascii="Times" w:hAnsi="Times" w:cs="Times"/>
          <w:sz w:val="24"/>
          <w:sz-cs w:val="24"/>
          <w:i/>
        </w:rPr>
        <w:t xml:space="preserve">et al.</w:t>
      </w:r>
      <w:r>
        <w:rPr>
          <w:rFonts w:ascii="Times" w:hAnsi="Times" w:cs="Times"/>
          <w:sz w:val="24"/>
          <w:sz-cs w:val="24"/>
        </w:rPr>
        <w:t xml:space="preserve">, 2022)</w:t>
      </w:r>
      <w:r>
        <w:rPr>
          <w:rFonts w:ascii="Times" w:hAnsi="Times" w:cs="Times"/>
          <w:sz w:val="24"/>
          <w:sz-cs w:val="24"/>
          <w:color w:val="000000"/>
        </w:rPr>
        <w:t xml:space="preserve">. A further review by Early Intervention Foundation found evidence that “skills-based intervention in adolescence also reduces aggression”</w:t>
      </w:r>
      <w:r>
        <w:rPr>
          <w:rFonts w:ascii="Times" w:hAnsi="Times" w:cs="Times"/>
          <w:sz w:val="24"/>
          <w:sz-cs w:val="24"/>
        </w:rPr>
        <w:t xml:space="preserve"> (Sukhodolsky </w:t>
      </w:r>
      <w:r>
        <w:rPr>
          <w:rFonts w:ascii="Times" w:hAnsi="Times" w:cs="Times"/>
          <w:sz w:val="24"/>
          <w:sz-cs w:val="24"/>
          <w:i/>
        </w:rPr>
        <w:t xml:space="preserve">et al.</w:t>
      </w:r>
      <w:r>
        <w:rPr>
          <w:rFonts w:ascii="Times" w:hAnsi="Times" w:cs="Times"/>
          <w:sz w:val="24"/>
          <w:sz-cs w:val="24"/>
        </w:rPr>
        <w:t xml:space="preserve">, 2019)</w:t>
      </w:r>
      <w:r>
        <w:rPr>
          <w:rFonts w:ascii="Times" w:hAnsi="Times" w:cs="Times"/>
          <w:sz w:val="24"/>
          <w:sz-cs w:val="24"/>
          <w:color w:val="000000"/>
        </w:rPr>
        <w:t xml:space="preserve">. Programmes such as Growing Against Violence have provided training to a multitude of schools who hold students within the age of 9-15 years, which have provided positive feedback when promoting attitudes toward police and a reduced violent behaviour shown by students (</w:t>
      </w:r>
      <w:r>
        <w:rPr>
          <w:rFonts w:ascii="Times" w:hAnsi="Times" w:cs="Times"/>
          <w:sz w:val="24"/>
          <w:sz-cs w:val="24"/>
        </w:rPr>
        <w:t xml:space="preserve">Growing Against Violence, 2022)</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
      </w:r>
    </w:p>
    <w:p>
      <w:pPr/>
      <w:r>
        <w:rPr>
          <w:rFonts w:ascii="Times" w:hAnsi="Times" w:cs="Times"/>
          <w:sz w:val="24"/>
          <w:sz-cs w:val="24"/>
          <w:color w:val="000000"/>
        </w:rPr>
        <w:t xml:space="preserve">Children’s services such as Youth Offender Service and Social Services will work alongside one another in order to arrange access to financial support for parents of young children who have been exposed to domestic abuse. By supporting these families’ financial needs, the percentage of parents reporting abusive behaviour by their child has dropped from 25% to 7%*(</w:t>
      </w:r>
      <w:r>
        <w:rPr>
          <w:rFonts w:ascii="Times" w:hAnsi="Times" w:cs="Times"/>
          <w:sz w:val="24"/>
          <w:sz-cs w:val="24"/>
        </w:rPr>
        <w:t xml:space="preserve">Youth.gov, 2023)</w:t>
      </w:r>
      <w:r>
        <w:rPr>
          <w:rFonts w:ascii="Times" w:hAnsi="Times" w:cs="Times"/>
          <w:sz w:val="24"/>
          <w:sz-cs w:val="24"/>
          <w:color w:val="000000"/>
        </w:rPr>
        <w:t xml:space="preserve">. </w:t>
      </w:r>
    </w:p>
    <w:p>
      <w:pPr/>
      <w:r>
        <w:rPr>
          <w:rFonts w:ascii="Times" w:hAnsi="Times" w:cs="Times"/>
          <w:sz w:val="24"/>
          <w:sz-cs w:val="24"/>
          <w:color w:val="000000"/>
        </w:rPr>
        <w:t xml:space="preserve"/>
      </w:r>
    </w:p>
    <w:p>
      <w:pPr/>
      <w:r>
        <w:rPr>
          <w:rFonts w:ascii="Times" w:hAnsi="Times" w:cs="Times"/>
          <w:sz w:val="24"/>
          <w:sz-cs w:val="24"/>
          <w:color w:val="000000"/>
        </w:rPr>
        <w:t xml:space="preserve">Another programme that provides intervention to families is known as ‘Troubled Families Programme’ which targets families with significant risk factors such as family members involved in crime (</w:t>
      </w:r>
      <w:r>
        <w:rPr>
          <w:rFonts w:ascii="Times" w:hAnsi="Times" w:cs="Times"/>
          <w:sz w:val="24"/>
          <w:sz-cs w:val="24"/>
        </w:rPr>
        <w:t xml:space="preserve">GOV.UK, 2017)</w:t>
      </w:r>
      <w:r>
        <w:rPr>
          <w:rFonts w:ascii="Times" w:hAnsi="Times" w:cs="Times"/>
          <w:sz w:val="24"/>
          <w:sz-cs w:val="24"/>
          <w:color w:val="000000"/>
        </w:rPr>
        <w:t xml:space="preserve">. The programme assigns a family intervention worker who will support each member of the family. An initial report by the programme, suggests a “slight reduction in children going into care, some increase in adult employment and a reduction in juvenile convictions”. This statement proves evidence that early intervention with families and young people is effective in preventing those from offending or re-offending. </w:t>
      </w:r>
    </w:p>
    <w:p>
      <w:pPr/>
      <w:r>
        <w:rPr>
          <w:rFonts w:ascii="Times" w:hAnsi="Times" w:cs="Times"/>
          <w:sz w:val="24"/>
          <w:sz-cs w:val="24"/>
          <w:color w:val="000000"/>
        </w:rPr>
        <w:t xml:space="preserve"/>
      </w:r>
    </w:p>
    <w:p>
      <w:pPr/>
      <w:r>
        <w:rPr>
          <w:rFonts w:ascii="Times" w:hAnsi="Times" w:cs="Times"/>
          <w:sz w:val="24"/>
          <w:sz-cs w:val="24"/>
          <w:color w:val="000000"/>
        </w:rPr>
        <w:t xml:space="preserve">A report released by the UK Government states that “Juvenile reoffending rate has decreased by 3.0 percentage points” (</w:t>
      </w:r>
      <w:r>
        <w:rPr>
          <w:rFonts w:ascii="Times" w:hAnsi="Times" w:cs="Times"/>
          <w:sz w:val="24"/>
          <w:sz-cs w:val="24"/>
        </w:rPr>
        <w:t xml:space="preserve">GOV.UK, 2023).</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u w:val="single"/>
        </w:rPr>
        <w:t xml:space="preserve">References</w:t>
      </w:r>
    </w:p>
    <w:p>
      <w:pPr/>
      <w:r>
        <w:rPr>
          <w:rFonts w:ascii="Times" w:hAnsi="Times" w:cs="Times"/>
          <w:sz w:val="24"/>
          <w:sz-cs w:val="24"/>
          <w:u w:val="single"/>
        </w:rPr>
        <w:t xml:space="preserve"/>
      </w:r>
    </w:p>
    <w:p>
      <w:pPr/>
      <w:r>
        <w:rPr>
          <w:rFonts w:ascii="Times" w:hAnsi="Times" w:cs="Times"/>
          <w:sz w:val="24"/>
          <w:sz-cs w:val="24"/>
        </w:rPr>
        <w:t xml:space="preserve">CPS (2020) </w:t>
      </w:r>
      <w:r>
        <w:rPr>
          <w:rFonts w:ascii="Times" w:hAnsi="Times" w:cs="Times"/>
          <w:sz w:val="24"/>
          <w:sz-cs w:val="24"/>
          <w:i/>
        </w:rPr>
        <w:t xml:space="preserve">Youth offenders</w:t>
      </w:r>
      <w:r>
        <w:rPr>
          <w:rFonts w:ascii="Times" w:hAnsi="Times" w:cs="Times"/>
          <w:sz w:val="24"/>
          <w:sz-cs w:val="24"/>
        </w:rPr>
        <w:t xml:space="preserve">, </w:t>
      </w:r>
      <w:r>
        <w:rPr>
          <w:rFonts w:ascii="Times" w:hAnsi="Times" w:cs="Times"/>
          <w:sz w:val="24"/>
          <w:sz-cs w:val="24"/>
          <w:i/>
        </w:rPr>
        <w:t xml:space="preserve">Youth Offenders | The Crown Prosecution Service</w:t>
      </w:r>
      <w:r>
        <w:rPr>
          <w:rFonts w:ascii="Times" w:hAnsi="Times" w:cs="Times"/>
          <w:sz w:val="24"/>
          <w:sz-cs w:val="24"/>
        </w:rPr>
        <w:t xml:space="preserve">. Available at: https://www.cps.gov.uk/legal-guidance/youth-offenders (Accessed: April 23, 2023). </w:t>
      </w:r>
    </w:p>
    <w:p>
      <w:pPr/>
      <w:r>
        <w:rPr>
          <w:rFonts w:ascii="Times" w:hAnsi="Times" w:cs="Times"/>
          <w:sz w:val="24"/>
          <w:sz-cs w:val="24"/>
        </w:rPr>
        <w:t xml:space="preserve"/>
      </w:r>
    </w:p>
    <w:p>
      <w:pPr/>
      <w:r>
        <w:rPr>
          <w:rFonts w:ascii="Times" w:hAnsi="Times" w:cs="Times"/>
          <w:sz w:val="24"/>
          <w:sz-cs w:val="24"/>
        </w:rPr>
        <w:t xml:space="preserve">Department for Education (2011) </w:t>
      </w:r>
      <w:r>
        <w:rPr>
          <w:rFonts w:ascii="Times" w:hAnsi="Times" w:cs="Times"/>
          <w:sz w:val="24"/>
          <w:sz-cs w:val="24"/>
          <w:i/>
        </w:rPr>
        <w:t xml:space="preserve">Prevention and reduction: A review of strategies for intervening early to prevent or reduce youth crime and anti-social behaviour</w:t>
      </w:r>
      <w:r>
        <w:rPr>
          <w:rFonts w:ascii="Times" w:hAnsi="Times" w:cs="Times"/>
          <w:sz w:val="24"/>
          <w:sz-cs w:val="24"/>
        </w:rPr>
        <w:t xml:space="preserve">, </w:t>
      </w:r>
      <w:r>
        <w:rPr>
          <w:rFonts w:ascii="Times" w:hAnsi="Times" w:cs="Times"/>
          <w:sz w:val="24"/>
          <w:sz-cs w:val="24"/>
          <w:i/>
        </w:rPr>
        <w:t xml:space="preserve">GOV.UK</w:t>
      </w:r>
      <w:r>
        <w:rPr>
          <w:rFonts w:ascii="Times" w:hAnsi="Times" w:cs="Times"/>
          <w:sz w:val="24"/>
          <w:sz-cs w:val="24"/>
        </w:rPr>
        <w:t xml:space="preserve">. GOV.UK. Available at: https://www.gov.uk/government/publications/prevention-and-reduction-a-review-of-strategies-for-intervening-early-to-prevent-or-reduce-youth-crime-and-anti-social-behaviour (Accessed: April 23, 2023). </w:t>
      </w:r>
    </w:p>
    <w:p>
      <w:pPr/>
      <w:r>
        <w:rPr>
          <w:rFonts w:ascii="Times" w:hAnsi="Times" w:cs="Times"/>
          <w:sz w:val="24"/>
          <w:sz-cs w:val="24"/>
        </w:rPr>
        <w:t xml:space="preserve"/>
      </w:r>
    </w:p>
    <w:p>
      <w:pPr/>
      <w:r>
        <w:rPr>
          <w:rFonts w:ascii="Times" w:hAnsi="Times" w:cs="Times"/>
          <w:sz w:val="24"/>
          <w:sz-cs w:val="24"/>
        </w:rPr>
        <w:t xml:space="preserve">Farrington, D. and Welsh, B. (2023) </w:t>
      </w:r>
      <w:r>
        <w:rPr>
          <w:rFonts w:ascii="Times" w:hAnsi="Times" w:cs="Times"/>
          <w:sz w:val="24"/>
          <w:sz-cs w:val="24"/>
          <w:i/>
        </w:rPr>
        <w:t xml:space="preserve">Saving children from a life of crime</w:t>
      </w:r>
      <w:r>
        <w:rPr>
          <w:rFonts w:ascii="Times" w:hAnsi="Times" w:cs="Times"/>
          <w:sz w:val="24"/>
          <w:sz-cs w:val="24"/>
        </w:rPr>
        <w:t xml:space="preserve">, </w:t>
      </w:r>
      <w:r>
        <w:rPr>
          <w:rFonts w:ascii="Times" w:hAnsi="Times" w:cs="Times"/>
          <w:sz w:val="24"/>
          <w:sz-cs w:val="24"/>
          <w:i/>
        </w:rPr>
        <w:t xml:space="preserve">Hardcover - David P. Farrington; Brandon C. Welsh - Oxford University Press</w:t>
      </w:r>
      <w:r>
        <w:rPr>
          <w:rFonts w:ascii="Times" w:hAnsi="Times" w:cs="Times"/>
          <w:sz w:val="24"/>
          <w:sz-cs w:val="24"/>
        </w:rPr>
        <w:t xml:space="preserve">. Available at: https://global.oup.com/academic/product/saving-children-from-a-life-of-crime-9780195304091 (Accessed: April 23, 2023). </w:t>
      </w:r>
    </w:p>
    <w:p>
      <w:pPr/>
      <w:r>
        <w:rPr>
          <w:rFonts w:ascii="Times" w:hAnsi="Times" w:cs="Times"/>
          <w:sz w:val="24"/>
          <w:sz-cs w:val="24"/>
        </w:rPr>
        <w:t xml:space="preserve"/>
      </w:r>
    </w:p>
    <w:p>
      <w:pPr/>
      <w:r>
        <w:rPr>
          <w:rFonts w:ascii="Times" w:hAnsi="Times" w:cs="Times"/>
          <w:sz w:val="24"/>
          <w:sz-cs w:val="24"/>
        </w:rPr>
        <w:t xml:space="preserve">GOV.UK (2017) </w:t>
      </w:r>
      <w:r>
        <w:rPr>
          <w:rFonts w:ascii="Times" w:hAnsi="Times" w:cs="Times"/>
          <w:sz w:val="24"/>
          <w:sz-cs w:val="24"/>
          <w:i/>
        </w:rPr>
        <w:t xml:space="preserve">Troubled families programme - gov.uk</w:t>
      </w:r>
      <w:r>
        <w:rPr>
          <w:rFonts w:ascii="Times" w:hAnsi="Times" w:cs="Times"/>
          <w:sz w:val="24"/>
          <w:sz-cs w:val="24"/>
        </w:rPr>
        <w:t xml:space="preserve">. Available at: https://assets.publishing.service.gov.uk/government/uploads/system/uploads/attachment_data/file/665504/Troubled_Families_-_Evaluation_Overview.pdf (Accessed: April 23, 2023). </w:t>
      </w:r>
    </w:p>
    <w:p>
      <w:pPr/>
      <w:r>
        <w:rPr>
          <w:rFonts w:ascii="Times" w:hAnsi="Times" w:cs="Times"/>
          <w:sz w:val="24"/>
          <w:sz-cs w:val="24"/>
        </w:rPr>
        <w:t xml:space="preserve"/>
      </w:r>
    </w:p>
    <w:p>
      <w:pPr/>
      <w:r>
        <w:rPr>
          <w:rFonts w:ascii="Times" w:hAnsi="Times" w:cs="Times"/>
          <w:sz w:val="24"/>
          <w:sz-cs w:val="24"/>
        </w:rPr>
        <w:t xml:space="preserve">GOV.UK (2023) </w:t>
      </w:r>
      <w:r>
        <w:rPr>
          <w:rFonts w:ascii="Times" w:hAnsi="Times" w:cs="Times"/>
          <w:sz w:val="24"/>
          <w:sz-cs w:val="24"/>
          <w:i/>
        </w:rPr>
        <w:t xml:space="preserve">Proven reoffending statistics: January to March 2021</w:t>
      </w:r>
      <w:r>
        <w:rPr>
          <w:rFonts w:ascii="Times" w:hAnsi="Times" w:cs="Times"/>
          <w:sz w:val="24"/>
          <w:sz-cs w:val="24"/>
        </w:rPr>
        <w:t xml:space="preserve">, </w:t>
      </w:r>
      <w:r>
        <w:rPr>
          <w:rFonts w:ascii="Times" w:hAnsi="Times" w:cs="Times"/>
          <w:sz w:val="24"/>
          <w:sz-cs w:val="24"/>
          <w:i/>
        </w:rPr>
        <w:t xml:space="preserve">GOV.UK</w:t>
      </w:r>
      <w:r>
        <w:rPr>
          <w:rFonts w:ascii="Times" w:hAnsi="Times" w:cs="Times"/>
          <w:sz w:val="24"/>
          <w:sz-cs w:val="24"/>
        </w:rPr>
        <w:t xml:space="preserve">. Available at: https://www.gov.uk/government/statistics/proven-reoffending-statistics-january-to-march-2021/proven-reoffending-statistics-january-to-march-2021 (Accessed: April 23, 2023). </w:t>
      </w:r>
    </w:p>
    <w:p>
      <w:pPr/>
      <w:r>
        <w:rPr>
          <w:rFonts w:ascii="Times" w:hAnsi="Times" w:cs="Times"/>
          <w:sz w:val="24"/>
          <w:sz-cs w:val="24"/>
        </w:rPr>
        <w:t xml:space="preserve"/>
      </w:r>
    </w:p>
    <w:p>
      <w:pPr/>
      <w:r>
        <w:rPr>
          <w:rFonts w:ascii="Times" w:hAnsi="Times" w:cs="Times"/>
          <w:sz w:val="24"/>
          <w:sz-cs w:val="24"/>
        </w:rPr>
        <w:t xml:space="preserve">Growing Against Violence (2022) </w:t>
      </w:r>
      <w:r>
        <w:rPr>
          <w:rFonts w:ascii="Times" w:hAnsi="Times" w:cs="Times"/>
          <w:sz w:val="24"/>
          <w:sz-cs w:val="24"/>
          <w:i/>
        </w:rPr>
        <w:t xml:space="preserve">Workshops</w:t>
      </w:r>
      <w:r>
        <w:rPr>
          <w:rFonts w:ascii="Times" w:hAnsi="Times" w:cs="Times"/>
          <w:sz w:val="24"/>
          <w:sz-cs w:val="24"/>
        </w:rPr>
        <w:t xml:space="preserve">, </w:t>
      </w:r>
      <w:r>
        <w:rPr>
          <w:rFonts w:ascii="Times" w:hAnsi="Times" w:cs="Times"/>
          <w:sz w:val="24"/>
          <w:sz-cs w:val="24"/>
          <w:i/>
        </w:rPr>
        <w:t xml:space="preserve">stopgangviolence</w:t>
      </w:r>
      <w:r>
        <w:rPr>
          <w:rFonts w:ascii="Times" w:hAnsi="Times" w:cs="Times"/>
          <w:sz w:val="24"/>
          <w:sz-cs w:val="24"/>
        </w:rPr>
        <w:t xml:space="preserve">. Available at: https://www.growingagainstviolence.org.uk/workshops (Accessed: April 23, 2023). </w:t>
      </w:r>
    </w:p>
    <w:p>
      <w:pPr/>
      <w:r>
        <w:rPr>
          <w:rFonts w:ascii="Times" w:hAnsi="Times" w:cs="Times"/>
          <w:sz w:val="24"/>
          <w:sz-cs w:val="24"/>
        </w:rPr>
        <w:t xml:space="preserve"/>
      </w:r>
    </w:p>
    <w:p>
      <w:pPr/>
      <w:r>
        <w:rPr>
          <w:rFonts w:ascii="Times" w:hAnsi="Times" w:cs="Times"/>
          <w:sz w:val="24"/>
          <w:sz-cs w:val="24"/>
        </w:rPr>
        <w:t xml:space="preserve">Jones, P. (2022) </w:t>
      </w:r>
      <w:r>
        <w:rPr>
          <w:rFonts w:ascii="Times" w:hAnsi="Times" w:cs="Times"/>
          <w:sz w:val="24"/>
          <w:sz-cs w:val="24"/>
          <w:i/>
        </w:rPr>
        <w:t xml:space="preserve">Crime in England and Wales: Year Ending June 2022</w:t>
      </w:r>
      <w:r>
        <w:rPr>
          <w:rFonts w:ascii="Times" w:hAnsi="Times" w:cs="Times"/>
          <w:sz w:val="24"/>
          <w:sz-cs w:val="24"/>
        </w:rPr>
        <w:t xml:space="preserve">, </w:t>
      </w:r>
      <w:r>
        <w:rPr>
          <w:rFonts w:ascii="Times" w:hAnsi="Times" w:cs="Times"/>
          <w:sz w:val="24"/>
          <w:sz-cs w:val="24"/>
          <w:i/>
        </w:rPr>
        <w:t xml:space="preserve">Crime in England and Wales - Office for National Statistics</w:t>
      </w:r>
      <w:r>
        <w:rPr>
          <w:rFonts w:ascii="Times" w:hAnsi="Times" w:cs="Times"/>
          <w:sz w:val="24"/>
          <w:sz-cs w:val="24"/>
        </w:rPr>
        <w:t xml:space="preserve">. Office for National Statistics. Available at: https://www.ons.gov.uk/peoplepopulationandcommunity/crimeandjustice/bulletins/crimeinenglandandwales/yearendingjune2022 (Accessed: April 23, 2023). </w:t>
      </w:r>
    </w:p>
    <w:p>
      <w:pPr/>
      <w:r>
        <w:rPr>
          <w:rFonts w:ascii="Times" w:hAnsi="Times" w:cs="Times"/>
          <w:sz w:val="24"/>
          <w:sz-cs w:val="24"/>
        </w:rPr>
        <w:t xml:space="preserve"/>
      </w:r>
    </w:p>
    <w:p>
      <w:pPr/>
      <w:r>
        <w:rPr>
          <w:rFonts w:ascii="Times" w:hAnsi="Times" w:cs="Times"/>
          <w:sz w:val="24"/>
          <w:sz-cs w:val="24"/>
        </w:rPr>
        <w:t xml:space="preserve">La Grutta, S. </w:t>
      </w:r>
      <w:r>
        <w:rPr>
          <w:rFonts w:ascii="Times" w:hAnsi="Times" w:cs="Times"/>
          <w:sz w:val="24"/>
          <w:sz-cs w:val="24"/>
          <w:i/>
        </w:rPr>
        <w:t xml:space="preserve">et al.</w:t>
      </w:r>
      <w:r>
        <w:rPr>
          <w:rFonts w:ascii="Times" w:hAnsi="Times" w:cs="Times"/>
          <w:sz w:val="24"/>
          <w:sz-cs w:val="24"/>
        </w:rPr>
        <w:t xml:space="preserve"> (2022) “Emotional competence in primary school children: Examining the effect of a psycho-educational group intervention: A pilot prospective study,” </w:t>
      </w:r>
      <w:r>
        <w:rPr>
          <w:rFonts w:ascii="Times" w:hAnsi="Times" w:cs="Times"/>
          <w:sz w:val="24"/>
          <w:sz-cs w:val="24"/>
          <w:i/>
        </w:rPr>
        <w:t xml:space="preserve">International Journal of Environmental Research and Public Health</w:t>
      </w:r>
      <w:r>
        <w:rPr>
          <w:rFonts w:ascii="Times" w:hAnsi="Times" w:cs="Times"/>
          <w:sz w:val="24"/>
          <w:sz-cs w:val="24"/>
        </w:rPr>
        <w:t xml:space="preserve">, 19(13), p. 7628. Available at: https://doi.org/10.3390/ijerph19137628. </w:t>
      </w:r>
    </w:p>
    <w:p>
      <w:pPr/>
      <w:r>
        <w:rPr>
          <w:rFonts w:ascii="Times" w:hAnsi="Times" w:cs="Times"/>
          <w:sz w:val="24"/>
          <w:sz-cs w:val="24"/>
        </w:rPr>
        <w:t xml:space="preserve"/>
      </w:r>
    </w:p>
    <w:p>
      <w:pPr/>
      <w:r>
        <w:rPr>
          <w:rFonts w:ascii="Times" w:hAnsi="Times" w:cs="Times"/>
          <w:sz w:val="24"/>
          <w:sz-cs w:val="24"/>
        </w:rPr>
        <w:t xml:space="preserve">Public Health England (2019) </w:t>
      </w:r>
      <w:r>
        <w:rPr>
          <w:rFonts w:ascii="Times" w:hAnsi="Times" w:cs="Times"/>
          <w:sz w:val="24"/>
          <w:sz-cs w:val="24"/>
          <w:i/>
        </w:rPr>
        <w:t xml:space="preserve">Collaborative approaches to preventing offending and re-offending by Children (Capricorn): Summary</w:t>
      </w:r>
      <w:r>
        <w:rPr>
          <w:rFonts w:ascii="Times" w:hAnsi="Times" w:cs="Times"/>
          <w:sz w:val="24"/>
          <w:sz-cs w:val="24"/>
        </w:rPr>
        <w:t xml:space="preserve">, </w:t>
      </w:r>
      <w:r>
        <w:rPr>
          <w:rFonts w:ascii="Times" w:hAnsi="Times" w:cs="Times"/>
          <w:sz w:val="24"/>
          <w:sz-cs w:val="24"/>
          <w:i/>
        </w:rPr>
        <w:t xml:space="preserve">GOV.UK</w:t>
      </w:r>
      <w:r>
        <w:rPr>
          <w:rFonts w:ascii="Times" w:hAnsi="Times" w:cs="Times"/>
          <w:sz w:val="24"/>
          <w:sz-cs w:val="24"/>
        </w:rPr>
        <w:t xml:space="preserve">. Available at: https://www.gov.uk/government/publications/preventing-offending-and-re-offending-by-children/collaborative-approaches-to-preventing-offending-and-re-offending-by-children-capricorn-summary (Accessed: April 23, 2023). </w:t>
      </w:r>
    </w:p>
    <w:p>
      <w:pPr/>
      <w:r>
        <w:rPr>
          <w:rFonts w:ascii="Times" w:hAnsi="Times" w:cs="Times"/>
          <w:sz w:val="24"/>
          <w:sz-cs w:val="24"/>
        </w:rPr>
        <w:t xml:space="preserve"/>
      </w:r>
    </w:p>
    <w:p>
      <w:pPr/>
      <w:r>
        <w:rPr>
          <w:rFonts w:ascii="Times" w:hAnsi="Times" w:cs="Times"/>
          <w:sz w:val="24"/>
          <w:sz-cs w:val="24"/>
        </w:rPr>
        <w:t xml:space="preserve">Sukhodolsky, D.G. </w:t>
      </w:r>
      <w:r>
        <w:rPr>
          <w:rFonts w:ascii="Times" w:hAnsi="Times" w:cs="Times"/>
          <w:sz w:val="24"/>
          <w:sz-cs w:val="24"/>
          <w:i/>
        </w:rPr>
        <w:t xml:space="preserve">et al.</w:t>
      </w:r>
      <w:r>
        <w:rPr>
          <w:rFonts w:ascii="Times" w:hAnsi="Times" w:cs="Times"/>
          <w:sz w:val="24"/>
          <w:sz-cs w:val="24"/>
        </w:rPr>
        <w:t xml:space="preserve"> (2019) “Behavioral interventions for irritability in children and adolescents,” </w:t>
      </w:r>
      <w:r>
        <w:rPr>
          <w:rFonts w:ascii="Times" w:hAnsi="Times" w:cs="Times"/>
          <w:sz w:val="24"/>
          <w:sz-cs w:val="24"/>
          <w:i/>
        </w:rPr>
        <w:t xml:space="preserve">Irritability in Pediatric Psychopathology</w:t>
      </w:r>
      <w:r>
        <w:rPr>
          <w:rFonts w:ascii="Times" w:hAnsi="Times" w:cs="Times"/>
          <w:sz w:val="24"/>
          <w:sz-cs w:val="24"/>
        </w:rPr>
        <w:t xml:space="preserve">, pp. 255–274. Available at: https://doi.org/10.1093/med-psych/9780190846800.003.0013. </w:t>
      </w:r>
    </w:p>
    <w:p>
      <w:pPr/>
      <w:r>
        <w:rPr>
          <w:rFonts w:ascii="Times" w:hAnsi="Times" w:cs="Times"/>
          <w:sz w:val="24"/>
          <w:sz-cs w:val="24"/>
        </w:rPr>
        <w:t xml:space="preserve"/>
      </w:r>
    </w:p>
    <w:p>
      <w:pPr/>
      <w:r>
        <w:rPr>
          <w:rFonts w:ascii="Times" w:hAnsi="Times" w:cs="Times"/>
          <w:sz w:val="24"/>
          <w:sz-cs w:val="24"/>
        </w:rPr>
        <w:t xml:space="preserve">The Criminal Justice Strategic Committee (2015) </w:t>
      </w:r>
      <w:r>
        <w:rPr>
          <w:rFonts w:ascii="Times" w:hAnsi="Times" w:cs="Times"/>
          <w:sz w:val="24"/>
          <w:sz-cs w:val="24"/>
          <w:i/>
        </w:rPr>
        <w:t xml:space="preserve">Criminal Justice Sectoral strategy 2022-2024</w:t>
      </w:r>
      <w:r>
        <w:rPr>
          <w:rFonts w:ascii="Times" w:hAnsi="Times" w:cs="Times"/>
          <w:sz w:val="24"/>
          <w:sz-cs w:val="24"/>
        </w:rPr>
        <w:t xml:space="preserve">. Available at: https://www.gov.ie/en/publication/ca8bf-criminal-justice-sectoral-strategy-2022-2024/ (Accessed: April 23, 2023). </w:t>
      </w:r>
    </w:p>
    <w:p>
      <w:pPr/>
      <w:r>
        <w:rPr>
          <w:rFonts w:ascii="Times" w:hAnsi="Times" w:cs="Times"/>
          <w:sz w:val="24"/>
          <w:sz-cs w:val="24"/>
        </w:rPr>
        <w:t xml:space="preserve"/>
      </w:r>
    </w:p>
    <w:p>
      <w:pPr/>
      <w:r>
        <w:rPr>
          <w:rFonts w:ascii="Times" w:hAnsi="Times" w:cs="Times"/>
          <w:sz w:val="24"/>
          <w:sz-cs w:val="24"/>
        </w:rPr>
        <w:t xml:space="preserve">Youth Justice Board for England and Wales (2023) </w:t>
      </w:r>
      <w:r>
        <w:rPr>
          <w:rFonts w:ascii="Times" w:hAnsi="Times" w:cs="Times"/>
          <w:sz w:val="24"/>
          <w:sz-cs w:val="24"/>
          <w:i/>
        </w:rPr>
        <w:t xml:space="preserve">Early intervention for lifelong benefits</w:t>
      </w:r>
      <w:r>
        <w:rPr>
          <w:rFonts w:ascii="Times" w:hAnsi="Times" w:cs="Times"/>
          <w:sz w:val="24"/>
          <w:sz-cs w:val="24"/>
        </w:rPr>
        <w:t xml:space="preserve">, </w:t>
      </w:r>
      <w:r>
        <w:rPr>
          <w:rFonts w:ascii="Times" w:hAnsi="Times" w:cs="Times"/>
          <w:sz w:val="24"/>
          <w:sz-cs w:val="24"/>
          <w:i/>
        </w:rPr>
        <w:t xml:space="preserve">GOV.UK</w:t>
      </w:r>
      <w:r>
        <w:rPr>
          <w:rFonts w:ascii="Times" w:hAnsi="Times" w:cs="Times"/>
          <w:sz w:val="24"/>
          <w:sz-cs w:val="24"/>
        </w:rPr>
        <w:t xml:space="preserve">. </w:t>
      </w:r>
    </w:p>
    <w:p>
      <w:pPr/>
      <w:r>
        <w:rPr>
          <w:rFonts w:ascii="Times" w:hAnsi="Times" w:cs="Times"/>
          <w:sz w:val="24"/>
          <w:sz-cs w:val="24"/>
        </w:rPr>
        <w:t xml:space="preserve">GOV.UK. Available at: https://www.gov.uk/government/news/early-intervention-for-lifelong-benefits (Accessed: April 23, 2023). </w:t>
      </w:r>
    </w:p>
    <w:p>
      <w:pPr/>
      <w:r>
        <w:rPr>
          <w:rFonts w:ascii="Times" w:hAnsi="Times" w:cs="Times"/>
          <w:sz w:val="24"/>
          <w:sz-cs w:val="24"/>
        </w:rPr>
        <w:t xml:space="preserve"/>
      </w:r>
    </w:p>
    <w:p>
      <w:pPr/>
      <w:r>
        <w:rPr>
          <w:rFonts w:ascii="Times" w:hAnsi="Times" w:cs="Times"/>
          <w:sz w:val="24"/>
          <w:sz-cs w:val="24"/>
        </w:rPr>
        <w:t xml:space="preserve">Youth.gov (2023) </w:t>
      </w:r>
      <w:r>
        <w:rPr>
          <w:rFonts w:ascii="Times" w:hAnsi="Times" w:cs="Times"/>
          <w:sz w:val="24"/>
          <w:sz-cs w:val="24"/>
          <w:i/>
        </w:rPr>
        <w:t xml:space="preserve">Prevention and early intervention</w:t>
      </w:r>
      <w:r>
        <w:rPr>
          <w:rFonts w:ascii="Times" w:hAnsi="Times" w:cs="Times"/>
          <w:sz w:val="24"/>
          <w:sz-cs w:val="24"/>
        </w:rPr>
        <w:t xml:space="preserve">, </w:t>
      </w:r>
      <w:r>
        <w:rPr>
          <w:rFonts w:ascii="Times" w:hAnsi="Times" w:cs="Times"/>
          <w:sz w:val="24"/>
          <w:sz-cs w:val="24"/>
          <w:i/>
        </w:rPr>
        <w:t xml:space="preserve">Prevention and Early Intervention | Youth.gov</w:t>
      </w:r>
      <w:r>
        <w:rPr>
          <w:rFonts w:ascii="Times" w:hAnsi="Times" w:cs="Times"/>
          <w:sz w:val="24"/>
          <w:sz-cs w:val="24"/>
        </w:rPr>
        <w:t xml:space="preserve">. Available at: https://youth.gov/youth-topics/juvenile-justice/prevention-and-early-intervention (Accessed: April 23, 2023).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b/>
          <w:color w:val="000000"/>
        </w:rPr>
        <w:t xml:space="preserve">Are partnership approaches the most effective means of rehabilitating offenders? You must use academic research, rather than personal opinion, to support your answer. You may make reference to relevant case studies.</w:t>
      </w:r>
    </w:p>
    <w:p>
      <w:pPr/>
      <w:r>
        <w:rPr>
          <w:rFonts w:ascii="Times" w:hAnsi="Times" w:cs="Times"/>
          <w:sz w:val="24"/>
          <w:sz-cs w:val="24"/>
          <w:b/>
          <w:color w:val="000000"/>
        </w:rPr>
        <w:t xml:space="preserve"/>
      </w:r>
    </w:p>
    <w:p>
      <w:pPr/>
      <w:r>
        <w:rPr>
          <w:rFonts w:ascii="Times" w:hAnsi="Times" w:cs="Times"/>
          <w:sz w:val="24"/>
          <w:sz-cs w:val="24"/>
          <w:color w:val="000000"/>
        </w:rPr>
        <w:t xml:space="preserve">The term partnership approach refers to relationships held between agencies who work together to meet a common goal. </w:t>
      </w:r>
    </w:p>
    <w:p>
      <w:pPr/>
      <w:r>
        <w:rPr>
          <w:rFonts w:ascii="Times" w:hAnsi="Times" w:cs="Times"/>
          <w:sz w:val="24"/>
          <w:sz-cs w:val="24"/>
          <w:color w:val="000000"/>
        </w:rPr>
        <w:t xml:space="preserve"/>
      </w:r>
    </w:p>
    <w:p>
      <w:pPr/>
      <w:r>
        <w:rPr>
          <w:rFonts w:ascii="Times" w:hAnsi="Times" w:cs="Times"/>
          <w:sz w:val="24"/>
          <w:sz-cs w:val="24"/>
          <w:color w:val="000000"/>
        </w:rPr>
        <w:t xml:space="preserve">Case study, known as ’Social Impact Bond pilot project’, states that over a lengthy period of time, the Ministry of Justice has worked alongside Social Finance in order to deliver rehabilitation services to male offenders who had been sentenced to less than a year of imprisonment. Under the partnership, Social Finance commissioned St Giles Trust as well as other organisations, to work alongside 3,000 prisoners both imprisoned and after release. This case study had been actioned within Peterborough HMP over a period of time where positive results followed. </w:t>
      </w:r>
    </w:p>
    <w:p>
      <w:pPr/>
      <w:r>
        <w:rPr>
          <w:rFonts w:ascii="Times" w:hAnsi="Times" w:cs="Times"/>
          <w:sz w:val="24"/>
          <w:sz-cs w:val="24"/>
          <w:color w:val="000000"/>
        </w:rPr>
        <w:t xml:space="preserve"/>
      </w:r>
    </w:p>
    <w:p>
      <w:pPr/>
      <w:r>
        <w:rPr>
          <w:rFonts w:ascii="Times" w:hAnsi="Times" w:cs="Times"/>
          <w:sz w:val="24"/>
          <w:sz-cs w:val="24"/>
          <w:color w:val="000000"/>
        </w:rPr>
        <w:t xml:space="preserve">By working alongside offenders, the organisations involved were able to provide individualised support to address specific needs relating to each offender. An example of these issues is accommodation following release from prison. In order to address these issues, partnerships were formed with local partners such as housing, job centre plus and work programmes. Results from this particular case study showed an 11% decline in offending following release. </w:t>
      </w:r>
    </w:p>
    <w:p>
      <w:pPr/>
      <w:r>
        <w:rPr>
          <w:rFonts w:ascii="Times" w:hAnsi="Times" w:cs="Times"/>
          <w:sz w:val="24"/>
          <w:sz-cs w:val="24"/>
          <w:color w:val="000000"/>
        </w:rPr>
        <w:t xml:space="preserve"/>
      </w:r>
    </w:p>
    <w:p>
      <w:pPr/>
      <w:r>
        <w:rPr>
          <w:rFonts w:ascii="Times" w:hAnsi="Times" w:cs="Times"/>
          <w:sz w:val="24"/>
          <w:sz-cs w:val="24"/>
          <w:color w:val="000000"/>
        </w:rPr>
        <w:t xml:space="preserve">Whilst offenders are serving their sentence within prison, volunteers and case workers will work alongside each offender on a weekly basis. During these visits, a need and risk assessment is undertaken so that case workers are able to make the appropriate referrals for each offender in order for offenders to access services within custody and following release. For example, specialist practitioners will offer a parenting course and drop-in service in order to support offender and offender families. </w:t>
      </w:r>
    </w:p>
    <w:p>
      <w:pPr/>
      <w:r>
        <w:rPr>
          <w:rFonts w:ascii="Times" w:hAnsi="Times" w:cs="Times"/>
          <w:sz w:val="24"/>
          <w:sz-cs w:val="24"/>
          <w:color w:val="000000"/>
        </w:rPr>
        <w:t xml:space="preserve"/>
      </w:r>
    </w:p>
    <w:p>
      <w:pPr/>
      <w:r>
        <w:rPr>
          <w:rFonts w:ascii="Times" w:hAnsi="Times" w:cs="Times"/>
          <w:sz w:val="24"/>
          <w:sz-cs w:val="24"/>
          <w:color w:val="000000"/>
        </w:rPr>
        <w:t xml:space="preserve">In order to support offenders who suffer with mental health issues, prison services work closely with Mind who is an organisation specifically focused and trained to deal with these problems. Organisations such as Mind will meet with offenders within prison to offer support.</w:t>
      </w:r>
    </w:p>
    <w:p>
      <w:pPr/>
      <w:r>
        <w:rPr>
          <w:rFonts w:ascii="Times" w:hAnsi="Times" w:cs="Times"/>
          <w:sz w:val="24"/>
          <w:sz-cs w:val="24"/>
          <w:color w:val="000000"/>
        </w:rPr>
        <w:t xml:space="preserve"/>
      </w:r>
    </w:p>
    <w:p>
      <w:pPr/>
      <w:r>
        <w:rPr>
          <w:rFonts w:ascii="Times" w:hAnsi="Times" w:cs="Times"/>
          <w:sz w:val="24"/>
          <w:sz-cs w:val="24"/>
          <w:color w:val="000000"/>
        </w:rPr>
        <w:t xml:space="preserve">On the day of release, partnership agencies such as the charity St Giles Trust will send support workers who have gained a relationship with the offenders, will escort such persons out of prison and help attend appointments and secure housing. During the weeks following release, St Giles Trust provide a hands on support to a multitude of services in order to address the needs reported by the offender. </w:t>
      </w:r>
    </w:p>
    <w:p>
      <w:pPr/>
      <w:r>
        <w:rPr>
          <w:rFonts w:ascii="Times" w:hAnsi="Times" w:cs="Times"/>
          <w:sz w:val="24"/>
          <w:sz-cs w:val="24"/>
          <w:color w:val="000000"/>
        </w:rPr>
        <w:t xml:space="preserve"/>
      </w:r>
    </w:p>
    <w:p>
      <w:pPr/>
      <w:r>
        <w:rPr>
          <w:rFonts w:ascii="Times" w:hAnsi="Times" w:cs="Times"/>
          <w:sz w:val="24"/>
          <w:sz-cs w:val="24"/>
          <w:color w:val="000000"/>
        </w:rPr>
        <w:t xml:space="preserve">This case study shows to the reader that by working closely with offenders and addressing the risk and need, a decrease in rehabilitation can be found. https://assets.publishing.service.gov.uk/government/uploads/system/uploads/attachment_data/file/325738/peterborough-phase-2-pilot-report.pdf</w:t>
      </w:r>
    </w:p>
    <w:p>
      <w:pPr/>
      <w:r>
        <w:rPr>
          <w:rFonts w:ascii="Times" w:hAnsi="Times" w:cs="Times"/>
          <w:sz w:val="24"/>
          <w:sz-cs w:val="24"/>
          <w:color w:val="000000"/>
        </w:rPr>
        <w:t xml:space="preserve"/>
      </w:r>
    </w:p>
    <w:p>
      <w:pPr/>
      <w:r>
        <w:rPr>
          <w:rFonts w:ascii="Times" w:hAnsi="Times" w:cs="Times"/>
          <w:sz w:val="24"/>
          <w:sz-cs w:val="24"/>
          <w:color w:val="000000"/>
        </w:rPr>
        <w:t xml:space="preserve">https://consult.justice.gov.uk/digital-communications/transforming-rehabilitation/supporting_documents/transformingrehabilitation.pdf</w:t>
      </w:r>
    </w:p>
    <w:sectPr>
      <w:pgSz w:w="11905" w:h="16837"/>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Annie Crouch</dc:creator>
</cp:coreProperties>
</file>

<file path=docProps/meta.xml><?xml version="1.0" encoding="utf-8"?>
<meta xmlns="http://schemas.apple.com/cocoa/2006/metadata">
  <generator>CocoaOOXMLWriter/1404.47</generator>
</meta>
</file>