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1E6CF" w14:textId="334F7943" w:rsidR="003C154C" w:rsidRPr="007552D5" w:rsidRDefault="003C154C" w:rsidP="006A35B8">
      <w:pPr>
        <w:spacing w:line="360" w:lineRule="auto"/>
        <w:jc w:val="center"/>
        <w:rPr>
          <w:sz w:val="24"/>
          <w:szCs w:val="24"/>
          <w:u w:val="single"/>
        </w:rPr>
      </w:pPr>
      <w:r w:rsidRPr="007552D5">
        <w:rPr>
          <w:sz w:val="24"/>
          <w:szCs w:val="24"/>
          <w:u w:val="single"/>
        </w:rPr>
        <w:t>Consider why a Greek hero – using the example of Achilles OR Alexander – might have been treated in Latin texts written after the fall of the Roman empire. Illustrate your answer with examples from no more than two texts.</w:t>
      </w:r>
    </w:p>
    <w:p w14:paraId="4F3D4F3C" w14:textId="44A89962" w:rsidR="00932C0F" w:rsidRPr="005849CB" w:rsidRDefault="00D47765" w:rsidP="006A35B8">
      <w:pPr>
        <w:spacing w:line="360" w:lineRule="auto"/>
      </w:pPr>
      <w:r w:rsidRPr="00DF152B">
        <w:t xml:space="preserve">Greek heroes were being written about long after the decline of Greece’s major influence on the world. </w:t>
      </w:r>
      <w:r w:rsidR="003E7A01" w:rsidRPr="00DF152B">
        <w:t xml:space="preserve">Their stories influenced societies across Europe, notably Rome and its empire. This influence also continued in the days past the collapse of this empire, into medieval Europe. </w:t>
      </w:r>
      <w:r w:rsidRPr="00DF152B">
        <w:t xml:space="preserve">One of these heroes, Alexander the Great, had many poems and stories written about him in both roman and post-roman texts. This essay will examine two of these post-roman texts, Walter of Chatillon’s </w:t>
      </w:r>
      <w:r w:rsidRPr="00DF152B">
        <w:rPr>
          <w:i/>
          <w:iCs/>
        </w:rPr>
        <w:t>Alexandreis</w:t>
      </w:r>
      <w:r w:rsidRPr="00DF152B">
        <w:t xml:space="preserve"> and </w:t>
      </w:r>
      <w:r w:rsidR="00C5217F" w:rsidRPr="00DF152B">
        <w:t xml:space="preserve">the </w:t>
      </w:r>
      <w:r w:rsidR="00C5217F" w:rsidRPr="00DF152B">
        <w:rPr>
          <w:i/>
          <w:iCs/>
        </w:rPr>
        <w:t>Deidamia Achilli</w:t>
      </w:r>
      <w:r w:rsidRPr="00DF152B">
        <w:t xml:space="preserve"> and attempt to explain how and why Alexander the Great was portrayed in that manner</w:t>
      </w:r>
      <w:r w:rsidR="00C5217F" w:rsidRPr="00DF152B">
        <w:t xml:space="preserve"> in text written </w:t>
      </w:r>
      <w:r w:rsidR="002E7938" w:rsidRPr="00DF152B">
        <w:t xml:space="preserve">in the era </w:t>
      </w:r>
      <w:r w:rsidR="00C5217F" w:rsidRPr="00DF152B">
        <w:t>pos</w:t>
      </w:r>
      <w:r w:rsidR="00675A13" w:rsidRPr="00DF152B">
        <w:t>t</w:t>
      </w:r>
      <w:r w:rsidR="00C5217F" w:rsidRPr="00DF152B">
        <w:t>-roman empire.</w:t>
      </w:r>
      <w:r w:rsidR="00C5217F">
        <w:t xml:space="preserve"> </w:t>
      </w:r>
    </w:p>
    <w:p w14:paraId="7A277073" w14:textId="4112E5CE" w:rsidR="00C5217F" w:rsidRPr="003C2DB3" w:rsidRDefault="003C2DB3" w:rsidP="006A35B8">
      <w:pPr>
        <w:spacing w:line="360" w:lineRule="auto"/>
      </w:pPr>
      <w:r w:rsidRPr="00DF152B">
        <w:t xml:space="preserve">The Alexandreis is </w:t>
      </w:r>
      <w:r w:rsidR="00472078" w:rsidRPr="00DF152B">
        <w:t xml:space="preserve">a </w:t>
      </w:r>
      <w:r w:rsidR="00DA4962" w:rsidRPr="00DF152B">
        <w:t>ten-book</w:t>
      </w:r>
      <w:r w:rsidR="00472078" w:rsidRPr="00DF152B">
        <w:t xml:space="preserve"> epic poem that details the life of Alexander the Great, his journey and achievements, up until his death. </w:t>
      </w:r>
      <w:r w:rsidR="00DA4962" w:rsidRPr="00DF152B">
        <w:t>Over two hundred manuscripts of this poem survive, mostly dating from the thirteenth, fourteenth, and fifteenth centuries.</w:t>
      </w:r>
      <w:r w:rsidR="00DA4962" w:rsidRPr="00DF152B">
        <w:rPr>
          <w:rStyle w:val="FootnoteReference"/>
        </w:rPr>
        <w:footnoteReference w:id="1"/>
      </w:r>
      <w:r w:rsidR="00DA4962" w:rsidRPr="00DF152B">
        <w:t xml:space="preserve"> </w:t>
      </w:r>
      <w:r w:rsidR="009035CF" w:rsidRPr="00DF152B">
        <w:t xml:space="preserve">It is believed that the poem itself was written and published somewhere around 1175-82 AD. </w:t>
      </w:r>
      <w:r w:rsidR="00183FC5" w:rsidRPr="00DF152B">
        <w:t xml:space="preserve">The poem mostly uses the writings of Quintus Curtius Rufus as a source, a popular Roman writer in the Medieval period, and thus focused more on Alexander as a character, rather than the stories of his deeds as showcased in Romantic tradition. </w:t>
      </w:r>
      <w:r w:rsidR="00932C0F" w:rsidRPr="00DF152B">
        <w:t xml:space="preserve">While Walter of Chatillon was aware of these fantastical stories, such as monsters that Alexander supposedly fought, they did not take a centre stage in his writing, only being referenced by offhand remarks. Walter of Chatillon also includes Christian material, such as material from the Old Testament being on Darius’ shield within his second book of the poem. Christianity was a staple of Walter’s time, </w:t>
      </w:r>
      <w:r w:rsidR="007C1B0B" w:rsidRPr="00DF152B">
        <w:t xml:space="preserve">being both the major religion and </w:t>
      </w:r>
      <w:r w:rsidR="009019A9" w:rsidRPr="00DF152B">
        <w:t xml:space="preserve">something </w:t>
      </w:r>
      <w:r w:rsidR="007C1B0B" w:rsidRPr="00DF152B">
        <w:t>that people centred their lives around. It could be that there was a need to include Christian material to reach and capture a wider audience with the poem.</w:t>
      </w:r>
      <w:r w:rsidR="007C1B0B">
        <w:t xml:space="preserve"> </w:t>
      </w:r>
    </w:p>
    <w:p w14:paraId="558716EF" w14:textId="5B2F0C4E" w:rsidR="00A05016" w:rsidRDefault="00A273D6" w:rsidP="006A35B8">
      <w:pPr>
        <w:spacing w:line="360" w:lineRule="auto"/>
      </w:pPr>
      <w:r>
        <w:t xml:space="preserve">There have been several interpretations on how Walter of Chatillon chose to treat Alexander the Great in his writing. </w:t>
      </w:r>
      <w:r w:rsidR="00D449F6">
        <w:t xml:space="preserve">One argument, presented by Lafferty, is that the </w:t>
      </w:r>
      <w:r w:rsidR="00D449F6">
        <w:rPr>
          <w:i/>
          <w:iCs/>
        </w:rPr>
        <w:t>Alexandreis</w:t>
      </w:r>
      <w:r w:rsidR="00D449F6">
        <w:t xml:space="preserve"> focuses on historical interpretation rather the Alexander as a historical figure. Her thesis is that the </w:t>
      </w:r>
      <w:r w:rsidR="00D449F6">
        <w:rPr>
          <w:i/>
          <w:iCs/>
        </w:rPr>
        <w:t xml:space="preserve">Alexandreis </w:t>
      </w:r>
      <w:r w:rsidR="00D449F6">
        <w:t>is a poem on the “problematic nature of interpretation”</w:t>
      </w:r>
      <w:r w:rsidR="00A240E0">
        <w:t>, and that Walter’s goal is to encourage readers to “question the assumptions they bring to his text”.</w:t>
      </w:r>
      <w:r w:rsidR="00DF152B">
        <w:rPr>
          <w:rStyle w:val="FootnoteReference"/>
        </w:rPr>
        <w:footnoteReference w:id="2"/>
      </w:r>
      <w:r w:rsidR="00DF152B">
        <w:t xml:space="preserve"> </w:t>
      </w:r>
      <w:r w:rsidR="001C7D3B">
        <w:t xml:space="preserve">Because Walter takes most of his inspiration (assumedly) from Quintus Curtius Rufus, he paints a picture of an Alexander who is more </w:t>
      </w:r>
      <w:r w:rsidR="001C7D3B">
        <w:lastRenderedPageBreak/>
        <w:t xml:space="preserve">of a person in power over a figure of myth and story. </w:t>
      </w:r>
      <w:r w:rsidR="00A05016">
        <w:t xml:space="preserve">The </w:t>
      </w:r>
      <w:r w:rsidR="00D0305E">
        <w:t xml:space="preserve">poem takes great lengths </w:t>
      </w:r>
      <w:r w:rsidR="00A05016">
        <w:t xml:space="preserve">to emphasise how cornerstones of ancient epics, such as </w:t>
      </w:r>
      <w:r w:rsidR="00D0305E">
        <w:t xml:space="preserve">the curiosity about Nature and the logic of Greek and Roman philosophy, only drive Alexander away from discovery and awareness rather than towards it. This could be seen as a drive away from how epic poetry from earlier periods was both written and interpreted, as well as trying to distance itself from the assumptions that come from the genre. </w:t>
      </w:r>
    </w:p>
    <w:p w14:paraId="1CF621F0" w14:textId="262DEF1E" w:rsidR="00065428" w:rsidRDefault="007A1DEF" w:rsidP="006A35B8">
      <w:pPr>
        <w:spacing w:line="360" w:lineRule="auto"/>
      </w:pPr>
      <w:r>
        <w:t xml:space="preserve">It could be theorized that the </w:t>
      </w:r>
      <w:r>
        <w:rPr>
          <w:i/>
          <w:iCs/>
        </w:rPr>
        <w:t>Alexandreis</w:t>
      </w:r>
      <w:r>
        <w:t xml:space="preserve"> was made to satirize the heroes of ancient epic, and to point out their flaws alongside their deeds. </w:t>
      </w:r>
      <w:r w:rsidR="00DE347F">
        <w:t xml:space="preserve">This approach of the satirical could come from the increasing breakaway from </w:t>
      </w:r>
      <w:r w:rsidR="00744DE8">
        <w:t>classical</w:t>
      </w:r>
      <w:r w:rsidR="00DE347F">
        <w:t xml:space="preserve"> ideas and philosophy. </w:t>
      </w:r>
      <w:r w:rsidR="00065428">
        <w:t>For example, Alexander’s imitation of the Greek hero Achilles could be seen as a negative to his character, as Achilles was known for his flaws more often than his strengths. This association, alongside Alexander’s strong emphasis on heroic glory over anything else places doubt on this medium of epic poetry as a type of ethical education for its readers.</w:t>
      </w:r>
      <w:r w:rsidR="00065428">
        <w:rPr>
          <w:rStyle w:val="FootnoteReference"/>
        </w:rPr>
        <w:footnoteReference w:id="3"/>
      </w:r>
      <w:r w:rsidR="00065428">
        <w:t xml:space="preserve"> </w:t>
      </w:r>
      <w:r w:rsidR="00A007EB">
        <w:t>However, i</w:t>
      </w:r>
      <w:r w:rsidR="00C676EC">
        <w:t xml:space="preserve">t could also be argued that this portrayal of Alexander the great was inspired by and created as </w:t>
      </w:r>
      <w:r w:rsidR="00A007EB">
        <w:t xml:space="preserve">a version that would be much better suited to inspire the </w:t>
      </w:r>
      <w:r w:rsidR="00CB6AE4">
        <w:t>modern-day</w:t>
      </w:r>
      <w:r w:rsidR="00A007EB">
        <w:t xml:space="preserve"> rulers of the period. While Alexander the Great was a figure of importance to those in power, the classical interpretations of him did not fit the values of a Medieval Christian society. Therefore, Walter of Chatillon’s interpretation allows medieval rulers to draw inspiration from a common name while also fitting their perceived values and social rules. </w:t>
      </w:r>
      <w:r w:rsidR="00CB6AE4">
        <w:t xml:space="preserve">Another </w:t>
      </w:r>
      <w:r w:rsidR="00CB6AE4">
        <w:t>lesser-known</w:t>
      </w:r>
      <w:r w:rsidR="00CB6AE4">
        <w:t xml:space="preserve"> interpretation of the </w:t>
      </w:r>
      <w:r w:rsidR="00CB6AE4">
        <w:rPr>
          <w:i/>
          <w:iCs/>
        </w:rPr>
        <w:t>Alexandreis</w:t>
      </w:r>
      <w:r w:rsidR="00CB6AE4">
        <w:t xml:space="preserve"> is that it was created to explore </w:t>
      </w:r>
      <w:r w:rsidR="00CB6AE4">
        <w:t xml:space="preserve">the concept of poetry in a new era. By using an already well-known figure, Walter of Chatillon was free to explore an existing medium and adapt it for a new age and era. </w:t>
      </w:r>
    </w:p>
    <w:p w14:paraId="7F5C3026" w14:textId="7588D23B" w:rsidR="00A05016" w:rsidRPr="00A05016" w:rsidRDefault="00DE347F" w:rsidP="006A35B8">
      <w:pPr>
        <w:spacing w:line="360" w:lineRule="auto"/>
        <w:rPr>
          <w:i/>
          <w:iCs/>
        </w:rPr>
      </w:pPr>
      <w:r>
        <w:t xml:space="preserve">With the rise in popularity of Christianity, </w:t>
      </w:r>
      <w:r w:rsidR="00744DE8">
        <w:t>the ideas of heroes and mythical creatures in the classical Greek or Roman style became less and less prevalent</w:t>
      </w:r>
      <w:r w:rsidR="00B5181B">
        <w:t xml:space="preserve"> in society. </w:t>
      </w:r>
      <w:r w:rsidR="00056F82">
        <w:t>The attempt to portray Alexander as a historical figure based more in fact than in myth could stem from this rejection of Roman ideas.</w:t>
      </w:r>
      <w:r w:rsidR="000C5DBF">
        <w:t xml:space="preserve"> Furthermore, the inclusion of Christian ideas and mythos within the portrayal of Alexander could be an attempt to not only adjust but to reclaim Alexander’s story for a then-modern ideal of the world. </w:t>
      </w:r>
    </w:p>
    <w:p w14:paraId="3B37B858" w14:textId="68770AD5" w:rsidR="00DA4962" w:rsidRDefault="000C5DBF" w:rsidP="006A35B8">
      <w:pPr>
        <w:spacing w:line="360" w:lineRule="auto"/>
      </w:pPr>
      <w:r>
        <w:t>Additionally,</w:t>
      </w:r>
      <w:r w:rsidR="00056F82">
        <w:t xml:space="preserve"> </w:t>
      </w:r>
      <w:r>
        <w:t xml:space="preserve">with the rise of Christianity also came Crusades, and there is an argument to be made that the portrayal of Alexander the Great </w:t>
      </w:r>
      <w:r w:rsidR="00D0305E">
        <w:t>as a form of proto crusader</w:t>
      </w:r>
      <w:r>
        <w:t xml:space="preserve">, who paves the way for the Greeks, Romans, and then the Crusaders themselves. </w:t>
      </w:r>
      <w:r w:rsidR="002E146D">
        <w:t xml:space="preserve">Lafferty points out that Walter of Chatillon uses the tomb of Darius to question the relevance of history to kings of a secular nature. </w:t>
      </w:r>
      <w:r w:rsidR="00863753">
        <w:t xml:space="preserve">The inclusion of biblical ideas creates a narrative that Alexander was a part of the lead up to crusading, </w:t>
      </w:r>
      <w:r w:rsidR="00863753">
        <w:lastRenderedPageBreak/>
        <w:t xml:space="preserve">and Alexander’s campaigns in the East relate incredibly well to the crusades of the eleventh to thirteenth centuries, the latter part of this period being when the poem was first published. </w:t>
      </w:r>
    </w:p>
    <w:p w14:paraId="046ED413" w14:textId="040A6867" w:rsidR="003E7A01" w:rsidRPr="002F3A3B" w:rsidRDefault="002F3A3B" w:rsidP="006A35B8">
      <w:pPr>
        <w:spacing w:line="360" w:lineRule="auto"/>
      </w:pPr>
      <w:r>
        <w:t xml:space="preserve">In conclusion, Alexander the Great was </w:t>
      </w:r>
      <w:r w:rsidR="00863753">
        <w:t xml:space="preserve">adjusted heavily </w:t>
      </w:r>
      <w:r>
        <w:t xml:space="preserve">in texts written after the fall of the Roman Empire. </w:t>
      </w:r>
      <w:r w:rsidR="00CF1AEC">
        <w:t>The rise in Christianity and the changes of values in a post-</w:t>
      </w:r>
      <w:r w:rsidR="00DC3E32">
        <w:t>roman empire world meant that stories of Alexander were adjusted for a new set of societal rules</w:t>
      </w:r>
      <w:r w:rsidR="006F106A">
        <w:t xml:space="preserve"> and justifications. </w:t>
      </w:r>
      <w:r w:rsidR="003C0F2D">
        <w:t xml:space="preserve">Alexander was adjusted as a figurehead for the Medieval writers, just as he was adjusted by Roman and Greek Philosophers. </w:t>
      </w:r>
    </w:p>
    <w:p w14:paraId="36B5DA8F" w14:textId="1E53E760" w:rsidR="003E7A01" w:rsidRDefault="003E7A01" w:rsidP="006A35B8">
      <w:pPr>
        <w:spacing w:line="360" w:lineRule="auto"/>
        <w:rPr>
          <w:b/>
          <w:bCs/>
        </w:rPr>
      </w:pPr>
    </w:p>
    <w:p w14:paraId="13E00AF2" w14:textId="441947FD" w:rsidR="003C0F2D" w:rsidRDefault="003C0F2D" w:rsidP="006A35B8">
      <w:pPr>
        <w:spacing w:line="360" w:lineRule="auto"/>
      </w:pPr>
      <w:r>
        <w:t xml:space="preserve">[Word Count – 1,041 words] </w:t>
      </w:r>
    </w:p>
    <w:p w14:paraId="18EB83D0" w14:textId="1E2C804E" w:rsidR="003C0F2D" w:rsidRDefault="003C0F2D" w:rsidP="006A35B8">
      <w:pPr>
        <w:spacing w:line="360" w:lineRule="auto"/>
      </w:pPr>
    </w:p>
    <w:p w14:paraId="2C42FD97" w14:textId="10B42135" w:rsidR="003C0F2D" w:rsidRDefault="003C0F2D" w:rsidP="006A35B8">
      <w:pPr>
        <w:spacing w:line="360" w:lineRule="auto"/>
        <w:rPr>
          <w:b/>
          <w:bCs/>
        </w:rPr>
      </w:pPr>
      <w:r>
        <w:rPr>
          <w:b/>
          <w:bCs/>
        </w:rPr>
        <w:t xml:space="preserve">Bibliography </w:t>
      </w:r>
    </w:p>
    <w:p w14:paraId="696AA10E" w14:textId="148DF250" w:rsidR="006A35B8" w:rsidRDefault="006A35B8" w:rsidP="006A35B8">
      <w:pPr>
        <w:spacing w:line="360" w:lineRule="auto"/>
      </w:pPr>
      <w:r>
        <w:t>Kratz, Dennis M. Speculum, vol 75, no. 4, 2000, pp.953-54.</w:t>
      </w:r>
    </w:p>
    <w:p w14:paraId="249598BE" w14:textId="77777777" w:rsidR="006A35B8" w:rsidRDefault="006A35B8" w:rsidP="006A35B8">
      <w:pPr>
        <w:spacing w:line="360" w:lineRule="auto"/>
        <w:rPr>
          <w:b/>
          <w:bCs/>
        </w:rPr>
      </w:pPr>
    </w:p>
    <w:p w14:paraId="582D0E94" w14:textId="77777777" w:rsidR="003C0F2D" w:rsidRDefault="003C0F2D" w:rsidP="006A35B8">
      <w:pPr>
        <w:pStyle w:val="FootnoteText"/>
        <w:spacing w:line="360" w:lineRule="auto"/>
      </w:pPr>
      <w:r>
        <w:t xml:space="preserve">Lafferty, Maura K. Walter of Chatillon’s Alexandreis: Epic and the Problem of Historical Understanding. Turnhout, Belgium: </w:t>
      </w:r>
      <w:proofErr w:type="spellStart"/>
      <w:r>
        <w:t>Brepols</w:t>
      </w:r>
      <w:proofErr w:type="spellEnd"/>
      <w:r>
        <w:t xml:space="preserve">, 1998. Publications of the journal of Medieval Latin. 180-1 </w:t>
      </w:r>
    </w:p>
    <w:p w14:paraId="3B61490D" w14:textId="78AD030B" w:rsidR="003C0F2D" w:rsidRDefault="003C0F2D" w:rsidP="006A35B8">
      <w:pPr>
        <w:spacing w:line="360" w:lineRule="auto"/>
      </w:pPr>
    </w:p>
    <w:p w14:paraId="205AA8F8" w14:textId="51110231" w:rsidR="006A35B8" w:rsidRDefault="006A35B8" w:rsidP="006A35B8">
      <w:pPr>
        <w:spacing w:line="360" w:lineRule="auto"/>
      </w:pPr>
      <w:r>
        <w:t xml:space="preserve">Townsend, David. </w:t>
      </w:r>
      <w:r>
        <w:rPr>
          <w:i/>
          <w:iCs/>
        </w:rPr>
        <w:t xml:space="preserve">The ‘Alexandreis’ of  Walter of </w:t>
      </w:r>
      <w:proofErr w:type="spellStart"/>
      <w:r>
        <w:rPr>
          <w:i/>
          <w:iCs/>
        </w:rPr>
        <w:t>Chatilon</w:t>
      </w:r>
      <w:proofErr w:type="spellEnd"/>
      <w:r>
        <w:rPr>
          <w:i/>
          <w:iCs/>
        </w:rPr>
        <w:t xml:space="preserve">: A Twelfth-Century </w:t>
      </w:r>
      <w:r w:rsidRPr="003C0F2D">
        <w:t>Epic</w:t>
      </w:r>
      <w:r>
        <w:t xml:space="preserve">, University of Pennsylvania Press, 1996, </w:t>
      </w:r>
      <w:proofErr w:type="spellStart"/>
      <w:r>
        <w:t>pp.xi</w:t>
      </w:r>
      <w:proofErr w:type="spellEnd"/>
      <w:r>
        <w:t>-xxvi</w:t>
      </w:r>
    </w:p>
    <w:p w14:paraId="1D9192F8" w14:textId="77777777" w:rsidR="003C0F2D" w:rsidRPr="003C0F2D" w:rsidRDefault="003C0F2D" w:rsidP="006A35B8">
      <w:pPr>
        <w:spacing w:line="360" w:lineRule="auto"/>
      </w:pPr>
    </w:p>
    <w:p w14:paraId="69CEECF5" w14:textId="77777777" w:rsidR="003E7A01" w:rsidRPr="003E7A01" w:rsidRDefault="003E7A01" w:rsidP="006A35B8">
      <w:pPr>
        <w:spacing w:line="360" w:lineRule="auto"/>
        <w:rPr>
          <w:b/>
          <w:bCs/>
        </w:rPr>
      </w:pPr>
    </w:p>
    <w:p w14:paraId="76108F45" w14:textId="77777777" w:rsidR="003C154C" w:rsidRDefault="003C154C" w:rsidP="006A35B8">
      <w:pPr>
        <w:spacing w:line="360" w:lineRule="auto"/>
      </w:pPr>
    </w:p>
    <w:sectPr w:rsidR="003C15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6F6A6" w14:textId="77777777" w:rsidR="00846535" w:rsidRDefault="00846535" w:rsidP="00DA4962">
      <w:pPr>
        <w:spacing w:after="0" w:line="240" w:lineRule="auto"/>
      </w:pPr>
      <w:r>
        <w:separator/>
      </w:r>
    </w:p>
  </w:endnote>
  <w:endnote w:type="continuationSeparator" w:id="0">
    <w:p w14:paraId="3F8D28B7" w14:textId="77777777" w:rsidR="00846535" w:rsidRDefault="00846535" w:rsidP="00DA4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EC3B5" w14:textId="77777777" w:rsidR="00846535" w:rsidRDefault="00846535" w:rsidP="00DA4962">
      <w:pPr>
        <w:spacing w:after="0" w:line="240" w:lineRule="auto"/>
      </w:pPr>
      <w:r>
        <w:separator/>
      </w:r>
    </w:p>
  </w:footnote>
  <w:footnote w:type="continuationSeparator" w:id="0">
    <w:p w14:paraId="4F1FB1E4" w14:textId="77777777" w:rsidR="00846535" w:rsidRDefault="00846535" w:rsidP="00DA4962">
      <w:pPr>
        <w:spacing w:after="0" w:line="240" w:lineRule="auto"/>
      </w:pPr>
      <w:r>
        <w:continuationSeparator/>
      </w:r>
    </w:p>
  </w:footnote>
  <w:footnote w:id="1">
    <w:p w14:paraId="04C7DFE5" w14:textId="621667B7" w:rsidR="00DA4962" w:rsidRPr="003C0F2D" w:rsidRDefault="00DA4962" w:rsidP="003C0F2D">
      <w:pPr>
        <w:rPr>
          <w:rFonts w:ascii="Times New Roman" w:eastAsia="Times New Roman" w:hAnsi="Times New Roman" w:cs="Times New Roman"/>
          <w:sz w:val="24"/>
          <w:szCs w:val="24"/>
          <w:lang w:eastAsia="en-GB"/>
        </w:rPr>
      </w:pPr>
      <w:r>
        <w:rPr>
          <w:rStyle w:val="FootnoteReference"/>
        </w:rPr>
        <w:footnoteRef/>
      </w:r>
      <w:r>
        <w:t xml:space="preserve"> </w:t>
      </w:r>
      <w:r w:rsidR="003C0F2D">
        <w:t xml:space="preserve">Townsend, David. </w:t>
      </w:r>
      <w:r w:rsidR="003C0F2D">
        <w:rPr>
          <w:i/>
          <w:iCs/>
        </w:rPr>
        <w:t xml:space="preserve">The ‘Alexandreis’ of  Walter of </w:t>
      </w:r>
      <w:proofErr w:type="spellStart"/>
      <w:r w:rsidR="003C0F2D">
        <w:rPr>
          <w:i/>
          <w:iCs/>
        </w:rPr>
        <w:t>Chatilon</w:t>
      </w:r>
      <w:proofErr w:type="spellEnd"/>
      <w:r w:rsidR="003C0F2D">
        <w:rPr>
          <w:i/>
          <w:iCs/>
        </w:rPr>
        <w:t xml:space="preserve">: A Twelfth-Century </w:t>
      </w:r>
      <w:r w:rsidR="003C0F2D" w:rsidRPr="003C0F2D">
        <w:t>Epic</w:t>
      </w:r>
      <w:r w:rsidR="003C0F2D">
        <w:t xml:space="preserve">, University of Pennsylvania Press, 1996, </w:t>
      </w:r>
      <w:proofErr w:type="spellStart"/>
      <w:r w:rsidR="003C0F2D">
        <w:t>pp.xi</w:t>
      </w:r>
      <w:proofErr w:type="spellEnd"/>
      <w:r w:rsidR="003C0F2D">
        <w:t>-xxvi</w:t>
      </w:r>
      <w:r w:rsidRPr="00DA4962">
        <w:rPr>
          <w:rFonts w:ascii="Times New Roman" w:eastAsia="Times New Roman" w:hAnsi="Times New Roman" w:cs="Times New Roman"/>
          <w:sz w:val="24"/>
          <w:szCs w:val="24"/>
          <w:lang w:eastAsia="en-GB"/>
        </w:rPr>
        <w:t xml:space="preserve"> </w:t>
      </w:r>
    </w:p>
  </w:footnote>
  <w:footnote w:id="2">
    <w:p w14:paraId="08A8BE64" w14:textId="1095D19E" w:rsidR="00DF152B" w:rsidRPr="003C0F2D" w:rsidRDefault="00DF152B" w:rsidP="003C0F2D">
      <w:pPr>
        <w:rPr>
          <w:rFonts w:ascii="Times New Roman" w:eastAsia="Times New Roman" w:hAnsi="Times New Roman" w:cs="Times New Roman"/>
          <w:sz w:val="24"/>
          <w:szCs w:val="24"/>
          <w:lang w:eastAsia="en-GB"/>
        </w:rPr>
      </w:pPr>
      <w:r>
        <w:rPr>
          <w:rStyle w:val="FootnoteReference"/>
        </w:rPr>
        <w:footnoteRef/>
      </w:r>
      <w:r>
        <w:t xml:space="preserve"> </w:t>
      </w:r>
      <w:r w:rsidR="003C0F2D">
        <w:t xml:space="preserve">Kratz, Dennis M. Speculum, vol 75, no. 4, 2000, pp.953-54. </w:t>
      </w:r>
    </w:p>
  </w:footnote>
  <w:footnote w:id="3">
    <w:p w14:paraId="766ACC13" w14:textId="02F9977A" w:rsidR="00065428" w:rsidRDefault="00065428">
      <w:pPr>
        <w:pStyle w:val="FootnoteText"/>
      </w:pPr>
      <w:r>
        <w:rPr>
          <w:rStyle w:val="FootnoteReference"/>
        </w:rPr>
        <w:footnoteRef/>
      </w:r>
      <w:r>
        <w:t xml:space="preserve"> Lafferty</w:t>
      </w:r>
      <w:r w:rsidR="00CF1AEC">
        <w:t xml:space="preserve">, Maura K. Walter of Chatillon’s Alexandreis: Epic and the Problem of Historical Understanding. Turnhout, Belgium: </w:t>
      </w:r>
      <w:proofErr w:type="spellStart"/>
      <w:r w:rsidR="00CF1AEC">
        <w:t>Brepols</w:t>
      </w:r>
      <w:proofErr w:type="spellEnd"/>
      <w:r w:rsidR="00CF1AEC">
        <w:t xml:space="preserve">, </w:t>
      </w:r>
      <w:r>
        <w:t>199</w:t>
      </w:r>
      <w:r w:rsidR="00CF1AEC">
        <w:t xml:space="preserve">8. Publications of the journal of Medieval Latin. </w:t>
      </w:r>
      <w:r>
        <w:t xml:space="preserve">180-1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674414"/>
    <w:multiLevelType w:val="hybridMultilevel"/>
    <w:tmpl w:val="26CE11D6"/>
    <w:lvl w:ilvl="0" w:tplc="991AF7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3435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54C"/>
    <w:rsid w:val="00056F82"/>
    <w:rsid w:val="000609B5"/>
    <w:rsid w:val="00065428"/>
    <w:rsid w:val="000C5DBF"/>
    <w:rsid w:val="00146892"/>
    <w:rsid w:val="00183C16"/>
    <w:rsid w:val="00183FC5"/>
    <w:rsid w:val="001C7D3B"/>
    <w:rsid w:val="0021215D"/>
    <w:rsid w:val="00255A22"/>
    <w:rsid w:val="002D3789"/>
    <w:rsid w:val="002E146D"/>
    <w:rsid w:val="002E7938"/>
    <w:rsid w:val="002F3A3B"/>
    <w:rsid w:val="00340FFE"/>
    <w:rsid w:val="003C0F2D"/>
    <w:rsid w:val="003C154C"/>
    <w:rsid w:val="003C2DB3"/>
    <w:rsid w:val="003E7A01"/>
    <w:rsid w:val="00472078"/>
    <w:rsid w:val="00487225"/>
    <w:rsid w:val="005849CB"/>
    <w:rsid w:val="005C1A17"/>
    <w:rsid w:val="00675A13"/>
    <w:rsid w:val="006A35B8"/>
    <w:rsid w:val="006F106A"/>
    <w:rsid w:val="00744DE8"/>
    <w:rsid w:val="007552D5"/>
    <w:rsid w:val="007A1DEF"/>
    <w:rsid w:val="007C1B0B"/>
    <w:rsid w:val="00846535"/>
    <w:rsid w:val="00863753"/>
    <w:rsid w:val="008A60DA"/>
    <w:rsid w:val="009019A9"/>
    <w:rsid w:val="009035CF"/>
    <w:rsid w:val="00932C0F"/>
    <w:rsid w:val="00A007EB"/>
    <w:rsid w:val="00A05016"/>
    <w:rsid w:val="00A240E0"/>
    <w:rsid w:val="00A273D6"/>
    <w:rsid w:val="00A96C6F"/>
    <w:rsid w:val="00AD7720"/>
    <w:rsid w:val="00AF45C7"/>
    <w:rsid w:val="00B5181B"/>
    <w:rsid w:val="00B64316"/>
    <w:rsid w:val="00C5217F"/>
    <w:rsid w:val="00C56231"/>
    <w:rsid w:val="00C676EC"/>
    <w:rsid w:val="00CB6AE4"/>
    <w:rsid w:val="00CF1AEC"/>
    <w:rsid w:val="00D0305E"/>
    <w:rsid w:val="00D449F6"/>
    <w:rsid w:val="00D47765"/>
    <w:rsid w:val="00DA4962"/>
    <w:rsid w:val="00DB0C31"/>
    <w:rsid w:val="00DC3E32"/>
    <w:rsid w:val="00DD3C14"/>
    <w:rsid w:val="00DE347F"/>
    <w:rsid w:val="00DF1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E77A0"/>
  <w15:chartTrackingRefBased/>
  <w15:docId w15:val="{8559D129-53B4-4D02-A0E1-2B01D31D4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3C14"/>
    <w:rPr>
      <w:color w:val="0563C1" w:themeColor="hyperlink"/>
      <w:u w:val="single"/>
    </w:rPr>
  </w:style>
  <w:style w:type="character" w:styleId="UnresolvedMention">
    <w:name w:val="Unresolved Mention"/>
    <w:basedOn w:val="DefaultParagraphFont"/>
    <w:uiPriority w:val="99"/>
    <w:semiHidden/>
    <w:unhideWhenUsed/>
    <w:rsid w:val="00DD3C14"/>
    <w:rPr>
      <w:color w:val="605E5C"/>
      <w:shd w:val="clear" w:color="auto" w:fill="E1DFDD"/>
    </w:rPr>
  </w:style>
  <w:style w:type="character" w:styleId="FollowedHyperlink">
    <w:name w:val="FollowedHyperlink"/>
    <w:basedOn w:val="DefaultParagraphFont"/>
    <w:uiPriority w:val="99"/>
    <w:semiHidden/>
    <w:unhideWhenUsed/>
    <w:rsid w:val="00487225"/>
    <w:rPr>
      <w:color w:val="954F72" w:themeColor="followedHyperlink"/>
      <w:u w:val="single"/>
    </w:rPr>
  </w:style>
  <w:style w:type="paragraph" w:styleId="FootnoteText">
    <w:name w:val="footnote text"/>
    <w:basedOn w:val="Normal"/>
    <w:link w:val="FootnoteTextChar"/>
    <w:uiPriority w:val="99"/>
    <w:semiHidden/>
    <w:unhideWhenUsed/>
    <w:rsid w:val="00DA49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4962"/>
    <w:rPr>
      <w:sz w:val="20"/>
      <w:szCs w:val="20"/>
    </w:rPr>
  </w:style>
  <w:style w:type="character" w:styleId="FootnoteReference">
    <w:name w:val="footnote reference"/>
    <w:basedOn w:val="DefaultParagraphFont"/>
    <w:uiPriority w:val="99"/>
    <w:semiHidden/>
    <w:unhideWhenUsed/>
    <w:rsid w:val="00DA4962"/>
    <w:rPr>
      <w:vertAlign w:val="superscript"/>
    </w:rPr>
  </w:style>
  <w:style w:type="paragraph" w:styleId="ListParagraph">
    <w:name w:val="List Paragraph"/>
    <w:basedOn w:val="Normal"/>
    <w:uiPriority w:val="34"/>
    <w:qFormat/>
    <w:rsid w:val="00183F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072993">
      <w:bodyDiv w:val="1"/>
      <w:marLeft w:val="0"/>
      <w:marRight w:val="0"/>
      <w:marTop w:val="0"/>
      <w:marBottom w:val="0"/>
      <w:divBdr>
        <w:top w:val="none" w:sz="0" w:space="0" w:color="auto"/>
        <w:left w:val="none" w:sz="0" w:space="0" w:color="auto"/>
        <w:bottom w:val="none" w:sz="0" w:space="0" w:color="auto"/>
        <w:right w:val="none" w:sz="0" w:space="0" w:color="auto"/>
      </w:divBdr>
      <w:divsChild>
        <w:div w:id="666664607">
          <w:marLeft w:val="0"/>
          <w:marRight w:val="0"/>
          <w:marTop w:val="0"/>
          <w:marBottom w:val="0"/>
          <w:divBdr>
            <w:top w:val="none" w:sz="0" w:space="0" w:color="auto"/>
            <w:left w:val="none" w:sz="0" w:space="0" w:color="auto"/>
            <w:bottom w:val="none" w:sz="0" w:space="0" w:color="auto"/>
            <w:right w:val="none" w:sz="0" w:space="0" w:color="auto"/>
          </w:divBdr>
          <w:divsChild>
            <w:div w:id="70872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683153">
      <w:bodyDiv w:val="1"/>
      <w:marLeft w:val="0"/>
      <w:marRight w:val="0"/>
      <w:marTop w:val="0"/>
      <w:marBottom w:val="0"/>
      <w:divBdr>
        <w:top w:val="none" w:sz="0" w:space="0" w:color="auto"/>
        <w:left w:val="none" w:sz="0" w:space="0" w:color="auto"/>
        <w:bottom w:val="none" w:sz="0" w:space="0" w:color="auto"/>
        <w:right w:val="none" w:sz="0" w:space="0" w:color="auto"/>
      </w:divBdr>
      <w:divsChild>
        <w:div w:id="1843423435">
          <w:marLeft w:val="0"/>
          <w:marRight w:val="0"/>
          <w:marTop w:val="0"/>
          <w:marBottom w:val="0"/>
          <w:divBdr>
            <w:top w:val="none" w:sz="0" w:space="0" w:color="auto"/>
            <w:left w:val="none" w:sz="0" w:space="0" w:color="auto"/>
            <w:bottom w:val="none" w:sz="0" w:space="0" w:color="auto"/>
            <w:right w:val="none" w:sz="0" w:space="0" w:color="auto"/>
          </w:divBdr>
          <w:divsChild>
            <w:div w:id="13298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576</TotalTime>
  <Pages>3</Pages>
  <Words>982</Words>
  <Characters>5600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Laughlin</dc:creator>
  <cp:keywords/>
  <dc:description/>
  <cp:lastModifiedBy>Becky Laughlin</cp:lastModifiedBy>
  <cp:revision>43</cp:revision>
  <dcterms:created xsi:type="dcterms:W3CDTF">2022-05-31T14:36:00Z</dcterms:created>
  <dcterms:modified xsi:type="dcterms:W3CDTF">2022-07-31T20:16:00Z</dcterms:modified>
</cp:coreProperties>
</file>