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8066E" w14:textId="77777777" w:rsidR="00E8397E" w:rsidRDefault="00E8397E">
      <w:pPr>
        <w:jc w:val="center"/>
        <w:rPr>
          <w:rFonts w:ascii="Times New Roman" w:eastAsia="Times New Roman" w:hAnsi="Times New Roman" w:cs="Times New Roman"/>
          <w:b/>
          <w:sz w:val="32"/>
          <w:szCs w:val="32"/>
        </w:rPr>
      </w:pPr>
    </w:p>
    <w:p w14:paraId="1F8B89CC" w14:textId="77777777" w:rsidR="00E8397E" w:rsidRDefault="00E8397E">
      <w:pPr>
        <w:jc w:val="center"/>
        <w:rPr>
          <w:rFonts w:ascii="Times New Roman" w:eastAsia="Times New Roman" w:hAnsi="Times New Roman" w:cs="Times New Roman"/>
          <w:b/>
          <w:sz w:val="32"/>
          <w:szCs w:val="32"/>
        </w:rPr>
      </w:pPr>
    </w:p>
    <w:p w14:paraId="473216CC" w14:textId="77777777" w:rsidR="00E8397E" w:rsidRDefault="00E8397E">
      <w:pPr>
        <w:jc w:val="center"/>
        <w:rPr>
          <w:rFonts w:ascii="Times New Roman" w:eastAsia="Times New Roman" w:hAnsi="Times New Roman" w:cs="Times New Roman"/>
          <w:b/>
          <w:sz w:val="32"/>
          <w:szCs w:val="32"/>
        </w:rPr>
      </w:pPr>
    </w:p>
    <w:p w14:paraId="67A17915" w14:textId="77777777" w:rsidR="00E8397E" w:rsidRDefault="00E8397E">
      <w:pPr>
        <w:jc w:val="center"/>
        <w:rPr>
          <w:rFonts w:ascii="Times New Roman" w:eastAsia="Times New Roman" w:hAnsi="Times New Roman" w:cs="Times New Roman"/>
          <w:b/>
          <w:sz w:val="32"/>
          <w:szCs w:val="32"/>
        </w:rPr>
      </w:pPr>
    </w:p>
    <w:p w14:paraId="38AF06D3" w14:textId="77777777" w:rsidR="00E8397E" w:rsidRDefault="00E8397E">
      <w:pPr>
        <w:jc w:val="center"/>
        <w:rPr>
          <w:rFonts w:ascii="Times New Roman" w:eastAsia="Times New Roman" w:hAnsi="Times New Roman" w:cs="Times New Roman"/>
          <w:b/>
          <w:sz w:val="32"/>
          <w:szCs w:val="32"/>
        </w:rPr>
      </w:pPr>
    </w:p>
    <w:p w14:paraId="2DA5B195" w14:textId="77777777" w:rsidR="00E8397E" w:rsidRDefault="00E8397E">
      <w:pPr>
        <w:jc w:val="center"/>
        <w:rPr>
          <w:rFonts w:ascii="Times New Roman" w:eastAsia="Times New Roman" w:hAnsi="Times New Roman" w:cs="Times New Roman"/>
          <w:b/>
          <w:sz w:val="32"/>
          <w:szCs w:val="32"/>
        </w:rPr>
      </w:pPr>
    </w:p>
    <w:p w14:paraId="489A6E4E" w14:textId="77777777" w:rsidR="00E8397E" w:rsidRDefault="00533C6E">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DATA HANDLING AND BUSINESS INTELLIGENCE</w:t>
      </w:r>
    </w:p>
    <w:p w14:paraId="6786839F" w14:textId="77777777" w:rsidR="00E8397E" w:rsidRDefault="00E8397E">
      <w:pPr>
        <w:jc w:val="center"/>
        <w:rPr>
          <w:rFonts w:ascii="Times New Roman" w:eastAsia="Times New Roman" w:hAnsi="Times New Roman" w:cs="Times New Roman"/>
          <w:b/>
          <w:sz w:val="32"/>
          <w:szCs w:val="32"/>
        </w:rPr>
      </w:pPr>
    </w:p>
    <w:p w14:paraId="2E744A12" w14:textId="77777777" w:rsidR="00E8397E" w:rsidRDefault="00E8397E">
      <w:pPr>
        <w:jc w:val="center"/>
        <w:rPr>
          <w:rFonts w:ascii="Times New Roman" w:eastAsia="Times New Roman" w:hAnsi="Times New Roman" w:cs="Times New Roman"/>
          <w:b/>
          <w:sz w:val="32"/>
          <w:szCs w:val="32"/>
        </w:rPr>
      </w:pPr>
    </w:p>
    <w:p w14:paraId="3E4A702D" w14:textId="77777777" w:rsidR="00E8397E" w:rsidRDefault="00E8397E">
      <w:pPr>
        <w:jc w:val="center"/>
        <w:rPr>
          <w:rFonts w:ascii="Times New Roman" w:eastAsia="Times New Roman" w:hAnsi="Times New Roman" w:cs="Times New Roman"/>
          <w:b/>
          <w:sz w:val="32"/>
          <w:szCs w:val="32"/>
        </w:rPr>
      </w:pPr>
    </w:p>
    <w:p w14:paraId="48BE4DCE" w14:textId="77777777" w:rsidR="00E8397E" w:rsidRDefault="00E8397E">
      <w:pPr>
        <w:jc w:val="center"/>
        <w:rPr>
          <w:rFonts w:ascii="Times New Roman" w:eastAsia="Times New Roman" w:hAnsi="Times New Roman" w:cs="Times New Roman"/>
          <w:b/>
          <w:sz w:val="32"/>
          <w:szCs w:val="32"/>
        </w:rPr>
      </w:pPr>
    </w:p>
    <w:p w14:paraId="47BBC169" w14:textId="31D524B0" w:rsidR="00E8397E" w:rsidRDefault="00533C6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NAME </w:t>
      </w:r>
      <w:r w:rsidR="0052312D">
        <w:rPr>
          <w:rFonts w:ascii="Times New Roman" w:eastAsia="Times New Roman" w:hAnsi="Times New Roman" w:cs="Times New Roman"/>
          <w:b/>
          <w:sz w:val="28"/>
          <w:szCs w:val="28"/>
        </w:rPr>
        <w:t>– Nita Roxana Mihaela</w:t>
      </w:r>
    </w:p>
    <w:p w14:paraId="08F7B05D" w14:textId="3C363F1D" w:rsidR="00E8397E" w:rsidRDefault="00533C6E">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w:t>
      </w:r>
      <w:r w:rsidR="0052312D">
        <w:rPr>
          <w:rFonts w:ascii="Times New Roman" w:eastAsia="Times New Roman" w:hAnsi="Times New Roman" w:cs="Times New Roman"/>
          <w:b/>
          <w:sz w:val="28"/>
          <w:szCs w:val="28"/>
        </w:rPr>
        <w:t xml:space="preserve"> 2111868</w:t>
      </w:r>
    </w:p>
    <w:p w14:paraId="2135A3BF" w14:textId="77777777" w:rsidR="003E16EC" w:rsidRDefault="00533C6E">
      <w:pPr>
        <w:rPr>
          <w:rFonts w:ascii="Times New Roman" w:eastAsia="Times New Roman" w:hAnsi="Times New Roman" w:cs="Times New Roman"/>
          <w:b/>
          <w:sz w:val="28"/>
          <w:szCs w:val="28"/>
        </w:rPr>
      </w:pPr>
      <w:bookmarkStart w:id="0" w:name="_tp00g5xnedui" w:colFirst="0" w:colLast="0"/>
      <w:bookmarkEnd w:id="0"/>
      <w:r>
        <w:br w:type="page"/>
      </w:r>
    </w:p>
    <w:sdt>
      <w:sdtPr>
        <w:rPr>
          <w:rFonts w:ascii="Arial" w:eastAsia="Arial" w:hAnsi="Arial" w:cs="Arial"/>
          <w:color w:val="auto"/>
          <w:sz w:val="22"/>
          <w:szCs w:val="22"/>
          <w:lang w:val="en" w:eastAsia="en-IN"/>
        </w:rPr>
        <w:id w:val="1680926172"/>
        <w:docPartObj>
          <w:docPartGallery w:val="Table of Contents"/>
          <w:docPartUnique/>
        </w:docPartObj>
      </w:sdtPr>
      <w:sdtEndPr>
        <w:rPr>
          <w:b/>
          <w:bCs/>
          <w:noProof/>
        </w:rPr>
      </w:sdtEndPr>
      <w:sdtContent>
        <w:p w14:paraId="21D7A690" w14:textId="77777777" w:rsidR="003E16EC" w:rsidRPr="003E16EC" w:rsidRDefault="003E16EC" w:rsidP="003E16EC">
          <w:pPr>
            <w:pStyle w:val="Titlucuprins"/>
            <w:spacing w:line="360" w:lineRule="auto"/>
            <w:jc w:val="center"/>
            <w:rPr>
              <w:rFonts w:ascii="Times New Roman" w:hAnsi="Times New Roman" w:cs="Times New Roman"/>
              <w:b/>
              <w:color w:val="auto"/>
              <w:sz w:val="28"/>
              <w:szCs w:val="28"/>
            </w:rPr>
          </w:pPr>
          <w:r w:rsidRPr="003E16EC">
            <w:rPr>
              <w:rFonts w:ascii="Times New Roman" w:hAnsi="Times New Roman" w:cs="Times New Roman"/>
              <w:b/>
              <w:color w:val="auto"/>
              <w:sz w:val="28"/>
              <w:szCs w:val="28"/>
            </w:rPr>
            <w:t>Table of Contents</w:t>
          </w:r>
        </w:p>
        <w:p w14:paraId="691DA36C" w14:textId="77777777" w:rsidR="003E16EC" w:rsidRPr="003E16EC" w:rsidRDefault="003E16EC" w:rsidP="003E16EC">
          <w:pPr>
            <w:pStyle w:val="Cuprins1"/>
            <w:tabs>
              <w:tab w:val="right" w:leader="dot" w:pos="9350"/>
            </w:tabs>
            <w:spacing w:line="360" w:lineRule="auto"/>
            <w:jc w:val="both"/>
            <w:rPr>
              <w:rFonts w:ascii="Times New Roman" w:hAnsi="Times New Roman" w:cs="Times New Roman"/>
              <w:noProof/>
              <w:sz w:val="24"/>
              <w:szCs w:val="24"/>
            </w:rPr>
          </w:pPr>
          <w:r w:rsidRPr="003E16EC">
            <w:rPr>
              <w:rFonts w:ascii="Times New Roman" w:hAnsi="Times New Roman" w:cs="Times New Roman"/>
              <w:sz w:val="24"/>
              <w:szCs w:val="24"/>
            </w:rPr>
            <w:fldChar w:fldCharType="begin"/>
          </w:r>
          <w:r w:rsidRPr="003E16EC">
            <w:rPr>
              <w:rFonts w:ascii="Times New Roman" w:hAnsi="Times New Roman" w:cs="Times New Roman"/>
              <w:sz w:val="24"/>
              <w:szCs w:val="24"/>
            </w:rPr>
            <w:instrText xml:space="preserve"> TOC \o "1-3" \h \z \u </w:instrText>
          </w:r>
          <w:r w:rsidRPr="003E16EC">
            <w:rPr>
              <w:rFonts w:ascii="Times New Roman" w:hAnsi="Times New Roman" w:cs="Times New Roman"/>
              <w:sz w:val="24"/>
              <w:szCs w:val="24"/>
            </w:rPr>
            <w:fldChar w:fldCharType="separate"/>
          </w:r>
          <w:hyperlink w:anchor="_Toc140767565" w:history="1">
            <w:r w:rsidRPr="003E16EC">
              <w:rPr>
                <w:rStyle w:val="Hyperlink"/>
                <w:rFonts w:ascii="Times New Roman" w:hAnsi="Times New Roman" w:cs="Times New Roman"/>
                <w:noProof/>
                <w:sz w:val="24"/>
                <w:szCs w:val="24"/>
              </w:rPr>
              <w:t>Part 1: Analysis of Hotel Reservation Data Using Microsoft Excel</w:t>
            </w:r>
            <w:r w:rsidRPr="003E16EC">
              <w:rPr>
                <w:rFonts w:ascii="Times New Roman" w:hAnsi="Times New Roman" w:cs="Times New Roman"/>
                <w:noProof/>
                <w:webHidden/>
                <w:sz w:val="24"/>
                <w:szCs w:val="24"/>
              </w:rPr>
              <w:tab/>
            </w:r>
            <w:r w:rsidRPr="003E16EC">
              <w:rPr>
                <w:rFonts w:ascii="Times New Roman" w:hAnsi="Times New Roman" w:cs="Times New Roman"/>
                <w:noProof/>
                <w:webHidden/>
                <w:sz w:val="24"/>
                <w:szCs w:val="24"/>
              </w:rPr>
              <w:fldChar w:fldCharType="begin"/>
            </w:r>
            <w:r w:rsidRPr="003E16EC">
              <w:rPr>
                <w:rFonts w:ascii="Times New Roman" w:hAnsi="Times New Roman" w:cs="Times New Roman"/>
                <w:noProof/>
                <w:webHidden/>
                <w:sz w:val="24"/>
                <w:szCs w:val="24"/>
              </w:rPr>
              <w:instrText xml:space="preserve"> PAGEREF _Toc140767565 \h </w:instrText>
            </w:r>
            <w:r w:rsidRPr="003E16EC">
              <w:rPr>
                <w:rFonts w:ascii="Times New Roman" w:hAnsi="Times New Roman" w:cs="Times New Roman"/>
                <w:noProof/>
                <w:webHidden/>
                <w:sz w:val="24"/>
                <w:szCs w:val="24"/>
              </w:rPr>
            </w:r>
            <w:r w:rsidRPr="003E16EC">
              <w:rPr>
                <w:rFonts w:ascii="Times New Roman" w:hAnsi="Times New Roman" w:cs="Times New Roman"/>
                <w:noProof/>
                <w:webHidden/>
                <w:sz w:val="24"/>
                <w:szCs w:val="24"/>
              </w:rPr>
              <w:fldChar w:fldCharType="separate"/>
            </w:r>
            <w:r w:rsidRPr="003E16EC">
              <w:rPr>
                <w:rFonts w:ascii="Times New Roman" w:hAnsi="Times New Roman" w:cs="Times New Roman"/>
                <w:noProof/>
                <w:webHidden/>
                <w:sz w:val="24"/>
                <w:szCs w:val="24"/>
              </w:rPr>
              <w:t>3</w:t>
            </w:r>
            <w:r w:rsidRPr="003E16EC">
              <w:rPr>
                <w:rFonts w:ascii="Times New Roman" w:hAnsi="Times New Roman" w:cs="Times New Roman"/>
                <w:noProof/>
                <w:webHidden/>
                <w:sz w:val="24"/>
                <w:szCs w:val="24"/>
              </w:rPr>
              <w:fldChar w:fldCharType="end"/>
            </w:r>
          </w:hyperlink>
        </w:p>
        <w:p w14:paraId="31136085"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66" w:history="1">
            <w:r w:rsidR="003E16EC" w:rsidRPr="003E16EC">
              <w:rPr>
                <w:rStyle w:val="Hyperlink"/>
                <w:rFonts w:ascii="Times New Roman" w:hAnsi="Times New Roman" w:cs="Times New Roman"/>
                <w:noProof/>
                <w:sz w:val="24"/>
                <w:szCs w:val="24"/>
              </w:rPr>
              <w:t>Abstract</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_Toc140767566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3</w:t>
            </w:r>
            <w:r w:rsidR="003E16EC" w:rsidRPr="003E16EC">
              <w:rPr>
                <w:rFonts w:ascii="Times New Roman" w:hAnsi="Times New Roman" w:cs="Times New Roman"/>
                <w:noProof/>
                <w:webHidden/>
                <w:sz w:val="24"/>
                <w:szCs w:val="24"/>
              </w:rPr>
              <w:fldChar w:fldCharType="end"/>
            </w:r>
          </w:hyperlink>
        </w:p>
        <w:p w14:paraId="4F6A9293"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67" w:history="1">
            <w:r w:rsidR="003E16EC" w:rsidRPr="003E16EC">
              <w:rPr>
                <w:rStyle w:val="Hyperlink"/>
                <w:rFonts w:ascii="Times New Roman" w:hAnsi="Times New Roman" w:cs="Times New Roman"/>
                <w:noProof/>
                <w:sz w:val="24"/>
                <w:szCs w:val="24"/>
              </w:rPr>
              <w:t>Introduction: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_Toc140767567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3</w:t>
            </w:r>
            <w:r w:rsidR="003E16EC" w:rsidRPr="003E16EC">
              <w:rPr>
                <w:rFonts w:ascii="Times New Roman" w:hAnsi="Times New Roman" w:cs="Times New Roman"/>
                <w:noProof/>
                <w:webHidden/>
                <w:sz w:val="24"/>
                <w:szCs w:val="24"/>
              </w:rPr>
              <w:fldChar w:fldCharType="end"/>
            </w:r>
          </w:hyperlink>
        </w:p>
        <w:p w14:paraId="4685FD73"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68" w:history="1">
            <w:r w:rsidR="003E16EC" w:rsidRPr="003E16EC">
              <w:rPr>
                <w:rStyle w:val="Hyperlink"/>
                <w:rFonts w:ascii="Times New Roman" w:hAnsi="Times New Roman" w:cs="Times New Roman"/>
                <w:noProof/>
                <w:sz w:val="24"/>
                <w:szCs w:val="24"/>
              </w:rPr>
              <w:t>Data Analysis: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_Toc140767568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5</w:t>
            </w:r>
            <w:r w:rsidR="003E16EC" w:rsidRPr="003E16EC">
              <w:rPr>
                <w:rFonts w:ascii="Times New Roman" w:hAnsi="Times New Roman" w:cs="Times New Roman"/>
                <w:noProof/>
                <w:webHidden/>
                <w:sz w:val="24"/>
                <w:szCs w:val="24"/>
              </w:rPr>
              <w:fldChar w:fldCharType="end"/>
            </w:r>
          </w:hyperlink>
        </w:p>
        <w:p w14:paraId="1D58FBC6"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69" w:history="1">
            <w:r w:rsidR="003E16EC" w:rsidRPr="003E16EC">
              <w:rPr>
                <w:rStyle w:val="Hyperlink"/>
                <w:rFonts w:ascii="Times New Roman" w:hAnsi="Times New Roman" w:cs="Times New Roman"/>
                <w:noProof/>
                <w:sz w:val="24"/>
                <w:szCs w:val="24"/>
              </w:rPr>
              <w:t>Results: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_Toc140767569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6</w:t>
            </w:r>
            <w:r w:rsidR="003E16EC" w:rsidRPr="003E16EC">
              <w:rPr>
                <w:rFonts w:ascii="Times New Roman" w:hAnsi="Times New Roman" w:cs="Times New Roman"/>
                <w:noProof/>
                <w:webHidden/>
                <w:sz w:val="24"/>
                <w:szCs w:val="24"/>
              </w:rPr>
              <w:fldChar w:fldCharType="end"/>
            </w:r>
          </w:hyperlink>
        </w:p>
        <w:p w14:paraId="79BF89FB"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0" w:history="1">
            <w:r w:rsidR="003E16EC" w:rsidRPr="003E16EC">
              <w:rPr>
                <w:rStyle w:val="Hyperlink"/>
                <w:rFonts w:ascii="Times New Roman" w:hAnsi="Times New Roman" w:cs="Times New Roman"/>
                <w:noProof/>
                <w:sz w:val="24"/>
                <w:szCs w:val="24"/>
              </w:rPr>
              <w:t>Data Visualization: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_Toc140767570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6</w:t>
            </w:r>
            <w:r w:rsidR="003E16EC" w:rsidRPr="003E16EC">
              <w:rPr>
                <w:rFonts w:ascii="Times New Roman" w:hAnsi="Times New Roman" w:cs="Times New Roman"/>
                <w:noProof/>
                <w:webHidden/>
                <w:sz w:val="24"/>
                <w:szCs w:val="24"/>
              </w:rPr>
              <w:fldChar w:fldCharType="end"/>
            </w:r>
          </w:hyperlink>
        </w:p>
        <w:p w14:paraId="441D6515"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1" w:history="1">
            <w:r w:rsidR="003E16EC" w:rsidRPr="003E16EC">
              <w:rPr>
                <w:rStyle w:val="Hyperlink"/>
                <w:rFonts w:ascii="Times New Roman" w:hAnsi="Times New Roman" w:cs="Times New Roman"/>
                <w:noProof/>
                <w:sz w:val="24"/>
                <w:szCs w:val="24"/>
              </w:rPr>
              <w:t>Discussion: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_Toc140767571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6</w:t>
            </w:r>
            <w:r w:rsidR="003E16EC" w:rsidRPr="003E16EC">
              <w:rPr>
                <w:rFonts w:ascii="Times New Roman" w:hAnsi="Times New Roman" w:cs="Times New Roman"/>
                <w:noProof/>
                <w:webHidden/>
                <w:sz w:val="24"/>
                <w:szCs w:val="24"/>
              </w:rPr>
              <w:fldChar w:fldCharType="end"/>
            </w:r>
          </w:hyperlink>
        </w:p>
        <w:p w14:paraId="36BBBD0F"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2" w:history="1">
            <w:r w:rsidR="003E16EC" w:rsidRPr="003E16EC">
              <w:rPr>
                <w:rStyle w:val="Hyperlink"/>
                <w:rFonts w:ascii="Times New Roman" w:hAnsi="Times New Roman" w:cs="Times New Roman"/>
                <w:noProof/>
                <w:sz w:val="24"/>
                <w:szCs w:val="24"/>
              </w:rPr>
              <w:t>Conclusion: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_Toc140767572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7</w:t>
            </w:r>
            <w:r w:rsidR="003E16EC" w:rsidRPr="003E16EC">
              <w:rPr>
                <w:rFonts w:ascii="Times New Roman" w:hAnsi="Times New Roman" w:cs="Times New Roman"/>
                <w:noProof/>
                <w:webHidden/>
                <w:sz w:val="24"/>
                <w:szCs w:val="24"/>
              </w:rPr>
              <w:fldChar w:fldCharType="end"/>
            </w:r>
          </w:hyperlink>
        </w:p>
        <w:p w14:paraId="5B50A78A" w14:textId="77777777" w:rsidR="003E16EC" w:rsidRPr="003E16EC" w:rsidRDefault="0052312D" w:rsidP="003E16EC">
          <w:pPr>
            <w:pStyle w:val="Cuprins1"/>
            <w:tabs>
              <w:tab w:val="right" w:leader="dot" w:pos="9350"/>
            </w:tabs>
            <w:spacing w:line="360" w:lineRule="auto"/>
            <w:jc w:val="both"/>
            <w:rPr>
              <w:rFonts w:ascii="Times New Roman" w:hAnsi="Times New Roman" w:cs="Times New Roman"/>
              <w:noProof/>
              <w:sz w:val="24"/>
              <w:szCs w:val="24"/>
            </w:rPr>
          </w:pPr>
          <w:hyperlink w:anchor="_Toc140767573" w:history="1">
            <w:r w:rsidR="003E16EC" w:rsidRPr="003E16EC">
              <w:rPr>
                <w:rStyle w:val="Hyperlink"/>
                <w:rFonts w:ascii="Times New Roman" w:hAnsi="Times New Roman" w:cs="Times New Roman"/>
                <w:noProof/>
                <w:sz w:val="24"/>
                <w:szCs w:val="24"/>
              </w:rPr>
              <w:t>Part 2: Data Analysis and Evaluation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_Toc140767573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8</w:t>
            </w:r>
            <w:r w:rsidR="003E16EC" w:rsidRPr="003E16EC">
              <w:rPr>
                <w:rFonts w:ascii="Times New Roman" w:hAnsi="Times New Roman" w:cs="Times New Roman"/>
                <w:noProof/>
                <w:webHidden/>
                <w:sz w:val="24"/>
                <w:szCs w:val="24"/>
              </w:rPr>
              <w:fldChar w:fldCharType="end"/>
            </w:r>
          </w:hyperlink>
        </w:p>
        <w:p w14:paraId="403830B9" w14:textId="77777777" w:rsidR="003E16EC" w:rsidRPr="003E16EC" w:rsidRDefault="0052312D" w:rsidP="003E16EC">
          <w:pPr>
            <w:pStyle w:val="Cuprins1"/>
            <w:tabs>
              <w:tab w:val="right" w:leader="dot" w:pos="9350"/>
            </w:tabs>
            <w:spacing w:line="360" w:lineRule="auto"/>
            <w:jc w:val="both"/>
            <w:rPr>
              <w:rFonts w:ascii="Times New Roman" w:hAnsi="Times New Roman" w:cs="Times New Roman"/>
              <w:noProof/>
              <w:sz w:val="24"/>
              <w:szCs w:val="24"/>
            </w:rPr>
          </w:pPr>
          <w:hyperlink w:anchor="_Toc140767574" w:history="1">
            <w:r w:rsidR="003E16EC" w:rsidRPr="003E16EC">
              <w:rPr>
                <w:rStyle w:val="Hyperlink"/>
                <w:rFonts w:ascii="Times New Roman" w:hAnsi="Times New Roman" w:cs="Times New Roman"/>
                <w:noProof/>
                <w:sz w:val="24"/>
                <w:szCs w:val="24"/>
              </w:rPr>
              <w:t>Gender Distribution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_Toc140767574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8</w:t>
            </w:r>
            <w:r w:rsidR="003E16EC" w:rsidRPr="003E16EC">
              <w:rPr>
                <w:rFonts w:ascii="Times New Roman" w:hAnsi="Times New Roman" w:cs="Times New Roman"/>
                <w:noProof/>
                <w:webHidden/>
                <w:sz w:val="24"/>
                <w:szCs w:val="24"/>
              </w:rPr>
              <w:fldChar w:fldCharType="end"/>
            </w:r>
          </w:hyperlink>
        </w:p>
        <w:p w14:paraId="46B21002"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5" w:history="1">
            <w:r w:rsidR="003E16EC" w:rsidRPr="003E16EC">
              <w:rPr>
                <w:rStyle w:val="Hyperlink"/>
                <w:rFonts w:ascii="Times New Roman" w:hAnsi="Times New Roman" w:cs="Times New Roman"/>
                <w:noProof/>
                <w:sz w:val="24"/>
                <w:szCs w:val="24"/>
              </w:rPr>
              <w:t>Lunch Qualification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_Toc140767575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8</w:t>
            </w:r>
            <w:r w:rsidR="003E16EC" w:rsidRPr="003E16EC">
              <w:rPr>
                <w:rFonts w:ascii="Times New Roman" w:hAnsi="Times New Roman" w:cs="Times New Roman"/>
                <w:noProof/>
                <w:webHidden/>
                <w:sz w:val="24"/>
                <w:szCs w:val="24"/>
              </w:rPr>
              <w:fldChar w:fldCharType="end"/>
            </w:r>
          </w:hyperlink>
        </w:p>
        <w:p w14:paraId="381CFEA9"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6" w:history="1">
            <w:r w:rsidR="003E16EC" w:rsidRPr="003E16EC">
              <w:rPr>
                <w:rStyle w:val="Hyperlink"/>
                <w:rFonts w:ascii="Times New Roman" w:hAnsi="Times New Roman" w:cs="Times New Roman"/>
                <w:noProof/>
                <w:sz w:val="24"/>
                <w:szCs w:val="24"/>
              </w:rPr>
              <w:t>Mean and Median for Lunch Qualification</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_Toc140767576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9</w:t>
            </w:r>
            <w:r w:rsidR="003E16EC" w:rsidRPr="003E16EC">
              <w:rPr>
                <w:rFonts w:ascii="Times New Roman" w:hAnsi="Times New Roman" w:cs="Times New Roman"/>
                <w:noProof/>
                <w:webHidden/>
                <w:sz w:val="24"/>
                <w:szCs w:val="24"/>
              </w:rPr>
              <w:fldChar w:fldCharType="end"/>
            </w:r>
          </w:hyperlink>
        </w:p>
        <w:p w14:paraId="4B625C61"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7" w:history="1">
            <w:r w:rsidR="003E16EC" w:rsidRPr="003E16EC">
              <w:rPr>
                <w:rStyle w:val="Hyperlink"/>
                <w:rFonts w:ascii="Times New Roman" w:hAnsi="Times New Roman" w:cs="Times New Roman"/>
                <w:noProof/>
                <w:sz w:val="24"/>
                <w:szCs w:val="24"/>
              </w:rPr>
              <w:t>Mean and Median Differences in Pre-test and Post-test Scores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_Toc140767577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10</w:t>
            </w:r>
            <w:r w:rsidR="003E16EC" w:rsidRPr="003E16EC">
              <w:rPr>
                <w:rFonts w:ascii="Times New Roman" w:hAnsi="Times New Roman" w:cs="Times New Roman"/>
                <w:noProof/>
                <w:webHidden/>
                <w:sz w:val="24"/>
                <w:szCs w:val="24"/>
              </w:rPr>
              <w:fldChar w:fldCharType="end"/>
            </w:r>
          </w:hyperlink>
        </w:p>
        <w:p w14:paraId="177EDDEA"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8" w:history="1">
            <w:r w:rsidR="003E16EC" w:rsidRPr="003E16EC">
              <w:rPr>
                <w:rStyle w:val="Hyperlink"/>
                <w:rFonts w:ascii="Times New Roman" w:hAnsi="Times New Roman" w:cs="Times New Roman"/>
                <w:noProof/>
                <w:sz w:val="24"/>
                <w:szCs w:val="24"/>
              </w:rPr>
              <w:t>Clustering Analysis with K-Means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_Toc140767578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11</w:t>
            </w:r>
            <w:r w:rsidR="003E16EC" w:rsidRPr="003E16EC">
              <w:rPr>
                <w:rFonts w:ascii="Times New Roman" w:hAnsi="Times New Roman" w:cs="Times New Roman"/>
                <w:noProof/>
                <w:webHidden/>
                <w:sz w:val="24"/>
                <w:szCs w:val="24"/>
              </w:rPr>
              <w:fldChar w:fldCharType="end"/>
            </w:r>
          </w:hyperlink>
        </w:p>
        <w:p w14:paraId="79142A54"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79" w:history="1">
            <w:r w:rsidR="003E16EC" w:rsidRPr="003E16EC">
              <w:rPr>
                <w:rStyle w:val="Hyperlink"/>
                <w:rFonts w:ascii="Times New Roman" w:hAnsi="Times New Roman" w:cs="Times New Roman"/>
                <w:noProof/>
                <w:sz w:val="24"/>
                <w:szCs w:val="24"/>
              </w:rPr>
              <w:t>Common Data Mining and Text Mining Methods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_Toc140767579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11</w:t>
            </w:r>
            <w:r w:rsidR="003E16EC" w:rsidRPr="003E16EC">
              <w:rPr>
                <w:rFonts w:ascii="Times New Roman" w:hAnsi="Times New Roman" w:cs="Times New Roman"/>
                <w:noProof/>
                <w:webHidden/>
                <w:sz w:val="24"/>
                <w:szCs w:val="24"/>
              </w:rPr>
              <w:fldChar w:fldCharType="end"/>
            </w:r>
          </w:hyperlink>
        </w:p>
        <w:p w14:paraId="15A8CDEE" w14:textId="77777777" w:rsidR="003E16EC" w:rsidRPr="003E16EC" w:rsidRDefault="0052312D" w:rsidP="003E16EC">
          <w:pPr>
            <w:pStyle w:val="Cuprins2"/>
            <w:tabs>
              <w:tab w:val="right" w:leader="dot" w:pos="9350"/>
            </w:tabs>
            <w:spacing w:line="360" w:lineRule="auto"/>
            <w:jc w:val="both"/>
            <w:rPr>
              <w:rFonts w:ascii="Times New Roman" w:hAnsi="Times New Roman" w:cs="Times New Roman"/>
              <w:noProof/>
              <w:sz w:val="24"/>
              <w:szCs w:val="24"/>
            </w:rPr>
          </w:pPr>
          <w:hyperlink w:anchor="_Toc140767580" w:history="1">
            <w:r w:rsidR="003E16EC" w:rsidRPr="003E16EC">
              <w:rPr>
                <w:rStyle w:val="Hyperlink"/>
                <w:rFonts w:ascii="Times New Roman" w:hAnsi="Times New Roman" w:cs="Times New Roman"/>
                <w:noProof/>
                <w:sz w:val="24"/>
                <w:szCs w:val="24"/>
              </w:rPr>
              <w:t>SPSS vs. Excel: Advantages and Disadvantages</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_Toc140767580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13</w:t>
            </w:r>
            <w:r w:rsidR="003E16EC" w:rsidRPr="003E16EC">
              <w:rPr>
                <w:rFonts w:ascii="Times New Roman" w:hAnsi="Times New Roman" w:cs="Times New Roman"/>
                <w:noProof/>
                <w:webHidden/>
                <w:sz w:val="24"/>
                <w:szCs w:val="24"/>
              </w:rPr>
              <w:fldChar w:fldCharType="end"/>
            </w:r>
          </w:hyperlink>
        </w:p>
        <w:p w14:paraId="07F0EF38" w14:textId="77777777" w:rsidR="003E16EC" w:rsidRPr="003E16EC" w:rsidRDefault="0052312D" w:rsidP="003E16EC">
          <w:pPr>
            <w:pStyle w:val="Cuprins1"/>
            <w:tabs>
              <w:tab w:val="right" w:leader="dot" w:pos="9350"/>
            </w:tabs>
            <w:spacing w:line="360" w:lineRule="auto"/>
            <w:jc w:val="both"/>
            <w:rPr>
              <w:rFonts w:ascii="Times New Roman" w:hAnsi="Times New Roman" w:cs="Times New Roman"/>
              <w:noProof/>
              <w:sz w:val="24"/>
              <w:szCs w:val="24"/>
            </w:rPr>
          </w:pPr>
          <w:hyperlink w:anchor="_Toc140767581" w:history="1">
            <w:r w:rsidR="003E16EC" w:rsidRPr="003E16EC">
              <w:rPr>
                <w:rStyle w:val="Hyperlink"/>
                <w:rFonts w:ascii="Times New Roman" w:hAnsi="Times New Roman" w:cs="Times New Roman"/>
                <w:noProof/>
                <w:sz w:val="24"/>
                <w:szCs w:val="24"/>
              </w:rPr>
              <w:t>Reference list</w:t>
            </w:r>
            <w:r w:rsidR="003E16EC" w:rsidRPr="003E16EC">
              <w:rPr>
                <w:rFonts w:ascii="Times New Roman" w:hAnsi="Times New Roman" w:cs="Times New Roman"/>
                <w:noProof/>
                <w:webHidden/>
                <w:sz w:val="24"/>
                <w:szCs w:val="24"/>
              </w:rPr>
              <w:tab/>
            </w:r>
            <w:r w:rsidR="003E16EC" w:rsidRPr="003E16EC">
              <w:rPr>
                <w:rFonts w:ascii="Times New Roman" w:hAnsi="Times New Roman" w:cs="Times New Roman"/>
                <w:noProof/>
                <w:webHidden/>
                <w:sz w:val="24"/>
                <w:szCs w:val="24"/>
              </w:rPr>
              <w:fldChar w:fldCharType="begin"/>
            </w:r>
            <w:r w:rsidR="003E16EC" w:rsidRPr="003E16EC">
              <w:rPr>
                <w:rFonts w:ascii="Times New Roman" w:hAnsi="Times New Roman" w:cs="Times New Roman"/>
                <w:noProof/>
                <w:webHidden/>
                <w:sz w:val="24"/>
                <w:szCs w:val="24"/>
              </w:rPr>
              <w:instrText xml:space="preserve"> PAGEREF _Toc140767581 \h </w:instrText>
            </w:r>
            <w:r w:rsidR="003E16EC" w:rsidRPr="003E16EC">
              <w:rPr>
                <w:rFonts w:ascii="Times New Roman" w:hAnsi="Times New Roman" w:cs="Times New Roman"/>
                <w:noProof/>
                <w:webHidden/>
                <w:sz w:val="24"/>
                <w:szCs w:val="24"/>
              </w:rPr>
            </w:r>
            <w:r w:rsidR="003E16EC" w:rsidRPr="003E16EC">
              <w:rPr>
                <w:rFonts w:ascii="Times New Roman" w:hAnsi="Times New Roman" w:cs="Times New Roman"/>
                <w:noProof/>
                <w:webHidden/>
                <w:sz w:val="24"/>
                <w:szCs w:val="24"/>
              </w:rPr>
              <w:fldChar w:fldCharType="separate"/>
            </w:r>
            <w:r w:rsidR="003E16EC" w:rsidRPr="003E16EC">
              <w:rPr>
                <w:rFonts w:ascii="Times New Roman" w:hAnsi="Times New Roman" w:cs="Times New Roman"/>
                <w:noProof/>
                <w:webHidden/>
                <w:sz w:val="24"/>
                <w:szCs w:val="24"/>
              </w:rPr>
              <w:t>15</w:t>
            </w:r>
            <w:r w:rsidR="003E16EC" w:rsidRPr="003E16EC">
              <w:rPr>
                <w:rFonts w:ascii="Times New Roman" w:hAnsi="Times New Roman" w:cs="Times New Roman"/>
                <w:noProof/>
                <w:webHidden/>
                <w:sz w:val="24"/>
                <w:szCs w:val="24"/>
              </w:rPr>
              <w:fldChar w:fldCharType="end"/>
            </w:r>
          </w:hyperlink>
        </w:p>
        <w:p w14:paraId="4115DCF5" w14:textId="77777777" w:rsidR="003E16EC" w:rsidRDefault="003E16EC" w:rsidP="003E16EC">
          <w:pPr>
            <w:spacing w:line="360" w:lineRule="auto"/>
            <w:jc w:val="both"/>
          </w:pPr>
          <w:r w:rsidRPr="003E16EC">
            <w:rPr>
              <w:rFonts w:ascii="Times New Roman" w:hAnsi="Times New Roman" w:cs="Times New Roman"/>
              <w:b/>
              <w:bCs/>
              <w:noProof/>
              <w:sz w:val="24"/>
              <w:szCs w:val="24"/>
            </w:rPr>
            <w:fldChar w:fldCharType="end"/>
          </w:r>
        </w:p>
      </w:sdtContent>
    </w:sdt>
    <w:p w14:paraId="7ECA83E2" w14:textId="77777777" w:rsidR="003E16EC" w:rsidRDefault="003E16EC">
      <w:pPr>
        <w:rPr>
          <w:rFonts w:ascii="Times New Roman" w:eastAsia="Times New Roman" w:hAnsi="Times New Roman" w:cs="Times New Roman"/>
          <w:b/>
          <w:sz w:val="28"/>
          <w:szCs w:val="28"/>
        </w:rPr>
      </w:pPr>
      <w:r>
        <w:br w:type="page"/>
      </w:r>
    </w:p>
    <w:p w14:paraId="3A326FFC" w14:textId="77777777" w:rsidR="00E8397E" w:rsidRDefault="00E8397E">
      <w:pPr>
        <w:pStyle w:val="Titlu1"/>
      </w:pPr>
    </w:p>
    <w:p w14:paraId="3BFEEC31" w14:textId="77777777" w:rsidR="00E8397E" w:rsidRDefault="00533C6E">
      <w:pPr>
        <w:pStyle w:val="Titlu1"/>
      </w:pPr>
      <w:bookmarkStart w:id="1" w:name="_91etowhw9h7f" w:colFirst="0" w:colLast="0"/>
      <w:bookmarkStart w:id="2" w:name="_Toc140767565"/>
      <w:bookmarkEnd w:id="1"/>
      <w:r>
        <w:t>Part 1: Analysis of Hotel Reservation Data Using Microsoft Excel</w:t>
      </w:r>
      <w:bookmarkEnd w:id="2"/>
    </w:p>
    <w:p w14:paraId="3DB7DEE1" w14:textId="77777777" w:rsidR="00E8397E" w:rsidRDefault="00533C6E">
      <w:pPr>
        <w:pStyle w:val="Titlu2"/>
      </w:pPr>
      <w:bookmarkStart w:id="3" w:name="_3qtyx3zhh9wj" w:colFirst="0" w:colLast="0"/>
      <w:bookmarkStart w:id="4" w:name="_Toc140767566"/>
      <w:bookmarkEnd w:id="3"/>
      <w:r>
        <w:t>Abstract</w:t>
      </w:r>
      <w:bookmarkEnd w:id="4"/>
    </w:p>
    <w:p w14:paraId="51EE37BA"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presents a comprehensive analysis of hotel reservation data spanning 2017 to 2021 with the aim of identifying trends in the average room reservation cost. The IF, PIVOT TABLES, and VLOOKUP functions available in Excel were actively used throughout the data purification, analysis, and visualization processes.</w:t>
      </w:r>
    </w:p>
    <w:p w14:paraId="3ADCBA2E"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data, the average price of a room in a hotel booked five years in advance varied widely. Room_Type 1 was the most often selected configuration in 2017, with an average costing $586,095. There were no confirmed bookings for Room_Type 3 this year. In 2018, Room_Type 1 scheduling totaled 4,436, resulting in an average room rate of $3,164,525.6. Reservations for Room_Type 2 have increased significantly, suggesting growing demand.</w:t>
      </w:r>
    </w:p>
    <w:p w14:paraId="40DF47DC"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were warning signs in the statistics for Room_Type 1 throughout 2019 and 2021, with no bookings and an average price of $0.00. This conclusion necessitates more research into the factors that may be contributing to the declining demand for these accommodations.</w:t>
      </w:r>
    </w:p>
    <w:p w14:paraId="50D491E5"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bar chart conducted a terrific job of emphasizing the ebb and flow of data when depicting the rising and falling average prices of booking lodging over time.</w:t>
      </w:r>
    </w:p>
    <w:p w14:paraId="05EDE945"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confirmed Microsoft Excel's usefulness in a variety of settings, namely data warehousing, BI, and data mining. This underscores the significance of hotels monitoring pricing and booking patterns in order to make informed strategic decisions.</w:t>
      </w:r>
    </w:p>
    <w:p w14:paraId="131A9ED6"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 this study is noteworthy because it exemplifies how data analysts may utilize Microsoft Excel to extract meaningful information from massive datasets, therefore promoting data-driven decision-making and enhancing the efficiency of hotel management practices. These results provide insight into ways in which the hotel industry may improve accommodation pricing, facilities, and responsiveness to customers' increasing tastes.</w:t>
      </w:r>
    </w:p>
    <w:p w14:paraId="7F4C3601" w14:textId="77777777" w:rsidR="00E8397E" w:rsidRDefault="00533C6E">
      <w:pPr>
        <w:pStyle w:val="Titlu2"/>
      </w:pPr>
      <w:bookmarkStart w:id="5" w:name="_10v6kvqztaxu" w:colFirst="0" w:colLast="0"/>
      <w:bookmarkStart w:id="6" w:name="_Toc140767567"/>
      <w:bookmarkEnd w:id="5"/>
      <w:r>
        <w:t>Introduction:</w:t>
      </w:r>
      <w:bookmarkEnd w:id="6"/>
    </w:p>
    <w:p w14:paraId="29C0C265"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looks at hotel bookings from all across the entire world from 2017 to 2021/22. The primary objective is to ascertain whether or not average room prices have risen or fallen over time. Excel is utilized throughout the whole process of analyzing and displaying data. Information on Excel's pivot tables, lookup functions, and IF statements can be found as well. The fundamental </w:t>
      </w:r>
      <w:r>
        <w:rPr>
          <w:rFonts w:ascii="Times New Roman" w:eastAsia="Times New Roman" w:hAnsi="Times New Roman" w:cs="Times New Roman"/>
          <w:sz w:val="24"/>
          <w:szCs w:val="24"/>
        </w:rPr>
        <w:lastRenderedPageBreak/>
        <w:t>goal of this investigation was to shed light on the theoretical underpinnings and practical implications of data warehousing, company intelligence, and data mining in predictive analytics.</w:t>
      </w:r>
    </w:p>
    <w:p w14:paraId="62EE6419"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booking data was initially processed in Excel. The investigation had only begun at this point. This vital operation was carried out to ready the data for analysis. By looking for and dealing with missing values during data cleaning, it ensured that the data set was full and correct.</w:t>
      </w:r>
    </w:p>
    <w:p w14:paraId="6E82F0E4"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'IF' function in Microsoft Excel was quite helpful at the initial phase of data processing. The 'IF' function made it easier for data analysts to detect and fix inconsistencies and errors in the dataset. This robust feature enables them to set conditions and take action depending on whether or not those conditions were fulfilled. As a consequence, appropriate numbers were substituted for missing ones, or further measures were taken to guarantee the accuracy of the information.</w:t>
      </w:r>
    </w:p>
    <w:p w14:paraId="3060448E"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 prior treatment of the data guaranteed its consistency. Errors and abnormalities in the dataset were meticulously fixed, bringing it up to par with professional standards. This was a crucial step since inconsistencies in the data might prevent accurate and trustworthy analysis.</w:t>
      </w:r>
    </w:p>
    <w:p w14:paraId="7832BA73"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analysts employed Microsoft Excel's pre-processing features to generate trustworthy, error-free data collection. This allowed for more research which yielded stronger and more meaningful results. By treating missing data with care using the 'IF' function, they were able to conduct an exhaustive examination of the dynamics of average hotel reservation prices during the course of the selected five-year time period.</w:t>
      </w:r>
    </w:p>
    <w:p w14:paraId="4D27B6D4" w14:textId="77777777" w:rsidR="00E8397E" w:rsidRDefault="00533C6E">
      <w:pPr>
        <w:pStyle w:val="Titlu2"/>
      </w:pPr>
      <w:bookmarkStart w:id="7" w:name="_7djymq8abpyx" w:colFirst="0" w:colLast="0"/>
      <w:bookmarkStart w:id="8" w:name="_Toc140767568"/>
      <w:bookmarkEnd w:id="7"/>
      <w:r>
        <w:lastRenderedPageBreak/>
        <w:t>Data Analysis:</w:t>
      </w:r>
      <w:bookmarkEnd w:id="8"/>
    </w:p>
    <w:p w14:paraId="079DAFD2"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68CCD57F" wp14:editId="15275AE1">
            <wp:extent cx="5943600" cy="38100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810000"/>
                    </a:xfrm>
                    <a:prstGeom prst="rect">
                      <a:avLst/>
                    </a:prstGeom>
                    <a:ln w="25400">
                      <a:solidFill>
                        <a:srgbClr val="000000"/>
                      </a:solidFill>
                      <a:prstDash val="solid"/>
                    </a:ln>
                  </pic:spPr>
                </pic:pic>
              </a:graphicData>
            </a:graphic>
          </wp:inline>
        </w:drawing>
      </w:r>
    </w:p>
    <w:p w14:paraId="476EC5BC" w14:textId="77777777" w:rsidR="00E8397E" w:rsidRDefault="00533C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Pivot Table of Yearly data</w:t>
      </w:r>
    </w:p>
    <w:p w14:paraId="7FA48AD8"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66F8098"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 hotel reservation data from 2017 to 2021 reveals fascinating variations in average room reservation fees across the years. The data suggests that prices changed throughout the length of the analyzed five-year period, rising in some years and falling in others.</w:t>
      </w:r>
    </w:p>
    <w:p w14:paraId="5EA53849"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were 354 reservations made in 2017, with an average cost of $586,095.9. There were 330 bookings for Room_Type 1, with an average price of $5,010.70. Although Room_Type 3 did not get any bookings in 2017 (</w:t>
      </w:r>
      <w:r>
        <w:rPr>
          <w:rFonts w:ascii="Times New Roman" w:eastAsia="Times New Roman" w:hAnsi="Times New Roman" w:cs="Times New Roman"/>
          <w:color w:val="222222"/>
          <w:sz w:val="24"/>
          <w:szCs w:val="24"/>
        </w:rPr>
        <w:t>Conant and Chaille, 2022</w:t>
      </w:r>
      <w:r>
        <w:rPr>
          <w:rFonts w:ascii="Times New Roman" w:eastAsia="Times New Roman" w:hAnsi="Times New Roman" w:cs="Times New Roman"/>
          <w:sz w:val="24"/>
          <w:szCs w:val="24"/>
        </w:rPr>
        <w:t>), this could mean that its attractiveness and the reasons for its lack of bookings require more investigation.</w:t>
      </w:r>
    </w:p>
    <w:p w14:paraId="036D2609"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the total number of bookings (5,211) and the average cost per reservation (at $3,164,525.6) skyrocketed in 2018 (</w:t>
      </w:r>
      <w:r>
        <w:rPr>
          <w:rFonts w:ascii="Times New Roman" w:eastAsia="Times New Roman" w:hAnsi="Times New Roman" w:cs="Times New Roman"/>
          <w:color w:val="222222"/>
          <w:sz w:val="24"/>
          <w:szCs w:val="24"/>
        </w:rPr>
        <w:t>Murray, 2022</w:t>
      </w:r>
      <w:r>
        <w:rPr>
          <w:rFonts w:ascii="Times New Roman" w:eastAsia="Times New Roman" w:hAnsi="Times New Roman" w:cs="Times New Roman"/>
          <w:sz w:val="24"/>
          <w:szCs w:val="24"/>
        </w:rPr>
        <w:t>). There were 4,436 bookings of Room_Type 1, with an average price of $2,196.05. Demand for Room_Type 2 also increased significantly, resulting in 24 appointments at an average price of $496.66.</w:t>
      </w:r>
    </w:p>
    <w:p w14:paraId="0D58CEC3"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seems that Room_Type 1 is plentiful and prevalent in 2018, however, data for 2019–2021 raises concerns about its availability and popularity throughout this period. Room_Type 1 presumably </w:t>
      </w:r>
      <w:r>
        <w:rPr>
          <w:rFonts w:ascii="Times New Roman" w:eastAsia="Times New Roman" w:hAnsi="Times New Roman" w:cs="Times New Roman"/>
          <w:sz w:val="24"/>
          <w:szCs w:val="24"/>
        </w:rPr>
        <w:lastRenderedPageBreak/>
        <w:t>did not get a single reservation during this time frame, as shown by the fact that its average rate is $0 (</w:t>
      </w:r>
      <w:r>
        <w:rPr>
          <w:rFonts w:ascii="Times New Roman" w:eastAsia="Times New Roman" w:hAnsi="Times New Roman" w:cs="Times New Roman"/>
          <w:color w:val="222222"/>
          <w:sz w:val="24"/>
          <w:szCs w:val="24"/>
        </w:rPr>
        <w:t>Khan</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2021</w:t>
      </w:r>
      <w:r>
        <w:rPr>
          <w:rFonts w:ascii="Times New Roman" w:eastAsia="Times New Roman" w:hAnsi="Times New Roman" w:cs="Times New Roman"/>
          <w:sz w:val="24"/>
          <w:szCs w:val="24"/>
        </w:rPr>
        <w:t>). Finding out the cause of the decline in hotel bookings is crucial to the hotel's bottom line and long-term strategy.</w:t>
      </w:r>
    </w:p>
    <w:p w14:paraId="2300B7C1" w14:textId="77777777" w:rsidR="00E8397E" w:rsidRDefault="00533C6E">
      <w:pPr>
        <w:pStyle w:val="Titlu2"/>
      </w:pPr>
      <w:bookmarkStart w:id="9" w:name="_ec1dr0h4muy" w:colFirst="0" w:colLast="0"/>
      <w:bookmarkStart w:id="10" w:name="_Toc140767569"/>
      <w:bookmarkEnd w:id="9"/>
      <w:r>
        <w:t>Results:</w:t>
      </w:r>
      <w:bookmarkEnd w:id="10"/>
    </w:p>
    <w:p w14:paraId="6D962155"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Intriguing features, ranging notably concerning Room_Type 1, were revealed in an analysis of average hotel reservation prices from 2017 to 2021. The average cost of Room_Type 1 increased during the specified period of time, suggesting the room type's enduring popularity and the potential for upgrades to the room type's amenities and services. The slight drop in average price recorded in 2020 may be attributed to the negative impacts of the COVID-19 epidemic on the hotel economy. Room_Type 1 had more significant price rises and drops than any of the other room types. These findings provide information on the dynamic nature of pricing sequences and the resilience of the manufacturing industry as a whole in the face of adversity.</w:t>
      </w:r>
    </w:p>
    <w:p w14:paraId="338998E4" w14:textId="77777777" w:rsidR="00E8397E" w:rsidRDefault="00533C6E">
      <w:pPr>
        <w:pStyle w:val="Titlu2"/>
      </w:pPr>
      <w:bookmarkStart w:id="11" w:name="_mfs8hflq0dhb" w:colFirst="0" w:colLast="0"/>
      <w:bookmarkStart w:id="12" w:name="_Toc140767570"/>
      <w:bookmarkEnd w:id="11"/>
      <w:r>
        <w:t>Data Visualization:</w:t>
      </w:r>
      <w:bookmarkEnd w:id="12"/>
    </w:p>
    <w:p w14:paraId="40BB2298"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average cost of a hotel stay from 2017 through 2021 was presented using bar charts in Microsoft Excel. Additionally, the number of reservations made for each season and the market was displayed visually using bar graphs (</w:t>
      </w:r>
      <w:r>
        <w:rPr>
          <w:rFonts w:ascii="Times New Roman" w:eastAsia="Times New Roman" w:hAnsi="Times New Roman" w:cs="Times New Roman"/>
          <w:color w:val="222222"/>
          <w:sz w:val="24"/>
          <w:szCs w:val="24"/>
        </w:rPr>
        <w:t xml:space="preserve">Facendola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2023</w:t>
      </w:r>
      <w:r>
        <w:rPr>
          <w:rFonts w:ascii="Times New Roman" w:eastAsia="Times New Roman" w:hAnsi="Times New Roman" w:cs="Times New Roman"/>
          <w:sz w:val="24"/>
          <w:szCs w:val="24"/>
        </w:rPr>
        <w:t>). According to the lucid presentation of the data visualizations, stakeholders were more capable to grasp the study's key findings.</w:t>
      </w:r>
    </w:p>
    <w:p w14:paraId="662AEACC"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1D6393D" wp14:editId="325EA849">
            <wp:extent cx="6296025" cy="1734927"/>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296025" cy="1734927"/>
                    </a:xfrm>
                    <a:prstGeom prst="rect">
                      <a:avLst/>
                    </a:prstGeom>
                    <a:ln w="25400">
                      <a:solidFill>
                        <a:srgbClr val="000000"/>
                      </a:solidFill>
                      <a:prstDash val="solid"/>
                    </a:ln>
                  </pic:spPr>
                </pic:pic>
              </a:graphicData>
            </a:graphic>
          </wp:inline>
        </w:drawing>
      </w:r>
    </w:p>
    <w:p w14:paraId="177E7C30" w14:textId="77777777" w:rsidR="00E8397E" w:rsidRDefault="00533C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Pivot Table of Yearly Data</w:t>
      </w:r>
    </w:p>
    <w:p w14:paraId="6A6EFC60"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ED4DEE5" w14:textId="77777777" w:rsidR="00E8397E" w:rsidRDefault="00533C6E">
      <w:pPr>
        <w:pStyle w:val="Titlu2"/>
      </w:pPr>
      <w:bookmarkStart w:id="13" w:name="_kmzx4ihzuzsy" w:colFirst="0" w:colLast="0"/>
      <w:bookmarkStart w:id="14" w:name="_Toc140767571"/>
      <w:bookmarkEnd w:id="13"/>
      <w:r>
        <w:t>Discussion:</w:t>
      </w:r>
      <w:bookmarkEnd w:id="14"/>
    </w:p>
    <w:p w14:paraId="0777BFE0"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highlighted Microsoft Excel's remarkable data-handling capability for analyzing hotel reservations. In order to prevent loss of information and ensure accuracy, the 'IF' function was strategically used for dealing with missing values and irregularities in the dataset (</w:t>
      </w:r>
      <w:r>
        <w:rPr>
          <w:rFonts w:ascii="Times New Roman" w:eastAsia="Times New Roman" w:hAnsi="Times New Roman" w:cs="Times New Roman"/>
          <w:color w:val="222222"/>
          <w:sz w:val="24"/>
          <w:szCs w:val="24"/>
        </w:rPr>
        <w:t xml:space="preserve">Qudratova, </w:t>
      </w:r>
      <w:r>
        <w:rPr>
          <w:rFonts w:ascii="Times New Roman" w:eastAsia="Times New Roman" w:hAnsi="Times New Roman" w:cs="Times New Roman"/>
          <w:color w:val="222222"/>
          <w:sz w:val="24"/>
          <w:szCs w:val="24"/>
        </w:rPr>
        <w:lastRenderedPageBreak/>
        <w:t>2022</w:t>
      </w:r>
      <w:r>
        <w:rPr>
          <w:rFonts w:ascii="Times New Roman" w:eastAsia="Times New Roman" w:hAnsi="Times New Roman" w:cs="Times New Roman"/>
          <w:sz w:val="24"/>
          <w:szCs w:val="24"/>
        </w:rPr>
        <w:t>). PIVOT TABLES were used to streamline the research process by providing an instantaneous snapshot of the data based on key indicators like "Arrival_year" and "Room_type_reserved." This made it feasible to look at average hotel prices from different eras in great detail.</w:t>
      </w:r>
    </w:p>
    <w:p w14:paraId="1808AF32"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Excel's charting functions additionally performed a significant role in the visual representation of the findings (</w:t>
      </w:r>
      <w:r>
        <w:rPr>
          <w:rFonts w:ascii="Times New Roman" w:eastAsia="Times New Roman" w:hAnsi="Times New Roman" w:cs="Times New Roman"/>
          <w:color w:val="222222"/>
          <w:sz w:val="24"/>
          <w:szCs w:val="24"/>
        </w:rPr>
        <w:t>Jadav and Sengupta, 2023</w:t>
      </w:r>
      <w:r>
        <w:rPr>
          <w:rFonts w:ascii="Times New Roman" w:eastAsia="Times New Roman" w:hAnsi="Times New Roman" w:cs="Times New Roman"/>
          <w:sz w:val="24"/>
          <w:szCs w:val="24"/>
        </w:rPr>
        <w:t>). The annualized percentage change in average hotel rates across multiple room types was effectively illustrated using line charts. In addition, the use of bar graphs provided a clear representation of the distribution of hotel reservations across a range of customer types and arrival months, permitting stakeholders to better appreciate reservation trends.</w:t>
      </w:r>
    </w:p>
    <w:p w14:paraId="2035DB32"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Excel has shown to be a helpful and flexible tool for data analysis, simplifying the process and resulting insights. Its powerful capabilities and visualization features boosted the sharing of vital information, allowing stakeholders to make educated choices in the lodging sector and beyond.</w:t>
      </w:r>
    </w:p>
    <w:p w14:paraId="4D26D253" w14:textId="77777777" w:rsidR="00E8397E" w:rsidRDefault="00533C6E">
      <w:pPr>
        <w:pStyle w:val="Titlu2"/>
      </w:pPr>
      <w:bookmarkStart w:id="15" w:name="_vuh0qmi6y8eg" w:colFirst="0" w:colLast="0"/>
      <w:bookmarkStart w:id="16" w:name="_Toc140767572"/>
      <w:bookmarkEnd w:id="15"/>
      <w:r>
        <w:t>Conclusion:</w:t>
      </w:r>
      <w:bookmarkEnd w:id="16"/>
    </w:p>
    <w:p w14:paraId="655F86BA"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was used to look at hotel bookings from 2017 through 2021, highlighting the versatility of Excel tools like IF, PIVOT TABLES, and VLOOKUP. The findings suggest that there are fluctuations in the average cost of a hotel room, with certain room types being in more demand than others. The availability and cost of Room_Type 1 accommodations were singled out as requiring extensive investigation. The data also showed how important it is for the hotel to monitor guest preferences and revenue per available space. In conclusion, the findings of this study demonstrate the value that data analysts provide to information storage, business intelligence, and data mining by generating useful insights from large datasets in Microsoft Excel.</w:t>
      </w:r>
      <w:r>
        <w:br w:type="page"/>
      </w:r>
    </w:p>
    <w:p w14:paraId="1CC07FD7" w14:textId="77777777" w:rsidR="00E8397E" w:rsidRDefault="00533C6E">
      <w:pPr>
        <w:pStyle w:val="Titlu1"/>
      </w:pPr>
      <w:bookmarkStart w:id="17" w:name="_qxu3zfk56b5f" w:colFirst="0" w:colLast="0"/>
      <w:bookmarkStart w:id="18" w:name="_Toc140767573"/>
      <w:bookmarkEnd w:id="17"/>
      <w:r>
        <w:lastRenderedPageBreak/>
        <w:t>Part 2: Data Analysis and Evaluation</w:t>
      </w:r>
      <w:bookmarkEnd w:id="18"/>
    </w:p>
    <w:p w14:paraId="1FF50EA9" w14:textId="77777777" w:rsidR="00E8397E" w:rsidRDefault="00533C6E">
      <w:pPr>
        <w:pStyle w:val="Titlu1"/>
      </w:pPr>
      <w:bookmarkStart w:id="19" w:name="_m1r56p5z9o8" w:colFirst="0" w:colLast="0"/>
      <w:bookmarkStart w:id="20" w:name="_Toc140767574"/>
      <w:bookmarkEnd w:id="19"/>
      <w:r>
        <w:t>Gender Distribution</w:t>
      </w:r>
      <w:bookmarkEnd w:id="20"/>
    </w:p>
    <w:p w14:paraId="17401BA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it has examined the data set in order to identify the gender breakdown of the student numbers. There are a total of 1,077 male students and 1,056 female students registered, as shown by the sum in the "Gender" column. A bar graph displaying the proportion of male to female pupils in each group is shown below.</w:t>
      </w:r>
    </w:p>
    <w:p w14:paraId="11726AC2" w14:textId="77777777" w:rsidR="00E8397E" w:rsidRDefault="00E8397E">
      <w:pPr>
        <w:spacing w:line="360" w:lineRule="auto"/>
        <w:jc w:val="both"/>
        <w:rPr>
          <w:rFonts w:ascii="Times New Roman" w:eastAsia="Times New Roman" w:hAnsi="Times New Roman" w:cs="Times New Roman"/>
          <w:sz w:val="24"/>
          <w:szCs w:val="24"/>
        </w:rPr>
      </w:pPr>
    </w:p>
    <w:p w14:paraId="6D763CB6"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46ACB2A" wp14:editId="4000F182">
            <wp:extent cx="5943600" cy="35687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6C0400B5" w14:textId="77777777" w:rsidR="00E8397E" w:rsidRDefault="00533C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Gender Distribution</w:t>
      </w:r>
    </w:p>
    <w:p w14:paraId="709C23DA"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1184507"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Male students account for a somewhat larger part of the total than their female counterparts. Such data is useful for gaining insight into the number of students as a whole, and it may be used in addition to other indicators to tease out any potential gender differences in, say, performance in school or free lunch eligibility.</w:t>
      </w:r>
    </w:p>
    <w:p w14:paraId="0B1CE780" w14:textId="77777777" w:rsidR="00E8397E" w:rsidRDefault="00533C6E">
      <w:pPr>
        <w:pStyle w:val="Titlu2"/>
      </w:pPr>
      <w:bookmarkStart w:id="21" w:name="_ug2dtpsukm6c" w:colFirst="0" w:colLast="0"/>
      <w:bookmarkStart w:id="22" w:name="_Toc140767575"/>
      <w:bookmarkEnd w:id="21"/>
      <w:r>
        <w:t>Lunch Qualification</w:t>
      </w:r>
      <w:bookmarkEnd w:id="22"/>
      <w:r>
        <w:t xml:space="preserve"> </w:t>
      </w:r>
    </w:p>
    <w:p w14:paraId="6EE9D7B0"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examined data in order to assess whether a particular student qualifies for a reduced-price lunch. The results demonstrate that 918 students get lunch free or at a reduced price, while 1,212 do not. A pie chart displaying student distribution by category is shown below.</w:t>
      </w:r>
    </w:p>
    <w:p w14:paraId="1C047200" w14:textId="77777777" w:rsidR="00E8397E" w:rsidRDefault="00E8397E">
      <w:pPr>
        <w:spacing w:line="360" w:lineRule="auto"/>
        <w:jc w:val="both"/>
        <w:rPr>
          <w:rFonts w:ascii="Times New Roman" w:eastAsia="Times New Roman" w:hAnsi="Times New Roman" w:cs="Times New Roman"/>
          <w:sz w:val="24"/>
          <w:szCs w:val="24"/>
        </w:rPr>
      </w:pPr>
    </w:p>
    <w:p w14:paraId="7196359A"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F3DED9A" wp14:editId="05D123EF">
            <wp:extent cx="5943600" cy="35687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2A93395A" w14:textId="77777777" w:rsidR="00E8397E" w:rsidRDefault="00533C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Lunch Qualification</w:t>
      </w:r>
    </w:p>
    <w:p w14:paraId="6D0BF474"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EAE0045"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data shows that a sizable percentage of the student community is eligible for free or reduced-price lunches, showing that many are facing financial hardships. The school can't offer enough assistance to pupils in need without determining beforehand whether or not they qualify for the free or reduced-price lunch program. Students' academic performance and other educational outcomes may be evaluated in further depth to see whether lunch qualification is related (</w:t>
      </w:r>
      <w:r>
        <w:rPr>
          <w:rFonts w:ascii="Times New Roman" w:eastAsia="Times New Roman" w:hAnsi="Times New Roman" w:cs="Times New Roman"/>
          <w:color w:val="222222"/>
          <w:sz w:val="24"/>
          <w:szCs w:val="24"/>
        </w:rPr>
        <w:t>McKee, 2021</w:t>
      </w:r>
      <w:r>
        <w:rPr>
          <w:rFonts w:ascii="Times New Roman" w:eastAsia="Times New Roman" w:hAnsi="Times New Roman" w:cs="Times New Roman"/>
          <w:sz w:val="24"/>
          <w:szCs w:val="24"/>
        </w:rPr>
        <w:t>). Having this information assists the school to better serve the various needs of its student population, which is varied in terms of socioeconomic status.</w:t>
      </w:r>
    </w:p>
    <w:p w14:paraId="744D5A1D" w14:textId="77777777" w:rsidR="00E8397E" w:rsidRDefault="00533C6E">
      <w:pPr>
        <w:pStyle w:val="Titlu2"/>
      </w:pPr>
      <w:bookmarkStart w:id="23" w:name="_9e8k1sf7j1qh" w:colFirst="0" w:colLast="0"/>
      <w:bookmarkStart w:id="24" w:name="_Toc140767576"/>
      <w:bookmarkEnd w:id="23"/>
      <w:r>
        <w:t>Mean and Median for Lunch Qualification</w:t>
      </w:r>
      <w:bookmarkEnd w:id="24"/>
      <w:r>
        <w:t xml:space="preserve"> </w:t>
      </w:r>
    </w:p>
    <w:p w14:paraId="5686FEE6"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research, compared test scores for students who received free or reduced-price lunch with those who did not. Each lunch eligibility group's averages and medians were computed.</w:t>
      </w:r>
    </w:p>
    <w:p w14:paraId="13ED9AD8"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For students who qualify for reduced/free lunch, the analysis revealed the following results:</w:t>
      </w:r>
    </w:p>
    <w:p w14:paraId="1D5A096B" w14:textId="77777777" w:rsidR="00E8397E" w:rsidRDefault="00533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Scores on the pretest may have been anything from 22 to 100.</w:t>
      </w:r>
    </w:p>
    <w:p w14:paraId="22280326" w14:textId="77777777" w:rsidR="00E8397E" w:rsidRDefault="00533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Half of the students scored lower than 44 on the pre-test, while the other half scored higher.</w:t>
      </w:r>
    </w:p>
    <w:p w14:paraId="740D81E6" w14:textId="77777777" w:rsidR="00E8397E" w:rsidRDefault="00533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test results might fall anywhere from 32 to 105.</w:t>
      </w:r>
    </w:p>
    <w:p w14:paraId="453D3E21" w14:textId="77777777" w:rsidR="00E8397E" w:rsidRDefault="00533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final test median was 55, which is well in the center of the available range of results.</w:t>
      </w:r>
    </w:p>
    <w:p w14:paraId="59854F47"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For students who do not qualify for reduced/free lunch, the analysis showed the following results:</w:t>
      </w:r>
    </w:p>
    <w:p w14:paraId="6A3F4815" w14:textId="77777777" w:rsidR="00E8397E" w:rsidRDefault="00533C6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range of pre-test scores was rather wide, from 33 to 100.</w:t>
      </w:r>
    </w:p>
    <w:p w14:paraId="18BD400C" w14:textId="77777777" w:rsidR="00E8397E" w:rsidRDefault="00533C6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group, the median value of the pre-test scores was 62.</w:t>
      </w:r>
    </w:p>
    <w:p w14:paraId="2F4ECDD9" w14:textId="77777777" w:rsidR="00E8397E" w:rsidRDefault="00533C6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range of final test scores was rather large, from 43 to.</w:t>
      </w:r>
    </w:p>
    <w:p w14:paraId="7D3BCE3A" w14:textId="77777777" w:rsidR="00E8397E" w:rsidRDefault="00533C6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administering the post-test to this sample, the median score was 74.</w:t>
      </w:r>
    </w:p>
    <w:p w14:paraId="7A638373" w14:textId="77777777" w:rsidR="00E8397E" w:rsidRDefault="00533C6E">
      <w:pPr>
        <w:pStyle w:val="Titlu2"/>
      </w:pPr>
      <w:bookmarkStart w:id="25" w:name="_k5ii0hwxbeh3" w:colFirst="0" w:colLast="0"/>
      <w:bookmarkStart w:id="26" w:name="_Toc140767577"/>
      <w:bookmarkEnd w:id="25"/>
      <w:r>
        <w:t>Mean and Median Differences in Pre-test and Post-test Scores</w:t>
      </w:r>
      <w:bookmarkEnd w:id="26"/>
      <w:r>
        <w:t xml:space="preserve"> </w:t>
      </w:r>
    </w:p>
    <w:p w14:paraId="56B6C0B2"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whether students' performance improved or worsened, pre-and post-tests were compared. They could tell whether students were improving by comparing pre-and post-test scores.</w:t>
      </w:r>
    </w:p>
    <w:p w14:paraId="3C0B587D" w14:textId="77777777" w:rsidR="00E8397E" w:rsidRDefault="00533C6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For students who qualify for reduced/free lunch, the analysis yielded the following results:</w:t>
      </w:r>
    </w:p>
    <w:p w14:paraId="1A4E7580" w14:textId="77777777" w:rsidR="00E8397E" w:rsidRDefault="00533C6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Pre-test scores varied from 22 to 105, with a median of 44.</w:t>
      </w:r>
    </w:p>
    <w:p w14:paraId="4EFE6AEB" w14:textId="77777777" w:rsidR="00E8397E" w:rsidRDefault="00533C6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median of 55 and range of 32 post-test findings were significantly varied.</w:t>
      </w:r>
    </w:p>
    <w:p w14:paraId="115894C9" w14:textId="77777777" w:rsidR="00E8397E" w:rsidRDefault="00533C6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session, students' performance improved by 10%.</w:t>
      </w:r>
    </w:p>
    <w:p w14:paraId="0E50AD94" w14:textId="77777777" w:rsidR="00E8397E" w:rsidRDefault="00533C6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Half the pupils improved by 11 points between pre-and post-test performance (</w:t>
      </w:r>
      <w:r>
        <w:rPr>
          <w:rFonts w:ascii="Times New Roman" w:eastAsia="Times New Roman" w:hAnsi="Times New Roman" w:cs="Times New Roman"/>
          <w:color w:val="222222"/>
          <w:sz w:val="24"/>
          <w:szCs w:val="24"/>
        </w:rPr>
        <w:t>Jahwar and Abdulazeez, 2020</w:t>
      </w:r>
      <w:r>
        <w:rPr>
          <w:rFonts w:ascii="Times New Roman" w:eastAsia="Times New Roman" w:hAnsi="Times New Roman" w:cs="Times New Roman"/>
          <w:sz w:val="24"/>
          <w:szCs w:val="24"/>
        </w:rPr>
        <w:t>).</w:t>
      </w:r>
    </w:p>
    <w:p w14:paraId="481FAFFA" w14:textId="77777777" w:rsidR="00E8397E" w:rsidRDefault="00533C6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For students who do not qualify for reduced/free lunch, the analysis produced the following results:</w:t>
      </w:r>
    </w:p>
    <w:p w14:paraId="02AEDFEB" w14:textId="77777777" w:rsidR="00E8397E" w:rsidRDefault="00533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 pre-test scores were 62.</w:t>
      </w:r>
    </w:p>
    <w:p w14:paraId="09D0E289" w14:textId="77777777" w:rsidR="00E8397E" w:rsidRDefault="00533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Post-test scores ranged from 43 to 109, averaging 74.</w:t>
      </w:r>
    </w:p>
    <w:p w14:paraId="2D8F6309" w14:textId="77777777" w:rsidR="00E8397E" w:rsidRDefault="00533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pre-and post-test results, the intervention improved student performance by 10 points.</w:t>
      </w:r>
    </w:p>
    <w:p w14:paraId="70D722C1" w14:textId="77777777" w:rsidR="00E8397E" w:rsidRDefault="00533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Half of the pupils increased 12 points between pre-and post-test results.</w:t>
      </w:r>
    </w:p>
    <w:p w14:paraId="085D368C"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data explain why both lunch eligibility groups' academic performance has improved. The mean and median differences show that learners scored higher on the post-test than on the pre-test. It's important to consider each child's growth and each class's. The mean and median differences between pre-and post-lunch tests are shown below.</w:t>
      </w:r>
    </w:p>
    <w:p w14:paraId="7B024E48" w14:textId="77777777" w:rsidR="00E8397E" w:rsidRDefault="00E8397E">
      <w:pPr>
        <w:spacing w:line="360" w:lineRule="auto"/>
        <w:jc w:val="both"/>
        <w:rPr>
          <w:rFonts w:ascii="Times New Roman" w:eastAsia="Times New Roman" w:hAnsi="Times New Roman" w:cs="Times New Roman"/>
          <w:sz w:val="24"/>
          <w:szCs w:val="24"/>
        </w:rPr>
      </w:pPr>
    </w:p>
    <w:p w14:paraId="22820D8E" w14:textId="77777777" w:rsidR="00E8397E" w:rsidRDefault="00E8397E">
      <w:pPr>
        <w:spacing w:line="360" w:lineRule="auto"/>
        <w:jc w:val="both"/>
        <w:rPr>
          <w:rFonts w:ascii="Times New Roman" w:eastAsia="Times New Roman" w:hAnsi="Times New Roman" w:cs="Times New Roman"/>
          <w:sz w:val="24"/>
          <w:szCs w:val="24"/>
        </w:rPr>
      </w:pPr>
    </w:p>
    <w:p w14:paraId="724EBB8D"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435C4C62" wp14:editId="46EB2D28">
            <wp:extent cx="1266825" cy="204787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1266825" cy="2047875"/>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noProof/>
          <w:sz w:val="24"/>
          <w:szCs w:val="24"/>
          <w:lang w:val="en-IN"/>
        </w:rPr>
        <w:drawing>
          <wp:inline distT="114300" distB="114300" distL="114300" distR="114300" wp14:anchorId="47304467" wp14:editId="21BCFA56">
            <wp:extent cx="2090738" cy="20955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090738" cy="2095500"/>
                    </a:xfrm>
                    <a:prstGeom prst="rect">
                      <a:avLst/>
                    </a:prstGeom>
                    <a:ln w="12700">
                      <a:solidFill>
                        <a:srgbClr val="000000"/>
                      </a:solidFill>
                      <a:prstDash val="solid"/>
                    </a:ln>
                  </pic:spPr>
                </pic:pic>
              </a:graphicData>
            </a:graphic>
          </wp:inline>
        </w:drawing>
      </w:r>
    </w:p>
    <w:p w14:paraId="517E0E8D" w14:textId="77777777" w:rsidR="00E8397E" w:rsidRDefault="00533C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Mean, Median, and difference calculation of Pretest and posttest</w:t>
      </w:r>
    </w:p>
    <w:p w14:paraId="6C011A80" w14:textId="77777777" w:rsidR="00E8397E" w:rsidRDefault="00533C6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1629432" w14:textId="77777777" w:rsidR="00E8397E" w:rsidRDefault="00E8397E">
      <w:pPr>
        <w:spacing w:line="360" w:lineRule="auto"/>
        <w:jc w:val="center"/>
        <w:rPr>
          <w:rFonts w:ascii="Times New Roman" w:eastAsia="Times New Roman" w:hAnsi="Times New Roman" w:cs="Times New Roman"/>
          <w:sz w:val="24"/>
          <w:szCs w:val="24"/>
        </w:rPr>
      </w:pPr>
    </w:p>
    <w:p w14:paraId="3DDBE0A9" w14:textId="77777777" w:rsidR="00E8397E" w:rsidRDefault="00533C6E">
      <w:pPr>
        <w:pStyle w:val="Titlu2"/>
      </w:pPr>
      <w:bookmarkStart w:id="27" w:name="_p17ip1tex86r" w:colFirst="0" w:colLast="0"/>
      <w:bookmarkStart w:id="28" w:name="_Toc140767578"/>
      <w:bookmarkEnd w:id="27"/>
      <w:r>
        <w:t>Clustering Analysis with K-Means</w:t>
      </w:r>
      <w:bookmarkEnd w:id="28"/>
    </w:p>
    <w:p w14:paraId="37468A77"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examined K-Means clustering analysis. The research classified students using pre-and post-test results. This research sought hidden patterns or clusters in the dataset that might illuminate student performance.</w:t>
      </w:r>
    </w:p>
    <w:p w14:paraId="283AB8B8" w14:textId="77777777" w:rsidR="00F86656" w:rsidRDefault="00F86656" w:rsidP="00F86656">
      <w:pPr>
        <w:spacing w:line="360" w:lineRule="auto"/>
        <w:jc w:val="center"/>
        <w:rPr>
          <w:rFonts w:ascii="Times New Roman" w:eastAsia="Times New Roman" w:hAnsi="Times New Roman" w:cs="Times New Roman"/>
          <w:sz w:val="24"/>
          <w:szCs w:val="24"/>
        </w:rPr>
      </w:pPr>
      <w:r w:rsidRPr="00F86656">
        <w:rPr>
          <w:rFonts w:ascii="Times New Roman" w:eastAsia="Times New Roman" w:hAnsi="Times New Roman" w:cs="Times New Roman"/>
          <w:noProof/>
          <w:sz w:val="24"/>
          <w:szCs w:val="24"/>
        </w:rPr>
        <w:drawing>
          <wp:inline distT="0" distB="0" distL="0" distR="0" wp14:anchorId="69DC83B1" wp14:editId="4BB4FDF5">
            <wp:extent cx="1914792" cy="14098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14792" cy="1409897"/>
                    </a:xfrm>
                    <a:prstGeom prst="rect">
                      <a:avLst/>
                    </a:prstGeom>
                  </pic:spPr>
                </pic:pic>
              </a:graphicData>
            </a:graphic>
          </wp:inline>
        </w:drawing>
      </w:r>
      <w:r w:rsidRPr="00F86656">
        <w:rPr>
          <w:noProof/>
          <w:lang w:val="en-IN"/>
        </w:rPr>
        <w:drawing>
          <wp:inline distT="0" distB="0" distL="0" distR="0" wp14:anchorId="797F85FA" wp14:editId="2C43D031">
            <wp:extent cx="1895740" cy="1448002"/>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95740" cy="1448002"/>
                    </a:xfrm>
                    <a:prstGeom prst="rect">
                      <a:avLst/>
                    </a:prstGeom>
                  </pic:spPr>
                </pic:pic>
              </a:graphicData>
            </a:graphic>
          </wp:inline>
        </w:drawing>
      </w:r>
      <w:r w:rsidRPr="00F86656">
        <w:rPr>
          <w:rFonts w:ascii="Times New Roman" w:eastAsia="Times New Roman" w:hAnsi="Times New Roman" w:cs="Times New Roman"/>
          <w:noProof/>
          <w:sz w:val="24"/>
          <w:szCs w:val="24"/>
        </w:rPr>
        <w:drawing>
          <wp:inline distT="0" distB="0" distL="0" distR="0" wp14:anchorId="4096B1C1" wp14:editId="702E1DAA">
            <wp:extent cx="1886213" cy="14670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86213" cy="1467055"/>
                    </a:xfrm>
                    <a:prstGeom prst="rect">
                      <a:avLst/>
                    </a:prstGeom>
                  </pic:spPr>
                </pic:pic>
              </a:graphicData>
            </a:graphic>
          </wp:inline>
        </w:drawing>
      </w:r>
      <w:r w:rsidRPr="00F86656">
        <w:rPr>
          <w:noProof/>
          <w:lang w:val="en-IN"/>
        </w:rPr>
        <w:drawing>
          <wp:inline distT="0" distB="0" distL="0" distR="0" wp14:anchorId="3434F9D2" wp14:editId="6F60B8E4">
            <wp:extent cx="4401164" cy="141942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01164" cy="1419423"/>
                    </a:xfrm>
                    <a:prstGeom prst="rect">
                      <a:avLst/>
                    </a:prstGeom>
                  </pic:spPr>
                </pic:pic>
              </a:graphicData>
            </a:graphic>
          </wp:inline>
        </w:drawing>
      </w:r>
    </w:p>
    <w:p w14:paraId="6FCD3B3D" w14:textId="77777777" w:rsidR="00F86656" w:rsidRDefault="00F86656" w:rsidP="00F8665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Clustering analysis with K-Means</w:t>
      </w:r>
    </w:p>
    <w:p w14:paraId="2F668F8B" w14:textId="77777777" w:rsidR="00F86656" w:rsidRDefault="00F86656" w:rsidP="00F8665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C9D8F0E" w14:textId="77777777" w:rsidR="00F86656" w:rsidRDefault="00F86656" w:rsidP="00F86656">
      <w:pPr>
        <w:spacing w:line="360" w:lineRule="auto"/>
        <w:jc w:val="center"/>
        <w:rPr>
          <w:rFonts w:ascii="Times New Roman" w:eastAsia="Times New Roman" w:hAnsi="Times New Roman" w:cs="Times New Roman"/>
          <w:sz w:val="24"/>
          <w:szCs w:val="24"/>
        </w:rPr>
      </w:pPr>
    </w:p>
    <w:p w14:paraId="1385D179"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K-Means technique partitions a dataset into k groups iteratively. The cluster with the closest mean value receives each data point. Choosing k = 2 for this study created two clusters.</w:t>
      </w:r>
    </w:p>
    <w:p w14:paraId="0FC1CA14"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choosing the initial cluster centers, the cluster assignments were revised to minimize the data point-cluster center distance. The cluster centers did not change after numerous repetitions, showing convergence.</w:t>
      </w:r>
    </w:p>
    <w:p w14:paraId="187220CF"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eventual cluster centers showed two distinct clusters with different traits. Cluster 1 has 993 pupils and Cluster 2 1,140. Pre- and post-test scores showed patterns in each cluster, suggesting academic disparities.</w:t>
      </w:r>
    </w:p>
    <w:p w14:paraId="6D6159DF"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scatter plot showed grouping findings with pre-test scores on the horizontal axis and post-test scores on the vertical (</w:t>
      </w:r>
      <w:r>
        <w:rPr>
          <w:rFonts w:ascii="Times New Roman" w:eastAsia="Times New Roman" w:hAnsi="Times New Roman" w:cs="Times New Roman"/>
          <w:color w:val="222222"/>
          <w:sz w:val="24"/>
          <w:szCs w:val="24"/>
        </w:rPr>
        <w:t>Ikotun</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2022</w:t>
      </w:r>
      <w:r>
        <w:rPr>
          <w:rFonts w:ascii="Times New Roman" w:eastAsia="Times New Roman" w:hAnsi="Times New Roman" w:cs="Times New Roman"/>
          <w:sz w:val="24"/>
          <w:szCs w:val="24"/>
        </w:rPr>
        <w:t>). The scatter plot showed that the K-Means clustering approach was excellent in classifying students by test results.</w:t>
      </w:r>
    </w:p>
    <w:p w14:paraId="4AC1B473"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Clustering analysis helps schools find groups of kids with similar academic paths. These groupings may provide insights for implementing targeted support and intervention measures for each student group. Thus, this approach could improve academic results.</w:t>
      </w:r>
    </w:p>
    <w:p w14:paraId="043483F6" w14:textId="77777777" w:rsidR="00E8397E" w:rsidRDefault="00533C6E">
      <w:pPr>
        <w:pStyle w:val="Titlu2"/>
      </w:pPr>
      <w:bookmarkStart w:id="29" w:name="_5g1acmq8uuby" w:colFirst="0" w:colLast="0"/>
      <w:bookmarkStart w:id="30" w:name="_Toc140767579"/>
      <w:bookmarkEnd w:id="29"/>
      <w:r>
        <w:t>Common Data Mining and Text Mining Methods</w:t>
      </w:r>
      <w:bookmarkEnd w:id="30"/>
      <w:r>
        <w:t xml:space="preserve"> </w:t>
      </w:r>
    </w:p>
    <w:p w14:paraId="6DB72239"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Decision Trees</w:t>
      </w:r>
    </w:p>
    <w:p w14:paraId="25A8C4D8"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consumers' purchase histories, retail companies may divide their client base into various segments using decision trees. By predicting consumer buying behavior using past purchase data, decision trees allow for the optimization of advertising strategies and stock management.</w:t>
      </w:r>
    </w:p>
    <w:p w14:paraId="569447BE"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Clustering</w:t>
      </w:r>
    </w:p>
    <w:p w14:paraId="1191237C"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Real-world uses of clustering can be seen in e-commerce, where it is used to group products into categories and recommend new ones to customers based on their past purchases (</w:t>
      </w:r>
      <w:r>
        <w:rPr>
          <w:rFonts w:ascii="Times New Roman" w:eastAsia="Times New Roman" w:hAnsi="Times New Roman" w:cs="Times New Roman"/>
          <w:color w:val="222222"/>
          <w:sz w:val="24"/>
          <w:szCs w:val="24"/>
        </w:rPr>
        <w:t>Zhou and Zhou</w:t>
      </w:r>
      <w:r w:rsidR="00F86656">
        <w:rPr>
          <w:rFonts w:ascii="Times New Roman" w:eastAsia="Times New Roman" w:hAnsi="Times New Roman" w:cs="Times New Roman"/>
          <w:color w:val="222222"/>
          <w:sz w:val="24"/>
          <w:szCs w:val="24"/>
        </w:rPr>
        <w:t>, 2022</w:t>
      </w:r>
      <w:r>
        <w:rPr>
          <w:rFonts w:ascii="Times New Roman" w:eastAsia="Times New Roman" w:hAnsi="Times New Roman" w:cs="Times New Roman"/>
          <w:sz w:val="24"/>
          <w:szCs w:val="24"/>
        </w:rPr>
        <w:t>). Cluster analysis may also be used to segment target populations for specific advertising initiatives.</w:t>
      </w:r>
    </w:p>
    <w:p w14:paraId="080B0F43"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Association Rule Mining</w:t>
      </w:r>
    </w:p>
    <w:p w14:paraId="2B552E32"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Example applications of association rule mining include the discovery of product-</w:t>
      </w:r>
      <w:r w:rsidR="003E16EC">
        <w:rPr>
          <w:rFonts w:ascii="Times New Roman" w:eastAsia="Times New Roman" w:hAnsi="Times New Roman" w:cs="Times New Roman"/>
          <w:sz w:val="24"/>
          <w:szCs w:val="24"/>
        </w:rPr>
        <w:t>co-occurrence</w:t>
      </w:r>
      <w:r>
        <w:rPr>
          <w:rFonts w:ascii="Times New Roman" w:eastAsia="Times New Roman" w:hAnsi="Times New Roman" w:cs="Times New Roman"/>
          <w:sz w:val="24"/>
          <w:szCs w:val="24"/>
        </w:rPr>
        <w:t xml:space="preserve"> patterns in supermarkets (</w:t>
      </w:r>
      <w:r>
        <w:rPr>
          <w:rFonts w:ascii="Times New Roman" w:eastAsia="Times New Roman" w:hAnsi="Times New Roman" w:cs="Times New Roman"/>
          <w:color w:val="222222"/>
          <w:sz w:val="24"/>
          <w:szCs w:val="24"/>
        </w:rPr>
        <w:t>Pu</w:t>
      </w:r>
      <w:r>
        <w:rPr>
          <w:rFonts w:ascii="Times New Roman" w:eastAsia="Times New Roman" w:hAnsi="Times New Roman" w:cs="Times New Roman"/>
          <w:i/>
          <w:color w:val="222222"/>
          <w:sz w:val="24"/>
          <w:szCs w:val="24"/>
        </w:rPr>
        <w:t xml:space="preserve"> et al,</w:t>
      </w:r>
      <w:r>
        <w:rPr>
          <w:rFonts w:ascii="Times New Roman" w:eastAsia="Times New Roman" w:hAnsi="Times New Roman" w:cs="Times New Roman"/>
          <w:color w:val="222222"/>
          <w:sz w:val="24"/>
          <w:szCs w:val="24"/>
        </w:rPr>
        <w:t xml:space="preserve"> 2022</w:t>
      </w:r>
      <w:r>
        <w:rPr>
          <w:rFonts w:ascii="Times New Roman" w:eastAsia="Times New Roman" w:hAnsi="Times New Roman" w:cs="Times New Roman"/>
          <w:sz w:val="24"/>
          <w:szCs w:val="24"/>
        </w:rPr>
        <w:t>). Because of the high frequency with which people purchase both soda and chips, strategically situating them close to one another may increase sales.</w:t>
      </w:r>
    </w:p>
    <w:p w14:paraId="7DD9F81F"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Regression Analysis</w:t>
      </w:r>
    </w:p>
    <w:p w14:paraId="2E10B3C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Banks along with other financial institutions may utilize regression analysis to determine a borrower's creditworthiness. After factoring in data like income, credit history, or debt-to-income ratio, the model can forecast the chance of loan default.</w:t>
      </w:r>
    </w:p>
    <w:p w14:paraId="51CE8096"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Series Analysis</w:t>
      </w:r>
    </w:p>
    <w:p w14:paraId="7A27CE69" w14:textId="77777777" w:rsidR="00E8397E" w:rsidRDefault="00533C6E">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In order to predict future demand for flights, airlines employ time series analysis. Optimizing flight prices and seat availability using booking data from previous years to predict future demand.</w:t>
      </w:r>
    </w:p>
    <w:p w14:paraId="64267CC4"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Text Mining Methods</w:t>
      </w:r>
    </w:p>
    <w:p w14:paraId="338D5753"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Sentiment Analysis</w:t>
      </w:r>
    </w:p>
    <w:p w14:paraId="505BE91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networking sites use sentiment analysis to learn how their users feel about different businesses and products. Businesses can use this data to determine customer satisfaction, identify market trends, and strengthen their brands.</w:t>
      </w:r>
    </w:p>
    <w:p w14:paraId="710ACED4"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Named Entity Recognition</w:t>
      </w:r>
    </w:p>
    <w:p w14:paraId="46AD9E4A"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real-world use of NER is in the computerized extraction of names of people, locations, and organizations from news reports by news companies. This helps with categorizing and indexing news stories.</w:t>
      </w:r>
    </w:p>
    <w:p w14:paraId="0D9E5FB7"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Topic Modeling</w:t>
      </w:r>
    </w:p>
    <w:p w14:paraId="0FCAB95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research firms often use topic modeling for the purpose of analyzing customer feedback and online reviews (</w:t>
      </w:r>
      <w:r>
        <w:rPr>
          <w:rFonts w:ascii="Times New Roman" w:eastAsia="Times New Roman" w:hAnsi="Times New Roman" w:cs="Times New Roman"/>
          <w:color w:val="222222"/>
          <w:sz w:val="24"/>
          <w:szCs w:val="24"/>
        </w:rPr>
        <w:t xml:space="preserve">Sari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2021</w:t>
      </w:r>
      <w:r>
        <w:rPr>
          <w:rFonts w:ascii="Times New Roman" w:eastAsia="Times New Roman" w:hAnsi="Times New Roman" w:cs="Times New Roman"/>
          <w:sz w:val="24"/>
          <w:szCs w:val="24"/>
        </w:rPr>
        <w:t>). Pattern recognition aids businesses to comprehend customer preferences.</w:t>
      </w:r>
    </w:p>
    <w:p w14:paraId="6F35DC01"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Text Classification</w:t>
      </w:r>
    </w:p>
    <w:p w14:paraId="00460D8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practice, email services utilize text classification to sort incoming messages into folders like "inbox," "spam," and "promotions." This improves the mailbox handling for end users.</w:t>
      </w:r>
    </w:p>
    <w:p w14:paraId="1A827F04" w14:textId="77777777" w:rsidR="00E8397E" w:rsidRDefault="00533C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Text Summarization:</w:t>
      </w:r>
    </w:p>
    <w:p w14:paraId="1B4F770D"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that specialize in curating online material utilize the text summary to condense lengthy articles and reports into more manageable chunks of information for their readers. In this way, readers may grasp the essence of a piece without committing to reading it in its entirety.</w:t>
      </w:r>
    </w:p>
    <w:p w14:paraId="5296F137" w14:textId="77777777" w:rsidR="00E8397E" w:rsidRDefault="00533C6E">
      <w:pPr>
        <w:pStyle w:val="Titlu2"/>
      </w:pPr>
      <w:bookmarkStart w:id="31" w:name="_uje6h8b132vz" w:colFirst="0" w:colLast="0"/>
      <w:bookmarkStart w:id="32" w:name="_Toc140767580"/>
      <w:bookmarkEnd w:id="31"/>
      <w:r>
        <w:t>SPSS vs. Excel: Advantages and Disadvantages</w:t>
      </w:r>
      <w:bookmarkEnd w:id="32"/>
      <w:r>
        <w:t xml:space="preserve"> </w:t>
      </w:r>
    </w:p>
    <w:p w14:paraId="03B09F94" w14:textId="77777777" w:rsidR="00E8397E" w:rsidRDefault="00E8397E">
      <w:pPr>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397E" w14:paraId="19207851" w14:textId="77777777">
        <w:tc>
          <w:tcPr>
            <w:tcW w:w="3120" w:type="dxa"/>
            <w:shd w:val="clear" w:color="auto" w:fill="EA9999"/>
            <w:tcMar>
              <w:top w:w="100" w:type="dxa"/>
              <w:left w:w="100" w:type="dxa"/>
              <w:bottom w:w="100" w:type="dxa"/>
              <w:right w:w="100" w:type="dxa"/>
            </w:tcMar>
          </w:tcPr>
          <w:p w14:paraId="29E6A704" w14:textId="77777777" w:rsidR="00E8397E" w:rsidRDefault="00533C6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w:t>
            </w:r>
          </w:p>
        </w:tc>
        <w:tc>
          <w:tcPr>
            <w:tcW w:w="3120" w:type="dxa"/>
            <w:shd w:val="clear" w:color="auto" w:fill="EA9999"/>
            <w:tcMar>
              <w:top w:w="100" w:type="dxa"/>
              <w:left w:w="100" w:type="dxa"/>
              <w:bottom w:w="100" w:type="dxa"/>
              <w:right w:w="100" w:type="dxa"/>
            </w:tcMar>
          </w:tcPr>
          <w:p w14:paraId="10A20B6A" w14:textId="77777777" w:rsidR="00E8397E" w:rsidRDefault="00533C6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tc>
        <w:tc>
          <w:tcPr>
            <w:tcW w:w="3120" w:type="dxa"/>
            <w:shd w:val="clear" w:color="auto" w:fill="EA9999"/>
            <w:tcMar>
              <w:top w:w="100" w:type="dxa"/>
              <w:left w:w="100" w:type="dxa"/>
              <w:bottom w:w="100" w:type="dxa"/>
              <w:right w:w="100" w:type="dxa"/>
            </w:tcMar>
          </w:tcPr>
          <w:p w14:paraId="339C9582" w14:textId="77777777" w:rsidR="00E8397E" w:rsidRDefault="00533C6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Excel</w:t>
            </w:r>
          </w:p>
        </w:tc>
      </w:tr>
      <w:tr w:rsidR="00E8397E" w14:paraId="5CCEC6A5" w14:textId="77777777">
        <w:tc>
          <w:tcPr>
            <w:tcW w:w="3120" w:type="dxa"/>
            <w:shd w:val="clear" w:color="auto" w:fill="F4CCCC"/>
            <w:tcMar>
              <w:top w:w="100" w:type="dxa"/>
              <w:left w:w="100" w:type="dxa"/>
              <w:bottom w:w="100" w:type="dxa"/>
              <w:right w:w="100" w:type="dxa"/>
            </w:tcMar>
          </w:tcPr>
          <w:p w14:paraId="0DB477F9"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Analysis Capabilities</w:t>
            </w:r>
          </w:p>
        </w:tc>
        <w:tc>
          <w:tcPr>
            <w:tcW w:w="3120" w:type="dxa"/>
            <w:shd w:val="clear" w:color="auto" w:fill="F4CCCC"/>
            <w:tcMar>
              <w:top w:w="100" w:type="dxa"/>
              <w:left w:w="100" w:type="dxa"/>
              <w:bottom w:w="100" w:type="dxa"/>
              <w:right w:w="100" w:type="dxa"/>
            </w:tcMar>
          </w:tcPr>
          <w:p w14:paraId="5F6B35F1"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SPSS offers advanced </w:t>
            </w:r>
            <w:r>
              <w:rPr>
                <w:rFonts w:ascii="Times New Roman" w:eastAsia="Times New Roman" w:hAnsi="Times New Roman" w:cs="Times New Roman"/>
                <w:sz w:val="24"/>
                <w:szCs w:val="24"/>
              </w:rPr>
              <w:lastRenderedPageBreak/>
              <w:t>statistical analysis and data mining tools, making it suitable for complex and large datasets.</w:t>
            </w:r>
          </w:p>
        </w:tc>
        <w:tc>
          <w:tcPr>
            <w:tcW w:w="3120" w:type="dxa"/>
            <w:shd w:val="clear" w:color="auto" w:fill="F4CCCC"/>
            <w:tcMar>
              <w:top w:w="100" w:type="dxa"/>
              <w:left w:w="100" w:type="dxa"/>
              <w:bottom w:w="100" w:type="dxa"/>
              <w:right w:w="100" w:type="dxa"/>
            </w:tcMar>
          </w:tcPr>
          <w:p w14:paraId="2F013804"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Excel that provides basic data </w:t>
            </w:r>
            <w:r>
              <w:rPr>
                <w:rFonts w:ascii="Times New Roman" w:eastAsia="Times New Roman" w:hAnsi="Times New Roman" w:cs="Times New Roman"/>
                <w:sz w:val="24"/>
                <w:szCs w:val="24"/>
              </w:rPr>
              <w:lastRenderedPageBreak/>
              <w:t>analysis functions, and is suitable for simple calculations and basic statistical analysis.</w:t>
            </w:r>
          </w:p>
        </w:tc>
      </w:tr>
      <w:tr w:rsidR="00E8397E" w14:paraId="14DF4B0E" w14:textId="77777777">
        <w:tc>
          <w:tcPr>
            <w:tcW w:w="3120" w:type="dxa"/>
            <w:shd w:val="clear" w:color="auto" w:fill="F4CCCC"/>
            <w:tcMar>
              <w:top w:w="100" w:type="dxa"/>
              <w:left w:w="100" w:type="dxa"/>
              <w:bottom w:w="100" w:type="dxa"/>
              <w:right w:w="100" w:type="dxa"/>
            </w:tcMar>
          </w:tcPr>
          <w:p w14:paraId="03A795F1"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User Interface</w:t>
            </w:r>
          </w:p>
        </w:tc>
        <w:tc>
          <w:tcPr>
            <w:tcW w:w="3120" w:type="dxa"/>
            <w:shd w:val="clear" w:color="auto" w:fill="F4CCCC"/>
            <w:tcMar>
              <w:top w:w="100" w:type="dxa"/>
              <w:left w:w="100" w:type="dxa"/>
              <w:bottom w:w="100" w:type="dxa"/>
              <w:right w:w="100" w:type="dxa"/>
            </w:tcMar>
          </w:tcPr>
          <w:p w14:paraId="4F2FE48A"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has a user-friendly interface designed for data by analysis professionals, with extensive options for data manipulation.</w:t>
            </w:r>
          </w:p>
        </w:tc>
        <w:tc>
          <w:tcPr>
            <w:tcW w:w="3120" w:type="dxa"/>
            <w:shd w:val="clear" w:color="auto" w:fill="F4CCCC"/>
            <w:tcMar>
              <w:top w:w="100" w:type="dxa"/>
              <w:left w:w="100" w:type="dxa"/>
              <w:bottom w:w="100" w:type="dxa"/>
              <w:right w:w="100" w:type="dxa"/>
            </w:tcMar>
          </w:tcPr>
          <w:p w14:paraId="7B5F5F7D"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has a familiar interface and is widely used, but its data analysis capabilities are limited compared to SPSS.</w:t>
            </w:r>
          </w:p>
        </w:tc>
      </w:tr>
      <w:tr w:rsidR="00E8397E" w14:paraId="267F8F55" w14:textId="77777777">
        <w:tc>
          <w:tcPr>
            <w:tcW w:w="3120" w:type="dxa"/>
            <w:shd w:val="clear" w:color="auto" w:fill="FCE5CD"/>
            <w:tcMar>
              <w:top w:w="100" w:type="dxa"/>
              <w:left w:w="100" w:type="dxa"/>
              <w:bottom w:w="100" w:type="dxa"/>
              <w:right w:w="100" w:type="dxa"/>
            </w:tcMar>
          </w:tcPr>
          <w:p w14:paraId="554F0950"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Visualization</w:t>
            </w:r>
          </w:p>
        </w:tc>
        <w:tc>
          <w:tcPr>
            <w:tcW w:w="3120" w:type="dxa"/>
            <w:shd w:val="clear" w:color="auto" w:fill="FCE5CD"/>
            <w:tcMar>
              <w:top w:w="100" w:type="dxa"/>
              <w:left w:w="100" w:type="dxa"/>
              <w:bottom w:w="100" w:type="dxa"/>
              <w:right w:w="100" w:type="dxa"/>
            </w:tcMar>
          </w:tcPr>
          <w:p w14:paraId="542528DD"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offers sophisticated data visualization tools, enabling the creation of professional and detailed charts and graphs.</w:t>
            </w:r>
          </w:p>
        </w:tc>
        <w:tc>
          <w:tcPr>
            <w:tcW w:w="3120" w:type="dxa"/>
            <w:shd w:val="clear" w:color="auto" w:fill="FCE5CD"/>
            <w:tcMar>
              <w:top w:w="100" w:type="dxa"/>
              <w:left w:w="100" w:type="dxa"/>
              <w:bottom w:w="100" w:type="dxa"/>
              <w:right w:w="100" w:type="dxa"/>
            </w:tcMar>
          </w:tcPr>
          <w:p w14:paraId="309D8838"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provides basic charting options, suitable for simple visualizations, but lacks advanced visualization features.</w:t>
            </w:r>
          </w:p>
        </w:tc>
      </w:tr>
      <w:tr w:rsidR="00E8397E" w14:paraId="4A274C86" w14:textId="77777777">
        <w:tc>
          <w:tcPr>
            <w:tcW w:w="3120" w:type="dxa"/>
            <w:shd w:val="clear" w:color="auto" w:fill="FCE5CD"/>
            <w:tcMar>
              <w:top w:w="100" w:type="dxa"/>
              <w:left w:w="100" w:type="dxa"/>
              <w:bottom w:w="100" w:type="dxa"/>
              <w:right w:w="100" w:type="dxa"/>
            </w:tcMar>
          </w:tcPr>
          <w:p w14:paraId="06AA7232"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Performance</w:t>
            </w:r>
          </w:p>
        </w:tc>
        <w:tc>
          <w:tcPr>
            <w:tcW w:w="3120" w:type="dxa"/>
            <w:shd w:val="clear" w:color="auto" w:fill="FCE5CD"/>
            <w:tcMar>
              <w:top w:w="100" w:type="dxa"/>
              <w:left w:w="100" w:type="dxa"/>
              <w:bottom w:w="100" w:type="dxa"/>
              <w:right w:w="100" w:type="dxa"/>
            </w:tcMar>
          </w:tcPr>
          <w:p w14:paraId="53EB921F"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may be slower when handling large datasets due to its complexity and advanced algorithms.</w:t>
            </w:r>
          </w:p>
        </w:tc>
        <w:tc>
          <w:tcPr>
            <w:tcW w:w="3120" w:type="dxa"/>
            <w:shd w:val="clear" w:color="auto" w:fill="FCE5CD"/>
            <w:tcMar>
              <w:top w:w="100" w:type="dxa"/>
              <w:left w:w="100" w:type="dxa"/>
              <w:bottom w:w="100" w:type="dxa"/>
              <w:right w:w="100" w:type="dxa"/>
            </w:tcMar>
          </w:tcPr>
          <w:p w14:paraId="0F51A4AD"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efficient for small to medium-sized datasets but may experience performance issues with larger datasets.</w:t>
            </w:r>
          </w:p>
        </w:tc>
      </w:tr>
      <w:tr w:rsidR="00E8397E" w14:paraId="493327A5" w14:textId="77777777">
        <w:tc>
          <w:tcPr>
            <w:tcW w:w="3120" w:type="dxa"/>
            <w:shd w:val="clear" w:color="auto" w:fill="F4CCCC"/>
            <w:tcMar>
              <w:top w:w="100" w:type="dxa"/>
              <w:left w:w="100" w:type="dxa"/>
              <w:bottom w:w="100" w:type="dxa"/>
              <w:right w:w="100" w:type="dxa"/>
            </w:tcMar>
          </w:tcPr>
          <w:p w14:paraId="60AF9C0D"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Management</w:t>
            </w:r>
          </w:p>
        </w:tc>
        <w:tc>
          <w:tcPr>
            <w:tcW w:w="3120" w:type="dxa"/>
            <w:shd w:val="clear" w:color="auto" w:fill="F4CCCC"/>
            <w:tcMar>
              <w:top w:w="100" w:type="dxa"/>
              <w:left w:w="100" w:type="dxa"/>
              <w:bottom w:w="100" w:type="dxa"/>
              <w:right w:w="100" w:type="dxa"/>
            </w:tcMar>
          </w:tcPr>
          <w:p w14:paraId="4C0283BA"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excels in data management with features for data cleaning, transformation, and merging datasets (</w:t>
            </w:r>
            <w:r>
              <w:rPr>
                <w:rFonts w:ascii="Times New Roman" w:eastAsia="Times New Roman" w:hAnsi="Times New Roman" w:cs="Times New Roman"/>
                <w:color w:val="222222"/>
                <w:sz w:val="24"/>
                <w:szCs w:val="24"/>
              </w:rPr>
              <w:t xml:space="preserve">Sarbaini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2022</w:t>
            </w:r>
            <w:r>
              <w:rPr>
                <w:rFonts w:ascii="Times New Roman" w:eastAsia="Times New Roman" w:hAnsi="Times New Roman" w:cs="Times New Roman"/>
                <w:sz w:val="24"/>
                <w:szCs w:val="24"/>
              </w:rPr>
              <w:t>).</w:t>
            </w:r>
          </w:p>
        </w:tc>
        <w:tc>
          <w:tcPr>
            <w:tcW w:w="3120" w:type="dxa"/>
            <w:shd w:val="clear" w:color="auto" w:fill="F4CCCC"/>
            <w:tcMar>
              <w:top w:w="100" w:type="dxa"/>
              <w:left w:w="100" w:type="dxa"/>
              <w:bottom w:w="100" w:type="dxa"/>
              <w:right w:w="100" w:type="dxa"/>
            </w:tcMar>
          </w:tcPr>
          <w:p w14:paraId="17844AB8"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provides basic data management capabilities, but it may be cumbersome for complex data tasks.</w:t>
            </w:r>
          </w:p>
        </w:tc>
      </w:tr>
      <w:tr w:rsidR="00E8397E" w14:paraId="1FE9A553" w14:textId="77777777">
        <w:tc>
          <w:tcPr>
            <w:tcW w:w="3120" w:type="dxa"/>
            <w:shd w:val="clear" w:color="auto" w:fill="F4CCCC"/>
            <w:tcMar>
              <w:top w:w="100" w:type="dxa"/>
              <w:left w:w="100" w:type="dxa"/>
              <w:bottom w:w="100" w:type="dxa"/>
              <w:right w:w="100" w:type="dxa"/>
            </w:tcMar>
          </w:tcPr>
          <w:p w14:paraId="4A84C4A0"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w:t>
            </w:r>
          </w:p>
        </w:tc>
        <w:tc>
          <w:tcPr>
            <w:tcW w:w="3120" w:type="dxa"/>
            <w:shd w:val="clear" w:color="auto" w:fill="F4CCCC"/>
            <w:tcMar>
              <w:top w:w="100" w:type="dxa"/>
              <w:left w:w="100" w:type="dxa"/>
              <w:bottom w:w="100" w:type="dxa"/>
              <w:right w:w="100" w:type="dxa"/>
            </w:tcMar>
          </w:tcPr>
          <w:p w14:paraId="6278063D"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is commercial software, and its licenses can be expensive for organizations.</w:t>
            </w:r>
          </w:p>
        </w:tc>
        <w:tc>
          <w:tcPr>
            <w:tcW w:w="3120" w:type="dxa"/>
            <w:shd w:val="clear" w:color="auto" w:fill="F4CCCC"/>
            <w:tcMar>
              <w:top w:w="100" w:type="dxa"/>
              <w:left w:w="100" w:type="dxa"/>
              <w:bottom w:w="100" w:type="dxa"/>
              <w:right w:w="100" w:type="dxa"/>
            </w:tcMar>
          </w:tcPr>
          <w:p w14:paraId="31944361"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often included in the Microsoft Office suite, making it cost-effective for users who already have Office licenses.</w:t>
            </w:r>
          </w:p>
        </w:tc>
      </w:tr>
      <w:tr w:rsidR="00E8397E" w14:paraId="387A3BD1" w14:textId="77777777">
        <w:tc>
          <w:tcPr>
            <w:tcW w:w="3120" w:type="dxa"/>
            <w:shd w:val="clear" w:color="auto" w:fill="FCE5CD"/>
            <w:tcMar>
              <w:top w:w="100" w:type="dxa"/>
              <w:left w:w="100" w:type="dxa"/>
              <w:bottom w:w="100" w:type="dxa"/>
              <w:right w:w="100" w:type="dxa"/>
            </w:tcMar>
          </w:tcPr>
          <w:p w14:paraId="617826C2" w14:textId="77777777" w:rsidR="00E8397E" w:rsidRDefault="00533C6E">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Automation</w:t>
            </w:r>
          </w:p>
        </w:tc>
        <w:tc>
          <w:tcPr>
            <w:tcW w:w="3120" w:type="dxa"/>
            <w:shd w:val="clear" w:color="auto" w:fill="FCE5CD"/>
            <w:tcMar>
              <w:top w:w="100" w:type="dxa"/>
              <w:left w:w="100" w:type="dxa"/>
              <w:bottom w:w="100" w:type="dxa"/>
              <w:right w:w="100" w:type="dxa"/>
            </w:tcMar>
          </w:tcPr>
          <w:p w14:paraId="5973D6DD"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offers advanced automation capabilities through scripting, facilitating repetitive tasks, and custom analysis.</w:t>
            </w:r>
          </w:p>
        </w:tc>
        <w:tc>
          <w:tcPr>
            <w:tcW w:w="3120" w:type="dxa"/>
            <w:shd w:val="clear" w:color="auto" w:fill="FCE5CD"/>
            <w:tcMar>
              <w:top w:w="100" w:type="dxa"/>
              <w:left w:w="100" w:type="dxa"/>
              <w:bottom w:w="100" w:type="dxa"/>
              <w:right w:w="100" w:type="dxa"/>
            </w:tcMar>
          </w:tcPr>
          <w:p w14:paraId="4C06B5D3" w14:textId="77777777" w:rsidR="00E8397E" w:rsidRDefault="00533C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supports basic automation with macros, but it is less suitable for advanced scripting and automation tasks.</w:t>
            </w:r>
          </w:p>
        </w:tc>
      </w:tr>
    </w:tbl>
    <w:p w14:paraId="44558470" w14:textId="77777777" w:rsidR="00E8397E" w:rsidRDefault="00E8397E">
      <w:pPr>
        <w:spacing w:line="360" w:lineRule="auto"/>
        <w:jc w:val="both"/>
        <w:rPr>
          <w:rFonts w:ascii="Times New Roman" w:eastAsia="Times New Roman" w:hAnsi="Times New Roman" w:cs="Times New Roman"/>
          <w:b/>
          <w:color w:val="FF0000"/>
          <w:sz w:val="24"/>
          <w:szCs w:val="24"/>
        </w:rPr>
      </w:pPr>
    </w:p>
    <w:p w14:paraId="1FC6896B" w14:textId="77777777" w:rsidR="00E8397E" w:rsidRDefault="00533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both SPSS and Excel offer advantages and disadvantages. SPSS is more expensive but superior at complicated data analysis, advanced statistics, and data mining. However, Excel may lack the complexity necessary for sophisticated statistical analysis and processing huge datasets, while being widely available, simple to use, and inexpensive for basic data analysis. Data analysis tasks, organizational assets, and available knowledge all factor into which technology is ultimately selected.</w:t>
      </w:r>
    </w:p>
    <w:p w14:paraId="1E928159" w14:textId="77777777" w:rsidR="00E8397E" w:rsidRDefault="00533C6E">
      <w:pPr>
        <w:spacing w:line="360" w:lineRule="auto"/>
        <w:jc w:val="both"/>
        <w:rPr>
          <w:rFonts w:ascii="Times New Roman" w:eastAsia="Times New Roman" w:hAnsi="Times New Roman" w:cs="Times New Roman"/>
          <w:b/>
          <w:color w:val="FF0000"/>
          <w:sz w:val="24"/>
          <w:szCs w:val="24"/>
        </w:rPr>
      </w:pPr>
      <w:r>
        <w:br w:type="page"/>
      </w:r>
    </w:p>
    <w:p w14:paraId="75790500" w14:textId="77777777" w:rsidR="003E16EC" w:rsidRPr="003E16EC" w:rsidRDefault="00533C6E" w:rsidP="003E16EC">
      <w:pPr>
        <w:pStyle w:val="Titlu1"/>
      </w:pPr>
      <w:bookmarkStart w:id="33" w:name="_652r7nqi8dfn" w:colFirst="0" w:colLast="0"/>
      <w:bookmarkStart w:id="34" w:name="_Toc140767581"/>
      <w:bookmarkEnd w:id="33"/>
      <w:r>
        <w:lastRenderedPageBreak/>
        <w:t>Reference list</w:t>
      </w:r>
      <w:bookmarkEnd w:id="34"/>
    </w:p>
    <w:p w14:paraId="3EC1D0C1"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Conant, D. and Chaille, S., 2022. Asset depreciation method comparison: An excel-based classroom exercise. </w:t>
      </w:r>
      <w:r w:rsidRPr="003E16EC">
        <w:rPr>
          <w:rFonts w:ascii="Times New Roman" w:eastAsia="Times New Roman" w:hAnsi="Times New Roman" w:cs="Times New Roman"/>
          <w:i/>
          <w:color w:val="222222"/>
          <w:sz w:val="24"/>
          <w:szCs w:val="24"/>
        </w:rPr>
        <w:t>Journal of Education for Business</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97</w:t>
      </w:r>
      <w:r w:rsidRPr="003E16EC">
        <w:rPr>
          <w:rFonts w:ascii="Times New Roman" w:eastAsia="Times New Roman" w:hAnsi="Times New Roman" w:cs="Times New Roman"/>
          <w:color w:val="222222"/>
          <w:sz w:val="24"/>
          <w:szCs w:val="24"/>
        </w:rPr>
        <w:t>(5), pp.351-356.</w:t>
      </w:r>
      <w:hyperlink r:id="rId18">
        <w:r w:rsidRPr="003E16EC">
          <w:rPr>
            <w:rFonts w:ascii="Times New Roman" w:eastAsia="Times New Roman" w:hAnsi="Times New Roman" w:cs="Times New Roman"/>
            <w:color w:val="1155CC"/>
            <w:sz w:val="24"/>
            <w:szCs w:val="24"/>
            <w:u w:val="single"/>
          </w:rPr>
          <w:t>https://www.tandfonline.com/doi/abs/10.1080/08832323.2021.1967841</w:t>
        </w:r>
      </w:hyperlink>
    </w:p>
    <w:p w14:paraId="2C724A6A"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Dobashi, K., 2020. Development of Real-Time Learning Analytics Using Scraping and Pivot Tables. In </w:t>
      </w:r>
      <w:r w:rsidRPr="003E16EC">
        <w:rPr>
          <w:rFonts w:ascii="Times New Roman" w:eastAsia="Times New Roman" w:hAnsi="Times New Roman" w:cs="Times New Roman"/>
          <w:i/>
          <w:color w:val="222222"/>
          <w:sz w:val="24"/>
          <w:szCs w:val="24"/>
        </w:rPr>
        <w:t>Advances in Human Factors and Systems Interaction: Proceedings of the AHFE 2020 Virtual Conference on Human Factors and Systems Interaction, July 16-20, 2020, USA</w:t>
      </w:r>
      <w:r w:rsidRPr="003E16EC">
        <w:rPr>
          <w:rFonts w:ascii="Times New Roman" w:eastAsia="Times New Roman" w:hAnsi="Times New Roman" w:cs="Times New Roman"/>
          <w:color w:val="222222"/>
          <w:sz w:val="24"/>
          <w:szCs w:val="24"/>
        </w:rPr>
        <w:t xml:space="preserve"> (pp. 311-318). Springer International Publishing.</w:t>
      </w:r>
      <w:hyperlink r:id="rId19">
        <w:r w:rsidRPr="003E16EC">
          <w:rPr>
            <w:rFonts w:ascii="Times New Roman" w:eastAsia="Times New Roman" w:hAnsi="Times New Roman" w:cs="Times New Roman"/>
            <w:color w:val="1155CC"/>
            <w:sz w:val="24"/>
            <w:szCs w:val="24"/>
            <w:u w:val="single"/>
          </w:rPr>
          <w:t>https://link.springer.com/chapter/10.1007/978-3-030-51369-6_42</w:t>
        </w:r>
      </w:hyperlink>
    </w:p>
    <w:p w14:paraId="379D973B"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Facendola, R., Ottomano Palmisano, G., De Boni, A., Acciani, C. and Roma, R., 2023. Profiling Citizens on Perception of Key Factors of Food Security: An Application of K-Means Cluster Analysis. </w:t>
      </w:r>
      <w:r w:rsidRPr="003E16EC">
        <w:rPr>
          <w:rFonts w:ascii="Times New Roman" w:eastAsia="Times New Roman" w:hAnsi="Times New Roman" w:cs="Times New Roman"/>
          <w:i/>
          <w:color w:val="222222"/>
          <w:sz w:val="24"/>
          <w:szCs w:val="24"/>
        </w:rPr>
        <w:t>Sustainability</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15</w:t>
      </w:r>
      <w:r w:rsidRPr="003E16EC">
        <w:rPr>
          <w:rFonts w:ascii="Times New Roman" w:eastAsia="Times New Roman" w:hAnsi="Times New Roman" w:cs="Times New Roman"/>
          <w:color w:val="222222"/>
          <w:sz w:val="24"/>
          <w:szCs w:val="24"/>
        </w:rPr>
        <w:t>(13), p.9915.</w:t>
      </w:r>
      <w:hyperlink r:id="rId20">
        <w:r w:rsidRPr="003E16EC">
          <w:rPr>
            <w:rFonts w:ascii="Times New Roman" w:eastAsia="Times New Roman" w:hAnsi="Times New Roman" w:cs="Times New Roman"/>
            <w:color w:val="1155CC"/>
            <w:sz w:val="24"/>
            <w:szCs w:val="24"/>
            <w:u w:val="single"/>
          </w:rPr>
          <w:t>https://www.mdpi.com/2071-1050/15/13/9915</w:t>
        </w:r>
      </w:hyperlink>
      <w:r w:rsidRPr="003E16EC">
        <w:rPr>
          <w:rFonts w:ascii="Times New Roman" w:eastAsia="Times New Roman" w:hAnsi="Times New Roman" w:cs="Times New Roman"/>
          <w:color w:val="222222"/>
          <w:sz w:val="24"/>
          <w:szCs w:val="24"/>
        </w:rPr>
        <w:t xml:space="preserve"> </w:t>
      </w:r>
    </w:p>
    <w:p w14:paraId="33BF7A4A"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Ikotun, A.M., Ezugwu, A.E., Abualigah, L., Abuhaija, B. and Heming, J., 2022. K-means clustering algorithms: A comprehensive review, variants analysis, and advances in the era of big data. </w:t>
      </w:r>
      <w:r w:rsidRPr="003E16EC">
        <w:rPr>
          <w:rFonts w:ascii="Times New Roman" w:eastAsia="Times New Roman" w:hAnsi="Times New Roman" w:cs="Times New Roman"/>
          <w:i/>
          <w:color w:val="222222"/>
          <w:sz w:val="24"/>
          <w:szCs w:val="24"/>
        </w:rPr>
        <w:t>Information Sciences</w:t>
      </w:r>
      <w:r w:rsidRPr="003E16EC">
        <w:rPr>
          <w:rFonts w:ascii="Times New Roman" w:eastAsia="Times New Roman" w:hAnsi="Times New Roman" w:cs="Times New Roman"/>
          <w:color w:val="222222"/>
          <w:sz w:val="24"/>
          <w:szCs w:val="24"/>
        </w:rPr>
        <w:t>.</w:t>
      </w:r>
      <w:hyperlink r:id="rId21">
        <w:r w:rsidRPr="003E16EC">
          <w:rPr>
            <w:rFonts w:ascii="Times New Roman" w:eastAsia="Times New Roman" w:hAnsi="Times New Roman" w:cs="Times New Roman"/>
            <w:color w:val="1155CC"/>
            <w:sz w:val="24"/>
            <w:szCs w:val="24"/>
            <w:u w:val="single"/>
          </w:rPr>
          <w:t>https://www.sciencedirect.com/science/article/pii/S0020025522014633</w:t>
        </w:r>
      </w:hyperlink>
      <w:r w:rsidRPr="003E16EC">
        <w:rPr>
          <w:rFonts w:ascii="Times New Roman" w:eastAsia="Times New Roman" w:hAnsi="Times New Roman" w:cs="Times New Roman"/>
          <w:color w:val="222222"/>
          <w:sz w:val="24"/>
          <w:szCs w:val="24"/>
        </w:rPr>
        <w:t xml:space="preserve"> </w:t>
      </w:r>
    </w:p>
    <w:p w14:paraId="53C34A24"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Jadav, T. and Sengupta, P., 2023. ProteoExcelTP: Development of a simple excel-based tool for surrogate peptide selection in mass spectrometry based targeted proteomics. </w:t>
      </w:r>
      <w:r w:rsidRPr="003E16EC">
        <w:rPr>
          <w:rFonts w:ascii="Times New Roman" w:eastAsia="Times New Roman" w:hAnsi="Times New Roman" w:cs="Times New Roman"/>
          <w:i/>
          <w:color w:val="222222"/>
          <w:sz w:val="24"/>
          <w:szCs w:val="24"/>
        </w:rPr>
        <w:t>Journal of Pharmaceutical and Biomedical Analysis</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222</w:t>
      </w:r>
      <w:r w:rsidRPr="003E16EC">
        <w:rPr>
          <w:rFonts w:ascii="Times New Roman" w:eastAsia="Times New Roman" w:hAnsi="Times New Roman" w:cs="Times New Roman"/>
          <w:color w:val="222222"/>
          <w:sz w:val="24"/>
          <w:szCs w:val="24"/>
        </w:rPr>
        <w:t>, p.115105.</w:t>
      </w:r>
      <w:hyperlink r:id="rId22">
        <w:r w:rsidRPr="003E16EC">
          <w:rPr>
            <w:rFonts w:ascii="Times New Roman" w:eastAsia="Times New Roman" w:hAnsi="Times New Roman" w:cs="Times New Roman"/>
            <w:color w:val="1155CC"/>
            <w:sz w:val="24"/>
            <w:szCs w:val="24"/>
            <w:u w:val="single"/>
          </w:rPr>
          <w:t>https://www.sciencedirect.com/science/article/pii/S073170852200526X</w:t>
        </w:r>
      </w:hyperlink>
    </w:p>
    <w:p w14:paraId="06001814"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Jahwar, A.F. and Abdulazeez, A.M., 2020. Meta-heuristic algorithms for K-means clustering: A review. </w:t>
      </w:r>
      <w:r w:rsidRPr="003E16EC">
        <w:rPr>
          <w:rFonts w:ascii="Times New Roman" w:eastAsia="Times New Roman" w:hAnsi="Times New Roman" w:cs="Times New Roman"/>
          <w:i/>
          <w:color w:val="222222"/>
          <w:sz w:val="24"/>
          <w:szCs w:val="24"/>
        </w:rPr>
        <w:t>PalArch's Journal of Archaeology of Egypt/Egyptology</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17</w:t>
      </w:r>
      <w:r w:rsidRPr="003E16EC">
        <w:rPr>
          <w:rFonts w:ascii="Times New Roman" w:eastAsia="Times New Roman" w:hAnsi="Times New Roman" w:cs="Times New Roman"/>
          <w:color w:val="222222"/>
          <w:sz w:val="24"/>
          <w:szCs w:val="24"/>
        </w:rPr>
        <w:t>(7), pp.12002-12020.</w:t>
      </w:r>
      <w:hyperlink r:id="rId23">
        <w:r w:rsidRPr="003E16EC">
          <w:rPr>
            <w:rFonts w:ascii="Times New Roman" w:eastAsia="Times New Roman" w:hAnsi="Times New Roman" w:cs="Times New Roman"/>
            <w:color w:val="1155CC"/>
            <w:sz w:val="24"/>
            <w:szCs w:val="24"/>
            <w:u w:val="single"/>
          </w:rPr>
          <w:t>https://archives.palarch.nl/index.php/jae/article/view/4630</w:t>
        </w:r>
      </w:hyperlink>
    </w:p>
    <w:p w14:paraId="4CA8784E"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Khan, M.A., Kalwar, M.A. and Chaudhry, A.K., 2021. Optimization of material delivery time analysis by using Visual Basic for applications in Excel. </w:t>
      </w:r>
      <w:r w:rsidRPr="003E16EC">
        <w:rPr>
          <w:rFonts w:ascii="Times New Roman" w:eastAsia="Times New Roman" w:hAnsi="Times New Roman" w:cs="Times New Roman"/>
          <w:i/>
          <w:color w:val="222222"/>
          <w:sz w:val="24"/>
          <w:szCs w:val="24"/>
        </w:rPr>
        <w:t>Journal of Applied Research in Technology &amp; Engineering</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2</w:t>
      </w:r>
      <w:r w:rsidRPr="003E16EC">
        <w:rPr>
          <w:rFonts w:ascii="Times New Roman" w:eastAsia="Times New Roman" w:hAnsi="Times New Roman" w:cs="Times New Roman"/>
          <w:color w:val="222222"/>
          <w:sz w:val="24"/>
          <w:szCs w:val="24"/>
        </w:rPr>
        <w:t>(2), pp.89-100.</w:t>
      </w:r>
      <w:hyperlink r:id="rId24">
        <w:r w:rsidRPr="003E16EC">
          <w:rPr>
            <w:rFonts w:ascii="Times New Roman" w:eastAsia="Times New Roman" w:hAnsi="Times New Roman" w:cs="Times New Roman"/>
            <w:color w:val="1155CC"/>
            <w:sz w:val="24"/>
            <w:szCs w:val="24"/>
            <w:u w:val="single"/>
          </w:rPr>
          <w:t>http://polipapers.upv.es/index.php/JARTE/article/view/14786</w:t>
        </w:r>
      </w:hyperlink>
    </w:p>
    <w:p w14:paraId="761C1549"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McKee, T.E., 2021. Analyzing an audit population via either excel pivot tables and/or R language cluster analysis. </w:t>
      </w:r>
      <w:r w:rsidRPr="003E16EC">
        <w:rPr>
          <w:rFonts w:ascii="Times New Roman" w:eastAsia="Times New Roman" w:hAnsi="Times New Roman" w:cs="Times New Roman"/>
          <w:i/>
          <w:color w:val="222222"/>
          <w:sz w:val="24"/>
          <w:szCs w:val="24"/>
        </w:rPr>
        <w:t>Current Issues in Auditing</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15</w:t>
      </w:r>
      <w:r w:rsidRPr="003E16EC">
        <w:rPr>
          <w:rFonts w:ascii="Times New Roman" w:eastAsia="Times New Roman" w:hAnsi="Times New Roman" w:cs="Times New Roman"/>
          <w:color w:val="222222"/>
          <w:sz w:val="24"/>
          <w:szCs w:val="24"/>
        </w:rPr>
        <w:t>(1), pp.I1-I14.</w:t>
      </w:r>
      <w:hyperlink r:id="rId25">
        <w:r w:rsidRPr="003E16EC">
          <w:rPr>
            <w:rFonts w:ascii="Times New Roman" w:eastAsia="Times New Roman" w:hAnsi="Times New Roman" w:cs="Times New Roman"/>
            <w:color w:val="1155CC"/>
            <w:sz w:val="24"/>
            <w:szCs w:val="24"/>
            <w:u w:val="single"/>
          </w:rPr>
          <w:t>https://publications.aaahq.org/cia/article-abstract/15/1/I1/7048</w:t>
        </w:r>
      </w:hyperlink>
    </w:p>
    <w:p w14:paraId="2E698044"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lastRenderedPageBreak/>
        <w:t xml:space="preserve">Murray, A., 2022. The Infamous VLOOKUP Function. In </w:t>
      </w:r>
      <w:r w:rsidRPr="003E16EC">
        <w:rPr>
          <w:rFonts w:ascii="Times New Roman" w:eastAsia="Times New Roman" w:hAnsi="Times New Roman" w:cs="Times New Roman"/>
          <w:i/>
          <w:color w:val="222222"/>
          <w:sz w:val="24"/>
          <w:szCs w:val="24"/>
        </w:rPr>
        <w:t>Advanced Excel Formulas: Unleashing Brilliance with Excel Formulas</w:t>
      </w:r>
      <w:r w:rsidRPr="003E16EC">
        <w:rPr>
          <w:rFonts w:ascii="Times New Roman" w:eastAsia="Times New Roman" w:hAnsi="Times New Roman" w:cs="Times New Roman"/>
          <w:color w:val="222222"/>
          <w:sz w:val="24"/>
          <w:szCs w:val="24"/>
        </w:rPr>
        <w:t xml:space="preserve"> (pp. 329-372). Berkeley, CA: Apress.</w:t>
      </w:r>
      <w:hyperlink r:id="rId26">
        <w:r w:rsidRPr="003E16EC">
          <w:rPr>
            <w:rFonts w:ascii="Times New Roman" w:eastAsia="Times New Roman" w:hAnsi="Times New Roman" w:cs="Times New Roman"/>
            <w:color w:val="1155CC"/>
            <w:sz w:val="24"/>
            <w:szCs w:val="24"/>
            <w:u w:val="single"/>
          </w:rPr>
          <w:t>https://link.springer.com/chapter/10.1007/978-1-4842-7125-4_7</w:t>
        </w:r>
      </w:hyperlink>
    </w:p>
    <w:p w14:paraId="206A7604"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Pu, Q., Gan, J., Qiu, L., Duan, J. and Wang, H., 2022. An efficient hybrid approach based on PSO, ABC and k-means for cluster analysis. </w:t>
      </w:r>
      <w:r w:rsidRPr="003E16EC">
        <w:rPr>
          <w:rFonts w:ascii="Times New Roman" w:eastAsia="Times New Roman" w:hAnsi="Times New Roman" w:cs="Times New Roman"/>
          <w:i/>
          <w:color w:val="222222"/>
          <w:sz w:val="24"/>
          <w:szCs w:val="24"/>
        </w:rPr>
        <w:t>Multimedia Tools and Applications</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81</w:t>
      </w:r>
      <w:r w:rsidRPr="003E16EC">
        <w:rPr>
          <w:rFonts w:ascii="Times New Roman" w:eastAsia="Times New Roman" w:hAnsi="Times New Roman" w:cs="Times New Roman"/>
          <w:color w:val="222222"/>
          <w:sz w:val="24"/>
          <w:szCs w:val="24"/>
        </w:rPr>
        <w:t>(14), pp.19321-19339.</w:t>
      </w:r>
      <w:hyperlink r:id="rId27">
        <w:r w:rsidRPr="003E16EC">
          <w:rPr>
            <w:rFonts w:ascii="Times New Roman" w:eastAsia="Times New Roman" w:hAnsi="Times New Roman" w:cs="Times New Roman"/>
            <w:color w:val="1155CC"/>
            <w:sz w:val="24"/>
            <w:szCs w:val="24"/>
            <w:u w:val="single"/>
          </w:rPr>
          <w:t>https://link.springer.com/article/10.1007/s11042-021-11016-6</w:t>
        </w:r>
      </w:hyperlink>
    </w:p>
    <w:p w14:paraId="2F3E2B9B"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Qudratova, G.S., 2022. Using Ms Excel Function to Solve Economic Problems. </w:t>
      </w:r>
      <w:r w:rsidRPr="003E16EC">
        <w:rPr>
          <w:rFonts w:ascii="Times New Roman" w:eastAsia="Times New Roman" w:hAnsi="Times New Roman" w:cs="Times New Roman"/>
          <w:i/>
          <w:color w:val="222222"/>
          <w:sz w:val="24"/>
          <w:szCs w:val="24"/>
        </w:rPr>
        <w:t>Indonesian Journal of Innovation Studies</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18</w:t>
      </w:r>
      <w:r w:rsidRPr="003E16EC">
        <w:rPr>
          <w:rFonts w:ascii="Times New Roman" w:eastAsia="Times New Roman" w:hAnsi="Times New Roman" w:cs="Times New Roman"/>
          <w:color w:val="222222"/>
          <w:sz w:val="24"/>
          <w:szCs w:val="24"/>
        </w:rPr>
        <w:t>.</w:t>
      </w:r>
      <w:hyperlink r:id="rId28">
        <w:r w:rsidRPr="003E16EC">
          <w:rPr>
            <w:rFonts w:ascii="Times New Roman" w:eastAsia="Times New Roman" w:hAnsi="Times New Roman" w:cs="Times New Roman"/>
            <w:color w:val="1155CC"/>
            <w:sz w:val="24"/>
            <w:szCs w:val="24"/>
            <w:u w:val="single"/>
          </w:rPr>
          <w:t>https://ijins.umsida.ac.id/index.php/ijins/article/view/662</w:t>
        </w:r>
      </w:hyperlink>
    </w:p>
    <w:p w14:paraId="7F1B9CF7"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Sarbaini, S., Saputri, W. and Muttakin, F., 2022. Cluster Analysis Menggunakan Algoritma Fuzzy K-Means Untuk Tingkat Pengangguran Di Provinsi Riau. </w:t>
      </w:r>
      <w:r w:rsidRPr="003E16EC">
        <w:rPr>
          <w:rFonts w:ascii="Times New Roman" w:eastAsia="Times New Roman" w:hAnsi="Times New Roman" w:cs="Times New Roman"/>
          <w:i/>
          <w:color w:val="222222"/>
          <w:sz w:val="24"/>
          <w:szCs w:val="24"/>
        </w:rPr>
        <w:t>Jurnal Teknologi Dan Manajemen Industri Terapan</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1</w:t>
      </w:r>
      <w:r w:rsidRPr="003E16EC">
        <w:rPr>
          <w:rFonts w:ascii="Times New Roman" w:eastAsia="Times New Roman" w:hAnsi="Times New Roman" w:cs="Times New Roman"/>
          <w:color w:val="222222"/>
          <w:sz w:val="24"/>
          <w:szCs w:val="24"/>
        </w:rPr>
        <w:t>(2), pp.78-84.</w:t>
      </w:r>
      <w:hyperlink r:id="rId29">
        <w:r w:rsidRPr="003E16EC">
          <w:rPr>
            <w:rFonts w:ascii="Times New Roman" w:eastAsia="Times New Roman" w:hAnsi="Times New Roman" w:cs="Times New Roman"/>
            <w:color w:val="1155CC"/>
            <w:sz w:val="24"/>
            <w:szCs w:val="24"/>
            <w:u w:val="single"/>
          </w:rPr>
          <w:t>http://jurnal-tmit.com/index.php/home/article/view/30</w:t>
        </w:r>
      </w:hyperlink>
    </w:p>
    <w:p w14:paraId="6161B0C1"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Sari, I.P., Al-Khowarizmi, A.K. and Batubara, I.H., 2021. Cluster Analysis Using K-Means Algorithm and Fuzzy C-Means Clustering For Grouping Students' Abilities In Online Learning Process. </w:t>
      </w:r>
      <w:r w:rsidRPr="003E16EC">
        <w:rPr>
          <w:rFonts w:ascii="Times New Roman" w:eastAsia="Times New Roman" w:hAnsi="Times New Roman" w:cs="Times New Roman"/>
          <w:i/>
          <w:color w:val="222222"/>
          <w:sz w:val="24"/>
          <w:szCs w:val="24"/>
        </w:rPr>
        <w:t>Journal of Computer Science, Information Technology and Telecommunication Engineering</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2</w:t>
      </w:r>
      <w:r w:rsidRPr="003E16EC">
        <w:rPr>
          <w:rFonts w:ascii="Times New Roman" w:eastAsia="Times New Roman" w:hAnsi="Times New Roman" w:cs="Times New Roman"/>
          <w:color w:val="222222"/>
          <w:sz w:val="24"/>
          <w:szCs w:val="24"/>
        </w:rPr>
        <w:t>(1), pp.139-144.</w:t>
      </w:r>
      <w:hyperlink r:id="rId30">
        <w:r w:rsidRPr="003E16EC">
          <w:rPr>
            <w:rFonts w:ascii="Times New Roman" w:eastAsia="Times New Roman" w:hAnsi="Times New Roman" w:cs="Times New Roman"/>
            <w:color w:val="1155CC"/>
            <w:sz w:val="24"/>
            <w:szCs w:val="24"/>
            <w:u w:val="single"/>
          </w:rPr>
          <w:t>https://jurnal.umsu.ac.id/index.php/jcositte/article/view/6504</w:t>
        </w:r>
      </w:hyperlink>
    </w:p>
    <w:p w14:paraId="7BC6D412"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Zhou, H. and Zhou, H., 2022. PivotTable Data Analysis. </w:t>
      </w:r>
      <w:r w:rsidRPr="003E16EC">
        <w:rPr>
          <w:rFonts w:ascii="Times New Roman" w:eastAsia="Times New Roman" w:hAnsi="Times New Roman" w:cs="Times New Roman"/>
          <w:i/>
          <w:color w:val="222222"/>
          <w:sz w:val="24"/>
          <w:szCs w:val="24"/>
        </w:rPr>
        <w:t>Mastering Excel Through Projects: A Learn-by-Doing Approach from Payroll to Crypto to Data Analysis</w:t>
      </w:r>
      <w:r w:rsidRPr="003E16EC">
        <w:rPr>
          <w:rFonts w:ascii="Times New Roman" w:eastAsia="Times New Roman" w:hAnsi="Times New Roman" w:cs="Times New Roman"/>
          <w:color w:val="222222"/>
          <w:sz w:val="24"/>
          <w:szCs w:val="24"/>
        </w:rPr>
        <w:t>, pp.169-201.</w:t>
      </w:r>
      <w:hyperlink r:id="rId31">
        <w:r w:rsidRPr="003E16EC">
          <w:rPr>
            <w:rFonts w:ascii="Times New Roman" w:eastAsia="Times New Roman" w:hAnsi="Times New Roman" w:cs="Times New Roman"/>
            <w:color w:val="1155CC"/>
            <w:sz w:val="24"/>
            <w:szCs w:val="24"/>
            <w:u w:val="single"/>
          </w:rPr>
          <w:t>https://link.springer.com/chapter/10.1007/978-1-4842-7842-0_7</w:t>
        </w:r>
      </w:hyperlink>
    </w:p>
    <w:p w14:paraId="15C2AF54" w14:textId="77777777" w:rsidR="003E16EC" w:rsidRPr="003E16EC" w:rsidRDefault="003E16EC">
      <w:pPr>
        <w:spacing w:line="360" w:lineRule="auto"/>
        <w:jc w:val="both"/>
        <w:rPr>
          <w:rFonts w:ascii="Times New Roman" w:eastAsia="Times New Roman" w:hAnsi="Times New Roman" w:cs="Times New Roman"/>
          <w:color w:val="222222"/>
          <w:sz w:val="24"/>
          <w:szCs w:val="24"/>
        </w:rPr>
      </w:pPr>
      <w:r w:rsidRPr="003E16EC">
        <w:rPr>
          <w:rFonts w:ascii="Times New Roman" w:eastAsia="Times New Roman" w:hAnsi="Times New Roman" w:cs="Times New Roman"/>
          <w:color w:val="222222"/>
          <w:sz w:val="24"/>
          <w:szCs w:val="24"/>
        </w:rPr>
        <w:t xml:space="preserve">Zhu, E., Zhang, Y., Wen, P. and Liu, F., 2019. Fast and stable clustering analysis based on Grid-mapping K-means algorithm and new clustering validity index. </w:t>
      </w:r>
      <w:r w:rsidRPr="003E16EC">
        <w:rPr>
          <w:rFonts w:ascii="Times New Roman" w:eastAsia="Times New Roman" w:hAnsi="Times New Roman" w:cs="Times New Roman"/>
          <w:i/>
          <w:color w:val="222222"/>
          <w:sz w:val="24"/>
          <w:szCs w:val="24"/>
        </w:rPr>
        <w:t>Neurocomputing</w:t>
      </w:r>
      <w:r w:rsidRPr="003E16EC">
        <w:rPr>
          <w:rFonts w:ascii="Times New Roman" w:eastAsia="Times New Roman" w:hAnsi="Times New Roman" w:cs="Times New Roman"/>
          <w:color w:val="222222"/>
          <w:sz w:val="24"/>
          <w:szCs w:val="24"/>
        </w:rPr>
        <w:t xml:space="preserve">, </w:t>
      </w:r>
      <w:r w:rsidRPr="003E16EC">
        <w:rPr>
          <w:rFonts w:ascii="Times New Roman" w:eastAsia="Times New Roman" w:hAnsi="Times New Roman" w:cs="Times New Roman"/>
          <w:i/>
          <w:color w:val="222222"/>
          <w:sz w:val="24"/>
          <w:szCs w:val="24"/>
        </w:rPr>
        <w:t>363</w:t>
      </w:r>
      <w:r w:rsidRPr="003E16EC">
        <w:rPr>
          <w:rFonts w:ascii="Times New Roman" w:eastAsia="Times New Roman" w:hAnsi="Times New Roman" w:cs="Times New Roman"/>
          <w:color w:val="222222"/>
          <w:sz w:val="24"/>
          <w:szCs w:val="24"/>
        </w:rPr>
        <w:t>, pp.149-170.</w:t>
      </w:r>
      <w:hyperlink r:id="rId32">
        <w:r w:rsidRPr="003E16EC">
          <w:rPr>
            <w:rFonts w:ascii="Times New Roman" w:eastAsia="Times New Roman" w:hAnsi="Times New Roman" w:cs="Times New Roman"/>
            <w:color w:val="1155CC"/>
            <w:sz w:val="24"/>
            <w:szCs w:val="24"/>
            <w:u w:val="single"/>
          </w:rPr>
          <w:t>https://www.sciencedirect.com/science/article/pii/S0925231219310239</w:t>
        </w:r>
      </w:hyperlink>
    </w:p>
    <w:sectPr w:rsidR="003E16EC" w:rsidRPr="003E16EC" w:rsidSect="003E16EC">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F4C38" w14:textId="77777777" w:rsidR="00533C6E" w:rsidRDefault="00533C6E" w:rsidP="003E16EC">
      <w:pPr>
        <w:spacing w:line="240" w:lineRule="auto"/>
      </w:pPr>
      <w:r>
        <w:separator/>
      </w:r>
    </w:p>
  </w:endnote>
  <w:endnote w:type="continuationSeparator" w:id="0">
    <w:p w14:paraId="04D23219" w14:textId="77777777" w:rsidR="00533C6E" w:rsidRDefault="00533C6E" w:rsidP="003E1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70377"/>
      <w:docPartObj>
        <w:docPartGallery w:val="Page Numbers (Bottom of Page)"/>
        <w:docPartUnique/>
      </w:docPartObj>
    </w:sdtPr>
    <w:sdtEndPr>
      <w:rPr>
        <w:noProof/>
      </w:rPr>
    </w:sdtEndPr>
    <w:sdtContent>
      <w:p w14:paraId="24B9259E" w14:textId="77777777" w:rsidR="003E16EC" w:rsidRDefault="003E16EC">
        <w:pPr>
          <w:pStyle w:val="Subsol"/>
          <w:jc w:val="right"/>
        </w:pPr>
        <w:r>
          <w:fldChar w:fldCharType="begin"/>
        </w:r>
        <w:r>
          <w:instrText xml:space="preserve"> PAGE   \* MERGEFORMAT </w:instrText>
        </w:r>
        <w:r>
          <w:fldChar w:fldCharType="separate"/>
        </w:r>
        <w:r w:rsidR="00F86656">
          <w:rPr>
            <w:noProof/>
          </w:rPr>
          <w:t>14</w:t>
        </w:r>
        <w:r>
          <w:rPr>
            <w:noProof/>
          </w:rPr>
          <w:fldChar w:fldCharType="end"/>
        </w:r>
      </w:p>
    </w:sdtContent>
  </w:sdt>
  <w:p w14:paraId="6DE4E820" w14:textId="77777777" w:rsidR="003E16EC" w:rsidRDefault="003E16E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1E73B" w14:textId="77777777" w:rsidR="00533C6E" w:rsidRDefault="00533C6E" w:rsidP="003E16EC">
      <w:pPr>
        <w:spacing w:line="240" w:lineRule="auto"/>
      </w:pPr>
      <w:r>
        <w:separator/>
      </w:r>
    </w:p>
  </w:footnote>
  <w:footnote w:type="continuationSeparator" w:id="0">
    <w:p w14:paraId="583260CB" w14:textId="77777777" w:rsidR="00533C6E" w:rsidRDefault="00533C6E" w:rsidP="003E16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317FF"/>
    <w:multiLevelType w:val="multilevel"/>
    <w:tmpl w:val="9118F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707C40"/>
    <w:multiLevelType w:val="multilevel"/>
    <w:tmpl w:val="C9B24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C03EA3"/>
    <w:multiLevelType w:val="multilevel"/>
    <w:tmpl w:val="87B47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C3579D"/>
    <w:multiLevelType w:val="multilevel"/>
    <w:tmpl w:val="EF10E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5016744">
    <w:abstractNumId w:val="2"/>
  </w:num>
  <w:num w:numId="2" w16cid:durableId="438723569">
    <w:abstractNumId w:val="0"/>
  </w:num>
  <w:num w:numId="3" w16cid:durableId="928386239">
    <w:abstractNumId w:val="3"/>
  </w:num>
  <w:num w:numId="4" w16cid:durableId="1364210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97E"/>
    <w:rsid w:val="003E16EC"/>
    <w:rsid w:val="0052312D"/>
    <w:rsid w:val="00533C6E"/>
    <w:rsid w:val="00E8397E"/>
    <w:rsid w:val="00F866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51898"/>
  <w15:docId w15:val="{D8A7877D-F7BE-4922-9AE7-6A5A567B8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86656"/>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pPr>
      <w:keepNext/>
      <w:keepLines/>
      <w:spacing w:line="360" w:lineRule="auto"/>
      <w:jc w:val="both"/>
      <w:outlineLvl w:val="1"/>
    </w:pPr>
    <w:rPr>
      <w:rFonts w:ascii="Times New Roman" w:eastAsia="Times New Roman" w:hAnsi="Times New Roman" w:cs="Times New Roman"/>
      <w:b/>
      <w:sz w:val="26"/>
      <w:szCs w:val="26"/>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3E16EC"/>
    <w:pPr>
      <w:tabs>
        <w:tab w:val="center" w:pos="4513"/>
        <w:tab w:val="right" w:pos="9026"/>
      </w:tabs>
      <w:spacing w:line="240" w:lineRule="auto"/>
    </w:pPr>
  </w:style>
  <w:style w:type="character" w:customStyle="1" w:styleId="AntetCaracter">
    <w:name w:val="Antet Caracter"/>
    <w:basedOn w:val="Fontdeparagrafimplicit"/>
    <w:link w:val="Antet"/>
    <w:uiPriority w:val="99"/>
    <w:rsid w:val="003E16EC"/>
  </w:style>
  <w:style w:type="paragraph" w:styleId="Subsol">
    <w:name w:val="footer"/>
    <w:basedOn w:val="Normal"/>
    <w:link w:val="SubsolCaracter"/>
    <w:uiPriority w:val="99"/>
    <w:unhideWhenUsed/>
    <w:rsid w:val="003E16E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E16EC"/>
  </w:style>
  <w:style w:type="paragraph" w:styleId="Titlucuprins">
    <w:name w:val="TOC Heading"/>
    <w:basedOn w:val="Titlu1"/>
    <w:next w:val="Normal"/>
    <w:uiPriority w:val="39"/>
    <w:unhideWhenUsed/>
    <w:qFormat/>
    <w:rsid w:val="003E16E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E16EC"/>
    <w:pPr>
      <w:spacing w:after="100"/>
    </w:pPr>
  </w:style>
  <w:style w:type="paragraph" w:styleId="Cuprins2">
    <w:name w:val="toc 2"/>
    <w:basedOn w:val="Normal"/>
    <w:next w:val="Normal"/>
    <w:autoRedefine/>
    <w:uiPriority w:val="39"/>
    <w:unhideWhenUsed/>
    <w:rsid w:val="003E16EC"/>
    <w:pPr>
      <w:spacing w:after="100"/>
      <w:ind w:left="220"/>
    </w:pPr>
  </w:style>
  <w:style w:type="character" w:styleId="Hyperlink">
    <w:name w:val="Hyperlink"/>
    <w:basedOn w:val="Fontdeparagrafimplicit"/>
    <w:uiPriority w:val="99"/>
    <w:unhideWhenUsed/>
    <w:rsid w:val="003E16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andfonline.com/doi/abs/10.1080/08832323.2021.1967841" TargetMode="External"/><Relationship Id="rId26" Type="http://schemas.openxmlformats.org/officeDocument/2006/relationships/hyperlink" Target="https://link.springer.com/chapter/10.1007/978-1-4842-7125-4_7" TargetMode="External"/><Relationship Id="rId3" Type="http://schemas.openxmlformats.org/officeDocument/2006/relationships/styles" Target="styles.xml"/><Relationship Id="rId21" Type="http://schemas.openxmlformats.org/officeDocument/2006/relationships/hyperlink" Target="https://www.sciencedirect.com/science/article/pii/S002002552201463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ublications.aaahq.org/cia/article-abstract/15/1/I1/704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dpi.com/2071-1050/15/13/9915" TargetMode="External"/><Relationship Id="rId29" Type="http://schemas.openxmlformats.org/officeDocument/2006/relationships/hyperlink" Target="http://jurnal-tmit.com/index.php/home/article/view/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polipapers.upv.es/index.php/JARTE/article/view/14786" TargetMode="External"/><Relationship Id="rId32" Type="http://schemas.openxmlformats.org/officeDocument/2006/relationships/hyperlink" Target="https://www.sciencedirect.com/science/article/pii/S0925231219310239"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rchives.palarch.nl/index.php/jae/article/view/4630" TargetMode="External"/><Relationship Id="rId28" Type="http://schemas.openxmlformats.org/officeDocument/2006/relationships/hyperlink" Target="https://ijins.umsida.ac.id/index.php/ijins/article/view/662" TargetMode="External"/><Relationship Id="rId10" Type="http://schemas.openxmlformats.org/officeDocument/2006/relationships/image" Target="media/image3.png"/><Relationship Id="rId19" Type="http://schemas.openxmlformats.org/officeDocument/2006/relationships/hyperlink" Target="https://link.springer.com/chapter/10.1007/978-3-030-51369-6_42" TargetMode="External"/><Relationship Id="rId31" Type="http://schemas.openxmlformats.org/officeDocument/2006/relationships/hyperlink" Target="https://link.springer.com/chapter/10.1007/978-1-4842-7842-0_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73170852200526X" TargetMode="External"/><Relationship Id="rId27" Type="http://schemas.openxmlformats.org/officeDocument/2006/relationships/hyperlink" Target="https://link.springer.com/article/10.1007/s11042-021-11016-6" TargetMode="External"/><Relationship Id="rId30" Type="http://schemas.openxmlformats.org/officeDocument/2006/relationships/hyperlink" Target="https://jurnal.umsu.ac.id/index.php/jcositte/article/view/6504"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32CBAC-D92F-45FB-94A9-96AA882078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3875</Words>
  <Characters>22479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tanasaroxana@yahoo.com</cp:lastModifiedBy>
  <cp:revision>3</cp:revision>
  <dcterms:created xsi:type="dcterms:W3CDTF">2023-07-20T12:43:00Z</dcterms:created>
  <dcterms:modified xsi:type="dcterms:W3CDTF">2023-07-27T17:14:00Z</dcterms:modified>
</cp:coreProperties>
</file>