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807E6" w14:textId="7A2D6526" w:rsidR="00F87870" w:rsidRDefault="00F87870">
      <w:r>
        <w:t xml:space="preserve">Nikola </w:t>
      </w:r>
      <w:proofErr w:type="spellStart"/>
      <w:r>
        <w:t>Sugarova</w:t>
      </w:r>
      <w:proofErr w:type="spellEnd"/>
      <w:r>
        <w:t xml:space="preserve"> </w:t>
      </w:r>
    </w:p>
    <w:p w14:paraId="026521E5" w14:textId="197E9A6E" w:rsidR="00F87870" w:rsidRDefault="00F87870">
      <w:r>
        <w:t xml:space="preserve">Student Number: </w:t>
      </w:r>
      <w:r w:rsidR="00610E0A">
        <w:t>2219936</w:t>
      </w:r>
    </w:p>
    <w:p w14:paraId="2D854372" w14:textId="4479AD69" w:rsidR="00610E0A" w:rsidRDefault="00CB4B1C">
      <w:r>
        <w:t>27/03/26</w:t>
      </w:r>
    </w:p>
    <w:p w14:paraId="608C8D58" w14:textId="77777777" w:rsidR="00CB4B1C" w:rsidRDefault="00CB4B1C"/>
    <w:p w14:paraId="176AA55D" w14:textId="77777777" w:rsidR="00CB4B1C" w:rsidRDefault="00CB4B1C"/>
    <w:p w14:paraId="017E029D" w14:textId="77777777" w:rsidR="00CB4B1C" w:rsidRPr="00CB4B1C" w:rsidRDefault="00CB4B1C" w:rsidP="00CB4B1C">
      <w:pPr>
        <w:spacing w:after="400" w:line="240" w:lineRule="auto"/>
        <w:jc w:val="center"/>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Does a Person Have a Right to Be Euthanised?</w:t>
      </w:r>
    </w:p>
    <w:p w14:paraId="5A36F52F" w14:textId="77777777" w:rsidR="00CB4B1C" w:rsidRPr="00CB4B1C" w:rsidRDefault="00CB4B1C" w:rsidP="00CB4B1C">
      <w:pPr>
        <w:spacing w:after="0" w:line="240" w:lineRule="auto"/>
        <w:rPr>
          <w:rFonts w:ascii="Arial" w:eastAsia="Times New Roman" w:hAnsi="Arial" w:cs="Arial"/>
          <w:b/>
          <w:bCs/>
          <w:kern w:val="0"/>
          <w:sz w:val="28"/>
          <w:szCs w:val="28"/>
          <w14:ligatures w14:val="none"/>
        </w:rPr>
      </w:pPr>
    </w:p>
    <w:p w14:paraId="0968F61A" w14:textId="77777777" w:rsidR="00CB4B1C" w:rsidRPr="00CB4B1C" w:rsidRDefault="00CB4B1C" w:rsidP="00CB4B1C">
      <w:pPr>
        <w:spacing w:after="0" w:line="240" w:lineRule="auto"/>
        <w:rPr>
          <w:rFonts w:ascii="Arial" w:eastAsia="Times New Roman" w:hAnsi="Arial" w:cs="Arial"/>
          <w:b/>
          <w:bCs/>
          <w:kern w:val="0"/>
          <w:sz w:val="28"/>
          <w:szCs w:val="28"/>
          <w14:ligatures w14:val="none"/>
        </w:rPr>
      </w:pPr>
    </w:p>
    <w:p w14:paraId="1AB60336" w14:textId="77777777" w:rsidR="00CB4B1C" w:rsidRPr="00CB4B1C" w:rsidRDefault="00CB4B1C" w:rsidP="00CB4B1C">
      <w:pPr>
        <w:spacing w:after="0" w:line="240" w:lineRule="auto"/>
        <w:rPr>
          <w:rFonts w:ascii="Arial" w:eastAsia="Times New Roman" w:hAnsi="Arial" w:cs="Arial"/>
          <w:b/>
          <w:bCs/>
          <w:kern w:val="0"/>
          <w:sz w:val="28"/>
          <w:szCs w:val="28"/>
          <w14:ligatures w14:val="none"/>
        </w:rPr>
      </w:pPr>
    </w:p>
    <w:p w14:paraId="53A5F832" w14:textId="77777777" w:rsidR="00CB4B1C" w:rsidRPr="00CB4B1C" w:rsidRDefault="00CB4B1C" w:rsidP="00CB4B1C">
      <w:pPr>
        <w:spacing w:after="0" w:line="240" w:lineRule="auto"/>
        <w:rPr>
          <w:rFonts w:ascii="Arial" w:eastAsia="Times New Roman" w:hAnsi="Arial" w:cs="Arial"/>
          <w:b/>
          <w:bCs/>
          <w:kern w:val="0"/>
          <w:sz w:val="28"/>
          <w:szCs w:val="28"/>
          <w14:ligatures w14:val="none"/>
        </w:rPr>
      </w:pPr>
      <w:r w:rsidRPr="00CB4B1C">
        <w:rPr>
          <w:rFonts w:ascii="Arial" w:eastAsia="Times New Roman" w:hAnsi="Arial" w:cs="Arial"/>
          <w:b/>
          <w:bCs/>
          <w:kern w:val="0"/>
          <w:sz w:val="28"/>
          <w:szCs w:val="28"/>
          <w14:ligatures w14:val="none"/>
        </w:rPr>
        <w:t>Introduction</w:t>
      </w:r>
    </w:p>
    <w:p w14:paraId="212F7E3E" w14:textId="77777777" w:rsidR="00CB4B1C" w:rsidRPr="00CB4B1C" w:rsidRDefault="00CB4B1C" w:rsidP="00CB4B1C">
      <w:pPr>
        <w:spacing w:after="0" w:line="240" w:lineRule="auto"/>
        <w:rPr>
          <w:rFonts w:ascii="Arial" w:eastAsia="Times New Roman" w:hAnsi="Arial" w:cs="Arial"/>
          <w:kern w:val="0"/>
          <w:sz w:val="28"/>
          <w:szCs w:val="28"/>
          <w14:ligatures w14:val="none"/>
        </w:rPr>
      </w:pPr>
    </w:p>
    <w:p w14:paraId="360ACF77"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The question of whether a person has a right to be euthanised is one of the most contentious issues in contemporary moral philosophy, medical ethics, and legal theory. It is important at the outset to clarify that the question concerns a positive right, that is, a claim right to receive active assistance in dying, rather than merely a liberty right to refuse medical treatment. This distinction is crucial because a liberty right requires only non-interference, whereas a claim right imposes a corresponding duty on others to help.</w:t>
      </w:r>
    </w:p>
    <w:p w14:paraId="57C5D1E2"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At the heart of this debate lies a fundamental tension between two powerful moral commitments. On one side stands the principle of individual autonomy and the compassionate desire to relieve unbearable suffering; on the other stands the sanctity of life, the professional ethics of medicine, and the practical fear that permitting euthanasia may lead to unintended and dangerous consequences. Both sides command serious intellectual respect, and neither can be dismissed without careful analysis.</w:t>
      </w:r>
    </w:p>
    <w:p w14:paraId="5B11BA25"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This essay argues that while a right to be euthanised can be defended on grounds of autonomy and dignity, the strength of this right ultimately depends on whether it can be embedded in a legal framework that protects the vulnerable without undermining medical integrity. To develop this argument, the essay will examine the philosophical foundations of the autonomy and compassion arguments, address the objections from slippery slope reasoning and medical ethics, and consider the theological dimension before reaching a measured conclusion.</w:t>
      </w:r>
    </w:p>
    <w:p w14:paraId="521EFE9F"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The Autonomy Argument</w:t>
      </w:r>
    </w:p>
    <w:p w14:paraId="0A1B0A28"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Perhaps the strongest philosophical foundation for a right to euthanasia is the principle of personal autonomy. Autonomy, understood as the capacity for self-determination and rational self-governance, is widely regarded as a cornerstone of modern liberal ethics. John Stuart Mill, in </w:t>
      </w:r>
      <w:r w:rsidRPr="00CB4B1C">
        <w:rPr>
          <w:rFonts w:ascii="Arial" w:eastAsia="Times New Roman" w:hAnsi="Arial" w:cs="Arial"/>
          <w:i/>
          <w:iCs/>
          <w:kern w:val="0"/>
          <w:sz w:val="28"/>
          <w:szCs w:val="28"/>
          <w14:ligatures w14:val="none"/>
        </w:rPr>
        <w:t>On Liberty</w:t>
      </w:r>
      <w:r w:rsidRPr="00CB4B1C">
        <w:rPr>
          <w:rFonts w:ascii="Arial" w:eastAsia="Times New Roman" w:hAnsi="Arial" w:cs="Arial"/>
          <w:kern w:val="0"/>
          <w:sz w:val="28"/>
          <w:szCs w:val="28"/>
          <w14:ligatures w14:val="none"/>
        </w:rPr>
        <w:t>, articulated the harm principle with enduring force: the only legitimate reason for society to exercise power over an individual against his will is to prevent harm to others.</w:t>
      </w:r>
      <w:r w:rsidRPr="00CB4B1C">
        <w:rPr>
          <w:rFonts w:ascii="Arial" w:eastAsia="Times New Roman" w:hAnsi="Arial" w:cs="Arial"/>
          <w:kern w:val="0"/>
          <w:sz w:val="28"/>
          <w:szCs w:val="28"/>
          <w:vertAlign w:val="superscript"/>
          <w14:ligatures w14:val="none"/>
        </w:rPr>
        <w:t>¹</w:t>
      </w:r>
      <w:r w:rsidRPr="00CB4B1C">
        <w:rPr>
          <w:rFonts w:ascii="Arial" w:eastAsia="Times New Roman" w:hAnsi="Arial" w:cs="Arial"/>
          <w:kern w:val="0"/>
          <w:sz w:val="28"/>
          <w:szCs w:val="28"/>
          <w14:ligatures w14:val="none"/>
        </w:rPr>
        <w:t xml:space="preserve"> If a terminally ill person, suffering greatly and of sound mind, determines that death is preferable to continued existence, it is difficult to see how this decision harms anyone else. Mill's principle therefore provides a prima facie case for non-interference with, and arguably facilitation of, such a choice.</w:t>
      </w:r>
    </w:p>
    <w:p w14:paraId="4A6165B1"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Ronald Dworkin deepens this argument in </w:t>
      </w:r>
      <w:r w:rsidRPr="00CB4B1C">
        <w:rPr>
          <w:rFonts w:ascii="Arial" w:eastAsia="Times New Roman" w:hAnsi="Arial" w:cs="Arial"/>
          <w:i/>
          <w:iCs/>
          <w:kern w:val="0"/>
          <w:sz w:val="28"/>
          <w:szCs w:val="28"/>
          <w14:ligatures w14:val="none"/>
        </w:rPr>
        <w:t>Life's Dominion</w:t>
      </w:r>
      <w:r w:rsidRPr="00CB4B1C">
        <w:rPr>
          <w:rFonts w:ascii="Arial" w:eastAsia="Times New Roman" w:hAnsi="Arial" w:cs="Arial"/>
          <w:kern w:val="0"/>
          <w:sz w:val="28"/>
          <w:szCs w:val="28"/>
          <w14:ligatures w14:val="none"/>
        </w:rPr>
        <w:t>. Dworkin contends that everyone has a fundamental interest in making decisions about the value and meaning of his or her own life, including decisions about its ending.</w:t>
      </w:r>
      <w:r w:rsidRPr="00CB4B1C">
        <w:rPr>
          <w:rFonts w:ascii="Arial" w:eastAsia="Times New Roman" w:hAnsi="Arial" w:cs="Arial"/>
          <w:kern w:val="0"/>
          <w:sz w:val="28"/>
          <w:szCs w:val="28"/>
          <w:vertAlign w:val="superscript"/>
          <w14:ligatures w14:val="none"/>
        </w:rPr>
        <w:t>²</w:t>
      </w:r>
      <w:r w:rsidRPr="00CB4B1C">
        <w:rPr>
          <w:rFonts w:ascii="Arial" w:eastAsia="Times New Roman" w:hAnsi="Arial" w:cs="Arial"/>
          <w:kern w:val="0"/>
          <w:sz w:val="28"/>
          <w:szCs w:val="28"/>
          <w14:ligatures w14:val="none"/>
        </w:rPr>
        <w:t xml:space="preserve"> For Dworkin, forcing a person to endure a death that contradicts his deepest convictions about how life should end is a profound violation of that person's integrity. The state, he argues, should not impose a single conception of life's sanctity upon those who hold different views about what makes life worth living.</w:t>
      </w:r>
    </w:p>
    <w:p w14:paraId="158703E1"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A potential difficulty arises from Immanuel Kant, whose moral philosophy is often invoked against euthanasia. Kant appears to condemn suicide in the </w:t>
      </w:r>
      <w:r w:rsidRPr="00CB4B1C">
        <w:rPr>
          <w:rFonts w:ascii="Arial" w:eastAsia="Times New Roman" w:hAnsi="Arial" w:cs="Arial"/>
          <w:i/>
          <w:iCs/>
          <w:kern w:val="0"/>
          <w:sz w:val="28"/>
          <w:szCs w:val="28"/>
          <w14:ligatures w14:val="none"/>
        </w:rPr>
        <w:t>Groundwork of the Metaphysics of Morals</w:t>
      </w:r>
      <w:r w:rsidRPr="00CB4B1C">
        <w:rPr>
          <w:rFonts w:ascii="Arial" w:eastAsia="Times New Roman" w:hAnsi="Arial" w:cs="Arial"/>
          <w:kern w:val="0"/>
          <w:sz w:val="28"/>
          <w:szCs w:val="28"/>
          <w14:ligatures w14:val="none"/>
        </w:rPr>
        <w:t>, arguing that to destroy oneself in order to escape suffering is to treat one's rational nature merely as a means to the end of comfort.</w:t>
      </w:r>
      <w:r w:rsidRPr="00CB4B1C">
        <w:rPr>
          <w:rFonts w:ascii="Arial" w:eastAsia="Times New Roman" w:hAnsi="Arial" w:cs="Arial"/>
          <w:kern w:val="0"/>
          <w:sz w:val="28"/>
          <w:szCs w:val="28"/>
          <w:vertAlign w:val="superscript"/>
          <w14:ligatures w14:val="none"/>
        </w:rPr>
        <w:t>³</w:t>
      </w:r>
      <w:r w:rsidRPr="00CB4B1C">
        <w:rPr>
          <w:rFonts w:ascii="Arial" w:eastAsia="Times New Roman" w:hAnsi="Arial" w:cs="Arial"/>
          <w:kern w:val="0"/>
          <w:sz w:val="28"/>
          <w:szCs w:val="28"/>
          <w14:ligatures w14:val="none"/>
        </w:rPr>
        <w:t xml:space="preserve"> However, modern Kantian scholars have questioned whether this reading is definitive. Thomas Hill, for example, has argued that Kantian autonomy, properly understood, demands respect for the rational choices of persons, including the choice to die when continued existence no longer permits the exercise of rational agency.</w:t>
      </w:r>
      <w:r w:rsidRPr="00CB4B1C">
        <w:rPr>
          <w:rFonts w:ascii="Arial" w:eastAsia="Times New Roman" w:hAnsi="Arial" w:cs="Arial"/>
          <w:kern w:val="0"/>
          <w:sz w:val="28"/>
          <w:szCs w:val="28"/>
          <w:vertAlign w:val="superscript"/>
          <w14:ligatures w14:val="none"/>
        </w:rPr>
        <w:t>⁴</w:t>
      </w:r>
      <w:r w:rsidRPr="00CB4B1C">
        <w:rPr>
          <w:rFonts w:ascii="Arial" w:eastAsia="Times New Roman" w:hAnsi="Arial" w:cs="Arial"/>
          <w:kern w:val="0"/>
          <w:sz w:val="28"/>
          <w:szCs w:val="28"/>
          <w14:ligatures w14:val="none"/>
        </w:rPr>
        <w:t xml:space="preserve"> If a person's capacity for rational self-governance is being progressively destroyed by terminal illness, then allowing that person to choose death may in fact be a way of honouring, rather than violating, Kantian dignity.</w:t>
      </w:r>
    </w:p>
    <w:p w14:paraId="77AC9AA3"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The Compassion and Suffering Argument</w:t>
      </w:r>
    </w:p>
    <w:p w14:paraId="33B55F7E"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A second powerful argument for a right to euthanasia emerges from the utilitarian tradition, which holds that the morally correct action is the one that produces the greatest happiness or, more precisely, minimises suffering. If a person is enduring unbearable and irremediable pain, and if death would end that suffering without imposing comparable suffering on others, then the utilitarian calculus appears to favour permitting euthanasia.</w:t>
      </w:r>
    </w:p>
    <w:p w14:paraId="501D3D6A"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Peter Singer, in </w:t>
      </w:r>
      <w:r w:rsidRPr="00CB4B1C">
        <w:rPr>
          <w:rFonts w:ascii="Arial" w:eastAsia="Times New Roman" w:hAnsi="Arial" w:cs="Arial"/>
          <w:i/>
          <w:iCs/>
          <w:kern w:val="0"/>
          <w:sz w:val="28"/>
          <w:szCs w:val="28"/>
          <w14:ligatures w14:val="none"/>
        </w:rPr>
        <w:t>Practical Ethics</w:t>
      </w:r>
      <w:r w:rsidRPr="00CB4B1C">
        <w:rPr>
          <w:rFonts w:ascii="Arial" w:eastAsia="Times New Roman" w:hAnsi="Arial" w:cs="Arial"/>
          <w:kern w:val="0"/>
          <w:sz w:val="28"/>
          <w:szCs w:val="28"/>
          <w14:ligatures w14:val="none"/>
        </w:rPr>
        <w:t>, develops this line of reasoning through what he calls preference utilitarianism. On this view, the morally relevant consideration is not merely the balance of pleasure and pain, but the satisfaction of a person's informed preferences.</w:t>
      </w:r>
      <w:r w:rsidRPr="00CB4B1C">
        <w:rPr>
          <w:rFonts w:ascii="Arial" w:eastAsia="Times New Roman" w:hAnsi="Arial" w:cs="Arial"/>
          <w:kern w:val="0"/>
          <w:sz w:val="28"/>
          <w:szCs w:val="28"/>
          <w:vertAlign w:val="superscript"/>
          <w14:ligatures w14:val="none"/>
        </w:rPr>
        <w:t xml:space="preserve"> ⁵</w:t>
      </w:r>
      <w:r w:rsidRPr="00CB4B1C">
        <w:rPr>
          <w:rFonts w:ascii="Arial" w:eastAsia="Times New Roman" w:hAnsi="Arial" w:cs="Arial"/>
          <w:kern w:val="0"/>
          <w:sz w:val="28"/>
          <w:szCs w:val="28"/>
          <w14:ligatures w14:val="none"/>
        </w:rPr>
        <w:t xml:space="preserve"> When a competent person, fully aware of his condition and prognosis, expresses a settled preference to die rather than to continue suffering, respecting that preference is morally required. Singer argues that to override such a preference, particularly when the alternative is prolonged agony, is a form of paternalism that fails to treat the individual as a moral agent worthy of respect.</w:t>
      </w:r>
    </w:p>
    <w:p w14:paraId="0CC9E0C8"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The obvious objection to this argument is that modern palliative care can manage most forms of physical pain effectively. This is true in many cases, and the advances of palliative medicine deserve recognition. However, not all suffering is physical. Many patients approaching the end of life experience a profound loss of dignity, autonomy, and personal identity that no amount of pain medication can address. The inability to perform basic bodily functions, dependence on others for every aspect of daily existence, and the slow erosion of the self can produce a form of suffering that is existential rather than merely physical. James </w:t>
      </w:r>
      <w:proofErr w:type="spellStart"/>
      <w:r w:rsidRPr="00CB4B1C">
        <w:rPr>
          <w:rFonts w:ascii="Arial" w:eastAsia="Times New Roman" w:hAnsi="Arial" w:cs="Arial"/>
          <w:kern w:val="0"/>
          <w:sz w:val="28"/>
          <w:szCs w:val="28"/>
          <w14:ligatures w14:val="none"/>
        </w:rPr>
        <w:t>Rachels</w:t>
      </w:r>
      <w:proofErr w:type="spellEnd"/>
      <w:r w:rsidRPr="00CB4B1C">
        <w:rPr>
          <w:rFonts w:ascii="Arial" w:eastAsia="Times New Roman" w:hAnsi="Arial" w:cs="Arial"/>
          <w:kern w:val="0"/>
          <w:sz w:val="28"/>
          <w:szCs w:val="28"/>
          <w14:ligatures w14:val="none"/>
        </w:rPr>
        <w:t>, in his influential essay 'Active and Passive Euthanasia', draws attention to cases where passive withdrawal of treatment is already permitted, yet results in a slower and more painful death than active euthanasia would.</w:t>
      </w:r>
      <w:r w:rsidRPr="00CB4B1C">
        <w:rPr>
          <w:rFonts w:ascii="Arial" w:eastAsia="Times New Roman" w:hAnsi="Arial" w:cs="Arial"/>
          <w:kern w:val="0"/>
          <w:sz w:val="28"/>
          <w:szCs w:val="28"/>
          <w:vertAlign w:val="superscript"/>
          <w14:ligatures w14:val="none"/>
        </w:rPr>
        <w:t>⁶</w:t>
      </w:r>
      <w:r w:rsidRPr="00CB4B1C">
        <w:rPr>
          <w:rFonts w:ascii="Arial" w:eastAsia="Times New Roman" w:hAnsi="Arial" w:cs="Arial"/>
          <w:kern w:val="0"/>
          <w:sz w:val="28"/>
          <w:szCs w:val="28"/>
          <w14:ligatures w14:val="none"/>
        </w:rPr>
        <w:t xml:space="preserve"> If we already accept that it is sometimes right to allow a patient to die, </w:t>
      </w:r>
      <w:proofErr w:type="spellStart"/>
      <w:r w:rsidRPr="00CB4B1C">
        <w:rPr>
          <w:rFonts w:ascii="Arial" w:eastAsia="Times New Roman" w:hAnsi="Arial" w:cs="Arial"/>
          <w:kern w:val="0"/>
          <w:sz w:val="28"/>
          <w:szCs w:val="28"/>
          <w14:ligatures w14:val="none"/>
        </w:rPr>
        <w:t>Rachels</w:t>
      </w:r>
      <w:proofErr w:type="spellEnd"/>
      <w:r w:rsidRPr="00CB4B1C">
        <w:rPr>
          <w:rFonts w:ascii="Arial" w:eastAsia="Times New Roman" w:hAnsi="Arial" w:cs="Arial"/>
          <w:kern w:val="0"/>
          <w:sz w:val="28"/>
          <w:szCs w:val="28"/>
          <w14:ligatures w14:val="none"/>
        </w:rPr>
        <w:t xml:space="preserve"> argues, then it is inconsistent to insist that it is always wrong to help that patient die more quickly and with less suffering.</w:t>
      </w:r>
    </w:p>
    <w:p w14:paraId="37C100E5"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The Right to Life as a Right Not to Be Killed, Not a Duty to Live</w:t>
      </w:r>
    </w:p>
    <w:p w14:paraId="024C196D"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A further argument in favour of a right to euthanasia rests on a careful analysis of the concept of the right to life itself. The right to life is typically understood as a right not to be killed, that is, a negative right that imposes on others a duty of non-interference. It does not, however, logically entail a duty to go on living. To claim that the right to life includes a duty to endure life, no matter how painful or degrading, is to transform a protective right into a coercive obligation.</w:t>
      </w:r>
    </w:p>
    <w:p w14:paraId="3C7821F8"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Mill's famous declaration is instructive here: 'Over himself, over his own body and mind, the individual is sovereign.'</w:t>
      </w:r>
      <w:r w:rsidRPr="00CB4B1C">
        <w:rPr>
          <w:rFonts w:ascii="Arial" w:eastAsia="Times New Roman" w:hAnsi="Arial" w:cs="Arial"/>
          <w:kern w:val="0"/>
          <w:sz w:val="28"/>
          <w:szCs w:val="28"/>
          <w:vertAlign w:val="superscript"/>
          <w14:ligatures w14:val="none"/>
        </w:rPr>
        <w:t>⁷</w:t>
      </w:r>
      <w:r w:rsidRPr="00CB4B1C">
        <w:rPr>
          <w:rFonts w:ascii="Arial" w:eastAsia="Times New Roman" w:hAnsi="Arial" w:cs="Arial"/>
          <w:kern w:val="0"/>
          <w:sz w:val="28"/>
          <w:szCs w:val="28"/>
          <w14:ligatures w14:val="none"/>
        </w:rPr>
        <w:t xml:space="preserve"> If we take this principle seriously, then it follows that a person who no longer wishes to live, and who has arrived at this decision through rational deliberation, is exercising a legitimate form of sovereignty over his own existence. The right to life protects an individual from being killed by others against his will; it was never intended to compel that individual to endure a life that has become, in his own considered judgement, worse than death.</w:t>
      </w:r>
    </w:p>
    <w:p w14:paraId="67BC09D9"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This distinction has important implications for the question of assisted dying. If there is no duty to live, then the person who requests assistance in dying is not asking anyone to violate his right to life. Rather, he is asking for help in exercising a liberty that is already implicit in the structure of the right itself. The claim right to euthanasia, on this analysis, is not an entirely new right but a natural extension of rights we already recognise, specifically the right to bodily autonomy, the right to refuse treatment, and the right to make intimate decisions about one's own welfare.</w:t>
      </w:r>
    </w:p>
    <w:p w14:paraId="33D2CA1C"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Objections: Slippery Slope and Medical Ethics</w:t>
      </w:r>
    </w:p>
    <w:p w14:paraId="38A06CD0"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The most frequently cited practical objection to legalising euthanasia is the slippery slope argument. This argument holds that once we permit euthanasia for the terminally ill and competent, we will inevitably expand its scope to include the chronically ill, the disabled, the elderly, and eventually those who are merely tired of living. In its strongest form, the argument suggests that vulnerable people will be pressured, whether by family members, financial considerations, or an overburdened healthcare system, into requesting deaths they do not truly want.</w:t>
      </w:r>
    </w:p>
    <w:p w14:paraId="7D7B3CD4"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This objection deserves to be taken seriously. The experience of jurisdictions that have legalised assisted dying offers some empirical evidence with which to assess it. In the Netherlands and Belgium, where euthanasia has been legal for over two decades, there have been instances of boundary expansion, including cases involving psychiatric patients and, controversially, minors. However, detailed studies of these jurisdictions also reveal that most euthanasia cases involve terminally ill adults who meet strict criteria, and that robust systems of oversight and reporting are in place.</w:t>
      </w:r>
      <w:r w:rsidRPr="00CB4B1C">
        <w:rPr>
          <w:rFonts w:ascii="Arial" w:eastAsia="Times New Roman" w:hAnsi="Arial" w:cs="Arial"/>
          <w:kern w:val="0"/>
          <w:sz w:val="28"/>
          <w:szCs w:val="28"/>
          <w:vertAlign w:val="superscript"/>
          <w14:ligatures w14:val="none"/>
        </w:rPr>
        <w:t xml:space="preserve"> ⁸</w:t>
      </w:r>
      <w:r w:rsidRPr="00CB4B1C">
        <w:rPr>
          <w:rFonts w:ascii="Arial" w:eastAsia="Times New Roman" w:hAnsi="Arial" w:cs="Arial"/>
          <w:kern w:val="0"/>
          <w:sz w:val="28"/>
          <w:szCs w:val="28"/>
          <w14:ligatures w14:val="none"/>
        </w:rPr>
        <w:t xml:space="preserve"> The state of Oregon, which has permitted physician-assisted dying since 1997 under the Death with Dignity Act, provides perhaps the most reassuring evidence. Longitudinal data from Oregon show no significant expansion of the practice to vulnerable groups, and the rate of assisted deaths has remained relatively stable as a proportion of all deaths.</w:t>
      </w:r>
      <w:r w:rsidRPr="00CB4B1C">
        <w:rPr>
          <w:rFonts w:ascii="Arial" w:eastAsia="Times New Roman" w:hAnsi="Arial" w:cs="Arial"/>
          <w:kern w:val="0"/>
          <w:sz w:val="28"/>
          <w:szCs w:val="28"/>
          <w:vertAlign w:val="superscript"/>
          <w14:ligatures w14:val="none"/>
        </w:rPr>
        <w:t xml:space="preserve"> ⁹</w:t>
      </w:r>
    </w:p>
    <w:p w14:paraId="7BD985FA"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A related objection concerns the role of the medical profession. Leon </w:t>
      </w:r>
      <w:proofErr w:type="spellStart"/>
      <w:r w:rsidRPr="00CB4B1C">
        <w:rPr>
          <w:rFonts w:ascii="Arial" w:eastAsia="Times New Roman" w:hAnsi="Arial" w:cs="Arial"/>
          <w:kern w:val="0"/>
          <w:sz w:val="28"/>
          <w:szCs w:val="28"/>
          <w14:ligatures w14:val="none"/>
        </w:rPr>
        <w:t>Kass</w:t>
      </w:r>
      <w:proofErr w:type="spellEnd"/>
      <w:r w:rsidRPr="00CB4B1C">
        <w:rPr>
          <w:rFonts w:ascii="Arial" w:eastAsia="Times New Roman" w:hAnsi="Arial" w:cs="Arial"/>
          <w:kern w:val="0"/>
          <w:sz w:val="28"/>
          <w:szCs w:val="28"/>
          <w14:ligatures w14:val="none"/>
        </w:rPr>
        <w:t>, in his essay 'Why Doctors Should Not Kill', argues that euthanasia is fundamentally incompatible with the physician's vocation.</w:t>
      </w:r>
      <w:r w:rsidRPr="00CB4B1C">
        <w:rPr>
          <w:rFonts w:ascii="Arial" w:eastAsia="Times New Roman" w:hAnsi="Arial" w:cs="Arial"/>
          <w:kern w:val="0"/>
          <w:sz w:val="28"/>
          <w:szCs w:val="28"/>
          <w:vertAlign w:val="superscript"/>
          <w14:ligatures w14:val="none"/>
        </w:rPr>
        <w:t>¹⁰</w:t>
      </w:r>
      <w:r w:rsidRPr="00CB4B1C">
        <w:rPr>
          <w:rFonts w:ascii="Arial" w:eastAsia="Times New Roman" w:hAnsi="Arial" w:cs="Arial"/>
          <w:kern w:val="0"/>
          <w:sz w:val="28"/>
          <w:szCs w:val="28"/>
          <w14:ligatures w14:val="none"/>
        </w:rPr>
        <w:t xml:space="preserve"> The Hippocratic tradition, </w:t>
      </w:r>
      <w:proofErr w:type="spellStart"/>
      <w:r w:rsidRPr="00CB4B1C">
        <w:rPr>
          <w:rFonts w:ascii="Arial" w:eastAsia="Times New Roman" w:hAnsi="Arial" w:cs="Arial"/>
          <w:kern w:val="0"/>
          <w:sz w:val="28"/>
          <w:szCs w:val="28"/>
          <w14:ligatures w14:val="none"/>
        </w:rPr>
        <w:t>Kass</w:t>
      </w:r>
      <w:proofErr w:type="spellEnd"/>
      <w:r w:rsidRPr="00CB4B1C">
        <w:rPr>
          <w:rFonts w:ascii="Arial" w:eastAsia="Times New Roman" w:hAnsi="Arial" w:cs="Arial"/>
          <w:kern w:val="0"/>
          <w:sz w:val="28"/>
          <w:szCs w:val="28"/>
          <w14:ligatures w14:val="none"/>
        </w:rPr>
        <w:t xml:space="preserve"> contends, requires doctors to heal, not to kill, and permitting physicians to end life would corrupt the trust that lies at the heart of the doctor-patient relationship. This is a powerful argument, and it reflects a genuine concern within the medical profession. However, it is worth noting that the doctrine of double effect is already widely accepted in palliative medicine: a doctor may administer doses of pain relief that he knows will hasten death, provided that the primary intention is to relieve suffering rather than to cause death. If the medical profession already accepts that actions which shorten life can be ethically permissible when motivated by compassion, then the absolute prohibition on assisted dying appears less consistent than it initially seems. Moreover, strong safeguards, such as the requirement for two independent medical opinions, mandatory waiting periods, and rigorous assessments of mental competence, can protect against abuse while permitting compassionate assistance.</w:t>
      </w:r>
    </w:p>
    <w:p w14:paraId="62F5B67D"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Objections: Sanctity of Life and Religious Perspectives</w:t>
      </w:r>
    </w:p>
    <w:p w14:paraId="0766BE31"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The theological objection to euthanasia is rooted in the belief that human life is sacred and inviolable. In the Christian tradition, life is understood as a gift from God, and only God has the authority to take it away. The Catholic Church has been particularly firm in its opposition, maintaining that euthanasia constitutes a 'violation of the divine law, an offence against the dignity of the human person’. ¹</w:t>
      </w:r>
      <w:r w:rsidRPr="00CB4B1C">
        <w:rPr>
          <w:rFonts w:ascii="Arial" w:eastAsia="Times New Roman" w:hAnsi="Arial" w:cs="Arial"/>
          <w:kern w:val="0"/>
          <w:sz w:val="28"/>
          <w:szCs w:val="28"/>
          <w:vertAlign w:val="superscript"/>
          <w14:ligatures w14:val="none"/>
        </w:rPr>
        <w:t>¹</w:t>
      </w:r>
      <w:r w:rsidRPr="00CB4B1C">
        <w:rPr>
          <w:rFonts w:ascii="Arial" w:eastAsia="Times New Roman" w:hAnsi="Arial" w:cs="Arial"/>
          <w:kern w:val="0"/>
          <w:sz w:val="28"/>
          <w:szCs w:val="28"/>
          <w14:ligatures w14:val="none"/>
        </w:rPr>
        <w:t xml:space="preserve"> Similar positions can be found in Islam, Orthodox Judaism, and many other religious traditions. John </w:t>
      </w:r>
      <w:proofErr w:type="spellStart"/>
      <w:r w:rsidRPr="00CB4B1C">
        <w:rPr>
          <w:rFonts w:ascii="Arial" w:eastAsia="Times New Roman" w:hAnsi="Arial" w:cs="Arial"/>
          <w:kern w:val="0"/>
          <w:sz w:val="28"/>
          <w:szCs w:val="28"/>
          <w14:ligatures w14:val="none"/>
        </w:rPr>
        <w:t>Finnis</w:t>
      </w:r>
      <w:proofErr w:type="spellEnd"/>
      <w:r w:rsidRPr="00CB4B1C">
        <w:rPr>
          <w:rFonts w:ascii="Arial" w:eastAsia="Times New Roman" w:hAnsi="Arial" w:cs="Arial"/>
          <w:kern w:val="0"/>
          <w:sz w:val="28"/>
          <w:szCs w:val="28"/>
          <w14:ligatures w14:val="none"/>
        </w:rPr>
        <w:t>, drawing on the natural law tradition, argues that human life is a basic good that can never be directly attacked, even when motivated by compassion.</w:t>
      </w:r>
      <w:r w:rsidRPr="00CB4B1C">
        <w:rPr>
          <w:rFonts w:ascii="Arial" w:eastAsia="Times New Roman" w:hAnsi="Arial" w:cs="Arial"/>
          <w:kern w:val="0"/>
          <w:sz w:val="28"/>
          <w:szCs w:val="28"/>
          <w:vertAlign w:val="superscript"/>
          <w14:ligatures w14:val="none"/>
        </w:rPr>
        <w:t xml:space="preserve"> ¹²</w:t>
      </w:r>
      <w:r w:rsidRPr="00CB4B1C">
        <w:rPr>
          <w:rFonts w:ascii="Arial" w:eastAsia="Times New Roman" w:hAnsi="Arial" w:cs="Arial"/>
          <w:kern w:val="0"/>
          <w:sz w:val="28"/>
          <w:szCs w:val="28"/>
          <w14:ligatures w14:val="none"/>
        </w:rPr>
        <w:t xml:space="preserve"> For </w:t>
      </w:r>
      <w:proofErr w:type="spellStart"/>
      <w:r w:rsidRPr="00CB4B1C">
        <w:rPr>
          <w:rFonts w:ascii="Arial" w:eastAsia="Times New Roman" w:hAnsi="Arial" w:cs="Arial"/>
          <w:kern w:val="0"/>
          <w:sz w:val="28"/>
          <w:szCs w:val="28"/>
          <w14:ligatures w14:val="none"/>
        </w:rPr>
        <w:t>Finnis</w:t>
      </w:r>
      <w:proofErr w:type="spellEnd"/>
      <w:r w:rsidRPr="00CB4B1C">
        <w:rPr>
          <w:rFonts w:ascii="Arial" w:eastAsia="Times New Roman" w:hAnsi="Arial" w:cs="Arial"/>
          <w:kern w:val="0"/>
          <w:sz w:val="28"/>
          <w:szCs w:val="28"/>
          <w14:ligatures w14:val="none"/>
        </w:rPr>
        <w:t>, the wrongness of euthanasia is not contingent upon consequences but is intrinsic to the act of intentionally ending an innocent human life.</w:t>
      </w:r>
    </w:p>
    <w:p w14:paraId="0B9B1D0B"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These theological and natural law arguments cannot be dismissed as mere dogma. They reflect deeply held convictions about the meaning and value of human existence, and they have shaped moral thought for centuries. Nevertheless, in a pluralist and secular society, the law cannot be grounded exclusively in the theological commitments of any single tradition. The principle of religious liberty itself demands that individuals be free to act according to their own consciences, provided they do not harm others. A legal framework that permits euthanasia does not compel anyone to choose it; it merely provides the option for those whose own moral convictions lead them to a different conclusion about the end of life.</w:t>
      </w:r>
    </w:p>
    <w:p w14:paraId="58B5EE29"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It is also worth noting that religious opinion on this matter is not monolithic. A growing number of religious believers, including some clergy and theologians, have expressed support for assisted dying, arguing that compassion for the suffering is itself a deeply religious value. The Archbishop Desmond Tutu, for example, publicly advocated for the right to assisted dying, describing it as a matter of basic human dignity.</w:t>
      </w:r>
      <w:r w:rsidRPr="00CB4B1C">
        <w:rPr>
          <w:rFonts w:ascii="Arial" w:eastAsia="Times New Roman" w:hAnsi="Arial" w:cs="Arial"/>
          <w:kern w:val="0"/>
          <w:sz w:val="28"/>
          <w:szCs w:val="28"/>
          <w:vertAlign w:val="superscript"/>
          <w14:ligatures w14:val="none"/>
        </w:rPr>
        <w:t>¹³</w:t>
      </w:r>
      <w:r w:rsidRPr="00CB4B1C">
        <w:rPr>
          <w:rFonts w:ascii="Arial" w:eastAsia="Times New Roman" w:hAnsi="Arial" w:cs="Arial"/>
          <w:kern w:val="0"/>
          <w:sz w:val="28"/>
          <w:szCs w:val="28"/>
          <w14:ligatures w14:val="none"/>
        </w:rPr>
        <w:t xml:space="preserve"> The theological landscape is therefore more complex and contested than the opponents of euthanasia sometimes suggest.</w:t>
      </w:r>
    </w:p>
    <w:p w14:paraId="567E7974"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Conclusion</w:t>
      </w:r>
    </w:p>
    <w:p w14:paraId="4D0639D2"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The arguments examined in this essay demonstrate that a right to be euthanised can be defended on strong philosophical grounds. The principle of personal autonomy, as articulated by Mill and Dworkin, supports the claim that individuals should have sovereignty over decisions about their own death. The utilitarian and preference-based arguments advanced by Singer reinforce this conclusion by emphasising the moral imperative to relieve unbearable suffering. Furthermore, a careful analysis of the right to life reveals that it protects against unwanted killing, not that it imposes a duty to endure a life that has become intolerable.</w:t>
      </w:r>
    </w:p>
    <w:p w14:paraId="02E50F99"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At the same time, the objections from slippery slope reasoning, medical ethics, and religious conviction are substantial and cannot be ignored. The slippery slope concern, in particular, points to genuine risks that any legal framework must address. The evidence from jurisdictions such as Oregon suggests that these risks can be managed through rigorous safeguards, but continued vigilance is essential.</w:t>
      </w:r>
    </w:p>
    <w:p w14:paraId="2894200C"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On balance, this essay concludes that the right to be euthanised is plausible but conditional. It is not an absolute or unconditional right, but rather one that depends for its legitimacy on the existence of a robust legal and institutional framework capable of distinguishing genuine autonomous requests from coerced or uninformed ones. Such a framework must include independent medical assessments, mandatory waiting periods, mental competence evaluations, and transparent reporting mechanisms.</w:t>
      </w:r>
    </w:p>
    <w:p w14:paraId="559E406E" w14:textId="77777777" w:rsidR="00CB4B1C" w:rsidRPr="00CB4B1C" w:rsidRDefault="00CB4B1C" w:rsidP="00CB4B1C">
      <w:pPr>
        <w:spacing w:after="200" w:line="48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Ultimately, the question of euthanasia forces us to decide what kind of society we wish to inhabit. Do we prioritise individual self-determination, even in the most intimate and final of decisions? Or do we prioritise collective protection against the possibility that some individuals may be harmed by a system intended to help others? The argument of this essay is that these goals are not irreconcilable. A carefully designed legal framework can honour both autonomy and protection, allowing those who suffer unbearably to choose a dignified death while ensuring that no one is pressured or abandoned. In navigating this most difficult of moral questions, compassion and caution must walk together.</w:t>
      </w:r>
    </w:p>
    <w:p w14:paraId="331AA529" w14:textId="77777777" w:rsidR="00CB4B1C" w:rsidRPr="00CB4B1C" w:rsidRDefault="00CB4B1C" w:rsidP="00CB4B1C">
      <w:pPr>
        <w:spacing w:after="0" w:line="240" w:lineRule="auto"/>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br w:type="page"/>
      </w:r>
    </w:p>
    <w:p w14:paraId="203EF0A3" w14:textId="77777777" w:rsidR="00CB4B1C" w:rsidRPr="00CB4B1C" w:rsidRDefault="00CB4B1C" w:rsidP="00CB4B1C">
      <w:pPr>
        <w:spacing w:before="360" w:after="200" w:line="480" w:lineRule="auto"/>
        <w:rPr>
          <w:rFonts w:ascii="Arial" w:eastAsia="Times New Roman" w:hAnsi="Arial" w:cs="Arial"/>
          <w:kern w:val="0"/>
          <w:sz w:val="28"/>
          <w:szCs w:val="28"/>
          <w14:ligatures w14:val="none"/>
        </w:rPr>
      </w:pPr>
      <w:r w:rsidRPr="00CB4B1C">
        <w:rPr>
          <w:rFonts w:ascii="Arial" w:eastAsia="Times New Roman" w:hAnsi="Arial" w:cs="Arial"/>
          <w:b/>
          <w:bCs/>
          <w:kern w:val="0"/>
          <w:sz w:val="28"/>
          <w:szCs w:val="28"/>
          <w14:ligatures w14:val="none"/>
        </w:rPr>
        <w:t>Footnotes</w:t>
      </w:r>
    </w:p>
    <w:p w14:paraId="29A24F6B"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1. John Stuart Mill, </w:t>
      </w:r>
      <w:r w:rsidRPr="00CB4B1C">
        <w:rPr>
          <w:rFonts w:ascii="Arial" w:eastAsia="Times New Roman" w:hAnsi="Arial" w:cs="Arial"/>
          <w:i/>
          <w:iCs/>
          <w:kern w:val="0"/>
          <w:sz w:val="28"/>
          <w:szCs w:val="28"/>
          <w14:ligatures w14:val="none"/>
        </w:rPr>
        <w:t>On Liberty</w:t>
      </w:r>
      <w:r w:rsidRPr="00CB4B1C">
        <w:rPr>
          <w:rFonts w:ascii="Arial" w:eastAsia="Times New Roman" w:hAnsi="Arial" w:cs="Arial"/>
          <w:kern w:val="0"/>
          <w:sz w:val="28"/>
          <w:szCs w:val="28"/>
          <w14:ligatures w14:val="none"/>
        </w:rPr>
        <w:t xml:space="preserve">, ed. by Stefan </w:t>
      </w:r>
      <w:proofErr w:type="spellStart"/>
      <w:r w:rsidRPr="00CB4B1C">
        <w:rPr>
          <w:rFonts w:ascii="Arial" w:eastAsia="Times New Roman" w:hAnsi="Arial" w:cs="Arial"/>
          <w:kern w:val="0"/>
          <w:sz w:val="28"/>
          <w:szCs w:val="28"/>
          <w14:ligatures w14:val="none"/>
        </w:rPr>
        <w:t>Collini</w:t>
      </w:r>
      <w:proofErr w:type="spellEnd"/>
      <w:r w:rsidRPr="00CB4B1C">
        <w:rPr>
          <w:rFonts w:ascii="Arial" w:eastAsia="Times New Roman" w:hAnsi="Arial" w:cs="Arial"/>
          <w:kern w:val="0"/>
          <w:sz w:val="28"/>
          <w:szCs w:val="28"/>
          <w14:ligatures w14:val="none"/>
        </w:rPr>
        <w:t xml:space="preserve"> (Cambridge: Cambridge University Press, 1989), p. 13.</w:t>
      </w:r>
    </w:p>
    <w:p w14:paraId="52CD8A2C"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2. Ronald Dworkin, </w:t>
      </w:r>
      <w:r w:rsidRPr="00CB4B1C">
        <w:rPr>
          <w:rFonts w:ascii="Arial" w:eastAsia="Times New Roman" w:hAnsi="Arial" w:cs="Arial"/>
          <w:i/>
          <w:iCs/>
          <w:kern w:val="0"/>
          <w:sz w:val="28"/>
          <w:szCs w:val="28"/>
          <w14:ligatures w14:val="none"/>
        </w:rPr>
        <w:t>Life's Dominion: An Argument about Abortion and Euthanasia</w:t>
      </w:r>
      <w:r w:rsidRPr="00CB4B1C">
        <w:rPr>
          <w:rFonts w:ascii="Arial" w:eastAsia="Times New Roman" w:hAnsi="Arial" w:cs="Arial"/>
          <w:kern w:val="0"/>
          <w:sz w:val="28"/>
          <w:szCs w:val="28"/>
          <w14:ligatures w14:val="none"/>
        </w:rPr>
        <w:t xml:space="preserve"> (London: HarperCollins, 1993), pp. 217-19.</w:t>
      </w:r>
    </w:p>
    <w:p w14:paraId="323A8CB5"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3. Immanuel Kant, </w:t>
      </w:r>
      <w:r w:rsidRPr="00CB4B1C">
        <w:rPr>
          <w:rFonts w:ascii="Arial" w:eastAsia="Times New Roman" w:hAnsi="Arial" w:cs="Arial"/>
          <w:i/>
          <w:iCs/>
          <w:kern w:val="0"/>
          <w:sz w:val="28"/>
          <w:szCs w:val="28"/>
          <w14:ligatures w14:val="none"/>
        </w:rPr>
        <w:t>Groundwork of the Metaphysics of Morals</w:t>
      </w:r>
      <w:r w:rsidRPr="00CB4B1C">
        <w:rPr>
          <w:rFonts w:ascii="Arial" w:eastAsia="Times New Roman" w:hAnsi="Arial" w:cs="Arial"/>
          <w:kern w:val="0"/>
          <w:sz w:val="28"/>
          <w:szCs w:val="28"/>
          <w14:ligatures w14:val="none"/>
        </w:rPr>
        <w:t>, trans. by Mary Gregor (Cambridge: Cambridge University Press, 1998), p. 38.</w:t>
      </w:r>
    </w:p>
    <w:p w14:paraId="0B34C39D"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4. Thomas E. Hill, Jr., 'Self-Regarding Suicide: A Modified Kantian View', in </w:t>
      </w:r>
      <w:r w:rsidRPr="00CB4B1C">
        <w:rPr>
          <w:rFonts w:ascii="Arial" w:eastAsia="Times New Roman" w:hAnsi="Arial" w:cs="Arial"/>
          <w:i/>
          <w:iCs/>
          <w:kern w:val="0"/>
          <w:sz w:val="28"/>
          <w:szCs w:val="28"/>
          <w14:ligatures w14:val="none"/>
        </w:rPr>
        <w:t>Autonomy and Self-Respect</w:t>
      </w:r>
      <w:r w:rsidRPr="00CB4B1C">
        <w:rPr>
          <w:rFonts w:ascii="Arial" w:eastAsia="Times New Roman" w:hAnsi="Arial" w:cs="Arial"/>
          <w:kern w:val="0"/>
          <w:sz w:val="28"/>
          <w:szCs w:val="28"/>
          <w14:ligatures w14:val="none"/>
        </w:rPr>
        <w:t xml:space="preserve"> (Cambridge: Cambridge University Press, 1991), pp. 91-95.</w:t>
      </w:r>
    </w:p>
    <w:p w14:paraId="024118EF"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5. Peter Singer, </w:t>
      </w:r>
      <w:r w:rsidRPr="00CB4B1C">
        <w:rPr>
          <w:rFonts w:ascii="Arial" w:eastAsia="Times New Roman" w:hAnsi="Arial" w:cs="Arial"/>
          <w:i/>
          <w:iCs/>
          <w:kern w:val="0"/>
          <w:sz w:val="28"/>
          <w:szCs w:val="28"/>
          <w14:ligatures w14:val="none"/>
        </w:rPr>
        <w:t>Practical Ethics</w:t>
      </w:r>
      <w:r w:rsidRPr="00CB4B1C">
        <w:rPr>
          <w:rFonts w:ascii="Arial" w:eastAsia="Times New Roman" w:hAnsi="Arial" w:cs="Arial"/>
          <w:kern w:val="0"/>
          <w:sz w:val="28"/>
          <w:szCs w:val="28"/>
          <w14:ligatures w14:val="none"/>
        </w:rPr>
        <w:t xml:space="preserve">, 3rd </w:t>
      </w:r>
      <w:proofErr w:type="spellStart"/>
      <w:r w:rsidRPr="00CB4B1C">
        <w:rPr>
          <w:rFonts w:ascii="Arial" w:eastAsia="Times New Roman" w:hAnsi="Arial" w:cs="Arial"/>
          <w:kern w:val="0"/>
          <w:sz w:val="28"/>
          <w:szCs w:val="28"/>
          <w14:ligatures w14:val="none"/>
        </w:rPr>
        <w:t>edn</w:t>
      </w:r>
      <w:proofErr w:type="spellEnd"/>
      <w:r w:rsidRPr="00CB4B1C">
        <w:rPr>
          <w:rFonts w:ascii="Arial" w:eastAsia="Times New Roman" w:hAnsi="Arial" w:cs="Arial"/>
          <w:kern w:val="0"/>
          <w:sz w:val="28"/>
          <w:szCs w:val="28"/>
          <w14:ligatures w14:val="none"/>
        </w:rPr>
        <w:t xml:space="preserve"> (Cambridge: Cambridge University Press, 2011), pp. 157-60.</w:t>
      </w:r>
    </w:p>
    <w:p w14:paraId="16663376"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6. James </w:t>
      </w:r>
      <w:proofErr w:type="spellStart"/>
      <w:r w:rsidRPr="00CB4B1C">
        <w:rPr>
          <w:rFonts w:ascii="Arial" w:eastAsia="Times New Roman" w:hAnsi="Arial" w:cs="Arial"/>
          <w:kern w:val="0"/>
          <w:sz w:val="28"/>
          <w:szCs w:val="28"/>
          <w14:ligatures w14:val="none"/>
        </w:rPr>
        <w:t>Rachels</w:t>
      </w:r>
      <w:proofErr w:type="spellEnd"/>
      <w:r w:rsidRPr="00CB4B1C">
        <w:rPr>
          <w:rFonts w:ascii="Arial" w:eastAsia="Times New Roman" w:hAnsi="Arial" w:cs="Arial"/>
          <w:kern w:val="0"/>
          <w:sz w:val="28"/>
          <w:szCs w:val="28"/>
          <w14:ligatures w14:val="none"/>
        </w:rPr>
        <w:t xml:space="preserve">, 'Active and Passive Euthanasia', </w:t>
      </w:r>
      <w:r w:rsidRPr="00CB4B1C">
        <w:rPr>
          <w:rFonts w:ascii="Arial" w:eastAsia="Times New Roman" w:hAnsi="Arial" w:cs="Arial"/>
          <w:i/>
          <w:iCs/>
          <w:kern w:val="0"/>
          <w:sz w:val="28"/>
          <w:szCs w:val="28"/>
          <w14:ligatures w14:val="none"/>
        </w:rPr>
        <w:t>New England Journal of Medicine</w:t>
      </w:r>
      <w:r w:rsidRPr="00CB4B1C">
        <w:rPr>
          <w:rFonts w:ascii="Arial" w:eastAsia="Times New Roman" w:hAnsi="Arial" w:cs="Arial"/>
          <w:kern w:val="0"/>
          <w:sz w:val="28"/>
          <w:szCs w:val="28"/>
          <w14:ligatures w14:val="none"/>
        </w:rPr>
        <w:t>, 292 (1975), 78-80 (p. 79).</w:t>
      </w:r>
    </w:p>
    <w:p w14:paraId="69D0F6E8"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7. Mill, p. 13.</w:t>
      </w:r>
    </w:p>
    <w:p w14:paraId="109D063D"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8. Judith A. C. </w:t>
      </w:r>
      <w:proofErr w:type="spellStart"/>
      <w:r w:rsidRPr="00CB4B1C">
        <w:rPr>
          <w:rFonts w:ascii="Arial" w:eastAsia="Times New Roman" w:hAnsi="Arial" w:cs="Arial"/>
          <w:kern w:val="0"/>
          <w:sz w:val="28"/>
          <w:szCs w:val="28"/>
          <w14:ligatures w14:val="none"/>
        </w:rPr>
        <w:t>Rietjens</w:t>
      </w:r>
      <w:proofErr w:type="spellEnd"/>
      <w:r w:rsidRPr="00CB4B1C">
        <w:rPr>
          <w:rFonts w:ascii="Arial" w:eastAsia="Times New Roman" w:hAnsi="Arial" w:cs="Arial"/>
          <w:kern w:val="0"/>
          <w:sz w:val="28"/>
          <w:szCs w:val="28"/>
          <w14:ligatures w14:val="none"/>
        </w:rPr>
        <w:t xml:space="preserve"> and others, 'Two Decades of Research on Euthanasia from the Netherlands', </w:t>
      </w:r>
      <w:r w:rsidRPr="00CB4B1C">
        <w:rPr>
          <w:rFonts w:ascii="Arial" w:eastAsia="Times New Roman" w:hAnsi="Arial" w:cs="Arial"/>
          <w:i/>
          <w:iCs/>
          <w:kern w:val="0"/>
          <w:sz w:val="28"/>
          <w:szCs w:val="28"/>
          <w14:ligatures w14:val="none"/>
        </w:rPr>
        <w:t>Journal of Bioethical Inquiry</w:t>
      </w:r>
      <w:r w:rsidRPr="00CB4B1C">
        <w:rPr>
          <w:rFonts w:ascii="Arial" w:eastAsia="Times New Roman" w:hAnsi="Arial" w:cs="Arial"/>
          <w:kern w:val="0"/>
          <w:sz w:val="28"/>
          <w:szCs w:val="28"/>
          <w14:ligatures w14:val="none"/>
        </w:rPr>
        <w:t>, 6 (2009), 271-83 (pp. 275-78).</w:t>
      </w:r>
    </w:p>
    <w:p w14:paraId="73051179"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9. Oregon Health Authority, </w:t>
      </w:r>
      <w:r w:rsidRPr="00CB4B1C">
        <w:rPr>
          <w:rFonts w:ascii="Arial" w:eastAsia="Times New Roman" w:hAnsi="Arial" w:cs="Arial"/>
          <w:i/>
          <w:iCs/>
          <w:kern w:val="0"/>
          <w:sz w:val="28"/>
          <w:szCs w:val="28"/>
          <w14:ligatures w14:val="none"/>
        </w:rPr>
        <w:t>Oregon Death with Dignity Act: Annual Reports</w:t>
      </w:r>
      <w:r w:rsidRPr="00CB4B1C">
        <w:rPr>
          <w:rFonts w:ascii="Arial" w:eastAsia="Times New Roman" w:hAnsi="Arial" w:cs="Arial"/>
          <w:kern w:val="0"/>
          <w:sz w:val="28"/>
          <w:szCs w:val="28"/>
          <w14:ligatures w14:val="none"/>
        </w:rPr>
        <w:t xml:space="preserve"> (Salem: Oregon Health Authority, 2023).</w:t>
      </w:r>
    </w:p>
    <w:p w14:paraId="247C3B75"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10. Leon R. </w:t>
      </w:r>
      <w:proofErr w:type="spellStart"/>
      <w:r w:rsidRPr="00CB4B1C">
        <w:rPr>
          <w:rFonts w:ascii="Arial" w:eastAsia="Times New Roman" w:hAnsi="Arial" w:cs="Arial"/>
          <w:kern w:val="0"/>
          <w:sz w:val="28"/>
          <w:szCs w:val="28"/>
          <w14:ligatures w14:val="none"/>
        </w:rPr>
        <w:t>Kass</w:t>
      </w:r>
      <w:proofErr w:type="spellEnd"/>
      <w:r w:rsidRPr="00CB4B1C">
        <w:rPr>
          <w:rFonts w:ascii="Arial" w:eastAsia="Times New Roman" w:hAnsi="Arial" w:cs="Arial"/>
          <w:kern w:val="0"/>
          <w:sz w:val="28"/>
          <w:szCs w:val="28"/>
          <w14:ligatures w14:val="none"/>
        </w:rPr>
        <w:t xml:space="preserve">, 'Why Doctors Should Not Kill', </w:t>
      </w:r>
      <w:r w:rsidRPr="00CB4B1C">
        <w:rPr>
          <w:rFonts w:ascii="Arial" w:eastAsia="Times New Roman" w:hAnsi="Arial" w:cs="Arial"/>
          <w:i/>
          <w:iCs/>
          <w:kern w:val="0"/>
          <w:sz w:val="28"/>
          <w:szCs w:val="28"/>
          <w14:ligatures w14:val="none"/>
        </w:rPr>
        <w:t>Commonweal</w:t>
      </w:r>
      <w:r w:rsidRPr="00CB4B1C">
        <w:rPr>
          <w:rFonts w:ascii="Arial" w:eastAsia="Times New Roman" w:hAnsi="Arial" w:cs="Arial"/>
          <w:kern w:val="0"/>
          <w:sz w:val="28"/>
          <w:szCs w:val="28"/>
          <w14:ligatures w14:val="none"/>
        </w:rPr>
        <w:t>, 116 (1989), 472-76 (p. 473).</w:t>
      </w:r>
    </w:p>
    <w:p w14:paraId="4D01AB94"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11. Sacred Congregation for the Doctrine of the Faith, </w:t>
      </w:r>
      <w:r w:rsidRPr="00CB4B1C">
        <w:rPr>
          <w:rFonts w:ascii="Arial" w:eastAsia="Times New Roman" w:hAnsi="Arial" w:cs="Arial"/>
          <w:i/>
          <w:iCs/>
          <w:kern w:val="0"/>
          <w:sz w:val="28"/>
          <w:szCs w:val="28"/>
          <w14:ligatures w14:val="none"/>
        </w:rPr>
        <w:t>Declaration on Euthanasia</w:t>
      </w:r>
      <w:r w:rsidRPr="00CB4B1C">
        <w:rPr>
          <w:rFonts w:ascii="Arial" w:eastAsia="Times New Roman" w:hAnsi="Arial" w:cs="Arial"/>
          <w:kern w:val="0"/>
          <w:sz w:val="28"/>
          <w:szCs w:val="28"/>
          <w14:ligatures w14:val="none"/>
        </w:rPr>
        <w:t xml:space="preserve"> (Vatican City: 1980), Section II.</w:t>
      </w:r>
    </w:p>
    <w:p w14:paraId="54202FD2"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12. John </w:t>
      </w:r>
      <w:proofErr w:type="spellStart"/>
      <w:r w:rsidRPr="00CB4B1C">
        <w:rPr>
          <w:rFonts w:ascii="Arial" w:eastAsia="Times New Roman" w:hAnsi="Arial" w:cs="Arial"/>
          <w:kern w:val="0"/>
          <w:sz w:val="28"/>
          <w:szCs w:val="28"/>
          <w14:ligatures w14:val="none"/>
        </w:rPr>
        <w:t>Finnis</w:t>
      </w:r>
      <w:proofErr w:type="spellEnd"/>
      <w:r w:rsidRPr="00CB4B1C">
        <w:rPr>
          <w:rFonts w:ascii="Arial" w:eastAsia="Times New Roman" w:hAnsi="Arial" w:cs="Arial"/>
          <w:kern w:val="0"/>
          <w:sz w:val="28"/>
          <w:szCs w:val="28"/>
          <w14:ligatures w14:val="none"/>
        </w:rPr>
        <w:t xml:space="preserve">, 'A Philosophical Case against Euthanasia', in John </w:t>
      </w:r>
      <w:proofErr w:type="spellStart"/>
      <w:r w:rsidRPr="00CB4B1C">
        <w:rPr>
          <w:rFonts w:ascii="Arial" w:eastAsia="Times New Roman" w:hAnsi="Arial" w:cs="Arial"/>
          <w:kern w:val="0"/>
          <w:sz w:val="28"/>
          <w:szCs w:val="28"/>
          <w14:ligatures w14:val="none"/>
        </w:rPr>
        <w:t>Keown</w:t>
      </w:r>
      <w:proofErr w:type="spellEnd"/>
      <w:r w:rsidRPr="00CB4B1C">
        <w:rPr>
          <w:rFonts w:ascii="Arial" w:eastAsia="Times New Roman" w:hAnsi="Arial" w:cs="Arial"/>
          <w:kern w:val="0"/>
          <w:sz w:val="28"/>
          <w:szCs w:val="28"/>
          <w14:ligatures w14:val="none"/>
        </w:rPr>
        <w:t xml:space="preserve"> (ed.), </w:t>
      </w:r>
      <w:r w:rsidRPr="00CB4B1C">
        <w:rPr>
          <w:rFonts w:ascii="Arial" w:eastAsia="Times New Roman" w:hAnsi="Arial" w:cs="Arial"/>
          <w:i/>
          <w:iCs/>
          <w:kern w:val="0"/>
          <w:sz w:val="28"/>
          <w:szCs w:val="28"/>
          <w14:ligatures w14:val="none"/>
        </w:rPr>
        <w:t>Euthanasia Examined: Ethical, Clinical and Legal Perspectives</w:t>
      </w:r>
      <w:r w:rsidRPr="00CB4B1C">
        <w:rPr>
          <w:rFonts w:ascii="Arial" w:eastAsia="Times New Roman" w:hAnsi="Arial" w:cs="Arial"/>
          <w:kern w:val="0"/>
          <w:sz w:val="28"/>
          <w:szCs w:val="28"/>
          <w14:ligatures w14:val="none"/>
        </w:rPr>
        <w:t xml:space="preserve"> (Cambridge: Cambridge University Press, 1995), pp. 23-35 (p. 27).</w:t>
      </w:r>
    </w:p>
    <w:p w14:paraId="71D76A12" w14:textId="77777777" w:rsidR="00CB4B1C" w:rsidRPr="00CB4B1C" w:rsidRDefault="00CB4B1C" w:rsidP="00CB4B1C">
      <w:pPr>
        <w:spacing w:after="80" w:line="360" w:lineRule="auto"/>
        <w:jc w:val="both"/>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t xml:space="preserve">13. Desmond Tutu, 'A Dignified Death is Our Right', </w:t>
      </w:r>
      <w:r w:rsidRPr="00CB4B1C">
        <w:rPr>
          <w:rFonts w:ascii="Arial" w:eastAsia="Times New Roman" w:hAnsi="Arial" w:cs="Arial"/>
          <w:i/>
          <w:iCs/>
          <w:kern w:val="0"/>
          <w:sz w:val="28"/>
          <w:szCs w:val="28"/>
          <w14:ligatures w14:val="none"/>
        </w:rPr>
        <w:t>The Washington Post</w:t>
      </w:r>
      <w:r w:rsidRPr="00CB4B1C">
        <w:rPr>
          <w:rFonts w:ascii="Arial" w:eastAsia="Times New Roman" w:hAnsi="Arial" w:cs="Arial"/>
          <w:kern w:val="0"/>
          <w:sz w:val="28"/>
          <w:szCs w:val="28"/>
          <w14:ligatures w14:val="none"/>
        </w:rPr>
        <w:t>, 10 October 2016.</w:t>
      </w:r>
    </w:p>
    <w:p w14:paraId="700D2C1F" w14:textId="77777777" w:rsidR="00CB4B1C" w:rsidRPr="00CB4B1C" w:rsidRDefault="00CB4B1C" w:rsidP="00CB4B1C">
      <w:pPr>
        <w:spacing w:after="0" w:line="240" w:lineRule="auto"/>
        <w:rPr>
          <w:rFonts w:ascii="Arial" w:eastAsia="Times New Roman" w:hAnsi="Arial" w:cs="Arial"/>
          <w:kern w:val="0"/>
          <w:sz w:val="28"/>
          <w:szCs w:val="28"/>
          <w14:ligatures w14:val="none"/>
        </w:rPr>
      </w:pPr>
      <w:r w:rsidRPr="00CB4B1C">
        <w:rPr>
          <w:rFonts w:ascii="Arial" w:eastAsia="Times New Roman" w:hAnsi="Arial" w:cs="Arial"/>
          <w:kern w:val="0"/>
          <w:sz w:val="28"/>
          <w:szCs w:val="28"/>
          <w14:ligatures w14:val="none"/>
        </w:rPr>
        <w:br w:type="page"/>
      </w:r>
    </w:p>
    <w:p w14:paraId="44629D91" w14:textId="77777777" w:rsidR="00CB4B1C" w:rsidRPr="00CB4B1C" w:rsidRDefault="00CB4B1C" w:rsidP="00CB4B1C">
      <w:pPr>
        <w:spacing w:before="360" w:after="200" w:line="480" w:lineRule="auto"/>
        <w:rPr>
          <w:rFonts w:ascii="Times New Roman" w:eastAsia="Times New Roman" w:hAnsi="Times New Roman" w:cs="Times New Roman"/>
          <w:kern w:val="0"/>
          <w14:ligatures w14:val="none"/>
        </w:rPr>
      </w:pPr>
      <w:r w:rsidRPr="00CB4B1C">
        <w:rPr>
          <w:rFonts w:ascii="Times New Roman" w:eastAsia="Times New Roman" w:hAnsi="Times New Roman" w:cs="Times New Roman"/>
          <w:b/>
          <w:bCs/>
          <w:kern w:val="0"/>
          <w14:ligatures w14:val="none"/>
        </w:rPr>
        <w:t>Bibliography</w:t>
      </w:r>
    </w:p>
    <w:p w14:paraId="1643AAB4"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Dworkin, Ronald, </w:t>
      </w:r>
      <w:r w:rsidRPr="00CB4B1C">
        <w:rPr>
          <w:rFonts w:ascii="Times New Roman" w:eastAsia="Times New Roman" w:hAnsi="Times New Roman" w:cs="Times New Roman"/>
          <w:i/>
          <w:iCs/>
          <w:kern w:val="0"/>
          <w14:ligatures w14:val="none"/>
        </w:rPr>
        <w:t>Life's Dominion: An Argument about Abortion and Euthanasia</w:t>
      </w:r>
      <w:r w:rsidRPr="00CB4B1C">
        <w:rPr>
          <w:rFonts w:ascii="Times New Roman" w:eastAsia="Times New Roman" w:hAnsi="Times New Roman" w:cs="Times New Roman"/>
          <w:kern w:val="0"/>
          <w14:ligatures w14:val="none"/>
        </w:rPr>
        <w:t xml:space="preserve"> (London: HarperCollins, 1993)</w:t>
      </w:r>
    </w:p>
    <w:p w14:paraId="3CF88BDD"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proofErr w:type="spellStart"/>
      <w:r w:rsidRPr="00CB4B1C">
        <w:rPr>
          <w:rFonts w:ascii="Times New Roman" w:eastAsia="Times New Roman" w:hAnsi="Times New Roman" w:cs="Times New Roman"/>
          <w:kern w:val="0"/>
          <w14:ligatures w14:val="none"/>
        </w:rPr>
        <w:t>Finnis</w:t>
      </w:r>
      <w:proofErr w:type="spellEnd"/>
      <w:r w:rsidRPr="00CB4B1C">
        <w:rPr>
          <w:rFonts w:ascii="Times New Roman" w:eastAsia="Times New Roman" w:hAnsi="Times New Roman" w:cs="Times New Roman"/>
          <w:kern w:val="0"/>
          <w14:ligatures w14:val="none"/>
        </w:rPr>
        <w:t xml:space="preserve">, John, 'A Philosophical Case against Euthanasia', in John </w:t>
      </w:r>
      <w:proofErr w:type="spellStart"/>
      <w:r w:rsidRPr="00CB4B1C">
        <w:rPr>
          <w:rFonts w:ascii="Times New Roman" w:eastAsia="Times New Roman" w:hAnsi="Times New Roman" w:cs="Times New Roman"/>
          <w:kern w:val="0"/>
          <w14:ligatures w14:val="none"/>
        </w:rPr>
        <w:t>Keown</w:t>
      </w:r>
      <w:proofErr w:type="spellEnd"/>
      <w:r w:rsidRPr="00CB4B1C">
        <w:rPr>
          <w:rFonts w:ascii="Times New Roman" w:eastAsia="Times New Roman" w:hAnsi="Times New Roman" w:cs="Times New Roman"/>
          <w:kern w:val="0"/>
          <w14:ligatures w14:val="none"/>
        </w:rPr>
        <w:t xml:space="preserve"> (ed.), </w:t>
      </w:r>
      <w:r w:rsidRPr="00CB4B1C">
        <w:rPr>
          <w:rFonts w:ascii="Times New Roman" w:eastAsia="Times New Roman" w:hAnsi="Times New Roman" w:cs="Times New Roman"/>
          <w:i/>
          <w:iCs/>
          <w:kern w:val="0"/>
          <w14:ligatures w14:val="none"/>
        </w:rPr>
        <w:t>Euthanasia Examined: Ethical, Clinical and Legal Perspectives</w:t>
      </w:r>
      <w:r w:rsidRPr="00CB4B1C">
        <w:rPr>
          <w:rFonts w:ascii="Times New Roman" w:eastAsia="Times New Roman" w:hAnsi="Times New Roman" w:cs="Times New Roman"/>
          <w:kern w:val="0"/>
          <w14:ligatures w14:val="none"/>
        </w:rPr>
        <w:t xml:space="preserve"> (Cambridge: Cambridge University Press, 1995), pp. 23-35</w:t>
      </w:r>
    </w:p>
    <w:p w14:paraId="261A7A46"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Hill, Thomas E., Jr., 'Self-Regarding Suicide: A Modified Kantian View', in </w:t>
      </w:r>
      <w:r w:rsidRPr="00CB4B1C">
        <w:rPr>
          <w:rFonts w:ascii="Times New Roman" w:eastAsia="Times New Roman" w:hAnsi="Times New Roman" w:cs="Times New Roman"/>
          <w:i/>
          <w:iCs/>
          <w:kern w:val="0"/>
          <w14:ligatures w14:val="none"/>
        </w:rPr>
        <w:t>Autonomy and Self-Respect</w:t>
      </w:r>
      <w:r w:rsidRPr="00CB4B1C">
        <w:rPr>
          <w:rFonts w:ascii="Times New Roman" w:eastAsia="Times New Roman" w:hAnsi="Times New Roman" w:cs="Times New Roman"/>
          <w:kern w:val="0"/>
          <w14:ligatures w14:val="none"/>
        </w:rPr>
        <w:t xml:space="preserve"> (Cambridge: Cambridge University Press, 1991), pp. 85-103</w:t>
      </w:r>
    </w:p>
    <w:p w14:paraId="60D192DD"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Kant, Immanuel, </w:t>
      </w:r>
      <w:r w:rsidRPr="00CB4B1C">
        <w:rPr>
          <w:rFonts w:ascii="Times New Roman" w:eastAsia="Times New Roman" w:hAnsi="Times New Roman" w:cs="Times New Roman"/>
          <w:i/>
          <w:iCs/>
          <w:kern w:val="0"/>
          <w14:ligatures w14:val="none"/>
        </w:rPr>
        <w:t>Groundwork of the Metaphysics of Morals</w:t>
      </w:r>
      <w:r w:rsidRPr="00CB4B1C">
        <w:rPr>
          <w:rFonts w:ascii="Times New Roman" w:eastAsia="Times New Roman" w:hAnsi="Times New Roman" w:cs="Times New Roman"/>
          <w:kern w:val="0"/>
          <w14:ligatures w14:val="none"/>
        </w:rPr>
        <w:t>, trans. by Mary Gregor (Cambridge: Cambridge University Press, 1998)</w:t>
      </w:r>
    </w:p>
    <w:p w14:paraId="62FC1468"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proofErr w:type="spellStart"/>
      <w:r w:rsidRPr="00CB4B1C">
        <w:rPr>
          <w:rFonts w:ascii="Times New Roman" w:eastAsia="Times New Roman" w:hAnsi="Times New Roman" w:cs="Times New Roman"/>
          <w:kern w:val="0"/>
          <w14:ligatures w14:val="none"/>
        </w:rPr>
        <w:t>Kass</w:t>
      </w:r>
      <w:proofErr w:type="spellEnd"/>
      <w:r w:rsidRPr="00CB4B1C">
        <w:rPr>
          <w:rFonts w:ascii="Times New Roman" w:eastAsia="Times New Roman" w:hAnsi="Times New Roman" w:cs="Times New Roman"/>
          <w:kern w:val="0"/>
          <w14:ligatures w14:val="none"/>
        </w:rPr>
        <w:t xml:space="preserve">, Leon R., 'Why Doctors Should Not Kill', </w:t>
      </w:r>
      <w:r w:rsidRPr="00CB4B1C">
        <w:rPr>
          <w:rFonts w:ascii="Times New Roman" w:eastAsia="Times New Roman" w:hAnsi="Times New Roman" w:cs="Times New Roman"/>
          <w:i/>
          <w:iCs/>
          <w:kern w:val="0"/>
          <w14:ligatures w14:val="none"/>
        </w:rPr>
        <w:t>Commonweal</w:t>
      </w:r>
      <w:r w:rsidRPr="00CB4B1C">
        <w:rPr>
          <w:rFonts w:ascii="Times New Roman" w:eastAsia="Times New Roman" w:hAnsi="Times New Roman" w:cs="Times New Roman"/>
          <w:kern w:val="0"/>
          <w14:ligatures w14:val="none"/>
        </w:rPr>
        <w:t>, 116 (1989), 472-76</w:t>
      </w:r>
    </w:p>
    <w:p w14:paraId="7BA7B7BD"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Mill, John Stuart, </w:t>
      </w:r>
      <w:r w:rsidRPr="00CB4B1C">
        <w:rPr>
          <w:rFonts w:ascii="Times New Roman" w:eastAsia="Times New Roman" w:hAnsi="Times New Roman" w:cs="Times New Roman"/>
          <w:i/>
          <w:iCs/>
          <w:kern w:val="0"/>
          <w14:ligatures w14:val="none"/>
        </w:rPr>
        <w:t>On Liberty</w:t>
      </w:r>
      <w:r w:rsidRPr="00CB4B1C">
        <w:rPr>
          <w:rFonts w:ascii="Times New Roman" w:eastAsia="Times New Roman" w:hAnsi="Times New Roman" w:cs="Times New Roman"/>
          <w:kern w:val="0"/>
          <w14:ligatures w14:val="none"/>
        </w:rPr>
        <w:t xml:space="preserve">, ed. by Stefan </w:t>
      </w:r>
      <w:proofErr w:type="spellStart"/>
      <w:r w:rsidRPr="00CB4B1C">
        <w:rPr>
          <w:rFonts w:ascii="Times New Roman" w:eastAsia="Times New Roman" w:hAnsi="Times New Roman" w:cs="Times New Roman"/>
          <w:kern w:val="0"/>
          <w14:ligatures w14:val="none"/>
        </w:rPr>
        <w:t>Collini</w:t>
      </w:r>
      <w:proofErr w:type="spellEnd"/>
      <w:r w:rsidRPr="00CB4B1C">
        <w:rPr>
          <w:rFonts w:ascii="Times New Roman" w:eastAsia="Times New Roman" w:hAnsi="Times New Roman" w:cs="Times New Roman"/>
          <w:kern w:val="0"/>
          <w14:ligatures w14:val="none"/>
        </w:rPr>
        <w:t xml:space="preserve"> (Cambridge: Cambridge University Press, 1989)</w:t>
      </w:r>
    </w:p>
    <w:p w14:paraId="6C40C551"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Oregon Health Authority, </w:t>
      </w:r>
      <w:r w:rsidRPr="00CB4B1C">
        <w:rPr>
          <w:rFonts w:ascii="Times New Roman" w:eastAsia="Times New Roman" w:hAnsi="Times New Roman" w:cs="Times New Roman"/>
          <w:i/>
          <w:iCs/>
          <w:kern w:val="0"/>
          <w14:ligatures w14:val="none"/>
        </w:rPr>
        <w:t>Oregon Death with Dignity Act: Annual Reports</w:t>
      </w:r>
      <w:r w:rsidRPr="00CB4B1C">
        <w:rPr>
          <w:rFonts w:ascii="Times New Roman" w:eastAsia="Times New Roman" w:hAnsi="Times New Roman" w:cs="Times New Roman"/>
          <w:kern w:val="0"/>
          <w14:ligatures w14:val="none"/>
        </w:rPr>
        <w:t xml:space="preserve"> (Salem: Oregon Health Authority, 2023)</w:t>
      </w:r>
    </w:p>
    <w:p w14:paraId="0BDEB7C7"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proofErr w:type="spellStart"/>
      <w:r w:rsidRPr="00CB4B1C">
        <w:rPr>
          <w:rFonts w:ascii="Times New Roman" w:eastAsia="Times New Roman" w:hAnsi="Times New Roman" w:cs="Times New Roman"/>
          <w:kern w:val="0"/>
          <w14:ligatures w14:val="none"/>
        </w:rPr>
        <w:t>Rachels</w:t>
      </w:r>
      <w:proofErr w:type="spellEnd"/>
      <w:r w:rsidRPr="00CB4B1C">
        <w:rPr>
          <w:rFonts w:ascii="Times New Roman" w:eastAsia="Times New Roman" w:hAnsi="Times New Roman" w:cs="Times New Roman"/>
          <w:kern w:val="0"/>
          <w14:ligatures w14:val="none"/>
        </w:rPr>
        <w:t xml:space="preserve">, James, 'Active and Passive Euthanasia', </w:t>
      </w:r>
      <w:r w:rsidRPr="00CB4B1C">
        <w:rPr>
          <w:rFonts w:ascii="Times New Roman" w:eastAsia="Times New Roman" w:hAnsi="Times New Roman" w:cs="Times New Roman"/>
          <w:i/>
          <w:iCs/>
          <w:kern w:val="0"/>
          <w14:ligatures w14:val="none"/>
        </w:rPr>
        <w:t>New England Journal of Medicine</w:t>
      </w:r>
      <w:r w:rsidRPr="00CB4B1C">
        <w:rPr>
          <w:rFonts w:ascii="Times New Roman" w:eastAsia="Times New Roman" w:hAnsi="Times New Roman" w:cs="Times New Roman"/>
          <w:kern w:val="0"/>
          <w14:ligatures w14:val="none"/>
        </w:rPr>
        <w:t>, 292 (1975), 78-80</w:t>
      </w:r>
    </w:p>
    <w:p w14:paraId="7A3D10CD"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proofErr w:type="spellStart"/>
      <w:r w:rsidRPr="00CB4B1C">
        <w:rPr>
          <w:rFonts w:ascii="Times New Roman" w:eastAsia="Times New Roman" w:hAnsi="Times New Roman" w:cs="Times New Roman"/>
          <w:kern w:val="0"/>
          <w14:ligatures w14:val="none"/>
        </w:rPr>
        <w:t>Rietjens</w:t>
      </w:r>
      <w:proofErr w:type="spellEnd"/>
      <w:r w:rsidRPr="00CB4B1C">
        <w:rPr>
          <w:rFonts w:ascii="Times New Roman" w:eastAsia="Times New Roman" w:hAnsi="Times New Roman" w:cs="Times New Roman"/>
          <w:kern w:val="0"/>
          <w14:ligatures w14:val="none"/>
        </w:rPr>
        <w:t xml:space="preserve">, Judith A. C., and others, 'Two Decades of Research on Euthanasia from the Netherlands', </w:t>
      </w:r>
      <w:r w:rsidRPr="00CB4B1C">
        <w:rPr>
          <w:rFonts w:ascii="Times New Roman" w:eastAsia="Times New Roman" w:hAnsi="Times New Roman" w:cs="Times New Roman"/>
          <w:i/>
          <w:iCs/>
          <w:kern w:val="0"/>
          <w14:ligatures w14:val="none"/>
        </w:rPr>
        <w:t>Journal of Bioethical Inquiry</w:t>
      </w:r>
      <w:r w:rsidRPr="00CB4B1C">
        <w:rPr>
          <w:rFonts w:ascii="Times New Roman" w:eastAsia="Times New Roman" w:hAnsi="Times New Roman" w:cs="Times New Roman"/>
          <w:kern w:val="0"/>
          <w14:ligatures w14:val="none"/>
        </w:rPr>
        <w:t>, 6 (2009), 271-83</w:t>
      </w:r>
    </w:p>
    <w:p w14:paraId="13BA7B91"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Sacred Congregation for the Doctrine of the Faith, </w:t>
      </w:r>
      <w:r w:rsidRPr="00CB4B1C">
        <w:rPr>
          <w:rFonts w:ascii="Times New Roman" w:eastAsia="Times New Roman" w:hAnsi="Times New Roman" w:cs="Times New Roman"/>
          <w:i/>
          <w:iCs/>
          <w:kern w:val="0"/>
          <w14:ligatures w14:val="none"/>
        </w:rPr>
        <w:t>Declaration on Euthanasia</w:t>
      </w:r>
      <w:r w:rsidRPr="00CB4B1C">
        <w:rPr>
          <w:rFonts w:ascii="Times New Roman" w:eastAsia="Times New Roman" w:hAnsi="Times New Roman" w:cs="Times New Roman"/>
          <w:kern w:val="0"/>
          <w14:ligatures w14:val="none"/>
        </w:rPr>
        <w:t xml:space="preserve"> (Vatican City: 1980)</w:t>
      </w:r>
    </w:p>
    <w:p w14:paraId="74231D26"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Singer, Peter, </w:t>
      </w:r>
      <w:r w:rsidRPr="00CB4B1C">
        <w:rPr>
          <w:rFonts w:ascii="Times New Roman" w:eastAsia="Times New Roman" w:hAnsi="Times New Roman" w:cs="Times New Roman"/>
          <w:i/>
          <w:iCs/>
          <w:kern w:val="0"/>
          <w14:ligatures w14:val="none"/>
        </w:rPr>
        <w:t>Practical Ethics</w:t>
      </w:r>
      <w:r w:rsidRPr="00CB4B1C">
        <w:rPr>
          <w:rFonts w:ascii="Times New Roman" w:eastAsia="Times New Roman" w:hAnsi="Times New Roman" w:cs="Times New Roman"/>
          <w:kern w:val="0"/>
          <w14:ligatures w14:val="none"/>
        </w:rPr>
        <w:t xml:space="preserve">, 3rd </w:t>
      </w:r>
      <w:proofErr w:type="spellStart"/>
      <w:r w:rsidRPr="00CB4B1C">
        <w:rPr>
          <w:rFonts w:ascii="Times New Roman" w:eastAsia="Times New Roman" w:hAnsi="Times New Roman" w:cs="Times New Roman"/>
          <w:kern w:val="0"/>
          <w14:ligatures w14:val="none"/>
        </w:rPr>
        <w:t>edn</w:t>
      </w:r>
      <w:proofErr w:type="spellEnd"/>
      <w:r w:rsidRPr="00CB4B1C">
        <w:rPr>
          <w:rFonts w:ascii="Times New Roman" w:eastAsia="Times New Roman" w:hAnsi="Times New Roman" w:cs="Times New Roman"/>
          <w:kern w:val="0"/>
          <w14:ligatures w14:val="none"/>
        </w:rPr>
        <w:t xml:space="preserve"> (Cambridge: Cambridge University Press, 2011)</w:t>
      </w:r>
    </w:p>
    <w:p w14:paraId="022232D8" w14:textId="77777777" w:rsidR="00CB4B1C" w:rsidRPr="00CB4B1C" w:rsidRDefault="00CB4B1C" w:rsidP="00CB4B1C">
      <w:pPr>
        <w:spacing w:after="120" w:line="480" w:lineRule="auto"/>
        <w:jc w:val="both"/>
        <w:rPr>
          <w:rFonts w:ascii="Times New Roman" w:eastAsia="Times New Roman" w:hAnsi="Times New Roman" w:cs="Times New Roman"/>
          <w:kern w:val="0"/>
          <w14:ligatures w14:val="none"/>
        </w:rPr>
      </w:pPr>
      <w:r w:rsidRPr="00CB4B1C">
        <w:rPr>
          <w:rFonts w:ascii="Times New Roman" w:eastAsia="Times New Roman" w:hAnsi="Times New Roman" w:cs="Times New Roman"/>
          <w:kern w:val="0"/>
          <w14:ligatures w14:val="none"/>
        </w:rPr>
        <w:t xml:space="preserve">Tutu, Desmond, 'A Dignified Death is Our Right', </w:t>
      </w:r>
      <w:r w:rsidRPr="00CB4B1C">
        <w:rPr>
          <w:rFonts w:ascii="Times New Roman" w:eastAsia="Times New Roman" w:hAnsi="Times New Roman" w:cs="Times New Roman"/>
          <w:i/>
          <w:iCs/>
          <w:kern w:val="0"/>
          <w14:ligatures w14:val="none"/>
        </w:rPr>
        <w:t>The Washington Post</w:t>
      </w:r>
      <w:r w:rsidRPr="00CB4B1C">
        <w:rPr>
          <w:rFonts w:ascii="Times New Roman" w:eastAsia="Times New Roman" w:hAnsi="Times New Roman" w:cs="Times New Roman"/>
          <w:kern w:val="0"/>
          <w14:ligatures w14:val="none"/>
        </w:rPr>
        <w:t>, 10 October 2016</w:t>
      </w:r>
    </w:p>
    <w:p w14:paraId="23F823B1" w14:textId="77777777" w:rsidR="00CB4B1C" w:rsidRDefault="00CB4B1C"/>
    <w:sectPr w:rsidR="00CB4B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870"/>
    <w:rsid w:val="005D7A87"/>
    <w:rsid w:val="00610E0A"/>
    <w:rsid w:val="00683B07"/>
    <w:rsid w:val="00721C1B"/>
    <w:rsid w:val="0082495D"/>
    <w:rsid w:val="00CB4B1C"/>
    <w:rsid w:val="00ED0E49"/>
    <w:rsid w:val="00F87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93662F"/>
  <w15:chartTrackingRefBased/>
  <w15:docId w15:val="{B4C92C6F-14D5-9644-AFB7-CBEC48D46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8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78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78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78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78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78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8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8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8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8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78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78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8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8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8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8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8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870"/>
    <w:rPr>
      <w:rFonts w:eastAsiaTheme="majorEastAsia" w:cstheme="majorBidi"/>
      <w:color w:val="272727" w:themeColor="text1" w:themeTint="D8"/>
    </w:rPr>
  </w:style>
  <w:style w:type="paragraph" w:styleId="Title">
    <w:name w:val="Title"/>
    <w:basedOn w:val="Normal"/>
    <w:next w:val="Normal"/>
    <w:link w:val="TitleChar"/>
    <w:uiPriority w:val="10"/>
    <w:qFormat/>
    <w:rsid w:val="00F878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8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8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8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870"/>
    <w:pPr>
      <w:spacing w:before="160"/>
      <w:jc w:val="center"/>
    </w:pPr>
    <w:rPr>
      <w:i/>
      <w:iCs/>
      <w:color w:val="404040" w:themeColor="text1" w:themeTint="BF"/>
    </w:rPr>
  </w:style>
  <w:style w:type="character" w:customStyle="1" w:styleId="QuoteChar">
    <w:name w:val="Quote Char"/>
    <w:basedOn w:val="DefaultParagraphFont"/>
    <w:link w:val="Quote"/>
    <w:uiPriority w:val="29"/>
    <w:rsid w:val="00F87870"/>
    <w:rPr>
      <w:i/>
      <w:iCs/>
      <w:color w:val="404040" w:themeColor="text1" w:themeTint="BF"/>
    </w:rPr>
  </w:style>
  <w:style w:type="paragraph" w:styleId="ListParagraph">
    <w:name w:val="List Paragraph"/>
    <w:basedOn w:val="Normal"/>
    <w:uiPriority w:val="34"/>
    <w:qFormat/>
    <w:rsid w:val="00F87870"/>
    <w:pPr>
      <w:ind w:left="720"/>
      <w:contextualSpacing/>
    </w:pPr>
  </w:style>
  <w:style w:type="character" w:styleId="IntenseEmphasis">
    <w:name w:val="Intense Emphasis"/>
    <w:basedOn w:val="DefaultParagraphFont"/>
    <w:uiPriority w:val="21"/>
    <w:qFormat/>
    <w:rsid w:val="00F87870"/>
    <w:rPr>
      <w:i/>
      <w:iCs/>
      <w:color w:val="0F4761" w:themeColor="accent1" w:themeShade="BF"/>
    </w:rPr>
  </w:style>
  <w:style w:type="paragraph" w:styleId="IntenseQuote">
    <w:name w:val="Intense Quote"/>
    <w:basedOn w:val="Normal"/>
    <w:next w:val="Normal"/>
    <w:link w:val="IntenseQuoteChar"/>
    <w:uiPriority w:val="30"/>
    <w:qFormat/>
    <w:rsid w:val="00F878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870"/>
    <w:rPr>
      <w:i/>
      <w:iCs/>
      <w:color w:val="0F4761" w:themeColor="accent1" w:themeShade="BF"/>
    </w:rPr>
  </w:style>
  <w:style w:type="character" w:styleId="IntenseReference">
    <w:name w:val="Intense Reference"/>
    <w:basedOn w:val="DefaultParagraphFont"/>
    <w:uiPriority w:val="32"/>
    <w:qFormat/>
    <w:rsid w:val="00F8787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2691</Words>
  <Characters>15341</Characters>
  <Application>Microsoft Office Word</Application>
  <DocSecurity>0</DocSecurity>
  <Lines>127</Lines>
  <Paragraphs>35</Paragraphs>
  <ScaleCrop>false</ScaleCrop>
  <Company/>
  <LinksUpToDate>false</LinksUpToDate>
  <CharactersWithSpaces>17997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Sugarova</dc:creator>
  <cp:keywords/>
  <dc:description/>
  <cp:lastModifiedBy>Nikola Sugarova</cp:lastModifiedBy>
  <cp:revision>2</cp:revision>
  <dcterms:created xsi:type="dcterms:W3CDTF">2026-03-26T21:06:00Z</dcterms:created>
  <dcterms:modified xsi:type="dcterms:W3CDTF">2026-03-26T21:06:00Z</dcterms:modified>
</cp:coreProperties>
</file>