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24224" w:rsidRDefault="00324224" w:rsidP="00C171A5">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p>
    <w:p w14:paraId="00000002" w14:textId="77777777" w:rsidR="00324224" w:rsidRDefault="00324224" w:rsidP="00C171A5">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p>
    <w:p w14:paraId="00000003" w14:textId="174BF571" w:rsidR="00324224" w:rsidRDefault="00C171A5" w:rsidP="00C171A5">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r w:rsidRPr="00C171A5">
        <w:rPr>
          <w:rFonts w:ascii="Times New Roman" w:eastAsia="Times New Roman" w:hAnsi="Times New Roman" w:cs="Times New Roman"/>
          <w:b/>
          <w:noProof/>
          <w:color w:val="222222"/>
          <w:sz w:val="24"/>
          <w:szCs w:val="24"/>
        </w:rPr>
        <w:drawing>
          <wp:inline distT="0" distB="0" distL="0" distR="0" wp14:anchorId="5813A805" wp14:editId="0521BBF6">
            <wp:extent cx="2029108" cy="714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29108" cy="714475"/>
                    </a:xfrm>
                    <a:prstGeom prst="rect">
                      <a:avLst/>
                    </a:prstGeom>
                  </pic:spPr>
                </pic:pic>
              </a:graphicData>
            </a:graphic>
          </wp:inline>
        </w:drawing>
      </w:r>
    </w:p>
    <w:p w14:paraId="00000009" w14:textId="77777777" w:rsidR="00324224" w:rsidRDefault="00324224" w:rsidP="00C171A5">
      <w:pPr>
        <w:pBdr>
          <w:top w:val="nil"/>
          <w:left w:val="nil"/>
          <w:bottom w:val="nil"/>
          <w:right w:val="nil"/>
          <w:between w:val="nil"/>
        </w:pBdr>
        <w:spacing w:line="360" w:lineRule="auto"/>
        <w:rPr>
          <w:rFonts w:ascii="Times New Roman" w:eastAsia="Times New Roman" w:hAnsi="Times New Roman" w:cs="Times New Roman"/>
          <w:b/>
          <w:color w:val="222222"/>
          <w:sz w:val="24"/>
          <w:szCs w:val="24"/>
          <w:highlight w:val="white"/>
        </w:rPr>
      </w:pPr>
    </w:p>
    <w:p w14:paraId="0000000A" w14:textId="77777777" w:rsidR="00324224" w:rsidRDefault="00324224" w:rsidP="00C171A5">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p>
    <w:p w14:paraId="0000000B" w14:textId="77777777" w:rsidR="00324224" w:rsidRDefault="00324224" w:rsidP="00C171A5">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p>
    <w:p w14:paraId="0000000C" w14:textId="77777777" w:rsidR="00324224" w:rsidRDefault="00CF38CC" w:rsidP="00C171A5">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BSC HEALTH AND SOCIAL CARE</w:t>
      </w:r>
    </w:p>
    <w:p w14:paraId="0000000D" w14:textId="77777777" w:rsidR="00324224" w:rsidRDefault="00CF38CC" w:rsidP="00C171A5">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LIVING WITH CARE: THE OLDER PERSON</w:t>
      </w:r>
    </w:p>
    <w:p w14:paraId="0000000E" w14:textId="3A9F2E82" w:rsidR="00324224" w:rsidRDefault="00CF38CC" w:rsidP="00C171A5">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NAME-</w:t>
      </w:r>
      <w:r w:rsidR="00F4300E">
        <w:rPr>
          <w:rFonts w:ascii="Times New Roman" w:eastAsia="Times New Roman" w:hAnsi="Times New Roman" w:cs="Times New Roman"/>
          <w:b/>
          <w:color w:val="222222"/>
          <w:sz w:val="24"/>
          <w:szCs w:val="24"/>
          <w:highlight w:val="white"/>
        </w:rPr>
        <w:t xml:space="preserve"> Carolina Griza</w:t>
      </w:r>
    </w:p>
    <w:p w14:paraId="0000000F" w14:textId="65B6E83C" w:rsidR="00324224" w:rsidRDefault="00CF38CC" w:rsidP="00C171A5">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STUDENT NUMBER-</w:t>
      </w:r>
      <w:r w:rsidR="00F4300E">
        <w:rPr>
          <w:rFonts w:ascii="Times New Roman" w:eastAsia="Times New Roman" w:hAnsi="Times New Roman" w:cs="Times New Roman"/>
          <w:b/>
          <w:color w:val="222222"/>
          <w:sz w:val="24"/>
          <w:szCs w:val="24"/>
          <w:highlight w:val="white"/>
        </w:rPr>
        <w:t xml:space="preserve"> 2115255</w:t>
      </w:r>
    </w:p>
    <w:p w14:paraId="00000010" w14:textId="77777777" w:rsidR="00324224" w:rsidRDefault="00CF38CC" w:rsidP="00C171A5">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MODULE CODE AND TITLE-BMHP6009</w:t>
      </w:r>
    </w:p>
    <w:p w14:paraId="00000011" w14:textId="6E2E3A8F" w:rsidR="00324224" w:rsidRDefault="00CF38CC" w:rsidP="00C171A5">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LECTURER’S NAME- </w:t>
      </w:r>
      <w:r w:rsidR="00F4300E">
        <w:rPr>
          <w:rFonts w:ascii="Times New Roman" w:eastAsia="Times New Roman" w:hAnsi="Times New Roman" w:cs="Times New Roman"/>
          <w:b/>
          <w:color w:val="222222"/>
          <w:sz w:val="24"/>
          <w:szCs w:val="24"/>
          <w:highlight w:val="white"/>
        </w:rPr>
        <w:t xml:space="preserve"> Rebecca Stewart</w:t>
      </w:r>
    </w:p>
    <w:p w14:paraId="00000012" w14:textId="77777777" w:rsidR="00324224" w:rsidRDefault="00CF38CC" w:rsidP="00C171A5">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ASSIGNMENT TITLE-COMPONENT 2 – WRITTEN REPORT</w:t>
      </w:r>
    </w:p>
    <w:p w14:paraId="00000013" w14:textId="77777777" w:rsidR="00324224" w:rsidRDefault="00324224" w:rsidP="00C171A5">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p>
    <w:p w14:paraId="00000014" w14:textId="77777777" w:rsidR="00324224" w:rsidRDefault="00CF38CC" w:rsidP="00C171A5">
      <w:pPr>
        <w:spacing w:line="360" w:lineRule="auto"/>
        <w:rPr>
          <w:rFonts w:ascii="Times New Roman" w:eastAsia="Times New Roman" w:hAnsi="Times New Roman" w:cs="Times New Roman"/>
          <w:b/>
          <w:color w:val="222222"/>
          <w:sz w:val="24"/>
          <w:szCs w:val="24"/>
          <w:highlight w:val="white"/>
        </w:rPr>
      </w:pPr>
      <w:r>
        <w:br w:type="page"/>
      </w:r>
    </w:p>
    <w:p w14:paraId="00000015" w14:textId="77777777" w:rsidR="00324224" w:rsidRPr="00C171A5" w:rsidRDefault="00CF38CC" w:rsidP="00C171A5">
      <w:pPr>
        <w:pBdr>
          <w:top w:val="nil"/>
          <w:left w:val="nil"/>
          <w:bottom w:val="nil"/>
          <w:right w:val="nil"/>
          <w:between w:val="nil"/>
        </w:pBdr>
        <w:spacing w:line="360" w:lineRule="auto"/>
        <w:jc w:val="center"/>
        <w:rPr>
          <w:rFonts w:ascii="Times New Roman" w:eastAsia="Times New Roman" w:hAnsi="Times New Roman" w:cs="Times New Roman"/>
          <w:b/>
          <w:color w:val="365F91" w:themeColor="accent1" w:themeShade="BF"/>
          <w:sz w:val="24"/>
          <w:szCs w:val="24"/>
          <w:highlight w:val="white"/>
        </w:rPr>
      </w:pPr>
      <w:r w:rsidRPr="00C171A5">
        <w:rPr>
          <w:rFonts w:ascii="Times New Roman" w:eastAsia="Times New Roman" w:hAnsi="Times New Roman" w:cs="Times New Roman"/>
          <w:b/>
          <w:color w:val="365F91" w:themeColor="accent1" w:themeShade="BF"/>
          <w:sz w:val="24"/>
          <w:szCs w:val="24"/>
          <w:highlight w:val="white"/>
        </w:rPr>
        <w:lastRenderedPageBreak/>
        <w:t xml:space="preserve">Table of Contents </w:t>
      </w:r>
    </w:p>
    <w:p w14:paraId="00000016" w14:textId="77777777" w:rsidR="00324224" w:rsidRPr="00C171A5" w:rsidRDefault="00324224" w:rsidP="00C171A5">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p>
    <w:sdt>
      <w:sdtPr>
        <w:rPr>
          <w:rFonts w:ascii="Times New Roman" w:hAnsi="Times New Roman" w:cs="Times New Roman"/>
          <w:sz w:val="24"/>
          <w:szCs w:val="24"/>
        </w:rPr>
        <w:id w:val="1134286098"/>
        <w:docPartObj>
          <w:docPartGallery w:val="Table of Contents"/>
          <w:docPartUnique/>
        </w:docPartObj>
      </w:sdtPr>
      <w:sdtEndPr>
        <w:rPr>
          <w:rFonts w:ascii="Arial" w:hAnsi="Arial" w:cs="Arial"/>
          <w:sz w:val="22"/>
          <w:szCs w:val="22"/>
        </w:rPr>
      </w:sdtEndPr>
      <w:sdtContent>
        <w:p w14:paraId="05E56BC0" w14:textId="77777777" w:rsidR="00C171A5" w:rsidRPr="00C171A5" w:rsidRDefault="00CF38CC">
          <w:pPr>
            <w:pStyle w:val="TOC1"/>
            <w:tabs>
              <w:tab w:val="right" w:pos="9019"/>
            </w:tabs>
            <w:rPr>
              <w:rFonts w:ascii="Times New Roman" w:eastAsiaTheme="minorEastAsia" w:hAnsi="Times New Roman" w:cs="Times New Roman"/>
              <w:noProof/>
              <w:sz w:val="24"/>
              <w:szCs w:val="24"/>
            </w:rPr>
          </w:pPr>
          <w:r w:rsidRPr="00C171A5">
            <w:rPr>
              <w:rFonts w:ascii="Times New Roman" w:hAnsi="Times New Roman" w:cs="Times New Roman"/>
              <w:sz w:val="24"/>
              <w:szCs w:val="24"/>
            </w:rPr>
            <w:fldChar w:fldCharType="begin"/>
          </w:r>
          <w:r w:rsidRPr="00C171A5">
            <w:rPr>
              <w:rFonts w:ascii="Times New Roman" w:hAnsi="Times New Roman" w:cs="Times New Roman"/>
              <w:sz w:val="24"/>
              <w:szCs w:val="24"/>
            </w:rPr>
            <w:instrText xml:space="preserve"> TOC \h \u \z \t "Heading 1,1,Heading 2,2,Heading 3,3,Heading 4,4,Heading 5,5,Heading 6,6,"</w:instrText>
          </w:r>
          <w:r w:rsidRPr="00C171A5">
            <w:rPr>
              <w:rFonts w:ascii="Times New Roman" w:hAnsi="Times New Roman" w:cs="Times New Roman"/>
              <w:sz w:val="24"/>
              <w:szCs w:val="24"/>
            </w:rPr>
            <w:fldChar w:fldCharType="separate"/>
          </w:r>
          <w:hyperlink w:anchor="_Toc161267059" w:history="1">
            <w:r w:rsidR="00C171A5" w:rsidRPr="00C171A5">
              <w:rPr>
                <w:rStyle w:val="Hyperlink"/>
                <w:rFonts w:ascii="Times New Roman" w:hAnsi="Times New Roman" w:cs="Times New Roman"/>
                <w:noProof/>
                <w:sz w:val="24"/>
                <w:szCs w:val="24"/>
              </w:rPr>
              <w:t>Introduction</w:t>
            </w:r>
            <w:r w:rsidR="00C171A5" w:rsidRPr="00C171A5">
              <w:rPr>
                <w:rFonts w:ascii="Times New Roman" w:hAnsi="Times New Roman" w:cs="Times New Roman"/>
                <w:noProof/>
                <w:webHidden/>
                <w:sz w:val="24"/>
                <w:szCs w:val="24"/>
              </w:rPr>
              <w:tab/>
            </w:r>
            <w:r w:rsidR="00C171A5" w:rsidRPr="00C171A5">
              <w:rPr>
                <w:rFonts w:ascii="Times New Roman" w:hAnsi="Times New Roman" w:cs="Times New Roman"/>
                <w:noProof/>
                <w:webHidden/>
                <w:sz w:val="24"/>
                <w:szCs w:val="24"/>
              </w:rPr>
              <w:fldChar w:fldCharType="begin"/>
            </w:r>
            <w:r w:rsidR="00C171A5" w:rsidRPr="00C171A5">
              <w:rPr>
                <w:rFonts w:ascii="Times New Roman" w:hAnsi="Times New Roman" w:cs="Times New Roman"/>
                <w:noProof/>
                <w:webHidden/>
                <w:sz w:val="24"/>
                <w:szCs w:val="24"/>
              </w:rPr>
              <w:instrText xml:space="preserve"> PAGEREF _Toc161267059 \h </w:instrText>
            </w:r>
            <w:r w:rsidR="00C171A5" w:rsidRPr="00C171A5">
              <w:rPr>
                <w:rFonts w:ascii="Times New Roman" w:hAnsi="Times New Roman" w:cs="Times New Roman"/>
                <w:noProof/>
                <w:webHidden/>
                <w:sz w:val="24"/>
                <w:szCs w:val="24"/>
              </w:rPr>
            </w:r>
            <w:r w:rsidR="00C171A5" w:rsidRPr="00C171A5">
              <w:rPr>
                <w:rFonts w:ascii="Times New Roman" w:hAnsi="Times New Roman" w:cs="Times New Roman"/>
                <w:noProof/>
                <w:webHidden/>
                <w:sz w:val="24"/>
                <w:szCs w:val="24"/>
              </w:rPr>
              <w:fldChar w:fldCharType="separate"/>
            </w:r>
            <w:r w:rsidR="00C171A5" w:rsidRPr="00C171A5">
              <w:rPr>
                <w:rFonts w:ascii="Times New Roman" w:hAnsi="Times New Roman" w:cs="Times New Roman"/>
                <w:noProof/>
                <w:webHidden/>
                <w:sz w:val="24"/>
                <w:szCs w:val="24"/>
              </w:rPr>
              <w:t>3</w:t>
            </w:r>
            <w:r w:rsidR="00C171A5" w:rsidRPr="00C171A5">
              <w:rPr>
                <w:rFonts w:ascii="Times New Roman" w:hAnsi="Times New Roman" w:cs="Times New Roman"/>
                <w:noProof/>
                <w:webHidden/>
                <w:sz w:val="24"/>
                <w:szCs w:val="24"/>
              </w:rPr>
              <w:fldChar w:fldCharType="end"/>
            </w:r>
          </w:hyperlink>
        </w:p>
        <w:p w14:paraId="4D6349D7" w14:textId="77777777" w:rsidR="00C171A5" w:rsidRPr="00C171A5" w:rsidRDefault="00000000">
          <w:pPr>
            <w:pStyle w:val="TOC1"/>
            <w:tabs>
              <w:tab w:val="right" w:pos="9019"/>
            </w:tabs>
            <w:rPr>
              <w:rFonts w:ascii="Times New Roman" w:eastAsiaTheme="minorEastAsia" w:hAnsi="Times New Roman" w:cs="Times New Roman"/>
              <w:noProof/>
              <w:sz w:val="24"/>
              <w:szCs w:val="24"/>
            </w:rPr>
          </w:pPr>
          <w:hyperlink w:anchor="_Toc161267060" w:history="1">
            <w:r w:rsidR="00C171A5" w:rsidRPr="00C171A5">
              <w:rPr>
                <w:rStyle w:val="Hyperlink"/>
                <w:rFonts w:ascii="Times New Roman" w:hAnsi="Times New Roman" w:cs="Times New Roman"/>
                <w:noProof/>
                <w:sz w:val="24"/>
                <w:szCs w:val="24"/>
              </w:rPr>
              <w:t>Main body</w:t>
            </w:r>
            <w:r w:rsidR="00C171A5" w:rsidRPr="00C171A5">
              <w:rPr>
                <w:rFonts w:ascii="Times New Roman" w:hAnsi="Times New Roman" w:cs="Times New Roman"/>
                <w:noProof/>
                <w:webHidden/>
                <w:sz w:val="24"/>
                <w:szCs w:val="24"/>
              </w:rPr>
              <w:tab/>
            </w:r>
            <w:r w:rsidR="00C171A5" w:rsidRPr="00C171A5">
              <w:rPr>
                <w:rFonts w:ascii="Times New Roman" w:hAnsi="Times New Roman" w:cs="Times New Roman"/>
                <w:noProof/>
                <w:webHidden/>
                <w:sz w:val="24"/>
                <w:szCs w:val="24"/>
              </w:rPr>
              <w:fldChar w:fldCharType="begin"/>
            </w:r>
            <w:r w:rsidR="00C171A5" w:rsidRPr="00C171A5">
              <w:rPr>
                <w:rFonts w:ascii="Times New Roman" w:hAnsi="Times New Roman" w:cs="Times New Roman"/>
                <w:noProof/>
                <w:webHidden/>
                <w:sz w:val="24"/>
                <w:szCs w:val="24"/>
              </w:rPr>
              <w:instrText xml:space="preserve"> PAGEREF _Toc161267060 \h </w:instrText>
            </w:r>
            <w:r w:rsidR="00C171A5" w:rsidRPr="00C171A5">
              <w:rPr>
                <w:rFonts w:ascii="Times New Roman" w:hAnsi="Times New Roman" w:cs="Times New Roman"/>
                <w:noProof/>
                <w:webHidden/>
                <w:sz w:val="24"/>
                <w:szCs w:val="24"/>
              </w:rPr>
            </w:r>
            <w:r w:rsidR="00C171A5" w:rsidRPr="00C171A5">
              <w:rPr>
                <w:rFonts w:ascii="Times New Roman" w:hAnsi="Times New Roman" w:cs="Times New Roman"/>
                <w:noProof/>
                <w:webHidden/>
                <w:sz w:val="24"/>
                <w:szCs w:val="24"/>
              </w:rPr>
              <w:fldChar w:fldCharType="separate"/>
            </w:r>
            <w:r w:rsidR="00C171A5" w:rsidRPr="00C171A5">
              <w:rPr>
                <w:rFonts w:ascii="Times New Roman" w:hAnsi="Times New Roman" w:cs="Times New Roman"/>
                <w:noProof/>
                <w:webHidden/>
                <w:sz w:val="24"/>
                <w:szCs w:val="24"/>
              </w:rPr>
              <w:t>3</w:t>
            </w:r>
            <w:r w:rsidR="00C171A5" w:rsidRPr="00C171A5">
              <w:rPr>
                <w:rFonts w:ascii="Times New Roman" w:hAnsi="Times New Roman" w:cs="Times New Roman"/>
                <w:noProof/>
                <w:webHidden/>
                <w:sz w:val="24"/>
                <w:szCs w:val="24"/>
              </w:rPr>
              <w:fldChar w:fldCharType="end"/>
            </w:r>
          </w:hyperlink>
        </w:p>
        <w:p w14:paraId="75149392" w14:textId="77777777" w:rsidR="00C171A5" w:rsidRPr="00C171A5" w:rsidRDefault="00000000">
          <w:pPr>
            <w:pStyle w:val="TOC2"/>
            <w:tabs>
              <w:tab w:val="right" w:pos="9019"/>
            </w:tabs>
            <w:rPr>
              <w:rFonts w:ascii="Times New Roman" w:eastAsiaTheme="minorEastAsia" w:hAnsi="Times New Roman" w:cs="Times New Roman"/>
              <w:noProof/>
              <w:sz w:val="24"/>
              <w:szCs w:val="24"/>
            </w:rPr>
          </w:pPr>
          <w:hyperlink w:anchor="_Toc161267061" w:history="1">
            <w:r w:rsidR="00C171A5" w:rsidRPr="00C171A5">
              <w:rPr>
                <w:rStyle w:val="Hyperlink"/>
                <w:rFonts w:ascii="Times New Roman" w:hAnsi="Times New Roman" w:cs="Times New Roman"/>
                <w:noProof/>
                <w:sz w:val="24"/>
                <w:szCs w:val="24"/>
              </w:rPr>
              <w:t>Presentation of the case study</w:t>
            </w:r>
            <w:r w:rsidR="00C171A5" w:rsidRPr="00C171A5">
              <w:rPr>
                <w:rFonts w:ascii="Times New Roman" w:hAnsi="Times New Roman" w:cs="Times New Roman"/>
                <w:noProof/>
                <w:webHidden/>
                <w:sz w:val="24"/>
                <w:szCs w:val="24"/>
              </w:rPr>
              <w:tab/>
            </w:r>
            <w:r w:rsidR="00C171A5" w:rsidRPr="00C171A5">
              <w:rPr>
                <w:rFonts w:ascii="Times New Roman" w:hAnsi="Times New Roman" w:cs="Times New Roman"/>
                <w:noProof/>
                <w:webHidden/>
                <w:sz w:val="24"/>
                <w:szCs w:val="24"/>
              </w:rPr>
              <w:fldChar w:fldCharType="begin"/>
            </w:r>
            <w:r w:rsidR="00C171A5" w:rsidRPr="00C171A5">
              <w:rPr>
                <w:rFonts w:ascii="Times New Roman" w:hAnsi="Times New Roman" w:cs="Times New Roman"/>
                <w:noProof/>
                <w:webHidden/>
                <w:sz w:val="24"/>
                <w:szCs w:val="24"/>
              </w:rPr>
              <w:instrText xml:space="preserve"> PAGEREF _Toc161267061 \h </w:instrText>
            </w:r>
            <w:r w:rsidR="00C171A5" w:rsidRPr="00C171A5">
              <w:rPr>
                <w:rFonts w:ascii="Times New Roman" w:hAnsi="Times New Roman" w:cs="Times New Roman"/>
                <w:noProof/>
                <w:webHidden/>
                <w:sz w:val="24"/>
                <w:szCs w:val="24"/>
              </w:rPr>
            </w:r>
            <w:r w:rsidR="00C171A5" w:rsidRPr="00C171A5">
              <w:rPr>
                <w:rFonts w:ascii="Times New Roman" w:hAnsi="Times New Roman" w:cs="Times New Roman"/>
                <w:noProof/>
                <w:webHidden/>
                <w:sz w:val="24"/>
                <w:szCs w:val="24"/>
              </w:rPr>
              <w:fldChar w:fldCharType="separate"/>
            </w:r>
            <w:r w:rsidR="00C171A5" w:rsidRPr="00C171A5">
              <w:rPr>
                <w:rFonts w:ascii="Times New Roman" w:hAnsi="Times New Roman" w:cs="Times New Roman"/>
                <w:noProof/>
                <w:webHidden/>
                <w:sz w:val="24"/>
                <w:szCs w:val="24"/>
              </w:rPr>
              <w:t>3</w:t>
            </w:r>
            <w:r w:rsidR="00C171A5" w:rsidRPr="00C171A5">
              <w:rPr>
                <w:rFonts w:ascii="Times New Roman" w:hAnsi="Times New Roman" w:cs="Times New Roman"/>
                <w:noProof/>
                <w:webHidden/>
                <w:sz w:val="24"/>
                <w:szCs w:val="24"/>
              </w:rPr>
              <w:fldChar w:fldCharType="end"/>
            </w:r>
          </w:hyperlink>
        </w:p>
        <w:p w14:paraId="316E3968" w14:textId="77777777" w:rsidR="00C171A5" w:rsidRPr="00C171A5" w:rsidRDefault="00000000">
          <w:pPr>
            <w:pStyle w:val="TOC2"/>
            <w:tabs>
              <w:tab w:val="right" w:pos="9019"/>
            </w:tabs>
            <w:rPr>
              <w:rFonts w:ascii="Times New Roman" w:eastAsiaTheme="minorEastAsia" w:hAnsi="Times New Roman" w:cs="Times New Roman"/>
              <w:noProof/>
              <w:sz w:val="24"/>
              <w:szCs w:val="24"/>
            </w:rPr>
          </w:pPr>
          <w:hyperlink w:anchor="_Toc161267062" w:history="1">
            <w:r w:rsidR="00C171A5" w:rsidRPr="00C171A5">
              <w:rPr>
                <w:rStyle w:val="Hyperlink"/>
                <w:rFonts w:ascii="Times New Roman" w:hAnsi="Times New Roman" w:cs="Times New Roman"/>
                <w:noProof/>
                <w:sz w:val="24"/>
                <w:szCs w:val="24"/>
              </w:rPr>
              <w:t>Health and social care needs of the individual</w:t>
            </w:r>
            <w:r w:rsidR="00C171A5" w:rsidRPr="00C171A5">
              <w:rPr>
                <w:rFonts w:ascii="Times New Roman" w:hAnsi="Times New Roman" w:cs="Times New Roman"/>
                <w:noProof/>
                <w:webHidden/>
                <w:sz w:val="24"/>
                <w:szCs w:val="24"/>
              </w:rPr>
              <w:tab/>
            </w:r>
            <w:r w:rsidR="00C171A5" w:rsidRPr="00C171A5">
              <w:rPr>
                <w:rFonts w:ascii="Times New Roman" w:hAnsi="Times New Roman" w:cs="Times New Roman"/>
                <w:noProof/>
                <w:webHidden/>
                <w:sz w:val="24"/>
                <w:szCs w:val="24"/>
              </w:rPr>
              <w:fldChar w:fldCharType="begin"/>
            </w:r>
            <w:r w:rsidR="00C171A5" w:rsidRPr="00C171A5">
              <w:rPr>
                <w:rFonts w:ascii="Times New Roman" w:hAnsi="Times New Roman" w:cs="Times New Roman"/>
                <w:noProof/>
                <w:webHidden/>
                <w:sz w:val="24"/>
                <w:szCs w:val="24"/>
              </w:rPr>
              <w:instrText xml:space="preserve"> PAGEREF _Toc161267062 \h </w:instrText>
            </w:r>
            <w:r w:rsidR="00C171A5" w:rsidRPr="00C171A5">
              <w:rPr>
                <w:rFonts w:ascii="Times New Roman" w:hAnsi="Times New Roman" w:cs="Times New Roman"/>
                <w:noProof/>
                <w:webHidden/>
                <w:sz w:val="24"/>
                <w:szCs w:val="24"/>
              </w:rPr>
            </w:r>
            <w:r w:rsidR="00C171A5" w:rsidRPr="00C171A5">
              <w:rPr>
                <w:rFonts w:ascii="Times New Roman" w:hAnsi="Times New Roman" w:cs="Times New Roman"/>
                <w:noProof/>
                <w:webHidden/>
                <w:sz w:val="24"/>
                <w:szCs w:val="24"/>
              </w:rPr>
              <w:fldChar w:fldCharType="separate"/>
            </w:r>
            <w:r w:rsidR="00C171A5" w:rsidRPr="00C171A5">
              <w:rPr>
                <w:rFonts w:ascii="Times New Roman" w:hAnsi="Times New Roman" w:cs="Times New Roman"/>
                <w:noProof/>
                <w:webHidden/>
                <w:sz w:val="24"/>
                <w:szCs w:val="24"/>
              </w:rPr>
              <w:t>4</w:t>
            </w:r>
            <w:r w:rsidR="00C171A5" w:rsidRPr="00C171A5">
              <w:rPr>
                <w:rFonts w:ascii="Times New Roman" w:hAnsi="Times New Roman" w:cs="Times New Roman"/>
                <w:noProof/>
                <w:webHidden/>
                <w:sz w:val="24"/>
                <w:szCs w:val="24"/>
              </w:rPr>
              <w:fldChar w:fldCharType="end"/>
            </w:r>
          </w:hyperlink>
        </w:p>
        <w:p w14:paraId="6C9D1DE0" w14:textId="77777777" w:rsidR="00C171A5" w:rsidRPr="00C171A5" w:rsidRDefault="00000000">
          <w:pPr>
            <w:pStyle w:val="TOC2"/>
            <w:tabs>
              <w:tab w:val="right" w:pos="9019"/>
            </w:tabs>
            <w:rPr>
              <w:rFonts w:ascii="Times New Roman" w:eastAsiaTheme="minorEastAsia" w:hAnsi="Times New Roman" w:cs="Times New Roman"/>
              <w:noProof/>
              <w:sz w:val="24"/>
              <w:szCs w:val="24"/>
            </w:rPr>
          </w:pPr>
          <w:hyperlink w:anchor="_Toc161267063" w:history="1">
            <w:r w:rsidR="00C171A5" w:rsidRPr="00C171A5">
              <w:rPr>
                <w:rStyle w:val="Hyperlink"/>
                <w:rFonts w:ascii="Times New Roman" w:hAnsi="Times New Roman" w:cs="Times New Roman"/>
                <w:noProof/>
                <w:sz w:val="24"/>
                <w:szCs w:val="24"/>
              </w:rPr>
              <w:t>Relevant support and intervention needs of individual</w:t>
            </w:r>
            <w:r w:rsidR="00C171A5" w:rsidRPr="00C171A5">
              <w:rPr>
                <w:rFonts w:ascii="Times New Roman" w:hAnsi="Times New Roman" w:cs="Times New Roman"/>
                <w:noProof/>
                <w:webHidden/>
                <w:sz w:val="24"/>
                <w:szCs w:val="24"/>
              </w:rPr>
              <w:tab/>
            </w:r>
            <w:r w:rsidR="00C171A5" w:rsidRPr="00C171A5">
              <w:rPr>
                <w:rFonts w:ascii="Times New Roman" w:hAnsi="Times New Roman" w:cs="Times New Roman"/>
                <w:noProof/>
                <w:webHidden/>
                <w:sz w:val="24"/>
                <w:szCs w:val="24"/>
              </w:rPr>
              <w:fldChar w:fldCharType="begin"/>
            </w:r>
            <w:r w:rsidR="00C171A5" w:rsidRPr="00C171A5">
              <w:rPr>
                <w:rFonts w:ascii="Times New Roman" w:hAnsi="Times New Roman" w:cs="Times New Roman"/>
                <w:noProof/>
                <w:webHidden/>
                <w:sz w:val="24"/>
                <w:szCs w:val="24"/>
              </w:rPr>
              <w:instrText xml:space="preserve"> PAGEREF _Toc161267063 \h </w:instrText>
            </w:r>
            <w:r w:rsidR="00C171A5" w:rsidRPr="00C171A5">
              <w:rPr>
                <w:rFonts w:ascii="Times New Roman" w:hAnsi="Times New Roman" w:cs="Times New Roman"/>
                <w:noProof/>
                <w:webHidden/>
                <w:sz w:val="24"/>
                <w:szCs w:val="24"/>
              </w:rPr>
            </w:r>
            <w:r w:rsidR="00C171A5" w:rsidRPr="00C171A5">
              <w:rPr>
                <w:rFonts w:ascii="Times New Roman" w:hAnsi="Times New Roman" w:cs="Times New Roman"/>
                <w:noProof/>
                <w:webHidden/>
                <w:sz w:val="24"/>
                <w:szCs w:val="24"/>
              </w:rPr>
              <w:fldChar w:fldCharType="separate"/>
            </w:r>
            <w:r w:rsidR="00C171A5" w:rsidRPr="00C171A5">
              <w:rPr>
                <w:rFonts w:ascii="Times New Roman" w:hAnsi="Times New Roman" w:cs="Times New Roman"/>
                <w:noProof/>
                <w:webHidden/>
                <w:sz w:val="24"/>
                <w:szCs w:val="24"/>
              </w:rPr>
              <w:t>5</w:t>
            </w:r>
            <w:r w:rsidR="00C171A5" w:rsidRPr="00C171A5">
              <w:rPr>
                <w:rFonts w:ascii="Times New Roman" w:hAnsi="Times New Roman" w:cs="Times New Roman"/>
                <w:noProof/>
                <w:webHidden/>
                <w:sz w:val="24"/>
                <w:szCs w:val="24"/>
              </w:rPr>
              <w:fldChar w:fldCharType="end"/>
            </w:r>
          </w:hyperlink>
        </w:p>
        <w:p w14:paraId="62900512" w14:textId="77777777" w:rsidR="00C171A5" w:rsidRPr="00C171A5" w:rsidRDefault="00000000">
          <w:pPr>
            <w:pStyle w:val="TOC2"/>
            <w:tabs>
              <w:tab w:val="right" w:pos="9019"/>
            </w:tabs>
            <w:rPr>
              <w:rFonts w:ascii="Times New Roman" w:eastAsiaTheme="minorEastAsia" w:hAnsi="Times New Roman" w:cs="Times New Roman"/>
              <w:noProof/>
              <w:sz w:val="24"/>
              <w:szCs w:val="24"/>
            </w:rPr>
          </w:pPr>
          <w:hyperlink w:anchor="_Toc161267064" w:history="1">
            <w:r w:rsidR="00C171A5" w:rsidRPr="00C171A5">
              <w:rPr>
                <w:rStyle w:val="Hyperlink"/>
                <w:rFonts w:ascii="Times New Roman" w:hAnsi="Times New Roman" w:cs="Times New Roman"/>
                <w:noProof/>
                <w:sz w:val="24"/>
                <w:szCs w:val="24"/>
              </w:rPr>
              <w:t>Policy and legislation</w:t>
            </w:r>
            <w:r w:rsidR="00C171A5" w:rsidRPr="00C171A5">
              <w:rPr>
                <w:rFonts w:ascii="Times New Roman" w:hAnsi="Times New Roman" w:cs="Times New Roman"/>
                <w:noProof/>
                <w:webHidden/>
                <w:sz w:val="24"/>
                <w:szCs w:val="24"/>
              </w:rPr>
              <w:tab/>
            </w:r>
            <w:r w:rsidR="00C171A5" w:rsidRPr="00C171A5">
              <w:rPr>
                <w:rFonts w:ascii="Times New Roman" w:hAnsi="Times New Roman" w:cs="Times New Roman"/>
                <w:noProof/>
                <w:webHidden/>
                <w:sz w:val="24"/>
                <w:szCs w:val="24"/>
              </w:rPr>
              <w:fldChar w:fldCharType="begin"/>
            </w:r>
            <w:r w:rsidR="00C171A5" w:rsidRPr="00C171A5">
              <w:rPr>
                <w:rFonts w:ascii="Times New Roman" w:hAnsi="Times New Roman" w:cs="Times New Roman"/>
                <w:noProof/>
                <w:webHidden/>
                <w:sz w:val="24"/>
                <w:szCs w:val="24"/>
              </w:rPr>
              <w:instrText xml:space="preserve"> PAGEREF _Toc161267064 \h </w:instrText>
            </w:r>
            <w:r w:rsidR="00C171A5" w:rsidRPr="00C171A5">
              <w:rPr>
                <w:rFonts w:ascii="Times New Roman" w:hAnsi="Times New Roman" w:cs="Times New Roman"/>
                <w:noProof/>
                <w:webHidden/>
                <w:sz w:val="24"/>
                <w:szCs w:val="24"/>
              </w:rPr>
            </w:r>
            <w:r w:rsidR="00C171A5" w:rsidRPr="00C171A5">
              <w:rPr>
                <w:rFonts w:ascii="Times New Roman" w:hAnsi="Times New Roman" w:cs="Times New Roman"/>
                <w:noProof/>
                <w:webHidden/>
                <w:sz w:val="24"/>
                <w:szCs w:val="24"/>
              </w:rPr>
              <w:fldChar w:fldCharType="separate"/>
            </w:r>
            <w:r w:rsidR="00C171A5" w:rsidRPr="00C171A5">
              <w:rPr>
                <w:rFonts w:ascii="Times New Roman" w:hAnsi="Times New Roman" w:cs="Times New Roman"/>
                <w:noProof/>
                <w:webHidden/>
                <w:sz w:val="24"/>
                <w:szCs w:val="24"/>
              </w:rPr>
              <w:t>6</w:t>
            </w:r>
            <w:r w:rsidR="00C171A5" w:rsidRPr="00C171A5">
              <w:rPr>
                <w:rFonts w:ascii="Times New Roman" w:hAnsi="Times New Roman" w:cs="Times New Roman"/>
                <w:noProof/>
                <w:webHidden/>
                <w:sz w:val="24"/>
                <w:szCs w:val="24"/>
              </w:rPr>
              <w:fldChar w:fldCharType="end"/>
            </w:r>
          </w:hyperlink>
        </w:p>
        <w:p w14:paraId="4A1F768E" w14:textId="77777777" w:rsidR="00C171A5" w:rsidRPr="00C171A5" w:rsidRDefault="00000000">
          <w:pPr>
            <w:pStyle w:val="TOC2"/>
            <w:tabs>
              <w:tab w:val="right" w:pos="9019"/>
            </w:tabs>
            <w:rPr>
              <w:rFonts w:ascii="Times New Roman" w:eastAsiaTheme="minorEastAsia" w:hAnsi="Times New Roman" w:cs="Times New Roman"/>
              <w:noProof/>
              <w:sz w:val="24"/>
              <w:szCs w:val="24"/>
            </w:rPr>
          </w:pPr>
          <w:hyperlink w:anchor="_Toc161267065" w:history="1">
            <w:r w:rsidR="00C171A5" w:rsidRPr="00C171A5">
              <w:rPr>
                <w:rStyle w:val="Hyperlink"/>
                <w:rFonts w:ascii="Times New Roman" w:hAnsi="Times New Roman" w:cs="Times New Roman"/>
                <w:noProof/>
                <w:sz w:val="24"/>
                <w:szCs w:val="24"/>
              </w:rPr>
              <w:t>Theoretical implications</w:t>
            </w:r>
            <w:r w:rsidR="00C171A5" w:rsidRPr="00C171A5">
              <w:rPr>
                <w:rFonts w:ascii="Times New Roman" w:hAnsi="Times New Roman" w:cs="Times New Roman"/>
                <w:noProof/>
                <w:webHidden/>
                <w:sz w:val="24"/>
                <w:szCs w:val="24"/>
              </w:rPr>
              <w:tab/>
            </w:r>
            <w:r w:rsidR="00C171A5" w:rsidRPr="00C171A5">
              <w:rPr>
                <w:rFonts w:ascii="Times New Roman" w:hAnsi="Times New Roman" w:cs="Times New Roman"/>
                <w:noProof/>
                <w:webHidden/>
                <w:sz w:val="24"/>
                <w:szCs w:val="24"/>
              </w:rPr>
              <w:fldChar w:fldCharType="begin"/>
            </w:r>
            <w:r w:rsidR="00C171A5" w:rsidRPr="00C171A5">
              <w:rPr>
                <w:rFonts w:ascii="Times New Roman" w:hAnsi="Times New Roman" w:cs="Times New Roman"/>
                <w:noProof/>
                <w:webHidden/>
                <w:sz w:val="24"/>
                <w:szCs w:val="24"/>
              </w:rPr>
              <w:instrText xml:space="preserve"> PAGEREF _Toc161267065 \h </w:instrText>
            </w:r>
            <w:r w:rsidR="00C171A5" w:rsidRPr="00C171A5">
              <w:rPr>
                <w:rFonts w:ascii="Times New Roman" w:hAnsi="Times New Roman" w:cs="Times New Roman"/>
                <w:noProof/>
                <w:webHidden/>
                <w:sz w:val="24"/>
                <w:szCs w:val="24"/>
              </w:rPr>
            </w:r>
            <w:r w:rsidR="00C171A5" w:rsidRPr="00C171A5">
              <w:rPr>
                <w:rFonts w:ascii="Times New Roman" w:hAnsi="Times New Roman" w:cs="Times New Roman"/>
                <w:noProof/>
                <w:webHidden/>
                <w:sz w:val="24"/>
                <w:szCs w:val="24"/>
              </w:rPr>
              <w:fldChar w:fldCharType="separate"/>
            </w:r>
            <w:r w:rsidR="00C171A5" w:rsidRPr="00C171A5">
              <w:rPr>
                <w:rFonts w:ascii="Times New Roman" w:hAnsi="Times New Roman" w:cs="Times New Roman"/>
                <w:noProof/>
                <w:webHidden/>
                <w:sz w:val="24"/>
                <w:szCs w:val="24"/>
              </w:rPr>
              <w:t>7</w:t>
            </w:r>
            <w:r w:rsidR="00C171A5" w:rsidRPr="00C171A5">
              <w:rPr>
                <w:rFonts w:ascii="Times New Roman" w:hAnsi="Times New Roman" w:cs="Times New Roman"/>
                <w:noProof/>
                <w:webHidden/>
                <w:sz w:val="24"/>
                <w:szCs w:val="24"/>
              </w:rPr>
              <w:fldChar w:fldCharType="end"/>
            </w:r>
          </w:hyperlink>
        </w:p>
        <w:p w14:paraId="3413F875" w14:textId="77777777" w:rsidR="00C171A5" w:rsidRPr="00C171A5" w:rsidRDefault="00000000">
          <w:pPr>
            <w:pStyle w:val="TOC1"/>
            <w:tabs>
              <w:tab w:val="right" w:pos="9019"/>
            </w:tabs>
            <w:rPr>
              <w:rFonts w:ascii="Times New Roman" w:eastAsiaTheme="minorEastAsia" w:hAnsi="Times New Roman" w:cs="Times New Roman"/>
              <w:noProof/>
              <w:sz w:val="24"/>
              <w:szCs w:val="24"/>
            </w:rPr>
          </w:pPr>
          <w:hyperlink w:anchor="_Toc161267066" w:history="1">
            <w:r w:rsidR="00C171A5" w:rsidRPr="00C171A5">
              <w:rPr>
                <w:rStyle w:val="Hyperlink"/>
                <w:rFonts w:ascii="Times New Roman" w:hAnsi="Times New Roman" w:cs="Times New Roman"/>
                <w:noProof/>
                <w:sz w:val="24"/>
                <w:szCs w:val="24"/>
              </w:rPr>
              <w:t>Conclusion</w:t>
            </w:r>
            <w:r w:rsidR="00C171A5" w:rsidRPr="00C171A5">
              <w:rPr>
                <w:rFonts w:ascii="Times New Roman" w:hAnsi="Times New Roman" w:cs="Times New Roman"/>
                <w:noProof/>
                <w:webHidden/>
                <w:sz w:val="24"/>
                <w:szCs w:val="24"/>
              </w:rPr>
              <w:tab/>
            </w:r>
            <w:r w:rsidR="00C171A5" w:rsidRPr="00C171A5">
              <w:rPr>
                <w:rFonts w:ascii="Times New Roman" w:hAnsi="Times New Roman" w:cs="Times New Roman"/>
                <w:noProof/>
                <w:webHidden/>
                <w:sz w:val="24"/>
                <w:szCs w:val="24"/>
              </w:rPr>
              <w:fldChar w:fldCharType="begin"/>
            </w:r>
            <w:r w:rsidR="00C171A5" w:rsidRPr="00C171A5">
              <w:rPr>
                <w:rFonts w:ascii="Times New Roman" w:hAnsi="Times New Roman" w:cs="Times New Roman"/>
                <w:noProof/>
                <w:webHidden/>
                <w:sz w:val="24"/>
                <w:szCs w:val="24"/>
              </w:rPr>
              <w:instrText xml:space="preserve"> PAGEREF _Toc161267066 \h </w:instrText>
            </w:r>
            <w:r w:rsidR="00C171A5" w:rsidRPr="00C171A5">
              <w:rPr>
                <w:rFonts w:ascii="Times New Roman" w:hAnsi="Times New Roman" w:cs="Times New Roman"/>
                <w:noProof/>
                <w:webHidden/>
                <w:sz w:val="24"/>
                <w:szCs w:val="24"/>
              </w:rPr>
            </w:r>
            <w:r w:rsidR="00C171A5" w:rsidRPr="00C171A5">
              <w:rPr>
                <w:rFonts w:ascii="Times New Roman" w:hAnsi="Times New Roman" w:cs="Times New Roman"/>
                <w:noProof/>
                <w:webHidden/>
                <w:sz w:val="24"/>
                <w:szCs w:val="24"/>
              </w:rPr>
              <w:fldChar w:fldCharType="separate"/>
            </w:r>
            <w:r w:rsidR="00C171A5" w:rsidRPr="00C171A5">
              <w:rPr>
                <w:rFonts w:ascii="Times New Roman" w:hAnsi="Times New Roman" w:cs="Times New Roman"/>
                <w:noProof/>
                <w:webHidden/>
                <w:sz w:val="24"/>
                <w:szCs w:val="24"/>
              </w:rPr>
              <w:t>8</w:t>
            </w:r>
            <w:r w:rsidR="00C171A5" w:rsidRPr="00C171A5">
              <w:rPr>
                <w:rFonts w:ascii="Times New Roman" w:hAnsi="Times New Roman" w:cs="Times New Roman"/>
                <w:noProof/>
                <w:webHidden/>
                <w:sz w:val="24"/>
                <w:szCs w:val="24"/>
              </w:rPr>
              <w:fldChar w:fldCharType="end"/>
            </w:r>
          </w:hyperlink>
        </w:p>
        <w:p w14:paraId="7D2F764B" w14:textId="77777777" w:rsidR="00C171A5" w:rsidRPr="00C171A5" w:rsidRDefault="00000000">
          <w:pPr>
            <w:pStyle w:val="TOC1"/>
            <w:tabs>
              <w:tab w:val="right" w:pos="9019"/>
            </w:tabs>
            <w:rPr>
              <w:rFonts w:ascii="Times New Roman" w:eastAsiaTheme="minorEastAsia" w:hAnsi="Times New Roman" w:cs="Times New Roman"/>
              <w:noProof/>
              <w:sz w:val="24"/>
              <w:szCs w:val="24"/>
            </w:rPr>
          </w:pPr>
          <w:hyperlink w:anchor="_Toc161267067" w:history="1">
            <w:r w:rsidR="00C171A5" w:rsidRPr="00C171A5">
              <w:rPr>
                <w:rStyle w:val="Hyperlink"/>
                <w:rFonts w:ascii="Times New Roman" w:hAnsi="Times New Roman" w:cs="Times New Roman"/>
                <w:noProof/>
                <w:sz w:val="24"/>
                <w:szCs w:val="24"/>
              </w:rPr>
              <w:t>Recommendations</w:t>
            </w:r>
            <w:r w:rsidR="00C171A5" w:rsidRPr="00C171A5">
              <w:rPr>
                <w:rFonts w:ascii="Times New Roman" w:hAnsi="Times New Roman" w:cs="Times New Roman"/>
                <w:noProof/>
                <w:webHidden/>
                <w:sz w:val="24"/>
                <w:szCs w:val="24"/>
              </w:rPr>
              <w:tab/>
            </w:r>
            <w:r w:rsidR="00C171A5" w:rsidRPr="00C171A5">
              <w:rPr>
                <w:rFonts w:ascii="Times New Roman" w:hAnsi="Times New Roman" w:cs="Times New Roman"/>
                <w:noProof/>
                <w:webHidden/>
                <w:sz w:val="24"/>
                <w:szCs w:val="24"/>
              </w:rPr>
              <w:fldChar w:fldCharType="begin"/>
            </w:r>
            <w:r w:rsidR="00C171A5" w:rsidRPr="00C171A5">
              <w:rPr>
                <w:rFonts w:ascii="Times New Roman" w:hAnsi="Times New Roman" w:cs="Times New Roman"/>
                <w:noProof/>
                <w:webHidden/>
                <w:sz w:val="24"/>
                <w:szCs w:val="24"/>
              </w:rPr>
              <w:instrText xml:space="preserve"> PAGEREF _Toc161267067 \h </w:instrText>
            </w:r>
            <w:r w:rsidR="00C171A5" w:rsidRPr="00C171A5">
              <w:rPr>
                <w:rFonts w:ascii="Times New Roman" w:hAnsi="Times New Roman" w:cs="Times New Roman"/>
                <w:noProof/>
                <w:webHidden/>
                <w:sz w:val="24"/>
                <w:szCs w:val="24"/>
              </w:rPr>
            </w:r>
            <w:r w:rsidR="00C171A5" w:rsidRPr="00C171A5">
              <w:rPr>
                <w:rFonts w:ascii="Times New Roman" w:hAnsi="Times New Roman" w:cs="Times New Roman"/>
                <w:noProof/>
                <w:webHidden/>
                <w:sz w:val="24"/>
                <w:szCs w:val="24"/>
              </w:rPr>
              <w:fldChar w:fldCharType="separate"/>
            </w:r>
            <w:r w:rsidR="00C171A5" w:rsidRPr="00C171A5">
              <w:rPr>
                <w:rFonts w:ascii="Times New Roman" w:hAnsi="Times New Roman" w:cs="Times New Roman"/>
                <w:noProof/>
                <w:webHidden/>
                <w:sz w:val="24"/>
                <w:szCs w:val="24"/>
              </w:rPr>
              <w:t>9</w:t>
            </w:r>
            <w:r w:rsidR="00C171A5" w:rsidRPr="00C171A5">
              <w:rPr>
                <w:rFonts w:ascii="Times New Roman" w:hAnsi="Times New Roman" w:cs="Times New Roman"/>
                <w:noProof/>
                <w:webHidden/>
                <w:sz w:val="24"/>
                <w:szCs w:val="24"/>
              </w:rPr>
              <w:fldChar w:fldCharType="end"/>
            </w:r>
          </w:hyperlink>
        </w:p>
        <w:p w14:paraId="20DA1AA0" w14:textId="77777777" w:rsidR="00C171A5" w:rsidRPr="00C171A5" w:rsidRDefault="00000000">
          <w:pPr>
            <w:pStyle w:val="TOC1"/>
            <w:tabs>
              <w:tab w:val="right" w:pos="9019"/>
            </w:tabs>
            <w:rPr>
              <w:rFonts w:ascii="Times New Roman" w:eastAsiaTheme="minorEastAsia" w:hAnsi="Times New Roman" w:cs="Times New Roman"/>
              <w:noProof/>
              <w:sz w:val="24"/>
              <w:szCs w:val="24"/>
            </w:rPr>
          </w:pPr>
          <w:hyperlink w:anchor="_Toc161267068" w:history="1">
            <w:r w:rsidR="00C171A5" w:rsidRPr="00C171A5">
              <w:rPr>
                <w:rStyle w:val="Hyperlink"/>
                <w:rFonts w:ascii="Times New Roman" w:hAnsi="Times New Roman" w:cs="Times New Roman"/>
                <w:noProof/>
                <w:sz w:val="24"/>
                <w:szCs w:val="24"/>
              </w:rPr>
              <w:t>Reference list</w:t>
            </w:r>
            <w:r w:rsidR="00C171A5" w:rsidRPr="00C171A5">
              <w:rPr>
                <w:rFonts w:ascii="Times New Roman" w:hAnsi="Times New Roman" w:cs="Times New Roman"/>
                <w:noProof/>
                <w:webHidden/>
                <w:sz w:val="24"/>
                <w:szCs w:val="24"/>
              </w:rPr>
              <w:tab/>
            </w:r>
            <w:r w:rsidR="00C171A5" w:rsidRPr="00C171A5">
              <w:rPr>
                <w:rFonts w:ascii="Times New Roman" w:hAnsi="Times New Roman" w:cs="Times New Roman"/>
                <w:noProof/>
                <w:webHidden/>
                <w:sz w:val="24"/>
                <w:szCs w:val="24"/>
              </w:rPr>
              <w:fldChar w:fldCharType="begin"/>
            </w:r>
            <w:r w:rsidR="00C171A5" w:rsidRPr="00C171A5">
              <w:rPr>
                <w:rFonts w:ascii="Times New Roman" w:hAnsi="Times New Roman" w:cs="Times New Roman"/>
                <w:noProof/>
                <w:webHidden/>
                <w:sz w:val="24"/>
                <w:szCs w:val="24"/>
              </w:rPr>
              <w:instrText xml:space="preserve"> PAGEREF _Toc161267068 \h </w:instrText>
            </w:r>
            <w:r w:rsidR="00C171A5" w:rsidRPr="00C171A5">
              <w:rPr>
                <w:rFonts w:ascii="Times New Roman" w:hAnsi="Times New Roman" w:cs="Times New Roman"/>
                <w:noProof/>
                <w:webHidden/>
                <w:sz w:val="24"/>
                <w:szCs w:val="24"/>
              </w:rPr>
            </w:r>
            <w:r w:rsidR="00C171A5" w:rsidRPr="00C171A5">
              <w:rPr>
                <w:rFonts w:ascii="Times New Roman" w:hAnsi="Times New Roman" w:cs="Times New Roman"/>
                <w:noProof/>
                <w:webHidden/>
                <w:sz w:val="24"/>
                <w:szCs w:val="24"/>
              </w:rPr>
              <w:fldChar w:fldCharType="separate"/>
            </w:r>
            <w:r w:rsidR="00C171A5" w:rsidRPr="00C171A5">
              <w:rPr>
                <w:rFonts w:ascii="Times New Roman" w:hAnsi="Times New Roman" w:cs="Times New Roman"/>
                <w:noProof/>
                <w:webHidden/>
                <w:sz w:val="24"/>
                <w:szCs w:val="24"/>
              </w:rPr>
              <w:t>10</w:t>
            </w:r>
            <w:r w:rsidR="00C171A5" w:rsidRPr="00C171A5">
              <w:rPr>
                <w:rFonts w:ascii="Times New Roman" w:hAnsi="Times New Roman" w:cs="Times New Roman"/>
                <w:noProof/>
                <w:webHidden/>
                <w:sz w:val="24"/>
                <w:szCs w:val="24"/>
              </w:rPr>
              <w:fldChar w:fldCharType="end"/>
            </w:r>
          </w:hyperlink>
        </w:p>
        <w:p w14:paraId="00000020" w14:textId="77777777" w:rsidR="00324224" w:rsidRDefault="00CF38CC" w:rsidP="00C171A5">
          <w:pPr>
            <w:widowControl w:val="0"/>
            <w:tabs>
              <w:tab w:val="right" w:pos="12000"/>
            </w:tabs>
            <w:spacing w:before="60" w:line="360" w:lineRule="auto"/>
            <w:rPr>
              <w:rFonts w:ascii="Times New Roman" w:eastAsia="Times New Roman" w:hAnsi="Times New Roman" w:cs="Times New Roman"/>
              <w:b/>
              <w:color w:val="000000"/>
              <w:sz w:val="24"/>
              <w:szCs w:val="24"/>
            </w:rPr>
          </w:pPr>
          <w:r w:rsidRPr="00C171A5">
            <w:rPr>
              <w:rFonts w:ascii="Times New Roman" w:hAnsi="Times New Roman" w:cs="Times New Roman"/>
              <w:sz w:val="24"/>
              <w:szCs w:val="24"/>
            </w:rPr>
            <w:fldChar w:fldCharType="end"/>
          </w:r>
        </w:p>
      </w:sdtContent>
    </w:sdt>
    <w:p w14:paraId="00000021" w14:textId="77777777" w:rsidR="00324224" w:rsidRDefault="00324224" w:rsidP="00C171A5">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highlight w:val="white"/>
        </w:rPr>
      </w:pPr>
    </w:p>
    <w:p w14:paraId="00000022" w14:textId="0EC88DD3" w:rsidR="00324224" w:rsidRDefault="00CF38CC" w:rsidP="00C171A5">
      <w:pPr>
        <w:spacing w:line="360" w:lineRule="auto"/>
        <w:rPr>
          <w:rFonts w:ascii="Times New Roman" w:eastAsia="Times New Roman" w:hAnsi="Times New Roman" w:cs="Times New Roman"/>
          <w:b/>
          <w:color w:val="222222"/>
          <w:sz w:val="24"/>
          <w:szCs w:val="24"/>
          <w:highlight w:val="white"/>
        </w:rPr>
      </w:pPr>
      <w:bookmarkStart w:id="0" w:name="_heading=h.gjdgxs" w:colFirst="0" w:colLast="0"/>
      <w:bookmarkEnd w:id="0"/>
      <w:r>
        <w:br w:type="page"/>
      </w:r>
    </w:p>
    <w:p w14:paraId="00000023" w14:textId="77777777" w:rsidR="00324224" w:rsidRDefault="00CF38CC" w:rsidP="00C171A5">
      <w:pPr>
        <w:pStyle w:val="Heading1"/>
      </w:pPr>
      <w:bookmarkStart w:id="1" w:name="_Toc161267059"/>
      <w:r>
        <w:lastRenderedPageBreak/>
        <w:t>Introduction</w:t>
      </w:r>
      <w:bookmarkEnd w:id="1"/>
      <w:r>
        <w:t xml:space="preserve"> </w:t>
      </w:r>
    </w:p>
    <w:p w14:paraId="00000024" w14:textId="77777777" w:rsidR="00324224" w:rsidRDefault="00CF38CC" w:rsidP="00C171A5">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Within the present report, there will be a clear description of a case study that depicts the health issue of an individual. Thus, the health and social care needs of the individual adopted from the case study will be discussed. Therefore, relevant support, as well as intervention needs of individuals, also will be analysed in the discussion part of the report. Furthermore, policy and legislation that will help to manage relevant support to the patients in the care service area are also analysed. Application of effective theories within the aged care system also will be depicted in this present report along with recommendations to manage the developed delivery of care services to individuals in the future.</w:t>
      </w:r>
    </w:p>
    <w:p w14:paraId="00000025" w14:textId="77777777" w:rsidR="00324224" w:rsidRDefault="00CF38CC" w:rsidP="00C171A5">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Old age is defined as the population from the age group of 60 to 65 or older. Within this context, it can be noted that the UK has an ageing population and the state of the ageing population within this country has become worse. Thus, in the UK approximately 11 million people belong to the age group of 65 and above. The process denoted that among all the people in the UK, approximately 19% of the total population belonged to the aged group (</w:t>
      </w:r>
      <w:r>
        <w:rPr>
          <w:rFonts w:ascii="Times New Roman" w:eastAsia="Times New Roman" w:hAnsi="Times New Roman" w:cs="Times New Roman"/>
          <w:color w:val="000000"/>
          <w:sz w:val="24"/>
          <w:szCs w:val="24"/>
        </w:rPr>
        <w:t>Ageing-better, 2024)</w:t>
      </w:r>
      <w:r>
        <w:rPr>
          <w:rFonts w:ascii="Times New Roman" w:eastAsia="Times New Roman" w:hAnsi="Times New Roman" w:cs="Times New Roman"/>
          <w:color w:val="222222"/>
          <w:sz w:val="24"/>
          <w:szCs w:val="24"/>
          <w:highlight w:val="white"/>
        </w:rPr>
        <w:t xml:space="preserve">. </w:t>
      </w:r>
    </w:p>
    <w:p w14:paraId="00000026" w14:textId="77777777" w:rsidR="00324224" w:rsidRDefault="00CF38CC" w:rsidP="00C171A5">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There are several reasons that are causing the growth of the ageing population within the UK. In that case, it can be mentioned that within this country there is the presence of m focal advancements and the adoption of developed technologies in care services plays a significant role in improving healthcare support to people. It also involves the mainstreaming of technology-enabled care that sustains communities or aged people to get improved clinical treatment. The process resulted in the increasing rates of the aged population by increasing their mortality rate through developed healthcare services (</w:t>
      </w:r>
      <w:r>
        <w:rPr>
          <w:rFonts w:ascii="Times New Roman" w:eastAsia="Times New Roman" w:hAnsi="Times New Roman" w:cs="Times New Roman"/>
          <w:color w:val="000000"/>
          <w:sz w:val="24"/>
          <w:szCs w:val="24"/>
        </w:rPr>
        <w:t>Assets.publishing, 2024)</w:t>
      </w:r>
      <w:r>
        <w:rPr>
          <w:rFonts w:ascii="Times New Roman" w:eastAsia="Times New Roman" w:hAnsi="Times New Roman" w:cs="Times New Roman"/>
          <w:color w:val="222222"/>
          <w:sz w:val="24"/>
          <w:szCs w:val="24"/>
          <w:highlight w:val="white"/>
        </w:rPr>
        <w:t xml:space="preserve">. </w:t>
      </w:r>
    </w:p>
    <w:p w14:paraId="00000027" w14:textId="77777777" w:rsidR="00324224" w:rsidRDefault="00CF38CC" w:rsidP="00C171A5">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Therefore, the availability of changes in social and environmental areas also delivers potential support to the growing number of ageing populations in the UK. In that regard, it can be added that governments and communities in the UK are offering adequate resources for older adults and that helps in managing the prevalence of chronic disease and disabilities. Therefore, patterns or the ways of family functions are also changed in this nation. It created an effective impact on the growing population of aged people (</w:t>
      </w:r>
      <w:r>
        <w:rPr>
          <w:rFonts w:ascii="Times New Roman" w:eastAsia="Times New Roman" w:hAnsi="Times New Roman" w:cs="Times New Roman"/>
          <w:color w:val="000000"/>
          <w:sz w:val="24"/>
          <w:szCs w:val="24"/>
        </w:rPr>
        <w:t>Parliament.uk, 2024)</w:t>
      </w:r>
      <w:r>
        <w:rPr>
          <w:rFonts w:ascii="Times New Roman" w:eastAsia="Times New Roman" w:hAnsi="Times New Roman" w:cs="Times New Roman"/>
          <w:color w:val="222222"/>
          <w:sz w:val="24"/>
          <w:szCs w:val="24"/>
          <w:highlight w:val="white"/>
        </w:rPr>
        <w:t xml:space="preserve">. </w:t>
      </w:r>
    </w:p>
    <w:p w14:paraId="00000028" w14:textId="77777777" w:rsidR="00324224" w:rsidRDefault="00CF38CC" w:rsidP="00C171A5">
      <w:pPr>
        <w:pStyle w:val="Heading1"/>
      </w:pPr>
      <w:bookmarkStart w:id="2" w:name="_Toc161267060"/>
      <w:r>
        <w:t>Main body</w:t>
      </w:r>
      <w:bookmarkEnd w:id="2"/>
      <w:r>
        <w:t xml:space="preserve"> </w:t>
      </w:r>
    </w:p>
    <w:p w14:paraId="00000029" w14:textId="77777777" w:rsidR="00324224" w:rsidRDefault="00CF38CC" w:rsidP="00C171A5">
      <w:pPr>
        <w:pStyle w:val="Heading2"/>
      </w:pPr>
      <w:bookmarkStart w:id="3" w:name="_Toc161267061"/>
      <w:r>
        <w:t>Presentation of the case study</w:t>
      </w:r>
      <w:bookmarkEnd w:id="3"/>
      <w:r>
        <w:t xml:space="preserve"> </w:t>
      </w:r>
    </w:p>
    <w:p w14:paraId="0000002A" w14:textId="77777777" w:rsidR="00324224" w:rsidRDefault="00CF38CC" w:rsidP="00C171A5">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Berner is 81 years old and he lives within the residential care in the nursing provisions. In that case, it can be added that Berner is suffering from Type 1 diabetes and vascular dementia.  Based on the analysis of the case study of Berner it is encountered that his family pays approximately £345 per week for residential care and currently, it increases up to approximately £850 per week to offer residential care to the individual for managing his health </w:t>
      </w:r>
      <w:r>
        <w:rPr>
          <w:rFonts w:ascii="Times New Roman" w:eastAsia="Times New Roman" w:hAnsi="Times New Roman" w:cs="Times New Roman"/>
          <w:color w:val="222222"/>
          <w:sz w:val="24"/>
          <w:szCs w:val="24"/>
          <w:highlight w:val="white"/>
        </w:rPr>
        <w:lastRenderedPageBreak/>
        <w:t xml:space="preserve">requirements. Currently within the residential care setting the 73-year-old wife of Bernard finds it difficult to see other people are caring for her husband. Thus, in the current case, the individual or the patient experiencing some medical changes and his wife is not able to manage those issues alone. There is the presence of several incidents related to the health issue of dementia of Bernard like deactivating door locks, removing wiring, no payment within the local pub, and climbing ladders. </w:t>
      </w:r>
    </w:p>
    <w:p w14:paraId="0000002B" w14:textId="77777777" w:rsidR="00324224" w:rsidRDefault="00CF38CC" w:rsidP="00C171A5">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Yes, the individual is at risk of the health worsening. </w:t>
      </w:r>
    </w:p>
    <w:p w14:paraId="0000002C" w14:textId="77777777" w:rsidR="00324224" w:rsidRDefault="00CF38CC" w:rsidP="00C171A5">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Analysis of the case study clearly stated that Bernard along with his wife is facing issues related to his physical surroundings and financial situation. It affected the overall residential care of individuals and affected overall health conditions from a negative perspective.</w:t>
      </w:r>
    </w:p>
    <w:p w14:paraId="0000002D" w14:textId="77777777" w:rsidR="00324224" w:rsidRDefault="00CF38CC" w:rsidP="00C171A5">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No, they are not experiencing issues due to COVID-19. </w:t>
      </w:r>
    </w:p>
    <w:p w14:paraId="0000002E" w14:textId="77777777" w:rsidR="00324224" w:rsidRDefault="00CF38CC" w:rsidP="00C171A5">
      <w:pPr>
        <w:pStyle w:val="Heading2"/>
      </w:pPr>
      <w:bookmarkStart w:id="4" w:name="_Toc161267062"/>
      <w:r>
        <w:t>Health and social care needs of the individual</w:t>
      </w:r>
      <w:bookmarkEnd w:id="4"/>
    </w:p>
    <w:p w14:paraId="0000002F" w14:textId="77777777" w:rsidR="00324224" w:rsidRDefault="00CF38CC" w:rsidP="00C171A5">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Considering the case study of Bernard it can be said that he has the need for medical care. In that regard, it can be noted that the delivery of effective medical care to the individual delivers scope for the recovery from the issues that have been experienced due to Type 1 diabetes and dementia.   </w:t>
      </w:r>
    </w:p>
    <w:p w14:paraId="00000030" w14:textId="77777777" w:rsidR="00324224" w:rsidRDefault="00CF38CC" w:rsidP="00C171A5">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Yes, Bernard's wife has a mental health issue as she is not comfortable in seeing other people take care of her husband. It created a mental conflict for that person. For this, the addressing process of that particular mental conflict to that individual is required. Through the identification of the addressing process of that need, the delivery of effective support or care services can be offered to the individual and it must help to recover that condition in a proper way. On the other hand, it can be added that Bernard has mental health issues as he is suffering from vascular dementia. It denoted that this particular mental health issue of the individual needs proper addressing. It helps in the application of proper medication to that person for the recovery of various issues that are associated with dementia. Not only that but the addressing of that issue also must support the family members of the individual to manage effective behaviour in front of Bernard to improve his mental health conditions. </w:t>
      </w:r>
    </w:p>
    <w:p w14:paraId="00000031" w14:textId="77777777" w:rsidR="00324224" w:rsidRDefault="00CF38CC" w:rsidP="00C171A5">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Yes, Bernad has personal care needs as in the present context he has experienced medical challenges. For this, the individual cannot manage multidisciplinary meetings with social workers, medical consultants, and GPs. Based on the delivery of personal care needs to Bernard and his wife the daily life operations such as washing and dressing must be performed in an effective format. Within this respect, it can be added that delivery of personal care needs to those individuals offers support to them for managing their well-being. It also helps in the reduction of risks related to infection and other health issues (Swinkels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2022). </w:t>
      </w:r>
    </w:p>
    <w:p w14:paraId="00000032" w14:textId="77777777" w:rsidR="00324224" w:rsidRDefault="00CF38CC" w:rsidP="00C171A5">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Yes, Bernard along with his wife needs help with mobility. Within this regard, it can be mentioned that the availability of help with mobility creates scope for those individuals to manage their daily life operations in a successful format. Therefore, it also supports them in managing their regular exercises. The process leads to the maintenance of physical as well as mental health of people (Bernabei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 Furthermore, the availability of mobility care within the residential care setting of Bernard also helps in the maintenance of proper supervision of self-care tasks of individuals. The process leads to the identification of the health as well as care needs of individuals and supports them to lead more dignified lives. </w:t>
      </w:r>
    </w:p>
    <w:p w14:paraId="00000033" w14:textId="77777777" w:rsidR="00324224" w:rsidRDefault="00CF38CC" w:rsidP="00C171A5">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Yes, both Bernard and his wife have social needs for effective support and care from all of their family members, and that needs addressing. Thus, individuals need continuous engagement and support from their peers. It helps them to recover their health based on the maintenance of proper mental health. Not only that but the living process of individuals with all the family members must help in the reduction of mental conflicts and leads to a healthy as well as happy lifestyle. </w:t>
      </w:r>
    </w:p>
    <w:p w14:paraId="00000034" w14:textId="77777777" w:rsidR="00324224" w:rsidRDefault="00CF38CC" w:rsidP="00C171A5">
      <w:pPr>
        <w:pStyle w:val="Heading2"/>
      </w:pPr>
      <w:bookmarkStart w:id="5" w:name="_Toc161267063"/>
      <w:r>
        <w:t>Relevant support and intervention needs of individual</w:t>
      </w:r>
      <w:bookmarkEnd w:id="5"/>
    </w:p>
    <w:p w14:paraId="00000035" w14:textId="77777777" w:rsidR="00324224" w:rsidRDefault="00CF38CC" w:rsidP="00C171A5">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Analysing the case study of Bernard it can be said that the individual needs domiciliary care for the maintenance of daily life operations in a proper format. On this note, it can be mentioned that domiciliary care is encountered as one of the most effective care services in which a developed range of services are put in place to support an individual in their own home (Bellafante</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2023). Delivery of this type of care is necessary to the individual as it delivers scope to Bernard to live with his family members at home. The process leads to the fostering of mental well-being and also improved physical independence in an extended time. </w:t>
      </w:r>
    </w:p>
    <w:p w14:paraId="00000036" w14:textId="77777777" w:rsidR="00324224" w:rsidRDefault="00CF38CC" w:rsidP="00C171A5">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Yes, advocacy offers benefits to the individual as through the adoption of advocacy the individual gets support from others. It helps to express views and wishes in front of others. Not only that but also delivers support to continue daily life operations with success without facing any barriers (Abbasinia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 In that case, it can be added that through advocacy Bernard gets support or help from a person to deal with several health challenges in daily operations. </w:t>
      </w:r>
    </w:p>
    <w:p w14:paraId="00000037" w14:textId="77777777" w:rsidR="00324224" w:rsidRDefault="00CF38CC" w:rsidP="00C171A5">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Yes, the support would be person-centred as it must help to offer effective support services to the individual based on considering health issues. Thus, the maintenance of this particular approach also would help to meet the health needs of Bernard and must lead to the betterment of his health conditions. </w:t>
      </w:r>
    </w:p>
    <w:p w14:paraId="00000038" w14:textId="77777777" w:rsidR="00324224" w:rsidRDefault="00CF38CC" w:rsidP="00C171A5">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Based on the condition of Mr. Bernard, it can be stated that he is going through a very rough situation. There are multiple types of health services available for him. According to the case study of Mr Barnnerd, he is suffering from vascular dementia. A person suffering from this </w:t>
      </w:r>
      <w:r>
        <w:rPr>
          <w:rFonts w:ascii="Times New Roman" w:eastAsia="Times New Roman" w:hAnsi="Times New Roman" w:cs="Times New Roman"/>
          <w:color w:val="0E101A"/>
          <w:sz w:val="24"/>
          <w:szCs w:val="24"/>
          <w:highlight w:val="white"/>
        </w:rPr>
        <w:lastRenderedPageBreak/>
        <w:t xml:space="preserve">issue, usually finds it quite difficult in activities like reasoning, judgement, reasoning and memory (Dementia, 2024). The case study clearly indicates that the social worker is providing services in the hospital and occupational therapists are supporting Bernard and his wife in their home. With an arrangement of a multidisciplinary team of Bernard’s social worker, GP and medical consultant, it has been decided that Mr Bernard is not able to live in his home due to his medical challenges. Considering these medical activities related to Mr Bernard, it can be stated that Mr Bernard is receiving person-centred care properly. All the support that Mr Bernard received till now has mostly been person-centred. Based on this aspect, it can be stated that Mr Bernard is receiving proper medical and health-related services. Hence, it can be concluded that there is no gap between the need and availability of HSC provision. </w:t>
      </w:r>
    </w:p>
    <w:p w14:paraId="00000039" w14:textId="77777777" w:rsidR="00324224" w:rsidRDefault="00CF38CC" w:rsidP="00C171A5">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Throughout the services, it has been noticed that Mr Bernard has not been using any kind of technology in his activity. An improved use of technology can certainly help Mr Bernard in improving his activity effectively. With the support of technology, a person suffering from vascular dementia can have multiple benefits (Pappadà </w:t>
      </w:r>
      <w:r>
        <w:rPr>
          <w:rFonts w:ascii="Times New Roman" w:eastAsia="Times New Roman" w:hAnsi="Times New Roman" w:cs="Times New Roman"/>
          <w:i/>
          <w:color w:val="0E101A"/>
          <w:sz w:val="24"/>
          <w:szCs w:val="24"/>
          <w:highlight w:val="white"/>
        </w:rPr>
        <w:t xml:space="preserve">et al. </w:t>
      </w:r>
      <w:r>
        <w:rPr>
          <w:rFonts w:ascii="Times New Roman" w:eastAsia="Times New Roman" w:hAnsi="Times New Roman" w:cs="Times New Roman"/>
          <w:color w:val="0E101A"/>
          <w:sz w:val="24"/>
          <w:szCs w:val="24"/>
          <w:highlight w:val="white"/>
        </w:rPr>
        <w:t xml:space="preserve">2021). Some of the best uses of technology in this situation would be memory aids and tools, safety, social involvement, improvement of functions, relieving caregiver burden, medication management and many more. AI is one of the most revolutionary technologies in the modern world (Allen, 2020). If the activities of the modern world are seen, it can be noticed that AI has been aiding society in multiple ways. With the support of AI, people are gaining multiple types of advantages and medical assistance is no exception in this case. AI can be helpful in multiple ways such as boosting memories and events in one’s life. It can also be helpful in monitoring the activities of the patient effectively. </w:t>
      </w:r>
    </w:p>
    <w:p w14:paraId="0000003A" w14:textId="77777777" w:rsidR="00324224" w:rsidRDefault="00CF38CC" w:rsidP="00C171A5">
      <w:pPr>
        <w:pStyle w:val="Heading2"/>
      </w:pPr>
      <w:bookmarkStart w:id="6" w:name="_Toc161267064"/>
      <w:r>
        <w:t>Policy and legislation</w:t>
      </w:r>
      <w:bookmarkEnd w:id="6"/>
    </w:p>
    <w:p w14:paraId="0000003B" w14:textId="77777777" w:rsidR="00324224" w:rsidRDefault="00CF38CC" w:rsidP="00C171A5">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There are multiple laws and legislation related to dementia. With the support of this law or legislation, it becomes easy for a patient to have the support of healthcare assistance. The Care Act 2014 is legislation, introduced by the UK Government in order to take care of multiple aspects related to the healthcare process. The Care Act 2014 comes with the consideration of the way care and support in England must be provided to adults (Robinson </w:t>
      </w:r>
      <w:r>
        <w:rPr>
          <w:rFonts w:ascii="Times New Roman" w:eastAsia="Times New Roman" w:hAnsi="Times New Roman" w:cs="Times New Roman"/>
          <w:i/>
          <w:color w:val="0E101A"/>
          <w:sz w:val="24"/>
          <w:szCs w:val="24"/>
          <w:highlight w:val="white"/>
        </w:rPr>
        <w:t xml:space="preserve">et al. </w:t>
      </w:r>
      <w:r>
        <w:rPr>
          <w:rFonts w:ascii="Times New Roman" w:eastAsia="Times New Roman" w:hAnsi="Times New Roman" w:cs="Times New Roman"/>
          <w:color w:val="0E101A"/>
          <w:sz w:val="24"/>
          <w:szCs w:val="24"/>
          <w:highlight w:val="white"/>
        </w:rPr>
        <w:t xml:space="preserve">2022). There are certain factors that come under the Care Act; such as the promotion of the well-being of an individual, prevention of the need for support and care, promotion of the integration of support and care with health-related services, providing advice and information, promotion of the quality and diversity in service provision, assessment of the needs and requirement of people and making decision the way it can be met, safeguarding adults and planning support and care and review of the plans (BCP, 2024). With the support of these activities, the UK Government </w:t>
      </w:r>
      <w:r>
        <w:rPr>
          <w:rFonts w:ascii="Times New Roman" w:eastAsia="Times New Roman" w:hAnsi="Times New Roman" w:cs="Times New Roman"/>
          <w:color w:val="0E101A"/>
          <w:sz w:val="24"/>
          <w:szCs w:val="24"/>
          <w:highlight w:val="white"/>
        </w:rPr>
        <w:lastRenderedPageBreak/>
        <w:t xml:space="preserve">makes sure that an individual is receiving proper care services. There are some latest editions including carers' rights and entitlements in this act. Advocates come under these changes. </w:t>
      </w:r>
    </w:p>
    <w:p w14:paraId="0000003C" w14:textId="77777777" w:rsidR="00324224" w:rsidRDefault="00CF38CC" w:rsidP="00C171A5">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Mental Capacity Act 2005 is another legislation that was introduced for people suffering from mental illness (Aspinwall‐Roberts </w:t>
      </w:r>
      <w:r>
        <w:rPr>
          <w:rFonts w:ascii="Times New Roman" w:eastAsia="Times New Roman" w:hAnsi="Times New Roman" w:cs="Times New Roman"/>
          <w:i/>
          <w:color w:val="0E101A"/>
          <w:sz w:val="24"/>
          <w:szCs w:val="24"/>
          <w:highlight w:val="white"/>
        </w:rPr>
        <w:t xml:space="preserve">et al. </w:t>
      </w:r>
      <w:r>
        <w:rPr>
          <w:rFonts w:ascii="Times New Roman" w:eastAsia="Times New Roman" w:hAnsi="Times New Roman" w:cs="Times New Roman"/>
          <w:color w:val="0E101A"/>
          <w:sz w:val="24"/>
          <w:szCs w:val="24"/>
          <w:highlight w:val="white"/>
        </w:rPr>
        <w:t xml:space="preserve">2022). The Mental Capacity Act 2005 gives a statutory framework in order to protect and empower certain vulnerable people who are incapable of making any decisions related to their well-being. The Mental Capacity Act helps people plan ahead for a period of time if they lose mental capacity. </w:t>
      </w:r>
    </w:p>
    <w:p w14:paraId="0000003D" w14:textId="77777777" w:rsidR="00324224" w:rsidRDefault="00CF38CC" w:rsidP="00C171A5">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The complete act is underpinned with the support of five principles and they are least restrictive intervention, best interest, right to make advice or eccentric decisions, the right for individuals to make their decisions and a presumption capacity.</w:t>
      </w:r>
    </w:p>
    <w:p w14:paraId="0000003E" w14:textId="77777777" w:rsidR="00324224" w:rsidRDefault="00CF38CC" w:rsidP="00C171A5">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According to the Mental Capacity Act 2005, an individual or an adult has the right to make their own choices (Legislation.gov.uk, 2024). People must also be provided with all the necessary support and help before the assumption that they are not capable enough to make their own decisions. It further says that each individual must have the right to make unwise or eccentric decisions. </w:t>
      </w:r>
    </w:p>
    <w:p w14:paraId="0000003F" w14:textId="77777777" w:rsidR="00324224" w:rsidRDefault="00CF38CC" w:rsidP="00C171A5">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With the support of this act people suffering from mental illness can have or receive best practices and common law principles. With the support of this act, 2 new public bodies can be enabled in order to support the statutory framework. They are a new public guardian and a new court of protection. </w:t>
      </w:r>
    </w:p>
    <w:p w14:paraId="00000040" w14:textId="77777777" w:rsidR="00324224" w:rsidRDefault="00CF38CC" w:rsidP="00C171A5">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Hence it can be stated that Mr Bernard may take support of this act in order to receive better care services and support in his person-centred care.</w:t>
      </w:r>
    </w:p>
    <w:p w14:paraId="00000041" w14:textId="77777777" w:rsidR="00324224" w:rsidRDefault="00CF38CC" w:rsidP="00C171A5">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Human Rights Act 1998 is a law introduced by the UK government to protect the fundamental rights and freedoms of the people in the UK. The stated legislation was started to be maintained from October 2000 (EHRC, 2024). The concerned act comes with three main effects and they are seeking justice in a British court. Any public body must respect an individual’s rights and the compatibility of new laws with conventional rights. According to the Government of the UK, all these three elements are necessary in this act. The Human Rights Act also comes with multiple articles and protocols. With the support of this legislation, an individual is provided with all types of fundamental rights and freedom. The stated law incorporates the rights of the European Convention on Human Rights in the domestic law of Britain. Considering this factor of the Human Rights Act, it can be stated that Mr Bernard will be able to have his fundamental rights and freedom while taking medical and health-related support and services. With the support of this legislation, no decisions will be made without his permission and willingness. </w:t>
      </w:r>
    </w:p>
    <w:p w14:paraId="00000042" w14:textId="77777777" w:rsidR="00324224" w:rsidRDefault="00CF38CC" w:rsidP="00C171A5">
      <w:pPr>
        <w:pStyle w:val="Heading2"/>
        <w:keepNext w:val="0"/>
        <w:keepLines w:val="0"/>
        <w:ind w:left="720" w:hanging="360"/>
        <w:rPr>
          <w:color w:val="0E101A"/>
        </w:rPr>
      </w:pPr>
      <w:bookmarkStart w:id="7" w:name="_heading=h.iyd31b2jct3s" w:colFirst="0" w:colLast="0"/>
      <w:bookmarkStart w:id="8" w:name="_Toc161267065"/>
      <w:bookmarkEnd w:id="7"/>
      <w:r>
        <w:rPr>
          <w:color w:val="0E101A"/>
        </w:rPr>
        <w:t>Theoretical implications</w:t>
      </w:r>
      <w:bookmarkEnd w:id="8"/>
    </w:p>
    <w:p w14:paraId="00000043" w14:textId="77777777" w:rsidR="00324224" w:rsidRDefault="00CF38CC" w:rsidP="00C171A5">
      <w:pPr>
        <w:spacing w:line="360" w:lineRule="auto"/>
        <w:jc w:val="both"/>
        <w:rPr>
          <w:rFonts w:ascii="Times New Roman" w:eastAsia="Times New Roman" w:hAnsi="Times New Roman" w:cs="Times New Roman"/>
          <w:b/>
          <w:color w:val="0E101A"/>
          <w:sz w:val="24"/>
          <w:szCs w:val="24"/>
          <w:highlight w:val="white"/>
        </w:rPr>
      </w:pPr>
      <w:r>
        <w:rPr>
          <w:rFonts w:ascii="Times New Roman" w:eastAsia="Times New Roman" w:hAnsi="Times New Roman" w:cs="Times New Roman"/>
          <w:b/>
          <w:color w:val="0E101A"/>
          <w:sz w:val="24"/>
          <w:szCs w:val="24"/>
          <w:highlight w:val="white"/>
        </w:rPr>
        <w:lastRenderedPageBreak/>
        <w:t>Disengagement theory</w:t>
      </w:r>
    </w:p>
    <w:p w14:paraId="00000044" w14:textId="77777777" w:rsidR="00324224" w:rsidRDefault="00CF38CC" w:rsidP="00C171A5">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This disengagement theory was first introduced by a social scientist named Elaine Cumming in 1960 (Marshall and Clarke, 2024). This social psychological theory States that human beings gradually disengage from their social life as they start to grow old. It further assumes that individuals become involved from their middle age. This factor produces a normal and natural role in social activities and roles. It is a process of thinking out from the numbers of the social participants withdrawing from the social interactions and having a separate life. </w:t>
      </w:r>
    </w:p>
    <w:p w14:paraId="00000045" w14:textId="77777777" w:rsidR="00324224" w:rsidRDefault="00CF38CC" w:rsidP="00C171A5">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Based on the perception of this theory, it can be stated that Mr Bernard is also leading this disengaged life as he has grown old. There are multiple reasons behind this approach. One of the main reasons behind this mentality of older people is their slowing down physical capabilities in society. It is not only about physical capabilities but also about mental stability and emotional engagement. </w:t>
      </w:r>
    </w:p>
    <w:p w14:paraId="00000046" w14:textId="77777777" w:rsidR="00324224" w:rsidRDefault="00CF38CC" w:rsidP="00C171A5">
      <w:pPr>
        <w:spacing w:line="360" w:lineRule="auto"/>
        <w:jc w:val="both"/>
        <w:rPr>
          <w:rFonts w:ascii="Times New Roman" w:eastAsia="Times New Roman" w:hAnsi="Times New Roman" w:cs="Times New Roman"/>
          <w:b/>
          <w:color w:val="0E101A"/>
          <w:sz w:val="24"/>
          <w:szCs w:val="24"/>
          <w:highlight w:val="white"/>
        </w:rPr>
      </w:pPr>
      <w:r>
        <w:rPr>
          <w:rFonts w:ascii="Times New Roman" w:eastAsia="Times New Roman" w:hAnsi="Times New Roman" w:cs="Times New Roman"/>
          <w:b/>
          <w:color w:val="0E101A"/>
          <w:sz w:val="24"/>
          <w:szCs w:val="24"/>
          <w:highlight w:val="white"/>
        </w:rPr>
        <w:t>The activity theory</w:t>
      </w:r>
    </w:p>
    <w:p w14:paraId="00000047" w14:textId="77777777" w:rsidR="00324224" w:rsidRDefault="00CF38CC" w:rsidP="00C171A5">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The activity theory, on the other hand, is a psychological theory that focuses on ageing and comes with the suggestion that older people can have more positive responses if they maintain themselves in leading an active life. The proposal of this theory is quite simple. The activity theory is mainly based on the perception that if people use their physical activities for the well-being of their health they will be able to develop their sense. The activity theory can also be termed as an umbrella phone for multiple social science researches and theories. The concern theory was first introduced by Robert J. Hevighurst in 1961 (Libretexts, 2020). Based on the perception of this theory, it can be stated that if Mr Bernard had led an active life, he could have avoided the physical and mental issues he is facing right now. Activity theory reflects the idea of a functionalist perception that describes equilibrium. According to this perception, if an individual develops into middle age, he/she could maintain his/her health for a longer time. </w:t>
      </w:r>
    </w:p>
    <w:p w14:paraId="00000048" w14:textId="77777777" w:rsidR="00324224" w:rsidRDefault="00CF38CC" w:rsidP="00C171A5">
      <w:pPr>
        <w:pStyle w:val="Heading1"/>
        <w:keepNext w:val="0"/>
        <w:keepLines w:val="0"/>
        <w:ind w:left="720" w:hanging="360"/>
        <w:rPr>
          <w:color w:val="0E101A"/>
        </w:rPr>
      </w:pPr>
      <w:bookmarkStart w:id="9" w:name="_heading=h.x3hkhyb31tri" w:colFirst="0" w:colLast="0"/>
      <w:bookmarkStart w:id="10" w:name="_Toc161267066"/>
      <w:bookmarkEnd w:id="9"/>
      <w:r>
        <w:rPr>
          <w:color w:val="0E101A"/>
        </w:rPr>
        <w:t>Conclusion</w:t>
      </w:r>
      <w:bookmarkEnd w:id="10"/>
    </w:p>
    <w:p w14:paraId="00000049" w14:textId="77777777" w:rsidR="00324224" w:rsidRDefault="00CF38CC" w:rsidP="00C171A5">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Based on the above discussion, it can be stated that health-related issues among the old aged people are growing in the UK. People above the age group of 65 are suffering as they are not capable enough to take care of their physical, mental and emotional wellbeing. Considering this factor, the UK Government has introduced multiple laws and legislation to take care of the elderly in the UK. There are multiple health-related services available in the UK. The above discussion has clearly mentioned all the relevant health and social care services available for an old individual, Mr Bernard. The study has also evaluated the way a multidisciplinary approach has been formed to provide a person-centred care service to Mr Bernard. Based on the Activity Theory, it can be stated that an old individual can lead a healthy life if he starts to </w:t>
      </w:r>
      <w:r>
        <w:rPr>
          <w:rFonts w:ascii="Times New Roman" w:eastAsia="Times New Roman" w:hAnsi="Times New Roman" w:cs="Times New Roman"/>
          <w:color w:val="0E101A"/>
          <w:sz w:val="24"/>
          <w:szCs w:val="24"/>
          <w:highlight w:val="white"/>
        </w:rPr>
        <w:lastRenderedPageBreak/>
        <w:t xml:space="preserve">lead an active life. The Disengagement theory, on the other hand, suggests the way elderly people cannot function anymore as they grow old. </w:t>
      </w:r>
    </w:p>
    <w:p w14:paraId="0000004A" w14:textId="77777777" w:rsidR="00324224" w:rsidRDefault="00CF38CC" w:rsidP="00C171A5">
      <w:pPr>
        <w:pStyle w:val="Heading1"/>
        <w:keepNext w:val="0"/>
        <w:keepLines w:val="0"/>
        <w:ind w:left="720" w:hanging="360"/>
        <w:rPr>
          <w:color w:val="0E101A"/>
        </w:rPr>
      </w:pPr>
      <w:bookmarkStart w:id="11" w:name="_heading=h.r260pcs0g4rc" w:colFirst="0" w:colLast="0"/>
      <w:bookmarkStart w:id="12" w:name="_Toc161267067"/>
      <w:bookmarkEnd w:id="11"/>
      <w:r>
        <w:rPr>
          <w:color w:val="0E101A"/>
        </w:rPr>
        <w:t>Recommendations</w:t>
      </w:r>
      <w:bookmarkEnd w:id="12"/>
    </w:p>
    <w:p w14:paraId="0000004B" w14:textId="77777777" w:rsidR="00324224" w:rsidRDefault="00CF38CC" w:rsidP="00C171A5">
      <w:pPr>
        <w:spacing w:line="36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color w:val="0E101A"/>
          <w:sz w:val="24"/>
          <w:szCs w:val="24"/>
          <w:highlight w:val="white"/>
        </w:rPr>
        <w:t xml:space="preserve">Based on the above discussion, below are some recommendations for taking care of elderly people: </w:t>
      </w:r>
    </w:p>
    <w:p w14:paraId="0000004C" w14:textId="77777777" w:rsidR="00324224" w:rsidRDefault="00CF38CC" w:rsidP="00C171A5">
      <w:pPr>
        <w:numPr>
          <w:ilvl w:val="0"/>
          <w:numId w:val="2"/>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color w:val="0E101A"/>
          <w:sz w:val="24"/>
          <w:szCs w:val="24"/>
          <w:highlight w:val="white"/>
        </w:rPr>
        <w:t xml:space="preserve">Although the government of the UK has introduced multiple laws and legislation for the well-being of elderly people, certain laws that mention family engagement in taking care of elderly people must be introduced. </w:t>
      </w:r>
    </w:p>
    <w:p w14:paraId="0000004D" w14:textId="77777777" w:rsidR="00324224" w:rsidRDefault="00CF38CC" w:rsidP="00C171A5">
      <w:pPr>
        <w:numPr>
          <w:ilvl w:val="0"/>
          <w:numId w:val="2"/>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color w:val="0E101A"/>
          <w:sz w:val="24"/>
          <w:szCs w:val="24"/>
          <w:highlight w:val="white"/>
        </w:rPr>
        <w:t xml:space="preserve">Health or social care service providers must come up with an idea to provide a platform to engage elderly people in physical activities in order to avoid potential health issues in future. </w:t>
      </w:r>
    </w:p>
    <w:p w14:paraId="0000004F" w14:textId="0032CAF1" w:rsidR="00324224" w:rsidRPr="00911890" w:rsidRDefault="00CF38CC" w:rsidP="00911890">
      <w:pPr>
        <w:numPr>
          <w:ilvl w:val="0"/>
          <w:numId w:val="2"/>
        </w:num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color w:val="0E101A"/>
          <w:sz w:val="24"/>
          <w:szCs w:val="24"/>
          <w:highlight w:val="white"/>
        </w:rPr>
        <w:t xml:space="preserve">Based on the case study, it has been seen that Mr Bernard was not provided with any kind of technology-based support. In this case, the support of modern technology like AI would have helped a person suffering from dementia in remembering essential activities. This activity would have helped that individual to be self-dependent as well. </w:t>
      </w:r>
    </w:p>
    <w:p w14:paraId="00000050" w14:textId="77777777" w:rsidR="00324224" w:rsidRDefault="00CF38CC" w:rsidP="00C171A5">
      <w:pPr>
        <w:spacing w:line="360" w:lineRule="auto"/>
        <w:rPr>
          <w:rFonts w:ascii="Times New Roman" w:eastAsia="Times New Roman" w:hAnsi="Times New Roman" w:cs="Times New Roman"/>
          <w:b/>
          <w:color w:val="222222"/>
          <w:sz w:val="24"/>
          <w:szCs w:val="24"/>
          <w:highlight w:val="white"/>
        </w:rPr>
      </w:pPr>
      <w:bookmarkStart w:id="13" w:name="_heading=h.tyjcwt" w:colFirst="0" w:colLast="0"/>
      <w:bookmarkEnd w:id="13"/>
      <w:r>
        <w:br w:type="page"/>
      </w:r>
    </w:p>
    <w:p w14:paraId="00000051" w14:textId="77777777" w:rsidR="00324224" w:rsidRDefault="00CF38CC" w:rsidP="00C171A5">
      <w:pPr>
        <w:pStyle w:val="Heading1"/>
      </w:pPr>
      <w:bookmarkStart w:id="14" w:name="_Toc161267068"/>
      <w:r>
        <w:lastRenderedPageBreak/>
        <w:t>Reference list</w:t>
      </w:r>
      <w:bookmarkEnd w:id="14"/>
    </w:p>
    <w:p w14:paraId="266C0E2C" w14:textId="77777777" w:rsidR="00C171A5" w:rsidRDefault="00C171A5" w:rsidP="00C171A5">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Abbasinia, M., Ahmadi, F. and Kazemnejad, A., (2020). Patient advocacy in nursing: A concept analysis. </w:t>
      </w:r>
      <w:r>
        <w:rPr>
          <w:rFonts w:ascii="Times New Roman" w:eastAsia="Times New Roman" w:hAnsi="Times New Roman" w:cs="Times New Roman"/>
          <w:i/>
          <w:color w:val="222222"/>
          <w:sz w:val="24"/>
          <w:szCs w:val="24"/>
          <w:highlight w:val="white"/>
        </w:rPr>
        <w:t>Nursing ethics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(1), pp.141-151.https://journals.sagepub.com/doi/abs/10.1177/0969733019832950</w:t>
      </w:r>
    </w:p>
    <w:p w14:paraId="1A686F8D" w14:textId="77777777" w:rsidR="00C171A5" w:rsidRDefault="00C171A5" w:rsidP="00C171A5">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Ageing-better (2024) </w:t>
      </w:r>
      <w:r>
        <w:rPr>
          <w:rFonts w:ascii="Times New Roman" w:eastAsia="Times New Roman" w:hAnsi="Times New Roman" w:cs="Times New Roman"/>
          <w:i/>
          <w:color w:val="000000"/>
          <w:sz w:val="24"/>
          <w:szCs w:val="24"/>
        </w:rPr>
        <w:t>Summary: The State of Ageing 2022</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Centre for Ageing Better</w:t>
      </w:r>
      <w:r>
        <w:rPr>
          <w:rFonts w:ascii="Times New Roman" w:eastAsia="Times New Roman" w:hAnsi="Times New Roman" w:cs="Times New Roman"/>
          <w:color w:val="000000"/>
          <w:sz w:val="24"/>
          <w:szCs w:val="24"/>
        </w:rPr>
        <w:t xml:space="preserve">. Available at: https://ageing-better.org.uk/summary-state-ageing-2022#:~:text=The%20State%20of%20Ageing%20in,19%25%20of%20the%20total%20population. (Accessed: 13 March 2024). </w:t>
      </w:r>
    </w:p>
    <w:p w14:paraId="338C253A" w14:textId="77777777" w:rsidR="00C171A5" w:rsidRDefault="00C171A5" w:rsidP="00C171A5">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Allen, G., (2020). Understanding AI technology. </w:t>
      </w:r>
      <w:r>
        <w:rPr>
          <w:rFonts w:ascii="Times New Roman" w:eastAsia="Times New Roman" w:hAnsi="Times New Roman" w:cs="Times New Roman"/>
          <w:i/>
          <w:color w:val="222222"/>
          <w:sz w:val="24"/>
          <w:szCs w:val="24"/>
          <w:highlight w:val="white"/>
        </w:rPr>
        <w:t>Joint Artificial Intelligence Center (JAIC) The Pentagon United States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 xml:space="preserve">(1), pp.24-32. </w:t>
      </w:r>
      <w:hyperlink r:id="rId9">
        <w:r>
          <w:rPr>
            <w:rFonts w:ascii="Times New Roman" w:eastAsia="Times New Roman" w:hAnsi="Times New Roman" w:cs="Times New Roman"/>
            <w:color w:val="1155CC"/>
            <w:sz w:val="24"/>
            <w:szCs w:val="24"/>
            <w:highlight w:val="white"/>
            <w:u w:val="single"/>
          </w:rPr>
          <w:t>https://www.ai.mil/docs/Understanding%20AI%20Technology.pdf</w:t>
        </w:r>
      </w:hyperlink>
      <w:r>
        <w:rPr>
          <w:rFonts w:ascii="Times New Roman" w:eastAsia="Times New Roman" w:hAnsi="Times New Roman" w:cs="Times New Roman"/>
          <w:color w:val="222222"/>
          <w:sz w:val="24"/>
          <w:szCs w:val="24"/>
          <w:highlight w:val="white"/>
        </w:rPr>
        <w:t xml:space="preserve"> </w:t>
      </w:r>
    </w:p>
    <w:p w14:paraId="227CF3F8" w14:textId="77777777" w:rsidR="00C171A5" w:rsidRDefault="00C171A5" w:rsidP="00C171A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Aspinwall‐Roberts, E., Fleming, V., Khatri, R. and Jones, P.A., (2022). ‘They don’t want them to have capacity’: Multi‐agency operationalisation of the Mental Capacity Act 2005 in England with adults who self‐neglect. </w:t>
      </w:r>
      <w:r>
        <w:rPr>
          <w:rFonts w:ascii="Times New Roman" w:eastAsia="Times New Roman" w:hAnsi="Times New Roman" w:cs="Times New Roman"/>
          <w:i/>
          <w:color w:val="222222"/>
          <w:sz w:val="24"/>
          <w:szCs w:val="24"/>
          <w:highlight w:val="white"/>
        </w:rPr>
        <w:t>Health &amp; Social Care in the Community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 xml:space="preserve">(6), pp.e4395-e4404. </w:t>
      </w:r>
      <w:hyperlink r:id="rId10">
        <w:r>
          <w:rPr>
            <w:rFonts w:ascii="Times New Roman" w:eastAsia="Times New Roman" w:hAnsi="Times New Roman" w:cs="Times New Roman"/>
            <w:color w:val="1155CC"/>
            <w:sz w:val="24"/>
            <w:szCs w:val="24"/>
            <w:highlight w:val="white"/>
            <w:u w:val="single"/>
          </w:rPr>
          <w:t>https://onlinelibrary.wiley.com/doi/pdf/10.1111/hsc.13839</w:t>
        </w:r>
      </w:hyperlink>
      <w:r>
        <w:rPr>
          <w:rFonts w:ascii="Times New Roman" w:eastAsia="Times New Roman" w:hAnsi="Times New Roman" w:cs="Times New Roman"/>
          <w:color w:val="222222"/>
          <w:sz w:val="24"/>
          <w:szCs w:val="24"/>
          <w:highlight w:val="white"/>
        </w:rPr>
        <w:t xml:space="preserve"> </w:t>
      </w:r>
    </w:p>
    <w:p w14:paraId="2EA83907" w14:textId="77777777" w:rsidR="00C171A5" w:rsidRDefault="00C171A5" w:rsidP="00C171A5">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Assets.publishing (2024) </w:t>
      </w:r>
      <w:r>
        <w:rPr>
          <w:rFonts w:ascii="Times New Roman" w:eastAsia="Times New Roman" w:hAnsi="Times New Roman" w:cs="Times New Roman"/>
          <w:i/>
          <w:color w:val="000000"/>
          <w:sz w:val="24"/>
          <w:szCs w:val="24"/>
        </w:rPr>
        <w:t>Future of an ageing population</w:t>
      </w:r>
      <w:r>
        <w:rPr>
          <w:rFonts w:ascii="Times New Roman" w:eastAsia="Times New Roman" w:hAnsi="Times New Roman" w:cs="Times New Roman"/>
          <w:color w:val="000000"/>
          <w:sz w:val="24"/>
          <w:szCs w:val="24"/>
        </w:rPr>
        <w:t xml:space="preserve">. Available at: https://assets.publishing.service.gov.uk/media/5d273adce5274a5862768ff9/future-of-an-ageing-population.pdf (Accessed: 13 March 2024). </w:t>
      </w:r>
    </w:p>
    <w:p w14:paraId="06A08369" w14:textId="77777777" w:rsidR="00C171A5" w:rsidRDefault="00C171A5" w:rsidP="00C171A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BCP (2024) </w:t>
      </w:r>
      <w:r>
        <w:rPr>
          <w:rFonts w:ascii="Times New Roman" w:eastAsia="Times New Roman" w:hAnsi="Times New Roman" w:cs="Times New Roman"/>
          <w:i/>
          <w:color w:val="222222"/>
          <w:sz w:val="24"/>
          <w:szCs w:val="24"/>
          <w:highlight w:val="white"/>
        </w:rPr>
        <w:t>The Care Act (2014)</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BCP</w:t>
      </w:r>
      <w:r>
        <w:rPr>
          <w:rFonts w:ascii="Times New Roman" w:eastAsia="Times New Roman" w:hAnsi="Times New Roman" w:cs="Times New Roman"/>
          <w:color w:val="222222"/>
          <w:sz w:val="24"/>
          <w:szCs w:val="24"/>
          <w:highlight w:val="white"/>
        </w:rPr>
        <w:t xml:space="preserve">. Available at: https://www.bcpcouncil.gov.uk/adult-social-care-and-health/about-adult-social-care-services/the-care-act-2014#:~:text=The%20Care%20Act%202014%20sets,the%20centre%20of%20the%20process. (Accessed: 13 March 2024). </w:t>
      </w:r>
    </w:p>
    <w:p w14:paraId="56DDF9A8" w14:textId="77777777" w:rsidR="00C171A5" w:rsidRDefault="00C171A5" w:rsidP="00C171A5">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bookmarkStart w:id="15" w:name="_heading=h.3dy6vkm" w:colFirst="0" w:colLast="0"/>
      <w:bookmarkEnd w:id="15"/>
      <w:r>
        <w:rPr>
          <w:rFonts w:ascii="Times New Roman" w:eastAsia="Times New Roman" w:hAnsi="Times New Roman" w:cs="Times New Roman"/>
          <w:color w:val="222222"/>
          <w:sz w:val="24"/>
          <w:szCs w:val="24"/>
          <w:highlight w:val="white"/>
        </w:rPr>
        <w:t xml:space="preserve">Bellafante, D., Gioia, S., Faccioli, J., Riggio, O., Ridola, L. and Nardelli, S., (2023). The Management of Hepatic Encephalopathy from Ward to Domiciliary Care: Current Evidence and Gray Areas. </w:t>
      </w:r>
      <w:r>
        <w:rPr>
          <w:rFonts w:ascii="Times New Roman" w:eastAsia="Times New Roman" w:hAnsi="Times New Roman" w:cs="Times New Roman"/>
          <w:i/>
          <w:color w:val="222222"/>
          <w:sz w:val="24"/>
          <w:szCs w:val="24"/>
          <w:highlight w:val="white"/>
        </w:rPr>
        <w:t>Journal of Clinical Medicine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 xml:space="preserve">(1), p.166. </w:t>
      </w:r>
      <w:hyperlink r:id="rId11">
        <w:r>
          <w:rPr>
            <w:rFonts w:ascii="Times New Roman" w:eastAsia="Times New Roman" w:hAnsi="Times New Roman" w:cs="Times New Roman"/>
            <w:color w:val="1155CC"/>
            <w:sz w:val="24"/>
            <w:szCs w:val="24"/>
            <w:highlight w:val="white"/>
            <w:u w:val="single"/>
          </w:rPr>
          <w:t>https://www.mdpi.com/2077-0383/13/1/166</w:t>
        </w:r>
      </w:hyperlink>
    </w:p>
    <w:p w14:paraId="1CBF89CF" w14:textId="77777777" w:rsidR="00C171A5" w:rsidRDefault="00C171A5" w:rsidP="00C171A5">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bookmarkStart w:id="16" w:name="_heading=h.t92oa3cozbr" w:colFirst="0" w:colLast="0"/>
      <w:bookmarkEnd w:id="16"/>
      <w:r>
        <w:rPr>
          <w:rFonts w:ascii="Times New Roman" w:eastAsia="Times New Roman" w:hAnsi="Times New Roman" w:cs="Times New Roman"/>
          <w:color w:val="222222"/>
          <w:sz w:val="24"/>
          <w:szCs w:val="24"/>
          <w:highlight w:val="white"/>
        </w:rPr>
        <w:t xml:space="preserve">Bernabei, R., Landi, F., Calvani, R., Cesari, M., Del Signore, S., Anker, S.D., Bejuit, R., Bordes, P., Cherubini, A., Cruz-Jentoft, A.J. and Di Bari, M., (2022). Multicomponent </w:t>
      </w:r>
      <w:r>
        <w:rPr>
          <w:rFonts w:ascii="Times New Roman" w:eastAsia="Times New Roman" w:hAnsi="Times New Roman" w:cs="Times New Roman"/>
          <w:color w:val="222222"/>
          <w:sz w:val="24"/>
          <w:szCs w:val="24"/>
          <w:highlight w:val="white"/>
        </w:rPr>
        <w:lastRenderedPageBreak/>
        <w:t xml:space="preserve">intervention to prevent mobility disability in frail older adults: randomised controlled trial (SPRINTT project). </w:t>
      </w:r>
      <w:r>
        <w:rPr>
          <w:rFonts w:ascii="Times New Roman" w:eastAsia="Times New Roman" w:hAnsi="Times New Roman" w:cs="Times New Roman"/>
          <w:i/>
          <w:color w:val="222222"/>
          <w:sz w:val="24"/>
          <w:szCs w:val="24"/>
          <w:highlight w:val="white"/>
        </w:rPr>
        <w:t>Bmj</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377</w:t>
      </w:r>
      <w:r>
        <w:rPr>
          <w:rFonts w:ascii="Times New Roman" w:eastAsia="Times New Roman" w:hAnsi="Times New Roman" w:cs="Times New Roman"/>
          <w:color w:val="222222"/>
          <w:sz w:val="24"/>
          <w:szCs w:val="24"/>
          <w:highlight w:val="white"/>
        </w:rPr>
        <w:t>.https://www.bmj.com/content/377/bmj-2021-068788.short</w:t>
      </w:r>
    </w:p>
    <w:p w14:paraId="7B1693A0" w14:textId="77777777" w:rsidR="00C171A5" w:rsidRDefault="00C171A5" w:rsidP="00C171A5">
      <w:pPr>
        <w:spacing w:before="240" w:after="240" w:line="360" w:lineRule="auto"/>
        <w:jc w:val="both"/>
        <w:rPr>
          <w:rFonts w:ascii="Times New Roman" w:eastAsia="Times New Roman" w:hAnsi="Times New Roman" w:cs="Times New Roman"/>
          <w:color w:val="222222"/>
          <w:sz w:val="24"/>
          <w:szCs w:val="24"/>
          <w:highlight w:val="white"/>
        </w:rPr>
      </w:pPr>
      <w:bookmarkStart w:id="17" w:name="_heading=h.8zpb1savskss" w:colFirst="0" w:colLast="0"/>
      <w:bookmarkEnd w:id="17"/>
      <w:r>
        <w:rPr>
          <w:rFonts w:ascii="Times New Roman" w:eastAsia="Times New Roman" w:hAnsi="Times New Roman" w:cs="Times New Roman"/>
          <w:color w:val="222222"/>
          <w:sz w:val="24"/>
          <w:szCs w:val="24"/>
          <w:highlight w:val="white"/>
        </w:rPr>
        <w:t xml:space="preserve">Dementia (2024) </w:t>
      </w:r>
      <w:r>
        <w:rPr>
          <w:rFonts w:ascii="Times New Roman" w:eastAsia="Times New Roman" w:hAnsi="Times New Roman" w:cs="Times New Roman"/>
          <w:i/>
          <w:color w:val="222222"/>
          <w:sz w:val="24"/>
          <w:szCs w:val="24"/>
          <w:highlight w:val="white"/>
        </w:rPr>
        <w:t>Vascular dementia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Dementia Australia</w:t>
      </w:r>
      <w:r>
        <w:rPr>
          <w:rFonts w:ascii="Times New Roman" w:eastAsia="Times New Roman" w:hAnsi="Times New Roman" w:cs="Times New Roman"/>
          <w:color w:val="222222"/>
          <w:sz w:val="24"/>
          <w:szCs w:val="24"/>
          <w:highlight w:val="white"/>
        </w:rPr>
        <w:t xml:space="preserve">. Available at: https://www.dementia.org.au/about-dementia/types-of-dementia/vascular-dementia#:~:text=Vascular%20dementia%20is%20a%20form%20of%20dementia,interfere%20with%20daily%20social%20or%20work%20functioning. (Accessed: 13 March 2024). </w:t>
      </w:r>
    </w:p>
    <w:p w14:paraId="2C2A61A1" w14:textId="77777777" w:rsidR="00C171A5" w:rsidRDefault="00C171A5" w:rsidP="00C171A5">
      <w:pPr>
        <w:spacing w:before="240" w:after="240" w:line="360" w:lineRule="auto"/>
        <w:jc w:val="both"/>
        <w:rPr>
          <w:rFonts w:ascii="Times New Roman" w:eastAsia="Times New Roman" w:hAnsi="Times New Roman" w:cs="Times New Roman"/>
          <w:color w:val="222222"/>
          <w:sz w:val="24"/>
          <w:szCs w:val="24"/>
          <w:highlight w:val="white"/>
        </w:rPr>
      </w:pPr>
      <w:bookmarkStart w:id="18" w:name="_heading=h.ylvgj4a82bce" w:colFirst="0" w:colLast="0"/>
      <w:bookmarkEnd w:id="18"/>
      <w:r>
        <w:rPr>
          <w:rFonts w:ascii="Times New Roman" w:eastAsia="Times New Roman" w:hAnsi="Times New Roman" w:cs="Times New Roman"/>
          <w:color w:val="222222"/>
          <w:sz w:val="24"/>
          <w:szCs w:val="24"/>
          <w:highlight w:val="white"/>
        </w:rPr>
        <w:t xml:space="preserve">EHRC (2024) </w:t>
      </w:r>
      <w:r>
        <w:rPr>
          <w:rFonts w:ascii="Times New Roman" w:eastAsia="Times New Roman" w:hAnsi="Times New Roman" w:cs="Times New Roman"/>
          <w:i/>
          <w:color w:val="222222"/>
          <w:sz w:val="24"/>
          <w:szCs w:val="24"/>
          <w:highlight w:val="white"/>
        </w:rPr>
        <w:t>The Human Rights Act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The Human Rights Act | EHRC</w:t>
      </w:r>
      <w:r>
        <w:rPr>
          <w:rFonts w:ascii="Times New Roman" w:eastAsia="Times New Roman" w:hAnsi="Times New Roman" w:cs="Times New Roman"/>
          <w:color w:val="222222"/>
          <w:sz w:val="24"/>
          <w:szCs w:val="24"/>
          <w:highlight w:val="white"/>
        </w:rPr>
        <w:t xml:space="preserve">. Available at: https://www.equalityhumanrights.com/human-rights/human-rights-act (Accessed: 13 March 2024). </w:t>
      </w:r>
    </w:p>
    <w:p w14:paraId="70F024BE" w14:textId="77777777" w:rsidR="00C171A5" w:rsidRDefault="00C171A5" w:rsidP="00C171A5">
      <w:pPr>
        <w:spacing w:before="240" w:after="240" w:line="360" w:lineRule="auto"/>
        <w:jc w:val="both"/>
        <w:rPr>
          <w:rFonts w:ascii="Times New Roman" w:eastAsia="Times New Roman" w:hAnsi="Times New Roman" w:cs="Times New Roman"/>
          <w:color w:val="222222"/>
          <w:sz w:val="24"/>
          <w:szCs w:val="24"/>
          <w:highlight w:val="white"/>
        </w:rPr>
      </w:pPr>
      <w:bookmarkStart w:id="19" w:name="_heading=h.6zc2p5fz31xo" w:colFirst="0" w:colLast="0"/>
      <w:bookmarkEnd w:id="19"/>
      <w:r>
        <w:rPr>
          <w:rFonts w:ascii="Times New Roman" w:eastAsia="Times New Roman" w:hAnsi="Times New Roman" w:cs="Times New Roman"/>
          <w:color w:val="222222"/>
          <w:sz w:val="24"/>
          <w:szCs w:val="24"/>
          <w:highlight w:val="white"/>
        </w:rPr>
        <w:t xml:space="preserve">Legislation.gov.uk (2024) </w:t>
      </w:r>
      <w:r>
        <w:rPr>
          <w:rFonts w:ascii="Times New Roman" w:eastAsia="Times New Roman" w:hAnsi="Times New Roman" w:cs="Times New Roman"/>
          <w:i/>
          <w:color w:val="222222"/>
          <w:sz w:val="24"/>
          <w:szCs w:val="24"/>
          <w:highlight w:val="white"/>
        </w:rPr>
        <w:t>Mental capacity act 2005</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Legislation.gov.uk</w:t>
      </w:r>
      <w:r>
        <w:rPr>
          <w:rFonts w:ascii="Times New Roman" w:eastAsia="Times New Roman" w:hAnsi="Times New Roman" w:cs="Times New Roman"/>
          <w:color w:val="222222"/>
          <w:sz w:val="24"/>
          <w:szCs w:val="24"/>
          <w:highlight w:val="white"/>
        </w:rPr>
        <w:t xml:space="preserve">. Available at: https://www.legislation.gov.uk/ukpga/2005/9/section/2#:~:text=(1)For%20the%20purposes%20of,of%2C%20the%20mind%20or%20brain. (Accessed: 13 March 2024). </w:t>
      </w:r>
    </w:p>
    <w:p w14:paraId="47BE8343" w14:textId="77777777" w:rsidR="00C171A5" w:rsidRDefault="00C171A5" w:rsidP="00C171A5">
      <w:pPr>
        <w:spacing w:before="240" w:after="240" w:line="360" w:lineRule="auto"/>
        <w:jc w:val="both"/>
        <w:rPr>
          <w:rFonts w:ascii="Times New Roman" w:eastAsia="Times New Roman" w:hAnsi="Times New Roman" w:cs="Times New Roman"/>
          <w:color w:val="222222"/>
          <w:sz w:val="24"/>
          <w:szCs w:val="24"/>
          <w:highlight w:val="white"/>
        </w:rPr>
      </w:pPr>
      <w:bookmarkStart w:id="20" w:name="_heading=h.z0sfav134031" w:colFirst="0" w:colLast="0"/>
      <w:bookmarkEnd w:id="20"/>
      <w:r>
        <w:rPr>
          <w:rFonts w:ascii="Times New Roman" w:eastAsia="Times New Roman" w:hAnsi="Times New Roman" w:cs="Times New Roman"/>
          <w:color w:val="222222"/>
          <w:sz w:val="24"/>
          <w:szCs w:val="24"/>
          <w:highlight w:val="white"/>
        </w:rPr>
        <w:t xml:space="preserve">Libretexts (2020) </w:t>
      </w:r>
      <w:r>
        <w:rPr>
          <w:rFonts w:ascii="Times New Roman" w:eastAsia="Times New Roman" w:hAnsi="Times New Roman" w:cs="Times New Roman"/>
          <w:i/>
          <w:color w:val="222222"/>
          <w:sz w:val="24"/>
          <w:szCs w:val="24"/>
          <w:highlight w:val="white"/>
        </w:rPr>
        <w:t>18.3b: Activity theory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Social Sci LibreTexts</w:t>
      </w:r>
      <w:r>
        <w:rPr>
          <w:rFonts w:ascii="Times New Roman" w:eastAsia="Times New Roman" w:hAnsi="Times New Roman" w:cs="Times New Roman"/>
          <w:color w:val="222222"/>
          <w:sz w:val="24"/>
          <w:szCs w:val="24"/>
          <w:highlight w:val="white"/>
        </w:rPr>
        <w:t xml:space="preserve">. Available at: https://socialsci.libretexts.org/Bookshelves/Sociology/Introduction_to_Sociology/Sociology_(Boundless)/18%3A_Aging/18.03%3A_The_Functionalist_Perspective_on_Aging/18.3B%3A_Activity_Theory#:~:text=The%20theory%20assumes%20a%20positive%20relationship%20between%20activity%20and%20life%20satisfaction. (Accessed: 13 March 2024). </w:t>
      </w:r>
    </w:p>
    <w:p w14:paraId="72BE6D17" w14:textId="77777777" w:rsidR="00C171A5" w:rsidRDefault="00C171A5" w:rsidP="00C171A5">
      <w:pPr>
        <w:spacing w:before="240" w:after="240" w:line="360" w:lineRule="auto"/>
        <w:jc w:val="both"/>
        <w:rPr>
          <w:rFonts w:ascii="Times New Roman" w:eastAsia="Times New Roman" w:hAnsi="Times New Roman" w:cs="Times New Roman"/>
          <w:color w:val="222222"/>
          <w:sz w:val="24"/>
          <w:szCs w:val="24"/>
          <w:highlight w:val="white"/>
        </w:rPr>
      </w:pPr>
      <w:bookmarkStart w:id="21" w:name="_heading=h.3dx7ajknpd6v" w:colFirst="0" w:colLast="0"/>
      <w:bookmarkEnd w:id="21"/>
      <w:r>
        <w:rPr>
          <w:rFonts w:ascii="Times New Roman" w:eastAsia="Times New Roman" w:hAnsi="Times New Roman" w:cs="Times New Roman"/>
          <w:color w:val="222222"/>
          <w:sz w:val="24"/>
          <w:szCs w:val="24"/>
          <w:highlight w:val="white"/>
        </w:rPr>
        <w:t xml:space="preserve">Marshall, V.W. and Clarke, P.J. (2024) </w:t>
      </w:r>
      <w:r>
        <w:rPr>
          <w:rFonts w:ascii="Times New Roman" w:eastAsia="Times New Roman" w:hAnsi="Times New Roman" w:cs="Times New Roman"/>
          <w:i/>
          <w:color w:val="222222"/>
          <w:sz w:val="24"/>
          <w:szCs w:val="24"/>
          <w:highlight w:val="white"/>
        </w:rPr>
        <w:t>Disengagement theory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Disengagement Theory - an overview | ScienceDirect Topics</w:t>
      </w:r>
      <w:r>
        <w:rPr>
          <w:rFonts w:ascii="Times New Roman" w:eastAsia="Times New Roman" w:hAnsi="Times New Roman" w:cs="Times New Roman"/>
          <w:color w:val="222222"/>
          <w:sz w:val="24"/>
          <w:szCs w:val="24"/>
          <w:highlight w:val="white"/>
        </w:rPr>
        <w:t xml:space="preserve">. Available at: https://www.sciencedirect.com/topics/psychology/disengagement-theory#:~:text=Social%20structural%20change%20is%20defined,Henry%2C%201961%3A%2037). (Accessed: 13 March 2024). </w:t>
      </w:r>
    </w:p>
    <w:p w14:paraId="0E6BFDB3" w14:textId="77777777" w:rsidR="00C171A5" w:rsidRDefault="00C171A5" w:rsidP="00C171A5">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bookmarkStart w:id="22" w:name="_heading=h.bwd20kwnm6np" w:colFirst="0" w:colLast="0"/>
      <w:bookmarkEnd w:id="22"/>
      <w:r>
        <w:rPr>
          <w:rFonts w:ascii="Times New Roman" w:eastAsia="Times New Roman" w:hAnsi="Times New Roman" w:cs="Times New Roman"/>
          <w:color w:val="222222"/>
          <w:sz w:val="24"/>
          <w:szCs w:val="24"/>
          <w:highlight w:val="white"/>
        </w:rPr>
        <w:t xml:space="preserve">Pappadà, A., Chattat, R., Valente, M. and Ottoboni, G., (2021). Assistive technologies in dementia care: an updated analysis of the literature. </w:t>
      </w:r>
      <w:r>
        <w:rPr>
          <w:rFonts w:ascii="Times New Roman" w:eastAsia="Times New Roman" w:hAnsi="Times New Roman" w:cs="Times New Roman"/>
          <w:i/>
          <w:color w:val="222222"/>
          <w:sz w:val="24"/>
          <w:szCs w:val="24"/>
          <w:highlight w:val="white"/>
        </w:rPr>
        <w:t>Frontiers in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xml:space="preserve">, p.644587. </w:t>
      </w:r>
      <w:hyperlink r:id="rId12">
        <w:r>
          <w:rPr>
            <w:rFonts w:ascii="Times New Roman" w:eastAsia="Times New Roman" w:hAnsi="Times New Roman" w:cs="Times New Roman"/>
            <w:color w:val="1155CC"/>
            <w:sz w:val="24"/>
            <w:szCs w:val="24"/>
            <w:highlight w:val="white"/>
            <w:u w:val="single"/>
          </w:rPr>
          <w:t>https://www.frontiersin.org/journals/psychology/articles/10.3389/fpsyg.2021.644587</w:t>
        </w:r>
      </w:hyperlink>
      <w:r>
        <w:rPr>
          <w:rFonts w:ascii="Times New Roman" w:eastAsia="Times New Roman" w:hAnsi="Times New Roman" w:cs="Times New Roman"/>
          <w:color w:val="222222"/>
          <w:sz w:val="24"/>
          <w:szCs w:val="24"/>
          <w:highlight w:val="white"/>
        </w:rPr>
        <w:t xml:space="preserve"> </w:t>
      </w:r>
    </w:p>
    <w:p w14:paraId="5FF076B2" w14:textId="77777777" w:rsidR="00C171A5" w:rsidRDefault="00C171A5" w:rsidP="00C171A5">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bookmarkStart w:id="23" w:name="_heading=h.ie8zkyl813ux" w:colFirst="0" w:colLast="0"/>
      <w:bookmarkEnd w:id="23"/>
      <w:r>
        <w:rPr>
          <w:rFonts w:ascii="Times New Roman" w:eastAsia="Times New Roman" w:hAnsi="Times New Roman" w:cs="Times New Roman"/>
          <w:color w:val="000000"/>
          <w:sz w:val="24"/>
          <w:szCs w:val="24"/>
        </w:rPr>
        <w:t xml:space="preserve">Parliament.uk (2024) </w:t>
      </w:r>
      <w:r>
        <w:rPr>
          <w:rFonts w:ascii="Times New Roman" w:eastAsia="Times New Roman" w:hAnsi="Times New Roman" w:cs="Times New Roman"/>
          <w:i/>
          <w:color w:val="000000"/>
          <w:sz w:val="24"/>
          <w:szCs w:val="24"/>
        </w:rPr>
        <w:t>Challenges of an ageing population - UK parliament</w:t>
      </w:r>
      <w:r>
        <w:rPr>
          <w:rFonts w:ascii="Times New Roman" w:eastAsia="Times New Roman" w:hAnsi="Times New Roman" w:cs="Times New Roman"/>
          <w:color w:val="000000"/>
          <w:sz w:val="24"/>
          <w:szCs w:val="24"/>
        </w:rPr>
        <w:t xml:space="preserve">. Available at: https://www.parliament.uk/business/publications/research/key-issues-parliament-2015/social-change/ageing-population/ (Accessed: 13 March 2024). </w:t>
      </w:r>
    </w:p>
    <w:p w14:paraId="27066D1F" w14:textId="77777777" w:rsidR="00C171A5" w:rsidRDefault="00C171A5" w:rsidP="00C171A5">
      <w:pPr>
        <w:spacing w:before="240" w:after="240" w:line="360" w:lineRule="auto"/>
        <w:jc w:val="both"/>
        <w:rPr>
          <w:rFonts w:ascii="Times New Roman" w:eastAsia="Times New Roman" w:hAnsi="Times New Roman" w:cs="Times New Roman"/>
          <w:color w:val="222222"/>
          <w:sz w:val="24"/>
          <w:szCs w:val="24"/>
          <w:highlight w:val="white"/>
        </w:rPr>
      </w:pPr>
      <w:bookmarkStart w:id="24" w:name="_heading=h.j3qynpigsaa4" w:colFirst="0" w:colLast="0"/>
      <w:bookmarkEnd w:id="24"/>
      <w:r>
        <w:rPr>
          <w:rFonts w:ascii="Times New Roman" w:eastAsia="Times New Roman" w:hAnsi="Times New Roman" w:cs="Times New Roman"/>
          <w:color w:val="222222"/>
          <w:sz w:val="24"/>
          <w:szCs w:val="24"/>
          <w:highlight w:val="white"/>
        </w:rPr>
        <w:lastRenderedPageBreak/>
        <w:t xml:space="preserve">Robinson, L., Tucker, S., Hargreaves, C., Roberts, A., Shaw, J. and Challis, D., (2022). Providing social care following release from prison: Emerging practice arrangements further to the introduction of the 2014 Care Act. </w:t>
      </w:r>
      <w:r>
        <w:rPr>
          <w:rFonts w:ascii="Times New Roman" w:eastAsia="Times New Roman" w:hAnsi="Times New Roman" w:cs="Times New Roman"/>
          <w:i/>
          <w:color w:val="222222"/>
          <w:sz w:val="24"/>
          <w:szCs w:val="24"/>
          <w:highlight w:val="white"/>
        </w:rPr>
        <w:t>The British Journal of Social Work</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52</w:t>
      </w:r>
      <w:r>
        <w:rPr>
          <w:rFonts w:ascii="Times New Roman" w:eastAsia="Times New Roman" w:hAnsi="Times New Roman" w:cs="Times New Roman"/>
          <w:color w:val="222222"/>
          <w:sz w:val="24"/>
          <w:szCs w:val="24"/>
          <w:highlight w:val="white"/>
        </w:rPr>
        <w:t xml:space="preserve">(2), pp.982-1002. </w:t>
      </w:r>
      <w:hyperlink r:id="rId13">
        <w:r>
          <w:rPr>
            <w:rFonts w:ascii="Times New Roman" w:eastAsia="Times New Roman" w:hAnsi="Times New Roman" w:cs="Times New Roman"/>
            <w:color w:val="1155CC"/>
            <w:sz w:val="24"/>
            <w:szCs w:val="24"/>
            <w:highlight w:val="white"/>
            <w:u w:val="single"/>
          </w:rPr>
          <w:t>https://academic.oup.com/bjsw/article-pdf/52/2/982/42950296/bcab082.pdf</w:t>
        </w:r>
      </w:hyperlink>
      <w:r>
        <w:rPr>
          <w:rFonts w:ascii="Times New Roman" w:eastAsia="Times New Roman" w:hAnsi="Times New Roman" w:cs="Times New Roman"/>
          <w:color w:val="222222"/>
          <w:sz w:val="24"/>
          <w:szCs w:val="24"/>
          <w:highlight w:val="white"/>
        </w:rPr>
        <w:t xml:space="preserve"> </w:t>
      </w:r>
    </w:p>
    <w:p w14:paraId="3C950BAA" w14:textId="77777777" w:rsidR="00C171A5" w:rsidRDefault="00C171A5" w:rsidP="00C171A5">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Swinkels, J.C., van Tilburg, T.G. and Broese van Groenou, M., (2022). Why do spouses provide personal care? A study among care‐receiving Dutch community‐dwelling older adults. </w:t>
      </w:r>
      <w:r>
        <w:rPr>
          <w:rFonts w:ascii="Times New Roman" w:eastAsia="Times New Roman" w:hAnsi="Times New Roman" w:cs="Times New Roman"/>
          <w:i/>
          <w:color w:val="222222"/>
          <w:sz w:val="24"/>
          <w:szCs w:val="24"/>
          <w:highlight w:val="white"/>
        </w:rPr>
        <w:t>Health &amp; Social Care in the Community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 xml:space="preserve">(4), pp.e953-e961. </w:t>
      </w:r>
      <w:hyperlink r:id="rId14">
        <w:r>
          <w:rPr>
            <w:rFonts w:ascii="Times New Roman" w:eastAsia="Times New Roman" w:hAnsi="Times New Roman" w:cs="Times New Roman"/>
            <w:color w:val="1155CC"/>
            <w:sz w:val="24"/>
            <w:szCs w:val="24"/>
            <w:highlight w:val="white"/>
            <w:u w:val="single"/>
          </w:rPr>
          <w:t>https://onlinelibrary.wiley.com/doi/abs/10.1111/hsc.13497</w:t>
        </w:r>
      </w:hyperlink>
    </w:p>
    <w:p w14:paraId="00000063" w14:textId="77777777" w:rsidR="00324224" w:rsidRDefault="00324224" w:rsidP="00C171A5">
      <w:pPr>
        <w:pBdr>
          <w:top w:val="nil"/>
          <w:left w:val="nil"/>
          <w:bottom w:val="nil"/>
          <w:right w:val="nil"/>
          <w:between w:val="nil"/>
        </w:pBdr>
        <w:spacing w:line="360" w:lineRule="auto"/>
        <w:jc w:val="both"/>
        <w:rPr>
          <w:rFonts w:ascii="Times New Roman" w:eastAsia="Times New Roman" w:hAnsi="Times New Roman" w:cs="Times New Roman"/>
          <w:b/>
          <w:color w:val="222222"/>
          <w:sz w:val="24"/>
          <w:szCs w:val="24"/>
          <w:highlight w:val="white"/>
        </w:rPr>
      </w:pPr>
    </w:p>
    <w:p w14:paraId="00000064" w14:textId="77777777" w:rsidR="00324224" w:rsidRDefault="00324224" w:rsidP="00C171A5">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sectPr w:rsidR="00324224" w:rsidSect="00243467">
      <w:footerReference w:type="defaul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9A6900" w14:textId="77777777" w:rsidR="00243467" w:rsidRDefault="00243467">
      <w:pPr>
        <w:spacing w:line="240" w:lineRule="auto"/>
      </w:pPr>
      <w:r>
        <w:separator/>
      </w:r>
    </w:p>
  </w:endnote>
  <w:endnote w:type="continuationSeparator" w:id="0">
    <w:p w14:paraId="4038FCF4" w14:textId="77777777" w:rsidR="00243467" w:rsidRDefault="002434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9235824"/>
      <w:docPartObj>
        <w:docPartGallery w:val="Page Numbers (Bottom of Page)"/>
        <w:docPartUnique/>
      </w:docPartObj>
    </w:sdtPr>
    <w:sdtEndPr>
      <w:rPr>
        <w:noProof/>
      </w:rPr>
    </w:sdtEndPr>
    <w:sdtContent>
      <w:p w14:paraId="7FD68518" w14:textId="63B13A19" w:rsidR="00C171A5" w:rsidRDefault="00C171A5">
        <w:pPr>
          <w:pStyle w:val="Footer"/>
          <w:jc w:val="right"/>
        </w:pPr>
        <w:r>
          <w:fldChar w:fldCharType="begin"/>
        </w:r>
        <w:r>
          <w:instrText xml:space="preserve"> PAGE   \* MERGEFORMAT </w:instrText>
        </w:r>
        <w:r>
          <w:fldChar w:fldCharType="separate"/>
        </w:r>
        <w:r w:rsidR="00911890">
          <w:rPr>
            <w:noProof/>
          </w:rPr>
          <w:t>9</w:t>
        </w:r>
        <w:r>
          <w:rPr>
            <w:noProof/>
          </w:rPr>
          <w:fldChar w:fldCharType="end"/>
        </w:r>
      </w:p>
    </w:sdtContent>
  </w:sdt>
  <w:p w14:paraId="00000066" w14:textId="77777777" w:rsidR="00324224" w:rsidRDefault="00324224">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DB0384" w14:textId="77777777" w:rsidR="00243467" w:rsidRDefault="00243467">
      <w:pPr>
        <w:spacing w:line="240" w:lineRule="auto"/>
      </w:pPr>
      <w:r>
        <w:separator/>
      </w:r>
    </w:p>
  </w:footnote>
  <w:footnote w:type="continuationSeparator" w:id="0">
    <w:p w14:paraId="70A36B4A" w14:textId="77777777" w:rsidR="00243467" w:rsidRDefault="0024346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C0EE3"/>
    <w:multiLevelType w:val="multilevel"/>
    <w:tmpl w:val="AF8070B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33412E1"/>
    <w:multiLevelType w:val="multilevel"/>
    <w:tmpl w:val="CAE2E3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8332481">
    <w:abstractNumId w:val="1"/>
  </w:num>
  <w:num w:numId="2" w16cid:durableId="1760101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4224"/>
    <w:rsid w:val="00243467"/>
    <w:rsid w:val="00324224"/>
    <w:rsid w:val="003D0CBF"/>
    <w:rsid w:val="006F65B4"/>
    <w:rsid w:val="00911890"/>
    <w:rsid w:val="00B64CD1"/>
    <w:rsid w:val="00C171A5"/>
    <w:rsid w:val="00CF38CC"/>
    <w:rsid w:val="00D87B84"/>
    <w:rsid w:val="00F004C1"/>
    <w:rsid w:val="00F4300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63E71"/>
  <w15:docId w15:val="{FF572715-D5F5-436C-B06A-7C22D4F62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line="360" w:lineRule="auto"/>
      <w:jc w:val="both"/>
      <w:outlineLvl w:val="0"/>
    </w:pPr>
    <w:rPr>
      <w:rFonts w:ascii="Times New Roman" w:eastAsia="Times New Roman" w:hAnsi="Times New Roman" w:cs="Times New Roman"/>
      <w:b/>
      <w:color w:val="222222"/>
      <w:sz w:val="24"/>
      <w:szCs w:val="24"/>
      <w:highlight w:val="white"/>
    </w:rPr>
  </w:style>
  <w:style w:type="paragraph" w:styleId="Heading2">
    <w:name w:val="heading 2"/>
    <w:basedOn w:val="Normal1"/>
    <w:next w:val="Normal1"/>
    <w:pPr>
      <w:keepNext/>
      <w:keepLines/>
      <w:spacing w:line="360" w:lineRule="auto"/>
      <w:jc w:val="both"/>
      <w:outlineLvl w:val="1"/>
    </w:pPr>
    <w:rPr>
      <w:rFonts w:ascii="Times New Roman" w:eastAsia="Times New Roman" w:hAnsi="Times New Roman" w:cs="Times New Roman"/>
      <w:b/>
      <w:color w:val="222222"/>
      <w:sz w:val="24"/>
      <w:szCs w:val="24"/>
      <w:highlight w:val="white"/>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unhideWhenUsed/>
    <w:rsid w:val="004E29C3"/>
    <w:pPr>
      <w:tabs>
        <w:tab w:val="center" w:pos="4680"/>
        <w:tab w:val="right" w:pos="9360"/>
      </w:tabs>
      <w:spacing w:line="240" w:lineRule="auto"/>
    </w:pPr>
  </w:style>
  <w:style w:type="character" w:customStyle="1" w:styleId="HeaderChar">
    <w:name w:val="Header Char"/>
    <w:basedOn w:val="DefaultParagraphFont"/>
    <w:link w:val="Header"/>
    <w:uiPriority w:val="99"/>
    <w:rsid w:val="004E29C3"/>
  </w:style>
  <w:style w:type="paragraph" w:styleId="Footer">
    <w:name w:val="footer"/>
    <w:basedOn w:val="Normal"/>
    <w:link w:val="FooterChar"/>
    <w:uiPriority w:val="99"/>
    <w:unhideWhenUsed/>
    <w:rsid w:val="004E29C3"/>
    <w:pPr>
      <w:tabs>
        <w:tab w:val="center" w:pos="4680"/>
        <w:tab w:val="right" w:pos="9360"/>
      </w:tabs>
      <w:spacing w:line="240" w:lineRule="auto"/>
    </w:pPr>
  </w:style>
  <w:style w:type="character" w:customStyle="1" w:styleId="FooterChar">
    <w:name w:val="Footer Char"/>
    <w:basedOn w:val="DefaultParagraphFont"/>
    <w:link w:val="Footer"/>
    <w:uiPriority w:val="99"/>
    <w:rsid w:val="004E29C3"/>
  </w:style>
  <w:style w:type="paragraph" w:styleId="TOC1">
    <w:name w:val="toc 1"/>
    <w:basedOn w:val="Normal"/>
    <w:next w:val="Normal"/>
    <w:autoRedefine/>
    <w:uiPriority w:val="39"/>
    <w:unhideWhenUsed/>
    <w:rsid w:val="00C171A5"/>
    <w:pPr>
      <w:spacing w:after="100"/>
    </w:pPr>
  </w:style>
  <w:style w:type="paragraph" w:styleId="TOC2">
    <w:name w:val="toc 2"/>
    <w:basedOn w:val="Normal"/>
    <w:next w:val="Normal"/>
    <w:autoRedefine/>
    <w:uiPriority w:val="39"/>
    <w:unhideWhenUsed/>
    <w:rsid w:val="00C171A5"/>
    <w:pPr>
      <w:spacing w:after="100"/>
      <w:ind w:left="220"/>
    </w:pPr>
  </w:style>
  <w:style w:type="character" w:styleId="Hyperlink">
    <w:name w:val="Hyperlink"/>
    <w:basedOn w:val="DefaultParagraphFont"/>
    <w:uiPriority w:val="99"/>
    <w:unhideWhenUsed/>
    <w:rsid w:val="00C171A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cademic.oup.com/bjsw/article-pdf/52/2/982/42950296/bcab082.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rontiersin.org/journals/psychology/articles/10.3389/fpsyg.2021.644587"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077-0383/13/1/166"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onlinelibrary.wiley.com/doi/pdf/10.1111/hsc.13839" TargetMode="External"/><Relationship Id="rId4" Type="http://schemas.openxmlformats.org/officeDocument/2006/relationships/settings" Target="settings.xml"/><Relationship Id="rId9" Type="http://schemas.openxmlformats.org/officeDocument/2006/relationships/hyperlink" Target="https://www.ai.mil/docs/Understanding%20AI%20Technology.pdf" TargetMode="External"/><Relationship Id="rId14" Type="http://schemas.openxmlformats.org/officeDocument/2006/relationships/hyperlink" Target="https://onlinelibrary.wiley.com/doi/abs/10.1111/hsc.134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4rAsrvuv1wdVgj0GYl/A6NIOmA==">CgMxLjAyCGguZ2pkZ3hzMgloLjMwajB6bGwyCWguMWZvYjl0ZTIJaC4zem55c2g3MgloLjJldDkycDAyDmgua3hvZW1sOXNrZDM2Mg5oLml5ZDMxYjJqY3QzczIOaC54M2hraHliMzF0cmkyDmgucjI2MHBjczBnNHJjMghoLnR5amN3dDIJaC4zZHk2dmttMg1oLnQ5Mm9hM2NvemJyMg5oLjh6cGIxc2F2c2tzczIOaC55bHZnajRhODJiY2UyDmguNnpjMnA1ZnozMXhvMg5oLnowc2ZhdjEzNDAzMTIOaC4zZHg3YWprbnBkNnYyDmguYndkMjBrd25tNm5wMg5oLmllOHpreWw4MTN1eDIOaC5qM3F5bnBpZ3NhYTQ4AHIhMWtVQVN6M1R2ZDY3aXhlUGVpUzJLS05rTS1RYU1uNUp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3721</Words>
  <Characters>21216</Characters>
  <Application>Microsoft Office Word</Application>
  <DocSecurity>0</DocSecurity>
  <Lines>176</Lines>
  <Paragraphs>49</Paragraphs>
  <ScaleCrop>false</ScaleCrop>
  <Company/>
  <LinksUpToDate>false</LinksUpToDate>
  <CharactersWithSpaces>24888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Carolina</dc:creator>
  <cp:lastModifiedBy>Carolina Griza (2115255)</cp:lastModifiedBy>
  <cp:revision>3</cp:revision>
  <dcterms:created xsi:type="dcterms:W3CDTF">2024-03-20T07:59:00Z</dcterms:created>
  <dcterms:modified xsi:type="dcterms:W3CDTF">2024-03-20T08:35:00Z</dcterms:modified>
</cp:coreProperties>
</file>