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BEB935" w14:textId="77777777" w:rsidR="006448A3" w:rsidRDefault="006448A3" w:rsidP="006448A3">
      <w:pPr>
        <w:spacing w:before="100" w:beforeAutospacing="1" w:after="100" w:afterAutospacing="1"/>
        <w:jc w:val="center"/>
        <w:rPr>
          <w:rFonts w:asciiTheme="majorHAnsi" w:hAnsiTheme="majorHAnsi" w:cstheme="majorHAnsi"/>
          <w:b/>
          <w:bCs/>
          <w:color w:val="000000" w:themeColor="text1"/>
          <w:lang w:val="en-GB"/>
        </w:rPr>
      </w:pPr>
    </w:p>
    <w:p w14:paraId="334B3372" w14:textId="77777777" w:rsidR="006448A3" w:rsidRDefault="006448A3" w:rsidP="006448A3">
      <w:pPr>
        <w:spacing w:before="100" w:beforeAutospacing="1" w:after="100" w:afterAutospacing="1"/>
        <w:jc w:val="center"/>
        <w:rPr>
          <w:rFonts w:asciiTheme="majorHAnsi" w:hAnsiTheme="majorHAnsi" w:cstheme="majorHAnsi"/>
          <w:b/>
          <w:bCs/>
          <w:color w:val="000000" w:themeColor="text1"/>
          <w:lang w:val="en-GB"/>
        </w:rPr>
      </w:pPr>
    </w:p>
    <w:p w14:paraId="3B4E0DE0" w14:textId="77777777" w:rsidR="006448A3" w:rsidRDefault="006448A3" w:rsidP="006448A3">
      <w:pPr>
        <w:spacing w:before="100" w:beforeAutospacing="1" w:after="100" w:afterAutospacing="1"/>
        <w:jc w:val="center"/>
        <w:rPr>
          <w:rFonts w:asciiTheme="majorHAnsi" w:hAnsiTheme="majorHAnsi" w:cstheme="majorHAnsi"/>
          <w:b/>
          <w:bCs/>
          <w:color w:val="000000" w:themeColor="text1"/>
          <w:lang w:val="en-GB"/>
        </w:rPr>
      </w:pPr>
    </w:p>
    <w:p w14:paraId="420B5FC6" w14:textId="77777777" w:rsidR="006448A3" w:rsidRDefault="006448A3" w:rsidP="006448A3">
      <w:pPr>
        <w:spacing w:before="100" w:beforeAutospacing="1" w:after="100" w:afterAutospacing="1"/>
        <w:jc w:val="center"/>
        <w:rPr>
          <w:rFonts w:asciiTheme="majorHAnsi" w:hAnsiTheme="majorHAnsi" w:cstheme="majorHAnsi"/>
          <w:b/>
          <w:bCs/>
          <w:color w:val="000000" w:themeColor="text1"/>
          <w:lang w:val="en-GB"/>
        </w:rPr>
      </w:pPr>
    </w:p>
    <w:p w14:paraId="69124EC1" w14:textId="77777777" w:rsidR="006448A3" w:rsidRDefault="006448A3" w:rsidP="006448A3">
      <w:pPr>
        <w:spacing w:before="100" w:beforeAutospacing="1" w:after="100" w:afterAutospacing="1"/>
        <w:jc w:val="center"/>
        <w:rPr>
          <w:rFonts w:asciiTheme="majorHAnsi" w:hAnsiTheme="majorHAnsi" w:cstheme="majorHAnsi"/>
          <w:b/>
          <w:bCs/>
          <w:color w:val="000000" w:themeColor="text1"/>
          <w:lang w:val="en-GB"/>
        </w:rPr>
      </w:pPr>
    </w:p>
    <w:p w14:paraId="058492CC" w14:textId="4965FFC7" w:rsidR="00A0001D" w:rsidRPr="006448A3" w:rsidRDefault="00000000" w:rsidP="006448A3">
      <w:pP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LCLM5003 - Project Management</w:t>
      </w:r>
    </w:p>
    <w:p w14:paraId="22141365" w14:textId="0343D763" w:rsidR="0088179A" w:rsidRPr="006448A3" w:rsidRDefault="00000000" w:rsidP="00AF5490">
      <w:pP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A Project Portfolio</w:t>
      </w:r>
    </w:p>
    <w:p w14:paraId="375D41E5" w14:textId="77777777" w:rsidR="006E78AD" w:rsidRDefault="00000000" w:rsidP="006448A3">
      <w:pPr>
        <w:spacing w:before="100" w:beforeAutospacing="1" w:after="100" w:afterAutospacing="1"/>
        <w:jc w:val="center"/>
        <w:rPr>
          <w:rFonts w:asciiTheme="majorHAnsi" w:hAnsiTheme="majorHAnsi" w:cstheme="majorHAnsi"/>
          <w:b/>
          <w:bCs/>
          <w:color w:val="000000" w:themeColor="text1"/>
          <w:lang w:val="nl-NL"/>
        </w:rPr>
      </w:pPr>
      <w:r w:rsidRPr="00C07275">
        <w:rPr>
          <w:rFonts w:asciiTheme="majorHAnsi" w:hAnsiTheme="majorHAnsi" w:cstheme="majorHAnsi"/>
          <w:b/>
          <w:bCs/>
          <w:color w:val="000000" w:themeColor="text1"/>
          <w:lang w:val="nl-NL"/>
        </w:rPr>
        <w:t>Student ID:</w:t>
      </w:r>
      <w:r w:rsidR="004D6875" w:rsidRPr="00C07275">
        <w:rPr>
          <w:rFonts w:asciiTheme="majorHAnsi" w:hAnsiTheme="majorHAnsi" w:cstheme="majorHAnsi"/>
          <w:b/>
          <w:bCs/>
          <w:color w:val="000000" w:themeColor="text1"/>
          <w:lang w:val="nl-NL"/>
        </w:rPr>
        <w:t>2412</w:t>
      </w:r>
      <w:r w:rsidR="00C07275" w:rsidRPr="00C07275">
        <w:rPr>
          <w:rFonts w:asciiTheme="majorHAnsi" w:hAnsiTheme="majorHAnsi" w:cstheme="majorHAnsi"/>
          <w:b/>
          <w:bCs/>
          <w:color w:val="000000" w:themeColor="text1"/>
          <w:lang w:val="nl-NL"/>
        </w:rPr>
        <w:t>744</w:t>
      </w:r>
      <w:r w:rsidR="006E78AD">
        <w:rPr>
          <w:rFonts w:asciiTheme="majorHAnsi" w:hAnsiTheme="majorHAnsi" w:cstheme="majorHAnsi"/>
          <w:b/>
          <w:bCs/>
          <w:color w:val="000000" w:themeColor="text1"/>
          <w:lang w:val="nl-NL"/>
        </w:rPr>
        <w:t xml:space="preserve"> </w:t>
      </w:r>
    </w:p>
    <w:p w14:paraId="0AA36C07" w14:textId="13296D92" w:rsidR="00A0001D" w:rsidRDefault="00000000" w:rsidP="006448A3">
      <w:pPr>
        <w:spacing w:before="100" w:beforeAutospacing="1" w:after="100" w:afterAutospacing="1"/>
        <w:jc w:val="center"/>
        <w:rPr>
          <w:rFonts w:asciiTheme="majorHAnsi" w:hAnsiTheme="majorHAnsi" w:cstheme="majorHAnsi"/>
          <w:b/>
          <w:bCs/>
          <w:color w:val="000000" w:themeColor="text1"/>
          <w:lang w:val="nl-NL"/>
        </w:rPr>
      </w:pPr>
      <w:r w:rsidRPr="00C07275">
        <w:rPr>
          <w:rFonts w:asciiTheme="majorHAnsi" w:hAnsiTheme="majorHAnsi" w:cstheme="majorHAnsi"/>
          <w:b/>
          <w:bCs/>
          <w:color w:val="000000" w:themeColor="text1"/>
          <w:lang w:val="nl-NL"/>
        </w:rPr>
        <w:t>Student Name:</w:t>
      </w:r>
      <w:r w:rsidR="00C07275" w:rsidRPr="00C07275">
        <w:rPr>
          <w:rFonts w:asciiTheme="majorHAnsi" w:hAnsiTheme="majorHAnsi" w:cstheme="majorHAnsi"/>
          <w:b/>
          <w:bCs/>
          <w:color w:val="000000" w:themeColor="text1"/>
          <w:lang w:val="nl-NL"/>
        </w:rPr>
        <w:t>L</w:t>
      </w:r>
      <w:r w:rsidR="00C07275">
        <w:rPr>
          <w:rFonts w:asciiTheme="majorHAnsi" w:hAnsiTheme="majorHAnsi" w:cstheme="majorHAnsi"/>
          <w:b/>
          <w:bCs/>
          <w:color w:val="000000" w:themeColor="text1"/>
          <w:lang w:val="nl-NL"/>
        </w:rPr>
        <w:t>oredana Iulia Mocanu</w:t>
      </w:r>
    </w:p>
    <w:p w14:paraId="053E7C06" w14:textId="137B54D5" w:rsidR="00082C10" w:rsidRPr="008472A9" w:rsidRDefault="00694756" w:rsidP="00AF5490">
      <w:pPr>
        <w:spacing w:before="100" w:beforeAutospacing="1" w:after="100" w:afterAutospacing="1"/>
        <w:rPr>
          <w:rFonts w:asciiTheme="majorHAnsi" w:hAnsiTheme="majorHAnsi" w:cstheme="majorHAnsi"/>
          <w:b/>
          <w:bCs/>
          <w:color w:val="000000" w:themeColor="text1"/>
          <w:lang w:val="en-GB"/>
        </w:rPr>
      </w:pPr>
      <w:r>
        <w:rPr>
          <w:rFonts w:asciiTheme="majorHAnsi" w:hAnsiTheme="majorHAnsi" w:cstheme="majorHAnsi"/>
          <w:b/>
          <w:bCs/>
          <w:color w:val="000000" w:themeColor="text1"/>
          <w:lang w:val="nl-NL"/>
        </w:rPr>
        <w:t xml:space="preserve">                                                  </w:t>
      </w:r>
      <w:r w:rsidR="0004510D">
        <w:rPr>
          <w:rFonts w:asciiTheme="majorHAnsi" w:hAnsiTheme="majorHAnsi" w:cstheme="majorHAnsi"/>
          <w:b/>
          <w:bCs/>
          <w:color w:val="000000" w:themeColor="text1"/>
          <w:lang w:val="en-GB"/>
        </w:rPr>
        <w:t xml:space="preserve"> </w:t>
      </w:r>
      <w:r w:rsidR="003C2ED1" w:rsidRPr="008472A9">
        <w:rPr>
          <w:rFonts w:asciiTheme="majorHAnsi" w:hAnsiTheme="majorHAnsi" w:cstheme="majorHAnsi"/>
          <w:b/>
          <w:bCs/>
          <w:color w:val="000000" w:themeColor="text1"/>
          <w:lang w:val="en-GB"/>
        </w:rPr>
        <w:t xml:space="preserve">Lecturer’s: </w:t>
      </w:r>
      <w:proofErr w:type="spellStart"/>
      <w:proofErr w:type="gramStart"/>
      <w:r w:rsidR="003C2ED1" w:rsidRPr="008472A9">
        <w:rPr>
          <w:rFonts w:asciiTheme="majorHAnsi" w:hAnsiTheme="majorHAnsi" w:cstheme="majorHAnsi"/>
          <w:b/>
          <w:bCs/>
          <w:color w:val="000000" w:themeColor="text1"/>
          <w:lang w:val="en-GB"/>
        </w:rPr>
        <w:t>Dr.Doreen</w:t>
      </w:r>
      <w:proofErr w:type="spellEnd"/>
      <w:proofErr w:type="gramEnd"/>
      <w:r w:rsidR="003C2ED1" w:rsidRPr="008472A9">
        <w:rPr>
          <w:rFonts w:asciiTheme="majorHAnsi" w:hAnsiTheme="majorHAnsi" w:cstheme="majorHAnsi"/>
          <w:b/>
          <w:bCs/>
          <w:color w:val="000000" w:themeColor="text1"/>
          <w:lang w:val="en-GB"/>
        </w:rPr>
        <w:t xml:space="preserve"> Nyaa </w:t>
      </w:r>
      <w:proofErr w:type="spellStart"/>
      <w:r w:rsidR="008472A9" w:rsidRPr="008472A9">
        <w:rPr>
          <w:rFonts w:asciiTheme="majorHAnsi" w:hAnsiTheme="majorHAnsi" w:cstheme="majorHAnsi"/>
          <w:b/>
          <w:bCs/>
          <w:color w:val="000000" w:themeColor="text1"/>
          <w:lang w:val="en-GB"/>
        </w:rPr>
        <w:t>A</w:t>
      </w:r>
      <w:r w:rsidR="008472A9">
        <w:rPr>
          <w:rFonts w:asciiTheme="majorHAnsi" w:hAnsiTheme="majorHAnsi" w:cstheme="majorHAnsi"/>
          <w:b/>
          <w:bCs/>
          <w:color w:val="000000" w:themeColor="text1"/>
          <w:lang w:val="en-GB"/>
        </w:rPr>
        <w:t>mundam</w:t>
      </w:r>
      <w:proofErr w:type="spellEnd"/>
    </w:p>
    <w:p w14:paraId="04288FA9" w14:textId="514329C4" w:rsidR="006448A3" w:rsidRPr="006448A3" w:rsidRDefault="006448A3" w:rsidP="002132C8">
      <w:pPr>
        <w:spacing w:before="100" w:beforeAutospacing="1" w:after="100" w:afterAutospacing="1"/>
        <w:rPr>
          <w:rFonts w:asciiTheme="majorHAnsi" w:hAnsiTheme="majorHAnsi" w:cstheme="majorHAnsi"/>
          <w:b/>
          <w:bCs/>
          <w:color w:val="000000" w:themeColor="text1"/>
          <w:lang w:val="en-GB"/>
        </w:rPr>
      </w:pPr>
    </w:p>
    <w:p w14:paraId="03FFE9AB" w14:textId="77777777" w:rsidR="006448A3" w:rsidRPr="006448A3" w:rsidRDefault="006448A3" w:rsidP="006448A3">
      <w:pPr>
        <w:spacing w:before="100" w:beforeAutospacing="1" w:after="100" w:afterAutospacing="1"/>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br w:type="page"/>
      </w:r>
    </w:p>
    <w:p w14:paraId="1E14F13C" w14:textId="77777777" w:rsidR="006448A3" w:rsidRPr="006448A3" w:rsidRDefault="006448A3" w:rsidP="006448A3">
      <w:pP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lastRenderedPageBreak/>
        <w:t>Executive Summary</w:t>
      </w:r>
    </w:p>
    <w:p w14:paraId="399B1041" w14:textId="77777777" w:rsidR="006448A3" w:rsidRPr="006448A3" w:rsidRDefault="006448A3"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The West Midland floods in July 2025 wreaked havoc and affected one of the region’s key transport corridors. The A4440 SLR was affected due to the flood, creating challenges for east and west bound traffic bypassing the Worcester City Centre. This project has presented a detailed plan to reopen the A4440 highway within 90 days on an emergency basis and complete the restoration work within 180 days to streamline connectivity. The application of critical project management concepts like WBS, Gantt Chart, and resource allocation along with application of theoretical frameworks like the Stakeholder Matrix and Lean Management technique has helped to device a robust project plan.  </w:t>
      </w:r>
    </w:p>
    <w:p w14:paraId="72C27982" w14:textId="77777777" w:rsidR="006448A3" w:rsidRPr="006448A3" w:rsidRDefault="006448A3"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br w:type="page"/>
      </w:r>
    </w:p>
    <w:sdt>
      <w:sdtPr>
        <w:rPr>
          <w:rFonts w:ascii="Calibri" w:eastAsia="Calibri" w:hAnsi="Calibri" w:cstheme="majorHAnsi"/>
          <w:color w:val="000000" w:themeColor="text1"/>
          <w:sz w:val="24"/>
          <w:szCs w:val="24"/>
          <w:lang w:val="en-GB" w:eastAsia="en-IN"/>
        </w:rPr>
        <w:id w:val="196587961"/>
        <w:docPartObj>
          <w:docPartGallery w:val="Table of Contents"/>
          <w:docPartUnique/>
        </w:docPartObj>
      </w:sdtPr>
      <w:sdtEndPr>
        <w:rPr>
          <w:b/>
          <w:bCs/>
          <w:noProof/>
        </w:rPr>
      </w:sdtEndPr>
      <w:sdtContent>
        <w:p w14:paraId="31207B5A" w14:textId="315122AA" w:rsidR="006448A3" w:rsidRPr="006448A3" w:rsidRDefault="006448A3" w:rsidP="006448A3">
          <w:pPr>
            <w:pStyle w:val="TOCHeading"/>
            <w:spacing w:before="100" w:beforeAutospacing="1" w:after="100" w:afterAutospacing="1" w:line="360" w:lineRule="auto"/>
            <w:jc w:val="center"/>
            <w:rPr>
              <w:rFonts w:cstheme="majorHAnsi"/>
              <w:b/>
              <w:bCs/>
              <w:color w:val="000000" w:themeColor="text1"/>
              <w:sz w:val="24"/>
              <w:szCs w:val="24"/>
              <w:lang w:val="en-GB"/>
            </w:rPr>
          </w:pPr>
          <w:r w:rsidRPr="006448A3">
            <w:rPr>
              <w:rFonts w:cstheme="majorHAnsi"/>
              <w:b/>
              <w:bCs/>
              <w:color w:val="000000" w:themeColor="text1"/>
              <w:sz w:val="24"/>
              <w:szCs w:val="24"/>
              <w:lang w:val="en-GB"/>
            </w:rPr>
            <w:t>Table of Contents</w:t>
          </w:r>
        </w:p>
        <w:p w14:paraId="45619236" w14:textId="16F2FB6A" w:rsidR="006448A3" w:rsidRPr="006448A3" w:rsidRDefault="006448A3" w:rsidP="006448A3">
          <w:pPr>
            <w:pStyle w:val="TOC1"/>
            <w:tabs>
              <w:tab w:val="right" w:leader="dot" w:pos="9350"/>
            </w:tabs>
            <w:spacing w:before="100" w:beforeAutospacing="1" w:afterAutospacing="1"/>
            <w:rPr>
              <w:rFonts w:asciiTheme="majorHAnsi" w:hAnsiTheme="majorHAnsi" w:cstheme="majorHAnsi"/>
              <w:noProof/>
              <w:color w:val="000000" w:themeColor="text1"/>
              <w:lang w:val="en-GB"/>
            </w:rPr>
          </w:pPr>
          <w:r w:rsidRPr="006448A3">
            <w:rPr>
              <w:rFonts w:asciiTheme="majorHAnsi" w:hAnsiTheme="majorHAnsi" w:cstheme="majorHAnsi"/>
              <w:color w:val="000000" w:themeColor="text1"/>
              <w:lang w:val="en-GB"/>
            </w:rPr>
            <w:fldChar w:fldCharType="begin"/>
          </w:r>
          <w:r w:rsidRPr="006448A3">
            <w:rPr>
              <w:rFonts w:asciiTheme="majorHAnsi" w:hAnsiTheme="majorHAnsi" w:cstheme="majorHAnsi"/>
              <w:color w:val="000000" w:themeColor="text1"/>
              <w:lang w:val="en-GB"/>
            </w:rPr>
            <w:instrText xml:space="preserve"> TOC \o "1-3" \h \z \u </w:instrText>
          </w:r>
          <w:r w:rsidRPr="006448A3">
            <w:rPr>
              <w:rFonts w:asciiTheme="majorHAnsi" w:hAnsiTheme="majorHAnsi" w:cstheme="majorHAnsi"/>
              <w:color w:val="000000" w:themeColor="text1"/>
              <w:lang w:val="en-GB"/>
            </w:rPr>
            <w:fldChar w:fldCharType="separate"/>
          </w:r>
          <w:hyperlink w:anchor="_Toc221980673" w:history="1">
            <w:r w:rsidRPr="006448A3">
              <w:rPr>
                <w:rStyle w:val="Hyperlink"/>
                <w:rFonts w:asciiTheme="majorHAnsi" w:hAnsiTheme="majorHAnsi" w:cstheme="majorHAnsi"/>
                <w:noProof/>
                <w:color w:val="000000" w:themeColor="text1"/>
                <w:lang w:val="en-GB"/>
              </w:rPr>
              <w:t>Part A: Project Proposal Poster</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_Toc221980673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4</w:t>
            </w:r>
            <w:r w:rsidRPr="006448A3">
              <w:rPr>
                <w:rFonts w:asciiTheme="majorHAnsi" w:hAnsiTheme="majorHAnsi" w:cstheme="majorHAnsi"/>
                <w:noProof/>
                <w:webHidden/>
                <w:color w:val="000000" w:themeColor="text1"/>
                <w:lang w:val="en-GB"/>
              </w:rPr>
              <w:fldChar w:fldCharType="end"/>
            </w:r>
          </w:hyperlink>
        </w:p>
        <w:p w14:paraId="4B3304AC" w14:textId="602A84D2" w:rsidR="006448A3" w:rsidRPr="006448A3" w:rsidRDefault="006448A3" w:rsidP="006448A3">
          <w:pPr>
            <w:pStyle w:val="TOC1"/>
            <w:tabs>
              <w:tab w:val="right" w:leader="dot" w:pos="9350"/>
            </w:tabs>
            <w:spacing w:before="100" w:beforeAutospacing="1" w:afterAutospacing="1"/>
            <w:rPr>
              <w:rFonts w:asciiTheme="majorHAnsi" w:hAnsiTheme="majorHAnsi" w:cstheme="majorHAnsi"/>
              <w:noProof/>
              <w:color w:val="000000" w:themeColor="text1"/>
              <w:lang w:val="en-GB"/>
            </w:rPr>
          </w:pPr>
          <w:hyperlink w:anchor="_Toc221980674" w:history="1">
            <w:r w:rsidRPr="006448A3">
              <w:rPr>
                <w:rStyle w:val="Hyperlink"/>
                <w:rFonts w:asciiTheme="majorHAnsi" w:hAnsiTheme="majorHAnsi" w:cstheme="majorHAnsi"/>
                <w:noProof/>
                <w:color w:val="000000" w:themeColor="text1"/>
                <w:lang w:val="en-GB"/>
              </w:rPr>
              <w:t>Part B: Reflection</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_Toc221980674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10</w:t>
            </w:r>
            <w:r w:rsidRPr="006448A3">
              <w:rPr>
                <w:rFonts w:asciiTheme="majorHAnsi" w:hAnsiTheme="majorHAnsi" w:cstheme="majorHAnsi"/>
                <w:noProof/>
                <w:webHidden/>
                <w:color w:val="000000" w:themeColor="text1"/>
                <w:lang w:val="en-GB"/>
              </w:rPr>
              <w:fldChar w:fldCharType="end"/>
            </w:r>
          </w:hyperlink>
        </w:p>
        <w:p w14:paraId="7F471944" w14:textId="711BB26B" w:rsidR="006448A3" w:rsidRPr="006448A3" w:rsidRDefault="006448A3" w:rsidP="006448A3">
          <w:pPr>
            <w:pStyle w:val="TOC2"/>
            <w:tabs>
              <w:tab w:val="right" w:leader="dot" w:pos="9350"/>
            </w:tabs>
            <w:spacing w:before="100" w:beforeAutospacing="1" w:afterAutospacing="1"/>
            <w:rPr>
              <w:rFonts w:asciiTheme="majorHAnsi" w:hAnsiTheme="majorHAnsi" w:cstheme="majorHAnsi"/>
              <w:noProof/>
              <w:color w:val="000000" w:themeColor="text1"/>
              <w:lang w:val="en-GB"/>
            </w:rPr>
          </w:pPr>
          <w:hyperlink w:anchor="_Toc221980675" w:history="1">
            <w:r w:rsidRPr="006448A3">
              <w:rPr>
                <w:rStyle w:val="Hyperlink"/>
                <w:rFonts w:asciiTheme="majorHAnsi" w:hAnsiTheme="majorHAnsi" w:cstheme="majorHAnsi"/>
                <w:noProof/>
                <w:color w:val="000000" w:themeColor="text1"/>
                <w:lang w:val="en-GB"/>
              </w:rPr>
              <w:t>Description</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_Toc221980675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10</w:t>
            </w:r>
            <w:r w:rsidRPr="006448A3">
              <w:rPr>
                <w:rFonts w:asciiTheme="majorHAnsi" w:hAnsiTheme="majorHAnsi" w:cstheme="majorHAnsi"/>
                <w:noProof/>
                <w:webHidden/>
                <w:color w:val="000000" w:themeColor="text1"/>
                <w:lang w:val="en-GB"/>
              </w:rPr>
              <w:fldChar w:fldCharType="end"/>
            </w:r>
          </w:hyperlink>
        </w:p>
        <w:p w14:paraId="65A13D49" w14:textId="4EF0418E" w:rsidR="006448A3" w:rsidRPr="006448A3" w:rsidRDefault="006448A3" w:rsidP="006448A3">
          <w:pPr>
            <w:pStyle w:val="TOC2"/>
            <w:tabs>
              <w:tab w:val="right" w:leader="dot" w:pos="9350"/>
            </w:tabs>
            <w:spacing w:before="100" w:beforeAutospacing="1" w:afterAutospacing="1"/>
            <w:rPr>
              <w:rFonts w:asciiTheme="majorHAnsi" w:hAnsiTheme="majorHAnsi" w:cstheme="majorHAnsi"/>
              <w:noProof/>
              <w:color w:val="000000" w:themeColor="text1"/>
              <w:lang w:val="en-GB"/>
            </w:rPr>
          </w:pPr>
          <w:hyperlink w:anchor="_Toc221980676" w:history="1">
            <w:r w:rsidRPr="006448A3">
              <w:rPr>
                <w:rStyle w:val="Hyperlink"/>
                <w:rFonts w:asciiTheme="majorHAnsi" w:hAnsiTheme="majorHAnsi" w:cstheme="majorHAnsi"/>
                <w:noProof/>
                <w:color w:val="000000" w:themeColor="text1"/>
                <w:lang w:val="en-GB"/>
              </w:rPr>
              <w:t>Feelings</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_Toc221980676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11</w:t>
            </w:r>
            <w:r w:rsidRPr="006448A3">
              <w:rPr>
                <w:rFonts w:asciiTheme="majorHAnsi" w:hAnsiTheme="majorHAnsi" w:cstheme="majorHAnsi"/>
                <w:noProof/>
                <w:webHidden/>
                <w:color w:val="000000" w:themeColor="text1"/>
                <w:lang w:val="en-GB"/>
              </w:rPr>
              <w:fldChar w:fldCharType="end"/>
            </w:r>
          </w:hyperlink>
        </w:p>
        <w:p w14:paraId="75B915D3" w14:textId="602057BE" w:rsidR="006448A3" w:rsidRPr="006448A3" w:rsidRDefault="006448A3" w:rsidP="006448A3">
          <w:pPr>
            <w:pStyle w:val="TOC2"/>
            <w:tabs>
              <w:tab w:val="right" w:leader="dot" w:pos="9350"/>
            </w:tabs>
            <w:spacing w:before="100" w:beforeAutospacing="1" w:afterAutospacing="1"/>
            <w:rPr>
              <w:rFonts w:asciiTheme="majorHAnsi" w:hAnsiTheme="majorHAnsi" w:cstheme="majorHAnsi"/>
              <w:noProof/>
              <w:color w:val="000000" w:themeColor="text1"/>
              <w:lang w:val="en-GB"/>
            </w:rPr>
          </w:pPr>
          <w:hyperlink w:anchor="_Toc221980677" w:history="1">
            <w:r w:rsidRPr="006448A3">
              <w:rPr>
                <w:rStyle w:val="Hyperlink"/>
                <w:rFonts w:asciiTheme="majorHAnsi" w:hAnsiTheme="majorHAnsi" w:cstheme="majorHAnsi"/>
                <w:noProof/>
                <w:color w:val="000000" w:themeColor="text1"/>
                <w:lang w:val="en-GB"/>
              </w:rPr>
              <w:t>Evaluation</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_Toc221980677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11</w:t>
            </w:r>
            <w:r w:rsidRPr="006448A3">
              <w:rPr>
                <w:rFonts w:asciiTheme="majorHAnsi" w:hAnsiTheme="majorHAnsi" w:cstheme="majorHAnsi"/>
                <w:noProof/>
                <w:webHidden/>
                <w:color w:val="000000" w:themeColor="text1"/>
                <w:lang w:val="en-GB"/>
              </w:rPr>
              <w:fldChar w:fldCharType="end"/>
            </w:r>
          </w:hyperlink>
        </w:p>
        <w:p w14:paraId="5887269A" w14:textId="61F59B2D" w:rsidR="006448A3" w:rsidRPr="006448A3" w:rsidRDefault="006448A3" w:rsidP="006448A3">
          <w:pPr>
            <w:pStyle w:val="TOC2"/>
            <w:tabs>
              <w:tab w:val="right" w:leader="dot" w:pos="9350"/>
            </w:tabs>
            <w:spacing w:before="100" w:beforeAutospacing="1" w:afterAutospacing="1"/>
            <w:rPr>
              <w:rFonts w:asciiTheme="majorHAnsi" w:hAnsiTheme="majorHAnsi" w:cstheme="majorHAnsi"/>
              <w:noProof/>
              <w:color w:val="000000" w:themeColor="text1"/>
              <w:lang w:val="en-GB"/>
            </w:rPr>
          </w:pPr>
          <w:hyperlink w:anchor="_Toc221980678" w:history="1">
            <w:r w:rsidRPr="006448A3">
              <w:rPr>
                <w:rStyle w:val="Hyperlink"/>
                <w:rFonts w:asciiTheme="majorHAnsi" w:hAnsiTheme="majorHAnsi" w:cstheme="majorHAnsi"/>
                <w:noProof/>
                <w:color w:val="000000" w:themeColor="text1"/>
                <w:lang w:val="en-GB"/>
              </w:rPr>
              <w:t>Analysis</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_Toc221980678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11</w:t>
            </w:r>
            <w:r w:rsidRPr="006448A3">
              <w:rPr>
                <w:rFonts w:asciiTheme="majorHAnsi" w:hAnsiTheme="majorHAnsi" w:cstheme="majorHAnsi"/>
                <w:noProof/>
                <w:webHidden/>
                <w:color w:val="000000" w:themeColor="text1"/>
                <w:lang w:val="en-GB"/>
              </w:rPr>
              <w:fldChar w:fldCharType="end"/>
            </w:r>
          </w:hyperlink>
        </w:p>
        <w:p w14:paraId="53E0D1F6" w14:textId="3BCE70B2" w:rsidR="006448A3" w:rsidRPr="006448A3" w:rsidRDefault="006448A3" w:rsidP="006448A3">
          <w:pPr>
            <w:pStyle w:val="TOC2"/>
            <w:tabs>
              <w:tab w:val="right" w:leader="dot" w:pos="9350"/>
            </w:tabs>
            <w:spacing w:before="100" w:beforeAutospacing="1" w:afterAutospacing="1"/>
            <w:rPr>
              <w:rFonts w:asciiTheme="majorHAnsi" w:hAnsiTheme="majorHAnsi" w:cstheme="majorHAnsi"/>
              <w:noProof/>
              <w:color w:val="000000" w:themeColor="text1"/>
              <w:lang w:val="en-GB"/>
            </w:rPr>
          </w:pPr>
          <w:hyperlink w:anchor="_Toc221980679" w:history="1">
            <w:r w:rsidRPr="006448A3">
              <w:rPr>
                <w:rStyle w:val="Hyperlink"/>
                <w:rFonts w:asciiTheme="majorHAnsi" w:hAnsiTheme="majorHAnsi" w:cstheme="majorHAnsi"/>
                <w:noProof/>
                <w:color w:val="000000" w:themeColor="text1"/>
                <w:lang w:val="en-GB"/>
              </w:rPr>
              <w:t>Conclusion</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_Toc221980679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11</w:t>
            </w:r>
            <w:r w:rsidRPr="006448A3">
              <w:rPr>
                <w:rFonts w:asciiTheme="majorHAnsi" w:hAnsiTheme="majorHAnsi" w:cstheme="majorHAnsi"/>
                <w:noProof/>
                <w:webHidden/>
                <w:color w:val="000000" w:themeColor="text1"/>
                <w:lang w:val="en-GB"/>
              </w:rPr>
              <w:fldChar w:fldCharType="end"/>
            </w:r>
          </w:hyperlink>
        </w:p>
        <w:p w14:paraId="72E3B968" w14:textId="44EEFB7B" w:rsidR="006448A3" w:rsidRPr="006448A3" w:rsidRDefault="006448A3" w:rsidP="006448A3">
          <w:pPr>
            <w:pStyle w:val="TOC2"/>
            <w:tabs>
              <w:tab w:val="right" w:leader="dot" w:pos="9350"/>
            </w:tabs>
            <w:spacing w:before="100" w:beforeAutospacing="1" w:afterAutospacing="1"/>
            <w:rPr>
              <w:rFonts w:asciiTheme="majorHAnsi" w:hAnsiTheme="majorHAnsi" w:cstheme="majorHAnsi"/>
              <w:noProof/>
              <w:color w:val="000000" w:themeColor="text1"/>
              <w:lang w:val="en-GB"/>
            </w:rPr>
          </w:pPr>
          <w:hyperlink w:anchor="_Toc221980680" w:history="1">
            <w:r w:rsidRPr="006448A3">
              <w:rPr>
                <w:rStyle w:val="Hyperlink"/>
                <w:rFonts w:asciiTheme="majorHAnsi" w:hAnsiTheme="majorHAnsi" w:cstheme="majorHAnsi"/>
                <w:noProof/>
                <w:color w:val="000000" w:themeColor="text1"/>
                <w:lang w:val="en-GB"/>
              </w:rPr>
              <w:t>Action Plan</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_Toc221980680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12</w:t>
            </w:r>
            <w:r w:rsidRPr="006448A3">
              <w:rPr>
                <w:rFonts w:asciiTheme="majorHAnsi" w:hAnsiTheme="majorHAnsi" w:cstheme="majorHAnsi"/>
                <w:noProof/>
                <w:webHidden/>
                <w:color w:val="000000" w:themeColor="text1"/>
                <w:lang w:val="en-GB"/>
              </w:rPr>
              <w:fldChar w:fldCharType="end"/>
            </w:r>
          </w:hyperlink>
        </w:p>
        <w:p w14:paraId="254CD254" w14:textId="70D20250" w:rsidR="006448A3" w:rsidRPr="006448A3" w:rsidRDefault="006448A3" w:rsidP="006448A3">
          <w:pPr>
            <w:pStyle w:val="TOC1"/>
            <w:tabs>
              <w:tab w:val="right" w:leader="dot" w:pos="9350"/>
            </w:tabs>
            <w:spacing w:before="100" w:beforeAutospacing="1" w:afterAutospacing="1"/>
            <w:rPr>
              <w:rFonts w:asciiTheme="majorHAnsi" w:hAnsiTheme="majorHAnsi" w:cstheme="majorHAnsi"/>
              <w:noProof/>
              <w:color w:val="000000" w:themeColor="text1"/>
              <w:lang w:val="en-GB"/>
            </w:rPr>
          </w:pPr>
          <w:hyperlink w:anchor="_Toc221980681" w:history="1">
            <w:r w:rsidRPr="006448A3">
              <w:rPr>
                <w:rStyle w:val="Hyperlink"/>
                <w:rFonts w:asciiTheme="majorHAnsi" w:hAnsiTheme="majorHAnsi" w:cstheme="majorHAnsi"/>
                <w:noProof/>
                <w:color w:val="000000" w:themeColor="text1"/>
                <w:lang w:val="en-GB"/>
              </w:rPr>
              <w:t>Part C: Project Management Plan</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_Toc221980681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12</w:t>
            </w:r>
            <w:r w:rsidRPr="006448A3">
              <w:rPr>
                <w:rFonts w:asciiTheme="majorHAnsi" w:hAnsiTheme="majorHAnsi" w:cstheme="majorHAnsi"/>
                <w:noProof/>
                <w:webHidden/>
                <w:color w:val="000000" w:themeColor="text1"/>
                <w:lang w:val="en-GB"/>
              </w:rPr>
              <w:fldChar w:fldCharType="end"/>
            </w:r>
          </w:hyperlink>
        </w:p>
        <w:p w14:paraId="0F2DAA9F" w14:textId="428771F5" w:rsidR="006448A3" w:rsidRPr="006448A3" w:rsidRDefault="006448A3" w:rsidP="006448A3">
          <w:pPr>
            <w:pStyle w:val="TOC2"/>
            <w:tabs>
              <w:tab w:val="right" w:leader="dot" w:pos="9350"/>
            </w:tabs>
            <w:spacing w:before="100" w:beforeAutospacing="1" w:afterAutospacing="1"/>
            <w:rPr>
              <w:rFonts w:asciiTheme="majorHAnsi" w:hAnsiTheme="majorHAnsi" w:cstheme="majorHAnsi"/>
              <w:noProof/>
              <w:color w:val="000000" w:themeColor="text1"/>
              <w:lang w:val="en-GB"/>
            </w:rPr>
          </w:pPr>
          <w:hyperlink w:anchor="_Toc221980682" w:history="1">
            <w:r w:rsidRPr="006448A3">
              <w:rPr>
                <w:rStyle w:val="Hyperlink"/>
                <w:rFonts w:asciiTheme="majorHAnsi" w:hAnsiTheme="majorHAnsi" w:cstheme="majorHAnsi"/>
                <w:noProof/>
                <w:color w:val="000000" w:themeColor="text1"/>
                <w:lang w:val="en-GB"/>
              </w:rPr>
              <w:t>1. Introduction</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_Toc221980682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12</w:t>
            </w:r>
            <w:r w:rsidRPr="006448A3">
              <w:rPr>
                <w:rFonts w:asciiTheme="majorHAnsi" w:hAnsiTheme="majorHAnsi" w:cstheme="majorHAnsi"/>
                <w:noProof/>
                <w:webHidden/>
                <w:color w:val="000000" w:themeColor="text1"/>
                <w:lang w:val="en-GB"/>
              </w:rPr>
              <w:fldChar w:fldCharType="end"/>
            </w:r>
          </w:hyperlink>
        </w:p>
        <w:p w14:paraId="65F761E3" w14:textId="6014277E" w:rsidR="006448A3" w:rsidRPr="006448A3" w:rsidRDefault="006448A3" w:rsidP="006448A3">
          <w:pPr>
            <w:pStyle w:val="TOC2"/>
            <w:tabs>
              <w:tab w:val="right" w:leader="dot" w:pos="9350"/>
            </w:tabs>
            <w:spacing w:before="100" w:beforeAutospacing="1" w:afterAutospacing="1"/>
            <w:rPr>
              <w:rFonts w:asciiTheme="majorHAnsi" w:hAnsiTheme="majorHAnsi" w:cstheme="majorHAnsi"/>
              <w:noProof/>
              <w:color w:val="000000" w:themeColor="text1"/>
              <w:lang w:val="en-GB"/>
            </w:rPr>
          </w:pPr>
          <w:hyperlink w:anchor="_Toc221980683" w:history="1">
            <w:r w:rsidRPr="006448A3">
              <w:rPr>
                <w:rStyle w:val="Hyperlink"/>
                <w:rFonts w:asciiTheme="majorHAnsi" w:hAnsiTheme="majorHAnsi" w:cstheme="majorHAnsi"/>
                <w:noProof/>
                <w:color w:val="000000" w:themeColor="text1"/>
                <w:lang w:val="en-GB"/>
              </w:rPr>
              <w:t>2. Project Description</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_Toc221980683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13</w:t>
            </w:r>
            <w:r w:rsidRPr="006448A3">
              <w:rPr>
                <w:rFonts w:asciiTheme="majorHAnsi" w:hAnsiTheme="majorHAnsi" w:cstheme="majorHAnsi"/>
                <w:noProof/>
                <w:webHidden/>
                <w:color w:val="000000" w:themeColor="text1"/>
                <w:lang w:val="en-GB"/>
              </w:rPr>
              <w:fldChar w:fldCharType="end"/>
            </w:r>
          </w:hyperlink>
        </w:p>
        <w:p w14:paraId="5E733048" w14:textId="1A494A50" w:rsidR="006448A3" w:rsidRPr="006448A3" w:rsidRDefault="006448A3" w:rsidP="006448A3">
          <w:pPr>
            <w:pStyle w:val="TOC2"/>
            <w:tabs>
              <w:tab w:val="right" w:leader="dot" w:pos="9350"/>
            </w:tabs>
            <w:spacing w:before="100" w:beforeAutospacing="1" w:afterAutospacing="1"/>
            <w:rPr>
              <w:rFonts w:asciiTheme="majorHAnsi" w:hAnsiTheme="majorHAnsi" w:cstheme="majorHAnsi"/>
              <w:noProof/>
              <w:color w:val="000000" w:themeColor="text1"/>
              <w:lang w:val="en-GB"/>
            </w:rPr>
          </w:pPr>
          <w:hyperlink w:anchor="_Toc221980684" w:history="1">
            <w:r w:rsidRPr="006448A3">
              <w:rPr>
                <w:rStyle w:val="Hyperlink"/>
                <w:rFonts w:asciiTheme="majorHAnsi" w:hAnsiTheme="majorHAnsi" w:cstheme="majorHAnsi"/>
                <w:noProof/>
                <w:color w:val="000000" w:themeColor="text1"/>
                <w:lang w:val="en-GB"/>
              </w:rPr>
              <w:t>3. Scope</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_Toc221980684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14</w:t>
            </w:r>
            <w:r w:rsidRPr="006448A3">
              <w:rPr>
                <w:rFonts w:asciiTheme="majorHAnsi" w:hAnsiTheme="majorHAnsi" w:cstheme="majorHAnsi"/>
                <w:noProof/>
                <w:webHidden/>
                <w:color w:val="000000" w:themeColor="text1"/>
                <w:lang w:val="en-GB"/>
              </w:rPr>
              <w:fldChar w:fldCharType="end"/>
            </w:r>
          </w:hyperlink>
        </w:p>
        <w:p w14:paraId="04102CCD" w14:textId="1720C1BB" w:rsidR="006448A3" w:rsidRPr="006448A3" w:rsidRDefault="006448A3" w:rsidP="006448A3">
          <w:pPr>
            <w:pStyle w:val="TOC2"/>
            <w:tabs>
              <w:tab w:val="right" w:leader="dot" w:pos="9350"/>
            </w:tabs>
            <w:spacing w:before="100" w:beforeAutospacing="1" w:afterAutospacing="1"/>
            <w:rPr>
              <w:rFonts w:asciiTheme="majorHAnsi" w:hAnsiTheme="majorHAnsi" w:cstheme="majorHAnsi"/>
              <w:noProof/>
              <w:color w:val="000000" w:themeColor="text1"/>
              <w:lang w:val="en-GB"/>
            </w:rPr>
          </w:pPr>
          <w:hyperlink w:anchor="_Toc221980685" w:history="1">
            <w:r w:rsidRPr="006448A3">
              <w:rPr>
                <w:rStyle w:val="Hyperlink"/>
                <w:rFonts w:asciiTheme="majorHAnsi" w:hAnsiTheme="majorHAnsi" w:cstheme="majorHAnsi"/>
                <w:noProof/>
                <w:color w:val="000000" w:themeColor="text1"/>
                <w:lang w:val="en-GB"/>
              </w:rPr>
              <w:t>4. Work Breakdown Structure</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_Toc221980685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15</w:t>
            </w:r>
            <w:r w:rsidRPr="006448A3">
              <w:rPr>
                <w:rFonts w:asciiTheme="majorHAnsi" w:hAnsiTheme="majorHAnsi" w:cstheme="majorHAnsi"/>
                <w:noProof/>
                <w:webHidden/>
                <w:color w:val="000000" w:themeColor="text1"/>
                <w:lang w:val="en-GB"/>
              </w:rPr>
              <w:fldChar w:fldCharType="end"/>
            </w:r>
          </w:hyperlink>
        </w:p>
        <w:p w14:paraId="7B936480" w14:textId="59AB9E32" w:rsidR="006448A3" w:rsidRPr="006448A3" w:rsidRDefault="006448A3" w:rsidP="006448A3">
          <w:pPr>
            <w:pStyle w:val="TOC2"/>
            <w:tabs>
              <w:tab w:val="right" w:leader="dot" w:pos="9350"/>
            </w:tabs>
            <w:spacing w:before="100" w:beforeAutospacing="1" w:afterAutospacing="1"/>
            <w:rPr>
              <w:rFonts w:asciiTheme="majorHAnsi" w:hAnsiTheme="majorHAnsi" w:cstheme="majorHAnsi"/>
              <w:noProof/>
              <w:color w:val="000000" w:themeColor="text1"/>
              <w:lang w:val="en-GB"/>
            </w:rPr>
          </w:pPr>
          <w:hyperlink w:anchor="_Toc221980686" w:history="1">
            <w:r w:rsidRPr="006448A3">
              <w:rPr>
                <w:rStyle w:val="Hyperlink"/>
                <w:rFonts w:asciiTheme="majorHAnsi" w:hAnsiTheme="majorHAnsi" w:cstheme="majorHAnsi"/>
                <w:noProof/>
                <w:color w:val="000000" w:themeColor="text1"/>
                <w:lang w:val="en-GB"/>
              </w:rPr>
              <w:t>5. Quad Chart</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_Toc221980686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17</w:t>
            </w:r>
            <w:r w:rsidRPr="006448A3">
              <w:rPr>
                <w:rFonts w:asciiTheme="majorHAnsi" w:hAnsiTheme="majorHAnsi" w:cstheme="majorHAnsi"/>
                <w:noProof/>
                <w:webHidden/>
                <w:color w:val="000000" w:themeColor="text1"/>
                <w:lang w:val="en-GB"/>
              </w:rPr>
              <w:fldChar w:fldCharType="end"/>
            </w:r>
          </w:hyperlink>
        </w:p>
        <w:p w14:paraId="60836CE6" w14:textId="73170758" w:rsidR="006448A3" w:rsidRPr="006448A3" w:rsidRDefault="006448A3" w:rsidP="006448A3">
          <w:pPr>
            <w:pStyle w:val="TOC2"/>
            <w:tabs>
              <w:tab w:val="right" w:leader="dot" w:pos="9350"/>
            </w:tabs>
            <w:spacing w:before="100" w:beforeAutospacing="1" w:afterAutospacing="1"/>
            <w:rPr>
              <w:rFonts w:asciiTheme="majorHAnsi" w:hAnsiTheme="majorHAnsi" w:cstheme="majorHAnsi"/>
              <w:noProof/>
              <w:color w:val="000000" w:themeColor="text1"/>
              <w:lang w:val="en-GB"/>
            </w:rPr>
          </w:pPr>
          <w:hyperlink w:anchor="_Toc221980687" w:history="1">
            <w:r w:rsidRPr="006448A3">
              <w:rPr>
                <w:rStyle w:val="Hyperlink"/>
                <w:rFonts w:asciiTheme="majorHAnsi" w:hAnsiTheme="majorHAnsi" w:cstheme="majorHAnsi"/>
                <w:noProof/>
                <w:color w:val="000000" w:themeColor="text1"/>
                <w:lang w:val="en-GB"/>
              </w:rPr>
              <w:t>6. Gantt Chart</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_Toc221980687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19</w:t>
            </w:r>
            <w:r w:rsidRPr="006448A3">
              <w:rPr>
                <w:rFonts w:asciiTheme="majorHAnsi" w:hAnsiTheme="majorHAnsi" w:cstheme="majorHAnsi"/>
                <w:noProof/>
                <w:webHidden/>
                <w:color w:val="000000" w:themeColor="text1"/>
                <w:lang w:val="en-GB"/>
              </w:rPr>
              <w:fldChar w:fldCharType="end"/>
            </w:r>
          </w:hyperlink>
        </w:p>
        <w:p w14:paraId="2CF58AB3" w14:textId="6B5E2B18" w:rsidR="006448A3" w:rsidRPr="006448A3" w:rsidRDefault="006448A3" w:rsidP="006448A3">
          <w:pPr>
            <w:pStyle w:val="TOC2"/>
            <w:tabs>
              <w:tab w:val="right" w:leader="dot" w:pos="9350"/>
            </w:tabs>
            <w:spacing w:before="100" w:beforeAutospacing="1" w:afterAutospacing="1"/>
            <w:rPr>
              <w:rFonts w:asciiTheme="majorHAnsi" w:hAnsiTheme="majorHAnsi" w:cstheme="majorHAnsi"/>
              <w:noProof/>
              <w:color w:val="000000" w:themeColor="text1"/>
              <w:lang w:val="en-GB"/>
            </w:rPr>
          </w:pPr>
          <w:hyperlink w:anchor="_Toc221980688" w:history="1">
            <w:r w:rsidRPr="006448A3">
              <w:rPr>
                <w:rStyle w:val="Hyperlink"/>
                <w:rFonts w:asciiTheme="majorHAnsi" w:hAnsiTheme="majorHAnsi" w:cstheme="majorHAnsi"/>
                <w:noProof/>
                <w:color w:val="000000" w:themeColor="text1"/>
                <w:lang w:val="en-GB"/>
              </w:rPr>
              <w:t>7. Stakeholder Involvement</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_Toc221980688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21</w:t>
            </w:r>
            <w:r w:rsidRPr="006448A3">
              <w:rPr>
                <w:rFonts w:asciiTheme="majorHAnsi" w:hAnsiTheme="majorHAnsi" w:cstheme="majorHAnsi"/>
                <w:noProof/>
                <w:webHidden/>
                <w:color w:val="000000" w:themeColor="text1"/>
                <w:lang w:val="en-GB"/>
              </w:rPr>
              <w:fldChar w:fldCharType="end"/>
            </w:r>
          </w:hyperlink>
        </w:p>
        <w:p w14:paraId="62D6B204" w14:textId="4B26308F" w:rsidR="006448A3" w:rsidRPr="006448A3" w:rsidRDefault="006448A3" w:rsidP="006448A3">
          <w:pPr>
            <w:pStyle w:val="TOC2"/>
            <w:tabs>
              <w:tab w:val="right" w:leader="dot" w:pos="9350"/>
            </w:tabs>
            <w:spacing w:before="100" w:beforeAutospacing="1" w:afterAutospacing="1"/>
            <w:rPr>
              <w:rFonts w:asciiTheme="majorHAnsi" w:hAnsiTheme="majorHAnsi" w:cstheme="majorHAnsi"/>
              <w:noProof/>
              <w:color w:val="000000" w:themeColor="text1"/>
              <w:lang w:val="en-GB"/>
            </w:rPr>
          </w:pPr>
          <w:hyperlink w:anchor="_Toc221980689" w:history="1">
            <w:r w:rsidRPr="006448A3">
              <w:rPr>
                <w:rStyle w:val="Hyperlink"/>
                <w:rFonts w:asciiTheme="majorHAnsi" w:hAnsiTheme="majorHAnsi" w:cstheme="majorHAnsi"/>
                <w:noProof/>
                <w:color w:val="000000" w:themeColor="text1"/>
                <w:lang w:val="en-GB"/>
              </w:rPr>
              <w:t>8. Resource Allocation</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_Toc221980689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24</w:t>
            </w:r>
            <w:r w:rsidRPr="006448A3">
              <w:rPr>
                <w:rFonts w:asciiTheme="majorHAnsi" w:hAnsiTheme="majorHAnsi" w:cstheme="majorHAnsi"/>
                <w:noProof/>
                <w:webHidden/>
                <w:color w:val="000000" w:themeColor="text1"/>
                <w:lang w:val="en-GB"/>
              </w:rPr>
              <w:fldChar w:fldCharType="end"/>
            </w:r>
          </w:hyperlink>
        </w:p>
        <w:p w14:paraId="61783E1C" w14:textId="0DBA4766" w:rsidR="006448A3" w:rsidRPr="006448A3" w:rsidRDefault="006448A3" w:rsidP="006448A3">
          <w:pPr>
            <w:pStyle w:val="TOC2"/>
            <w:tabs>
              <w:tab w:val="right" w:leader="dot" w:pos="9350"/>
            </w:tabs>
            <w:spacing w:before="100" w:beforeAutospacing="1" w:afterAutospacing="1"/>
            <w:rPr>
              <w:rFonts w:asciiTheme="majorHAnsi" w:hAnsiTheme="majorHAnsi" w:cstheme="majorHAnsi"/>
              <w:noProof/>
              <w:color w:val="000000" w:themeColor="text1"/>
              <w:lang w:val="en-GB"/>
            </w:rPr>
          </w:pPr>
          <w:hyperlink w:anchor="_Toc221980690" w:history="1">
            <w:r w:rsidRPr="006448A3">
              <w:rPr>
                <w:rStyle w:val="Hyperlink"/>
                <w:rFonts w:asciiTheme="majorHAnsi" w:hAnsiTheme="majorHAnsi" w:cstheme="majorHAnsi"/>
                <w:noProof/>
                <w:color w:val="000000" w:themeColor="text1"/>
                <w:lang w:val="en-GB"/>
              </w:rPr>
              <w:t>9. Risk Analysis</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_Toc221980690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26</w:t>
            </w:r>
            <w:r w:rsidRPr="006448A3">
              <w:rPr>
                <w:rFonts w:asciiTheme="majorHAnsi" w:hAnsiTheme="majorHAnsi" w:cstheme="majorHAnsi"/>
                <w:noProof/>
                <w:webHidden/>
                <w:color w:val="000000" w:themeColor="text1"/>
                <w:lang w:val="en-GB"/>
              </w:rPr>
              <w:fldChar w:fldCharType="end"/>
            </w:r>
          </w:hyperlink>
        </w:p>
        <w:p w14:paraId="5CF39F46" w14:textId="60B9F116" w:rsidR="006448A3" w:rsidRPr="006448A3" w:rsidRDefault="006448A3" w:rsidP="006448A3">
          <w:pPr>
            <w:pStyle w:val="TOC2"/>
            <w:tabs>
              <w:tab w:val="right" w:leader="dot" w:pos="9350"/>
            </w:tabs>
            <w:spacing w:before="100" w:beforeAutospacing="1" w:afterAutospacing="1"/>
            <w:rPr>
              <w:rFonts w:asciiTheme="majorHAnsi" w:hAnsiTheme="majorHAnsi" w:cstheme="majorHAnsi"/>
              <w:noProof/>
              <w:color w:val="000000" w:themeColor="text1"/>
              <w:lang w:val="en-GB"/>
            </w:rPr>
          </w:pPr>
          <w:hyperlink w:anchor="_Toc221980691" w:history="1">
            <w:r w:rsidRPr="006448A3">
              <w:rPr>
                <w:rStyle w:val="Hyperlink"/>
                <w:rFonts w:asciiTheme="majorHAnsi" w:hAnsiTheme="majorHAnsi" w:cstheme="majorHAnsi"/>
                <w:noProof/>
                <w:color w:val="000000" w:themeColor="text1"/>
                <w:lang w:val="en-GB"/>
              </w:rPr>
              <w:t>10. Conclusion</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_Toc221980691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28</w:t>
            </w:r>
            <w:r w:rsidRPr="006448A3">
              <w:rPr>
                <w:rFonts w:asciiTheme="majorHAnsi" w:hAnsiTheme="majorHAnsi" w:cstheme="majorHAnsi"/>
                <w:noProof/>
                <w:webHidden/>
                <w:color w:val="000000" w:themeColor="text1"/>
                <w:lang w:val="en-GB"/>
              </w:rPr>
              <w:fldChar w:fldCharType="end"/>
            </w:r>
          </w:hyperlink>
        </w:p>
        <w:p w14:paraId="093217E0" w14:textId="61EE5373" w:rsidR="006448A3" w:rsidRPr="006448A3" w:rsidRDefault="006448A3" w:rsidP="006448A3">
          <w:pPr>
            <w:pStyle w:val="TOC1"/>
            <w:tabs>
              <w:tab w:val="right" w:leader="dot" w:pos="9350"/>
            </w:tabs>
            <w:spacing w:before="100" w:beforeAutospacing="1" w:afterAutospacing="1"/>
            <w:rPr>
              <w:rFonts w:asciiTheme="majorHAnsi" w:hAnsiTheme="majorHAnsi" w:cstheme="majorHAnsi"/>
              <w:noProof/>
              <w:color w:val="000000" w:themeColor="text1"/>
              <w:lang w:val="en-GB"/>
            </w:rPr>
          </w:pPr>
          <w:hyperlink w:anchor="_Toc221980692" w:history="1">
            <w:r w:rsidRPr="006448A3">
              <w:rPr>
                <w:rStyle w:val="Hyperlink"/>
                <w:rFonts w:asciiTheme="majorHAnsi" w:hAnsiTheme="majorHAnsi" w:cstheme="majorHAnsi"/>
                <w:noProof/>
                <w:color w:val="000000" w:themeColor="text1"/>
                <w:lang w:val="en-GB"/>
              </w:rPr>
              <w:t>References</w:t>
            </w:r>
            <w:r w:rsidRPr="006448A3">
              <w:rPr>
                <w:rFonts w:asciiTheme="majorHAnsi" w:hAnsiTheme="majorHAnsi" w:cstheme="majorHAnsi"/>
                <w:noProof/>
                <w:webHidden/>
                <w:color w:val="000000" w:themeColor="text1"/>
                <w:lang w:val="en-GB"/>
              </w:rPr>
              <w:tab/>
            </w:r>
            <w:r w:rsidRPr="006448A3">
              <w:rPr>
                <w:rFonts w:asciiTheme="majorHAnsi" w:hAnsiTheme="majorHAnsi" w:cstheme="majorHAnsi"/>
                <w:noProof/>
                <w:webHidden/>
                <w:color w:val="000000" w:themeColor="text1"/>
                <w:lang w:val="en-GB"/>
              </w:rPr>
              <w:fldChar w:fldCharType="begin"/>
            </w:r>
            <w:r w:rsidRPr="006448A3">
              <w:rPr>
                <w:rFonts w:asciiTheme="majorHAnsi" w:hAnsiTheme="majorHAnsi" w:cstheme="majorHAnsi"/>
                <w:noProof/>
                <w:webHidden/>
                <w:color w:val="000000" w:themeColor="text1"/>
                <w:lang w:val="en-GB"/>
              </w:rPr>
              <w:instrText xml:space="preserve"> PAGEREF _Toc221980692 \h </w:instrText>
            </w:r>
            <w:r w:rsidRPr="006448A3">
              <w:rPr>
                <w:rFonts w:asciiTheme="majorHAnsi" w:hAnsiTheme="majorHAnsi" w:cstheme="majorHAnsi"/>
                <w:noProof/>
                <w:webHidden/>
                <w:color w:val="000000" w:themeColor="text1"/>
                <w:lang w:val="en-GB"/>
              </w:rPr>
            </w:r>
            <w:r w:rsidRPr="006448A3">
              <w:rPr>
                <w:rFonts w:asciiTheme="majorHAnsi" w:hAnsiTheme="majorHAnsi" w:cstheme="majorHAnsi"/>
                <w:noProof/>
                <w:webHidden/>
                <w:color w:val="000000" w:themeColor="text1"/>
                <w:lang w:val="en-GB"/>
              </w:rPr>
              <w:fldChar w:fldCharType="separate"/>
            </w:r>
            <w:r w:rsidRPr="006448A3">
              <w:rPr>
                <w:rFonts w:asciiTheme="majorHAnsi" w:hAnsiTheme="majorHAnsi" w:cstheme="majorHAnsi"/>
                <w:noProof/>
                <w:webHidden/>
                <w:color w:val="000000" w:themeColor="text1"/>
                <w:lang w:val="en-GB"/>
              </w:rPr>
              <w:t>30</w:t>
            </w:r>
            <w:r w:rsidRPr="006448A3">
              <w:rPr>
                <w:rFonts w:asciiTheme="majorHAnsi" w:hAnsiTheme="majorHAnsi" w:cstheme="majorHAnsi"/>
                <w:noProof/>
                <w:webHidden/>
                <w:color w:val="000000" w:themeColor="text1"/>
                <w:lang w:val="en-GB"/>
              </w:rPr>
              <w:fldChar w:fldCharType="end"/>
            </w:r>
          </w:hyperlink>
        </w:p>
        <w:p w14:paraId="462909A8" w14:textId="0F04417D" w:rsidR="006448A3" w:rsidRPr="006448A3" w:rsidRDefault="006448A3"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b/>
              <w:bCs/>
              <w:noProof/>
              <w:color w:val="000000" w:themeColor="text1"/>
              <w:lang w:val="en-GB"/>
            </w:rPr>
            <w:fldChar w:fldCharType="end"/>
          </w:r>
        </w:p>
      </w:sdtContent>
    </w:sdt>
    <w:p w14:paraId="3A73FF77" w14:textId="0CCB6A87" w:rsidR="00A0001D" w:rsidRPr="006448A3" w:rsidRDefault="00000000" w:rsidP="006448A3">
      <w:pPr>
        <w:spacing w:before="100" w:beforeAutospacing="1" w:after="100" w:afterAutospacing="1"/>
        <w:rPr>
          <w:rFonts w:asciiTheme="majorHAnsi" w:hAnsiTheme="majorHAnsi" w:cstheme="majorHAnsi"/>
          <w:b/>
          <w:bCs/>
          <w:color w:val="000000" w:themeColor="text1"/>
          <w:lang w:val="en-GB"/>
        </w:rPr>
      </w:pPr>
      <w:r w:rsidRPr="006448A3">
        <w:rPr>
          <w:rFonts w:asciiTheme="majorHAnsi" w:hAnsiTheme="majorHAnsi" w:cstheme="majorHAnsi"/>
          <w:color w:val="000000" w:themeColor="text1"/>
          <w:lang w:val="en-GB"/>
        </w:rPr>
        <w:br w:type="page"/>
      </w:r>
    </w:p>
    <w:p w14:paraId="0F1C578B" w14:textId="77777777" w:rsidR="00A0001D" w:rsidRPr="006448A3" w:rsidRDefault="00000000" w:rsidP="006448A3">
      <w:pPr>
        <w:pStyle w:val="Heading1"/>
        <w:spacing w:before="100" w:beforeAutospacing="1" w:after="100" w:afterAutospacing="1"/>
        <w:rPr>
          <w:rFonts w:asciiTheme="majorHAnsi" w:hAnsiTheme="majorHAnsi" w:cstheme="majorHAnsi"/>
          <w:color w:val="000000" w:themeColor="text1"/>
          <w:lang w:val="en-GB"/>
        </w:rPr>
      </w:pPr>
      <w:bookmarkStart w:id="0" w:name="_b9jtmlrzij7v" w:colFirst="0" w:colLast="0"/>
      <w:bookmarkStart w:id="1" w:name="_Toc221980673"/>
      <w:bookmarkEnd w:id="0"/>
      <w:r w:rsidRPr="006448A3">
        <w:rPr>
          <w:rFonts w:asciiTheme="majorHAnsi" w:hAnsiTheme="majorHAnsi" w:cstheme="majorHAnsi"/>
          <w:color w:val="000000" w:themeColor="text1"/>
          <w:lang w:val="en-GB"/>
        </w:rPr>
        <w:lastRenderedPageBreak/>
        <w:t>Part A: Project Proposal Poster</w:t>
      </w:r>
      <w:bookmarkEnd w:id="1"/>
    </w:p>
    <w:p w14:paraId="3C044BB9" w14:textId="4D830644" w:rsidR="001A20CF" w:rsidRDefault="00CD18DF" w:rsidP="006448A3">
      <w:pPr>
        <w:spacing w:before="100" w:beforeAutospacing="1" w:after="100" w:afterAutospacing="1"/>
        <w:rPr>
          <w:rFonts w:asciiTheme="majorHAnsi" w:hAnsiTheme="majorHAnsi" w:cstheme="majorHAnsi"/>
          <w:i/>
          <w:iCs/>
          <w:color w:val="000000" w:themeColor="text1"/>
          <w:lang w:val="en-GB"/>
        </w:rPr>
      </w:pPr>
      <w:r w:rsidRPr="00CD18DF">
        <w:rPr>
          <w:rFonts w:asciiTheme="majorHAnsi" w:hAnsiTheme="majorHAnsi" w:cstheme="majorHAnsi"/>
          <w:i/>
          <w:iCs/>
          <w:noProof/>
          <w:color w:val="000000" w:themeColor="text1"/>
          <w:lang w:val="en-GB"/>
        </w:rPr>
        <w:lastRenderedPageBreak/>
        <w:drawing>
          <wp:inline distT="0" distB="0" distL="0" distR="0" wp14:anchorId="36945085" wp14:editId="72E1D4C8">
            <wp:extent cx="5681980" cy="8229600"/>
            <wp:effectExtent l="0" t="0" r="0" b="0"/>
            <wp:docPr id="1145820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820551" name=""/>
                    <pic:cNvPicPr/>
                  </pic:nvPicPr>
                  <pic:blipFill>
                    <a:blip r:embed="rId10"/>
                    <a:stretch>
                      <a:fillRect/>
                    </a:stretch>
                  </pic:blipFill>
                  <pic:spPr>
                    <a:xfrm>
                      <a:off x="0" y="0"/>
                      <a:ext cx="5681980" cy="8229600"/>
                    </a:xfrm>
                    <a:prstGeom prst="rect">
                      <a:avLst/>
                    </a:prstGeom>
                  </pic:spPr>
                </pic:pic>
              </a:graphicData>
            </a:graphic>
          </wp:inline>
        </w:drawing>
      </w:r>
    </w:p>
    <w:p w14:paraId="125F5842" w14:textId="4DAA5578" w:rsidR="00A0001D" w:rsidRPr="00CD18DF" w:rsidRDefault="001A20CF" w:rsidP="00CD18DF">
      <w:pPr>
        <w:spacing w:before="100" w:beforeAutospacing="1" w:after="100" w:afterAutospacing="1"/>
        <w:rPr>
          <w:rFonts w:asciiTheme="majorHAnsi" w:hAnsiTheme="majorHAnsi" w:cstheme="majorHAnsi"/>
          <w:color w:val="000000" w:themeColor="text1"/>
          <w:lang w:val="en-IN"/>
        </w:rPr>
      </w:pPr>
      <w:r w:rsidRPr="001A20CF">
        <w:rPr>
          <w:rFonts w:asciiTheme="majorHAnsi" w:hAnsiTheme="majorHAnsi" w:cstheme="majorHAnsi"/>
          <w:color w:val="000000" w:themeColor="text1"/>
          <w:lang w:val="en-GB"/>
        </w:rPr>
        <w:lastRenderedPageBreak/>
        <w:t>Th</w:t>
      </w:r>
      <w:r w:rsidR="00CD18DF">
        <w:rPr>
          <w:rFonts w:asciiTheme="majorHAnsi" w:hAnsiTheme="majorHAnsi" w:cstheme="majorHAnsi"/>
          <w:color w:val="000000" w:themeColor="text1"/>
          <w:lang w:val="en-GB"/>
        </w:rPr>
        <w:t>e A4440 SLR</w:t>
      </w:r>
      <w:r w:rsidRPr="001A20CF">
        <w:rPr>
          <w:rFonts w:asciiTheme="majorHAnsi" w:hAnsiTheme="majorHAnsi" w:cstheme="majorHAnsi"/>
          <w:color w:val="000000" w:themeColor="text1"/>
          <w:lang w:val="en-GB"/>
        </w:rPr>
        <w:t xml:space="preserve"> road was badly damaged during the 2025 West Midlands flood and challenges like bridge foundation weakening, erosion of structural base, and drainage system failure emerged. Nevertheless, A4440 was blocked in parts due to debris clogging the road and making it unsafe for use. This led to delays and supply chain disruptions and affected local businesses. </w:t>
      </w:r>
      <w:r w:rsidRPr="006448A3">
        <w:rPr>
          <w:rFonts w:asciiTheme="majorHAnsi" w:hAnsiTheme="majorHAnsi" w:cstheme="majorHAnsi"/>
          <w:color w:val="000000" w:themeColor="text1"/>
          <w:lang w:val="en-GB"/>
        </w:rPr>
        <w:t xml:space="preserve">The key stakeholders are identified using the Stakeholder Matrix and it simplifies stakeholder engagement and collaboration (Zhu </w:t>
      </w:r>
      <w:r w:rsidRPr="006448A3">
        <w:rPr>
          <w:rFonts w:asciiTheme="majorHAnsi" w:hAnsiTheme="majorHAnsi" w:cstheme="majorHAnsi"/>
          <w:i/>
          <w:iCs/>
          <w:color w:val="000000" w:themeColor="text1"/>
          <w:lang w:val="en-GB"/>
        </w:rPr>
        <w:t xml:space="preserve">et al. </w:t>
      </w:r>
      <w:r w:rsidRPr="006448A3">
        <w:rPr>
          <w:rFonts w:asciiTheme="majorHAnsi" w:hAnsiTheme="majorHAnsi" w:cstheme="majorHAnsi"/>
          <w:color w:val="000000" w:themeColor="text1"/>
          <w:lang w:val="en-GB"/>
        </w:rPr>
        <w:t>2024).</w:t>
      </w:r>
      <w:r>
        <w:rPr>
          <w:rFonts w:asciiTheme="majorHAnsi" w:hAnsiTheme="majorHAnsi" w:cstheme="majorHAnsi"/>
          <w:color w:val="000000" w:themeColor="text1"/>
          <w:lang w:val="en-IN"/>
        </w:rPr>
        <w:t xml:space="preserve"> </w:t>
      </w:r>
      <w:r w:rsidRPr="006448A3">
        <w:rPr>
          <w:rFonts w:asciiTheme="majorHAnsi" w:hAnsiTheme="majorHAnsi" w:cstheme="majorHAnsi"/>
          <w:color w:val="000000" w:themeColor="text1"/>
          <w:lang w:val="en-GB"/>
        </w:rPr>
        <w:t xml:space="preserve">This has helped to categorise stakeholders based on their power and influence/interest. </w:t>
      </w:r>
      <w:r w:rsidRPr="001A20CF">
        <w:rPr>
          <w:rFonts w:asciiTheme="majorHAnsi" w:hAnsiTheme="majorHAnsi" w:cstheme="majorHAnsi"/>
          <w:color w:val="000000" w:themeColor="text1"/>
          <w:lang w:val="en-GB"/>
        </w:rPr>
        <w:t xml:space="preserve">Notably, this project will not cover residential property repairs and the reconstruction of the river defence. </w:t>
      </w:r>
    </w:p>
    <w:p w14:paraId="46E4578D" w14:textId="17D21AC0" w:rsidR="00A0001D" w:rsidRPr="006448A3" w:rsidRDefault="00000000" w:rsidP="006448A3">
      <w:pPr>
        <w:pStyle w:val="Heading1"/>
        <w:rPr>
          <w:lang w:val="en-GB"/>
        </w:rPr>
      </w:pPr>
      <w:bookmarkStart w:id="2" w:name="_Toc221980674"/>
      <w:r w:rsidRPr="006448A3">
        <w:rPr>
          <w:lang w:val="en-GB"/>
        </w:rPr>
        <w:t>Part B: Reflection</w:t>
      </w:r>
      <w:bookmarkEnd w:id="2"/>
    </w:p>
    <w:p w14:paraId="40FFA20D"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The reflective model of Gibbs has been used to present personal feelings and experiences in an academically sound manner. </w:t>
      </w:r>
    </w:p>
    <w:p w14:paraId="29F8A0CB"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noProof/>
          <w:color w:val="000000" w:themeColor="text1"/>
          <w:lang w:val="en-GB"/>
        </w:rPr>
        <w:lastRenderedPageBreak/>
        <w:drawing>
          <wp:inline distT="114300" distB="114300" distL="114300" distR="114300" wp14:anchorId="4E7F90C9" wp14:editId="0EE244AA">
            <wp:extent cx="5257800" cy="542925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257800" cy="5429250"/>
                    </a:xfrm>
                    <a:prstGeom prst="rect">
                      <a:avLst/>
                    </a:prstGeom>
                    <a:ln/>
                  </pic:spPr>
                </pic:pic>
              </a:graphicData>
            </a:graphic>
          </wp:inline>
        </w:drawing>
      </w:r>
    </w:p>
    <w:p w14:paraId="423D5DF1" w14:textId="77777777" w:rsidR="00A0001D" w:rsidRPr="006448A3" w:rsidRDefault="00000000" w:rsidP="006448A3">
      <w:pP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Figure 1: Gibbs reflective model</w:t>
      </w:r>
    </w:p>
    <w:p w14:paraId="4749CA5B" w14:textId="77777777" w:rsidR="00A0001D" w:rsidRPr="006448A3" w:rsidRDefault="00000000" w:rsidP="006448A3">
      <w:pPr>
        <w:spacing w:before="100" w:beforeAutospacing="1" w:after="100" w:afterAutospacing="1"/>
        <w:jc w:val="center"/>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(Source: Dutta </w:t>
      </w:r>
      <w:r w:rsidRPr="006448A3">
        <w:rPr>
          <w:rFonts w:asciiTheme="majorHAnsi" w:hAnsiTheme="majorHAnsi" w:cstheme="majorHAnsi"/>
          <w:i/>
          <w:iCs/>
          <w:color w:val="000000" w:themeColor="text1"/>
          <w:lang w:val="en-GB"/>
        </w:rPr>
        <w:t xml:space="preserve">et al. </w:t>
      </w:r>
      <w:r w:rsidRPr="006448A3">
        <w:rPr>
          <w:rFonts w:asciiTheme="majorHAnsi" w:hAnsiTheme="majorHAnsi" w:cstheme="majorHAnsi"/>
          <w:color w:val="000000" w:themeColor="text1"/>
          <w:lang w:val="en-GB"/>
        </w:rPr>
        <w:t>2023)</w:t>
      </w:r>
    </w:p>
    <w:p w14:paraId="74E4DCCC" w14:textId="77777777" w:rsidR="00A0001D" w:rsidRPr="006448A3" w:rsidRDefault="00000000" w:rsidP="006448A3">
      <w:pPr>
        <w:pStyle w:val="Heading2"/>
        <w:spacing w:before="100" w:beforeAutospacing="1" w:after="100" w:afterAutospacing="1"/>
        <w:rPr>
          <w:rFonts w:asciiTheme="majorHAnsi" w:hAnsiTheme="majorHAnsi" w:cstheme="majorHAnsi"/>
          <w:color w:val="000000" w:themeColor="text1"/>
          <w:lang w:val="en-GB"/>
        </w:rPr>
      </w:pPr>
      <w:bookmarkStart w:id="3" w:name="_ndmqy45x9gfg" w:colFirst="0" w:colLast="0"/>
      <w:bookmarkStart w:id="4" w:name="_Toc221980675"/>
      <w:bookmarkEnd w:id="3"/>
      <w:r w:rsidRPr="006448A3">
        <w:rPr>
          <w:rFonts w:asciiTheme="majorHAnsi" w:hAnsiTheme="majorHAnsi" w:cstheme="majorHAnsi"/>
          <w:color w:val="000000" w:themeColor="text1"/>
          <w:lang w:val="en-GB"/>
        </w:rPr>
        <w:t>Description</w:t>
      </w:r>
      <w:bookmarkEnd w:id="4"/>
    </w:p>
    <w:p w14:paraId="0AF772DA"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Upon presenting the project proposal poster, I received constructive feedback from my peers and, most importantly, from tutors. Despite the feedback indicating strengths as well as weaknesses of the proposal, I was initially upset, thinking I had failed to evaluate a robust project proposal. However, I understood that these feedbacks are an opportunity to improve the final </w:t>
      </w:r>
      <w:r w:rsidRPr="006448A3">
        <w:rPr>
          <w:rFonts w:asciiTheme="majorHAnsi" w:hAnsiTheme="majorHAnsi" w:cstheme="majorHAnsi"/>
          <w:color w:val="000000" w:themeColor="text1"/>
          <w:lang w:val="en-GB"/>
        </w:rPr>
        <w:lastRenderedPageBreak/>
        <w:t xml:space="preserve">project. Ahmadpour </w:t>
      </w:r>
      <w:r w:rsidRPr="006448A3">
        <w:rPr>
          <w:rFonts w:asciiTheme="majorHAnsi" w:hAnsiTheme="majorHAnsi" w:cstheme="majorHAnsi"/>
          <w:i/>
          <w:iCs/>
          <w:color w:val="000000" w:themeColor="text1"/>
          <w:lang w:val="en-GB"/>
        </w:rPr>
        <w:t xml:space="preserve">et al. </w:t>
      </w:r>
      <w:r w:rsidRPr="006448A3">
        <w:rPr>
          <w:rFonts w:asciiTheme="majorHAnsi" w:hAnsiTheme="majorHAnsi" w:cstheme="majorHAnsi"/>
          <w:color w:val="000000" w:themeColor="text1"/>
          <w:lang w:val="en-GB"/>
        </w:rPr>
        <w:t xml:space="preserve">(2025) mentioned that the Gibbs reflective model helps students to improve communication skills and self-awareness. In my case, the application of this reflective model has helped me to link the feedback with my weaknesses. One key strength of the proposal identified by one of peer was the clear presentation of the background and problem statement and objectives. On the contrary, the tutor mentioned that the Gantt chart lacked visual clarity. Improving this limitation can add more clarity to the final project.  </w:t>
      </w:r>
    </w:p>
    <w:p w14:paraId="51FDC8AC" w14:textId="77777777" w:rsidR="00A0001D" w:rsidRPr="006448A3" w:rsidRDefault="00000000" w:rsidP="006448A3">
      <w:pPr>
        <w:pStyle w:val="Heading2"/>
        <w:spacing w:before="100" w:beforeAutospacing="1" w:after="100" w:afterAutospacing="1"/>
        <w:rPr>
          <w:rFonts w:asciiTheme="majorHAnsi" w:hAnsiTheme="majorHAnsi" w:cstheme="majorHAnsi"/>
          <w:color w:val="000000" w:themeColor="text1"/>
          <w:lang w:val="en-GB"/>
        </w:rPr>
      </w:pPr>
      <w:bookmarkStart w:id="5" w:name="_w7cx75jfidaz" w:colFirst="0" w:colLast="0"/>
      <w:bookmarkStart w:id="6" w:name="_Toc221980676"/>
      <w:bookmarkEnd w:id="5"/>
      <w:r w:rsidRPr="006448A3">
        <w:rPr>
          <w:rFonts w:asciiTheme="majorHAnsi" w:hAnsiTheme="majorHAnsi" w:cstheme="majorHAnsi"/>
          <w:color w:val="000000" w:themeColor="text1"/>
          <w:lang w:val="en-GB"/>
        </w:rPr>
        <w:t>Feelings</w:t>
      </w:r>
      <w:bookmarkEnd w:id="6"/>
    </w:p>
    <w:p w14:paraId="10084029"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Initially, I had a negative feeling as I thought that I had failed to prepare a robust project proposal. However, I realised that peers and tutors indicated both strengths and weaknesses of the proposal. Addressing the weaknesses can help me improve the final project and score higher marks. Upon reflecting on the weaknesses of the proposal, I came up with constructive solutions that can improve my academic knowledge and soft skills. </w:t>
      </w:r>
    </w:p>
    <w:p w14:paraId="279217EC" w14:textId="77777777" w:rsidR="00A0001D" w:rsidRPr="006448A3" w:rsidRDefault="00000000" w:rsidP="006448A3">
      <w:pPr>
        <w:pStyle w:val="Heading2"/>
        <w:spacing w:before="100" w:beforeAutospacing="1" w:after="100" w:afterAutospacing="1"/>
        <w:rPr>
          <w:rFonts w:asciiTheme="majorHAnsi" w:hAnsiTheme="majorHAnsi" w:cstheme="majorHAnsi"/>
          <w:color w:val="000000" w:themeColor="text1"/>
          <w:lang w:val="en-GB"/>
        </w:rPr>
      </w:pPr>
      <w:bookmarkStart w:id="7" w:name="_i0dh74ozktdp" w:colFirst="0" w:colLast="0"/>
      <w:bookmarkStart w:id="8" w:name="_Toc221980677"/>
      <w:bookmarkEnd w:id="7"/>
      <w:r w:rsidRPr="006448A3">
        <w:rPr>
          <w:rFonts w:asciiTheme="majorHAnsi" w:hAnsiTheme="majorHAnsi" w:cstheme="majorHAnsi"/>
          <w:color w:val="000000" w:themeColor="text1"/>
          <w:lang w:val="en-GB"/>
        </w:rPr>
        <w:t>Evaluation</w:t>
      </w:r>
      <w:bookmarkEnd w:id="8"/>
    </w:p>
    <w:p w14:paraId="2AAC86F6" w14:textId="65CB7FE6"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The good part of this </w:t>
      </w:r>
      <w:r w:rsidR="006448A3" w:rsidRPr="006448A3">
        <w:rPr>
          <w:rFonts w:asciiTheme="majorHAnsi" w:hAnsiTheme="majorHAnsi" w:cstheme="majorHAnsi"/>
          <w:color w:val="000000" w:themeColor="text1"/>
          <w:lang w:val="en-GB"/>
        </w:rPr>
        <w:t>experience</w:t>
      </w:r>
      <w:r w:rsidRPr="006448A3">
        <w:rPr>
          <w:rFonts w:asciiTheme="majorHAnsi" w:hAnsiTheme="majorHAnsi" w:cstheme="majorHAnsi"/>
          <w:color w:val="000000" w:themeColor="text1"/>
          <w:lang w:val="en-GB"/>
        </w:rPr>
        <w:t xml:space="preserve"> that it helped me to initiate a cycle of continuous learning and development. In today’s dynamic world, continuous learning and development are essential to acquire new skills and improve employability (Shiri </w:t>
      </w:r>
      <w:r w:rsidRPr="006448A3">
        <w:rPr>
          <w:rFonts w:asciiTheme="majorHAnsi" w:hAnsiTheme="majorHAnsi" w:cstheme="majorHAnsi"/>
          <w:i/>
          <w:iCs/>
          <w:color w:val="000000" w:themeColor="text1"/>
          <w:lang w:val="en-GB"/>
        </w:rPr>
        <w:t xml:space="preserve">et al. </w:t>
      </w:r>
      <w:r w:rsidRPr="006448A3">
        <w:rPr>
          <w:rFonts w:asciiTheme="majorHAnsi" w:hAnsiTheme="majorHAnsi" w:cstheme="majorHAnsi"/>
          <w:color w:val="000000" w:themeColor="text1"/>
          <w:lang w:val="en-GB"/>
        </w:rPr>
        <w:t xml:space="preserve">2023). The application of the reflective model also helped in enhancing self-awareness about my own strengths and weaknesses. This allowed me to work on my weaknesses. Further, I felt disappointed at times, especially when I first received the negative feedback.  </w:t>
      </w:r>
    </w:p>
    <w:p w14:paraId="37C2571F" w14:textId="77777777" w:rsidR="00A0001D" w:rsidRPr="006448A3" w:rsidRDefault="00000000" w:rsidP="006448A3">
      <w:pPr>
        <w:pStyle w:val="Heading2"/>
        <w:spacing w:before="100" w:beforeAutospacing="1" w:after="100" w:afterAutospacing="1"/>
        <w:rPr>
          <w:rFonts w:asciiTheme="majorHAnsi" w:hAnsiTheme="majorHAnsi" w:cstheme="majorHAnsi"/>
          <w:color w:val="000000" w:themeColor="text1"/>
          <w:lang w:val="en-GB"/>
        </w:rPr>
      </w:pPr>
      <w:bookmarkStart w:id="9" w:name="_qvg864epmo8a" w:colFirst="0" w:colLast="0"/>
      <w:bookmarkStart w:id="10" w:name="_Toc221980678"/>
      <w:bookmarkEnd w:id="9"/>
      <w:r w:rsidRPr="006448A3">
        <w:rPr>
          <w:rFonts w:asciiTheme="majorHAnsi" w:hAnsiTheme="majorHAnsi" w:cstheme="majorHAnsi"/>
          <w:color w:val="000000" w:themeColor="text1"/>
          <w:lang w:val="en-GB"/>
        </w:rPr>
        <w:t>Analysis</w:t>
      </w:r>
      <w:bookmarkEnd w:id="10"/>
    </w:p>
    <w:p w14:paraId="35950C3D"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The situation is momentous for me to enhance my practical knowledge and skills in the project management domain. The opportunity to learn new project management techniques and paradigms can improve both my academic knowledge and professional skills. Although over time, I accepted that negative feedback is part of constructive criticism and this is an opportunity to prepare for the broader picture, which is the final project plan development. </w:t>
      </w:r>
    </w:p>
    <w:p w14:paraId="3203610B" w14:textId="77777777" w:rsidR="00A0001D" w:rsidRPr="006448A3" w:rsidRDefault="00000000" w:rsidP="006448A3">
      <w:pPr>
        <w:pStyle w:val="Heading2"/>
        <w:spacing w:before="100" w:beforeAutospacing="1" w:after="100" w:afterAutospacing="1"/>
        <w:rPr>
          <w:rFonts w:asciiTheme="majorHAnsi" w:hAnsiTheme="majorHAnsi" w:cstheme="majorHAnsi"/>
          <w:color w:val="000000" w:themeColor="text1"/>
          <w:lang w:val="en-GB"/>
        </w:rPr>
      </w:pPr>
      <w:bookmarkStart w:id="11" w:name="_wpze4df1mk88" w:colFirst="0" w:colLast="0"/>
      <w:bookmarkStart w:id="12" w:name="_Toc221980679"/>
      <w:bookmarkEnd w:id="11"/>
      <w:r w:rsidRPr="006448A3">
        <w:rPr>
          <w:rFonts w:asciiTheme="majorHAnsi" w:hAnsiTheme="majorHAnsi" w:cstheme="majorHAnsi"/>
          <w:color w:val="000000" w:themeColor="text1"/>
          <w:lang w:val="en-GB"/>
        </w:rPr>
        <w:lastRenderedPageBreak/>
        <w:t>Conclusion</w:t>
      </w:r>
      <w:bookmarkEnd w:id="12"/>
    </w:p>
    <w:p w14:paraId="46AEB784" w14:textId="6B2423FF"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In conclusion, the feedback was highly constructive and helped me understand the logical limitations of the project proposal and evaluate strategies address those limitations in the final </w:t>
      </w:r>
      <w:r w:rsidR="006448A3" w:rsidRPr="006448A3">
        <w:rPr>
          <w:rFonts w:asciiTheme="majorHAnsi" w:hAnsiTheme="majorHAnsi" w:cstheme="majorHAnsi"/>
          <w:color w:val="000000" w:themeColor="text1"/>
          <w:lang w:val="en-GB"/>
        </w:rPr>
        <w:t>project plan</w:t>
      </w:r>
      <w:r w:rsidRPr="006448A3">
        <w:rPr>
          <w:rFonts w:asciiTheme="majorHAnsi" w:hAnsiTheme="majorHAnsi" w:cstheme="majorHAnsi"/>
          <w:color w:val="000000" w:themeColor="text1"/>
          <w:lang w:val="en-GB"/>
        </w:rPr>
        <w:t xml:space="preserve">. I will focus on incorporating technical depth, visual clarity, and robust project management practices in the project plan.  </w:t>
      </w:r>
    </w:p>
    <w:p w14:paraId="37C31899" w14:textId="77777777" w:rsidR="00A0001D" w:rsidRPr="006448A3" w:rsidRDefault="00000000" w:rsidP="006448A3">
      <w:pPr>
        <w:pStyle w:val="Heading2"/>
        <w:spacing w:before="100" w:beforeAutospacing="1" w:after="100" w:afterAutospacing="1"/>
        <w:rPr>
          <w:rFonts w:asciiTheme="majorHAnsi" w:hAnsiTheme="majorHAnsi" w:cstheme="majorHAnsi"/>
          <w:color w:val="000000" w:themeColor="text1"/>
          <w:lang w:val="en-GB"/>
        </w:rPr>
      </w:pPr>
      <w:bookmarkStart w:id="13" w:name="_wi4cg42mz92j" w:colFirst="0" w:colLast="0"/>
      <w:bookmarkStart w:id="14" w:name="_Toc221980680"/>
      <w:bookmarkEnd w:id="13"/>
      <w:r w:rsidRPr="006448A3">
        <w:rPr>
          <w:rFonts w:asciiTheme="majorHAnsi" w:hAnsiTheme="majorHAnsi" w:cstheme="majorHAnsi"/>
          <w:color w:val="000000" w:themeColor="text1"/>
          <w:lang w:val="en-GB"/>
        </w:rPr>
        <w:t>Action Plan</w:t>
      </w:r>
      <w:bookmarkEnd w:id="14"/>
      <w:r w:rsidRPr="006448A3">
        <w:rPr>
          <w:rFonts w:asciiTheme="majorHAnsi" w:hAnsiTheme="majorHAnsi" w:cstheme="majorHAnsi"/>
          <w:color w:val="000000" w:themeColor="text1"/>
          <w:lang w:val="en-GB"/>
        </w:rPr>
        <w:t xml:space="preserve">  </w:t>
      </w:r>
    </w:p>
    <w:p w14:paraId="529370A9"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My action plan involves improving the project schedule presentation and improving the Gantt chart. Using professional software like MS Project or Project Libre can help me in this purpose. The second plan is to include project management techniques in the project plan to improve overall presentation and justify my approach. The risk management section can also be improved by enhancing the mitigation strategies. </w:t>
      </w:r>
    </w:p>
    <w:p w14:paraId="7D55DD61" w14:textId="77777777" w:rsidR="00A0001D" w:rsidRPr="006448A3" w:rsidRDefault="00000000" w:rsidP="006448A3">
      <w:pPr>
        <w:pStyle w:val="Heading1"/>
        <w:spacing w:before="100" w:beforeAutospacing="1" w:after="100" w:afterAutospacing="1"/>
        <w:rPr>
          <w:rFonts w:asciiTheme="majorHAnsi" w:hAnsiTheme="majorHAnsi" w:cstheme="majorHAnsi"/>
          <w:color w:val="000000" w:themeColor="text1"/>
          <w:lang w:val="en-GB"/>
        </w:rPr>
      </w:pPr>
      <w:bookmarkStart w:id="15" w:name="_hqdf3n15vj1h" w:colFirst="0" w:colLast="0"/>
      <w:bookmarkStart w:id="16" w:name="_Toc221980681"/>
      <w:bookmarkEnd w:id="15"/>
      <w:r w:rsidRPr="006448A3">
        <w:rPr>
          <w:rFonts w:asciiTheme="majorHAnsi" w:hAnsiTheme="majorHAnsi" w:cstheme="majorHAnsi"/>
          <w:color w:val="000000" w:themeColor="text1"/>
          <w:lang w:val="en-GB"/>
        </w:rPr>
        <w:t>Part C: Project Management Plan</w:t>
      </w:r>
      <w:bookmarkEnd w:id="16"/>
    </w:p>
    <w:p w14:paraId="621AD835" w14:textId="77777777" w:rsidR="00A0001D" w:rsidRPr="006448A3" w:rsidRDefault="00000000" w:rsidP="006448A3">
      <w:pPr>
        <w:pStyle w:val="Heading2"/>
        <w:spacing w:before="100" w:beforeAutospacing="1" w:after="100" w:afterAutospacing="1"/>
        <w:rPr>
          <w:rFonts w:asciiTheme="majorHAnsi" w:hAnsiTheme="majorHAnsi" w:cstheme="majorHAnsi"/>
          <w:color w:val="000000" w:themeColor="text1"/>
          <w:lang w:val="en-GB"/>
        </w:rPr>
      </w:pPr>
      <w:bookmarkStart w:id="17" w:name="_6xus29y4k6hp" w:colFirst="0" w:colLast="0"/>
      <w:bookmarkStart w:id="18" w:name="_Toc221980682"/>
      <w:bookmarkEnd w:id="17"/>
      <w:r w:rsidRPr="006448A3">
        <w:rPr>
          <w:rFonts w:asciiTheme="majorHAnsi" w:hAnsiTheme="majorHAnsi" w:cstheme="majorHAnsi"/>
          <w:color w:val="000000" w:themeColor="text1"/>
          <w:lang w:val="en-GB"/>
        </w:rPr>
        <w:t>1. Introduction</w:t>
      </w:r>
      <w:bookmarkEnd w:id="18"/>
    </w:p>
    <w:p w14:paraId="3AE560C4"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Climate change and global warming are making extreme weather events more frequent and causing devastation. The West Midlands in June 2025 has fallen prey to extreme weather events in the form of raging floods, which affected one of the most important road transport systems passing through Worcestershire. The A4440 Southern Link Road (SLR) was heavily damaged due to the flood. Being a key road infrastructure, the damaged road was creating both transport and economic challenges, hindering supply chains, local areas, and small businesses across the region. Emergency reopening of the A4440 SLR emerged as a critical task to reestablish and streamline the connection between the east and west-bound traffic bypassing Worcester City Centre. In this context, a project has been planned to repair the structural damage across this 4.6-mile-long road. It is aimed to reopen the A4440 highway within 90 days on an emergency basis and complete the restoration work within 180 days to streamline connectivity. This report will present a comprehensive plan for the mentioned project.</w:t>
      </w:r>
    </w:p>
    <w:p w14:paraId="0CBE0E2E"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lastRenderedPageBreak/>
        <w:br w:type="page"/>
      </w:r>
    </w:p>
    <w:p w14:paraId="7232BF6B" w14:textId="77777777" w:rsidR="00A0001D" w:rsidRPr="006448A3" w:rsidRDefault="00000000" w:rsidP="006448A3">
      <w:pP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noProof/>
          <w:color w:val="000000" w:themeColor="text1"/>
          <w:lang w:val="en-GB"/>
        </w:rPr>
        <w:lastRenderedPageBreak/>
        <w:drawing>
          <wp:inline distT="114300" distB="114300" distL="114300" distR="114300" wp14:anchorId="1970F8D7" wp14:editId="1E0703BC">
            <wp:extent cx="5943600" cy="3657600"/>
            <wp:effectExtent l="0" t="0" r="0" b="0"/>
            <wp:docPr id="1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2"/>
                    <a:srcRect/>
                    <a:stretch>
                      <a:fillRect/>
                    </a:stretch>
                  </pic:blipFill>
                  <pic:spPr>
                    <a:xfrm>
                      <a:off x="0" y="0"/>
                      <a:ext cx="5943600" cy="3657600"/>
                    </a:xfrm>
                    <a:prstGeom prst="rect">
                      <a:avLst/>
                    </a:prstGeom>
                    <a:ln/>
                  </pic:spPr>
                </pic:pic>
              </a:graphicData>
            </a:graphic>
          </wp:inline>
        </w:drawing>
      </w:r>
      <w:r w:rsidRPr="006448A3">
        <w:rPr>
          <w:rFonts w:asciiTheme="majorHAnsi" w:hAnsiTheme="majorHAnsi" w:cstheme="majorHAnsi"/>
          <w:b/>
          <w:bCs/>
          <w:color w:val="000000" w:themeColor="text1"/>
          <w:lang w:val="en-GB"/>
        </w:rPr>
        <w:t>Figure 2: Aerial view of A4440 SLR</w:t>
      </w:r>
    </w:p>
    <w:p w14:paraId="1FE65B5E" w14:textId="77777777" w:rsidR="00A0001D" w:rsidRPr="006448A3" w:rsidRDefault="00000000" w:rsidP="006448A3">
      <w:pPr>
        <w:spacing w:before="100" w:beforeAutospacing="1" w:after="100" w:afterAutospacing="1"/>
        <w:jc w:val="center"/>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(Source: </w:t>
      </w:r>
      <w:r w:rsidRPr="006448A3">
        <w:rPr>
          <w:rFonts w:asciiTheme="majorHAnsi" w:eastAsia="Times New Roman" w:hAnsiTheme="majorHAnsi" w:cstheme="majorHAnsi"/>
          <w:color w:val="000000" w:themeColor="text1"/>
          <w:highlight w:val="white"/>
          <w:lang w:val="en-GB"/>
        </w:rPr>
        <w:t>Worcestershire, n.d)</w:t>
      </w:r>
      <w:r w:rsidRPr="006448A3">
        <w:rPr>
          <w:rFonts w:asciiTheme="majorHAnsi" w:hAnsiTheme="majorHAnsi" w:cstheme="majorHAnsi"/>
          <w:color w:val="000000" w:themeColor="text1"/>
          <w:lang w:val="en-GB"/>
        </w:rPr>
        <w:t xml:space="preserve">  </w:t>
      </w:r>
    </w:p>
    <w:p w14:paraId="634BE369" w14:textId="77777777" w:rsidR="00A0001D" w:rsidRPr="006448A3" w:rsidRDefault="00000000" w:rsidP="006448A3">
      <w:pPr>
        <w:pStyle w:val="Heading2"/>
        <w:spacing w:before="100" w:beforeAutospacing="1" w:after="100" w:afterAutospacing="1"/>
        <w:rPr>
          <w:rFonts w:asciiTheme="majorHAnsi" w:hAnsiTheme="majorHAnsi" w:cstheme="majorHAnsi"/>
          <w:color w:val="000000" w:themeColor="text1"/>
          <w:lang w:val="en-GB"/>
        </w:rPr>
      </w:pPr>
      <w:bookmarkStart w:id="19" w:name="_mgdv8skpbnj4" w:colFirst="0" w:colLast="0"/>
      <w:bookmarkStart w:id="20" w:name="_Toc221980683"/>
      <w:bookmarkEnd w:id="19"/>
      <w:r w:rsidRPr="006448A3">
        <w:rPr>
          <w:rFonts w:asciiTheme="majorHAnsi" w:hAnsiTheme="majorHAnsi" w:cstheme="majorHAnsi"/>
          <w:color w:val="000000" w:themeColor="text1"/>
          <w:lang w:val="en-GB"/>
        </w:rPr>
        <w:t>2. Project Description</w:t>
      </w:r>
      <w:bookmarkEnd w:id="20"/>
    </w:p>
    <w:p w14:paraId="7160312C"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The proposed project on </w:t>
      </w:r>
      <w:r w:rsidRPr="006448A3">
        <w:rPr>
          <w:rFonts w:asciiTheme="majorHAnsi" w:hAnsiTheme="majorHAnsi" w:cstheme="majorHAnsi"/>
          <w:i/>
          <w:iCs/>
          <w:color w:val="000000" w:themeColor="text1"/>
          <w:lang w:val="en-GB"/>
        </w:rPr>
        <w:t xml:space="preserve">‘Emergency Restoration of the A4440 SLR’ </w:t>
      </w:r>
      <w:r w:rsidRPr="006448A3">
        <w:rPr>
          <w:rFonts w:asciiTheme="majorHAnsi" w:hAnsiTheme="majorHAnsi" w:cstheme="majorHAnsi"/>
          <w:color w:val="000000" w:themeColor="text1"/>
          <w:lang w:val="en-GB"/>
        </w:rPr>
        <w:t xml:space="preserve">aims to address the critical infrastructure damage caused by the flood across the West Midlands in July 2025. The A4440 SLR is located in Worcester, which plays a vital role in ensuring free flow of traffic bypassing the city centre and is one of the two roads crossing the River Severn (Worcestershire, n.d). The damaged road is not only affecting traffic flow through the area but also creating economic losses. Parliament (2025) studied that delayed infrastructure restoration in rural areas that are affected by floods and other extreme weather events has an economic impact along with long-term social consequences. In this context, repairing the A4440 SLR on an emergency basis is the utmost priority to reduce economic damage and restore traffic flow. The prime purpose of this project extends beyond merely repairing the potholes created by the flood or clearing the stuck debris. </w:t>
      </w:r>
      <w:r w:rsidRPr="006448A3">
        <w:rPr>
          <w:rFonts w:asciiTheme="majorHAnsi" w:hAnsiTheme="majorHAnsi" w:cstheme="majorHAnsi"/>
          <w:color w:val="000000" w:themeColor="text1"/>
          <w:lang w:val="en-GB"/>
        </w:rPr>
        <w:lastRenderedPageBreak/>
        <w:t xml:space="preserve">This project is positioned beyond an emergency repair initiative and is more of a resilience-enhancing intervention.        </w:t>
      </w:r>
    </w:p>
    <w:p w14:paraId="124B52C2" w14:textId="77777777" w:rsidR="00A0001D" w:rsidRPr="006448A3" w:rsidRDefault="00000000" w:rsidP="006448A3">
      <w:pPr>
        <w:pStyle w:val="Heading2"/>
        <w:spacing w:before="100" w:beforeAutospacing="1" w:after="100" w:afterAutospacing="1"/>
        <w:rPr>
          <w:rFonts w:asciiTheme="majorHAnsi" w:hAnsiTheme="majorHAnsi" w:cstheme="majorHAnsi"/>
          <w:color w:val="000000" w:themeColor="text1"/>
          <w:lang w:val="en-GB"/>
        </w:rPr>
      </w:pPr>
      <w:bookmarkStart w:id="21" w:name="_9cqcl5p0x4sc" w:colFirst="0" w:colLast="0"/>
      <w:bookmarkStart w:id="22" w:name="_Toc221980684"/>
      <w:bookmarkEnd w:id="21"/>
      <w:r w:rsidRPr="006448A3">
        <w:rPr>
          <w:rFonts w:asciiTheme="majorHAnsi" w:hAnsiTheme="majorHAnsi" w:cstheme="majorHAnsi"/>
          <w:color w:val="000000" w:themeColor="text1"/>
          <w:lang w:val="en-GB"/>
        </w:rPr>
        <w:t>3. Scope</w:t>
      </w:r>
      <w:bookmarkEnd w:id="22"/>
    </w:p>
    <w:p w14:paraId="6EB293FF"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The broader project scope is highlighted below:</w:t>
      </w:r>
    </w:p>
    <w:p w14:paraId="53E48E54" w14:textId="77777777" w:rsidR="00A0001D" w:rsidRPr="006448A3" w:rsidRDefault="00000000" w:rsidP="006448A3">
      <w:pPr>
        <w:numPr>
          <w:ilvl w:val="0"/>
          <w:numId w:val="3"/>
        </w:num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Assessing geotechnical and structural damage across the 4.6-mile-long road using advanced technologies is essential to evaluate the extent of damage. This will involve subgrade integrity testing, bridge foundation inspection, pavement condition analysis, and hydrological drainage system assessment. Zhang </w:t>
      </w:r>
      <w:r w:rsidRPr="006448A3">
        <w:rPr>
          <w:rFonts w:asciiTheme="majorHAnsi" w:hAnsiTheme="majorHAnsi" w:cstheme="majorHAnsi"/>
          <w:i/>
          <w:iCs/>
          <w:color w:val="000000" w:themeColor="text1"/>
          <w:lang w:val="en-GB"/>
        </w:rPr>
        <w:t xml:space="preserve">et al. </w:t>
      </w:r>
      <w:r w:rsidRPr="006448A3">
        <w:rPr>
          <w:rFonts w:asciiTheme="majorHAnsi" w:hAnsiTheme="majorHAnsi" w:cstheme="majorHAnsi"/>
          <w:color w:val="000000" w:themeColor="text1"/>
          <w:lang w:val="en-GB"/>
        </w:rPr>
        <w:t xml:space="preserve">(2024) mentioned that the erosion of soil around bridge shallow foundation piers after flood events significantly increases the fragility of bridges. Reopening the highway without assessing the foundation of the bridge crossing the River Severn can lead to severe consequences and economic losses. Further, activities like subgrade integrity testing and pavement condition analysis will be essential to ensure the repair works are done according to the degree of damage caused by the flood. In this process, Ground Penetrating Radar (GPR) surveys, along with soil stabilisation testing, will be used and </w:t>
      </w:r>
      <w:proofErr w:type="spellStart"/>
      <w:r w:rsidRPr="006448A3">
        <w:rPr>
          <w:rFonts w:asciiTheme="majorHAnsi" w:hAnsiTheme="majorHAnsi" w:cstheme="majorHAnsi"/>
          <w:color w:val="000000" w:themeColor="text1"/>
          <w:lang w:val="en-GB"/>
        </w:rPr>
        <w:t>Tassiopoulou</w:t>
      </w:r>
      <w:proofErr w:type="spellEnd"/>
      <w:r w:rsidRPr="006448A3">
        <w:rPr>
          <w:rFonts w:asciiTheme="majorHAnsi" w:hAnsiTheme="majorHAnsi" w:cstheme="majorHAnsi"/>
          <w:color w:val="000000" w:themeColor="text1"/>
          <w:lang w:val="en-GB"/>
        </w:rPr>
        <w:t xml:space="preserve"> and </w:t>
      </w:r>
      <w:proofErr w:type="spellStart"/>
      <w:r w:rsidRPr="006448A3">
        <w:rPr>
          <w:rFonts w:asciiTheme="majorHAnsi" w:hAnsiTheme="majorHAnsi" w:cstheme="majorHAnsi"/>
          <w:color w:val="000000" w:themeColor="text1"/>
          <w:lang w:val="en-GB"/>
        </w:rPr>
        <w:t>Koukiou</w:t>
      </w:r>
      <w:proofErr w:type="spellEnd"/>
      <w:r w:rsidRPr="006448A3">
        <w:rPr>
          <w:rFonts w:asciiTheme="majorHAnsi" w:hAnsiTheme="majorHAnsi" w:cstheme="majorHAnsi"/>
          <w:color w:val="000000" w:themeColor="text1"/>
          <w:lang w:val="en-GB"/>
        </w:rPr>
        <w:t xml:space="preserve"> (2024) mentioned that GPR provides high-resolution imaging of structures without destructing the structure. </w:t>
      </w:r>
    </w:p>
    <w:p w14:paraId="02350D8D"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noProof/>
          <w:color w:val="000000" w:themeColor="text1"/>
          <w:lang w:val="en-GB"/>
        </w:rPr>
        <w:lastRenderedPageBreak/>
        <w:drawing>
          <wp:inline distT="114300" distB="114300" distL="114300" distR="114300" wp14:anchorId="0E26FC8C" wp14:editId="08B331A6">
            <wp:extent cx="5943600" cy="2857500"/>
            <wp:effectExtent l="0" t="0" r="0" b="0"/>
            <wp:docPr id="1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a:stretch>
                      <a:fillRect/>
                    </a:stretch>
                  </pic:blipFill>
                  <pic:spPr>
                    <a:xfrm>
                      <a:off x="0" y="0"/>
                      <a:ext cx="5943600" cy="2857500"/>
                    </a:xfrm>
                    <a:prstGeom prst="rect">
                      <a:avLst/>
                    </a:prstGeom>
                    <a:ln/>
                  </pic:spPr>
                </pic:pic>
              </a:graphicData>
            </a:graphic>
          </wp:inline>
        </w:drawing>
      </w:r>
    </w:p>
    <w:p w14:paraId="48559651" w14:textId="77777777" w:rsidR="00A0001D" w:rsidRPr="006448A3" w:rsidRDefault="00000000" w:rsidP="006448A3">
      <w:pP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Figure 2: Application of GPR systems</w:t>
      </w:r>
    </w:p>
    <w:p w14:paraId="16746ED5" w14:textId="77777777" w:rsidR="00A0001D" w:rsidRPr="006448A3" w:rsidRDefault="00000000" w:rsidP="006448A3">
      <w:pPr>
        <w:spacing w:before="100" w:beforeAutospacing="1" w:after="100" w:afterAutospacing="1"/>
        <w:jc w:val="center"/>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(Source: Zhang and Lu, 2024)  </w:t>
      </w:r>
    </w:p>
    <w:p w14:paraId="0BCC9DD9" w14:textId="77777777" w:rsidR="00A0001D" w:rsidRPr="006448A3" w:rsidRDefault="00000000" w:rsidP="006448A3">
      <w:pPr>
        <w:numPr>
          <w:ilvl w:val="0"/>
          <w:numId w:val="4"/>
        </w:num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Clearing the debris and repairing the damaged infrastructure is one of the core scopes. All flood-related debris and sediment deposits will be removed to restore safe passage for repairing activities. Restoring safe passage will also help ensure slow but gradual movement of traffic through the A4440 amid ongoing repair works. During this process, environmental </w:t>
      </w:r>
      <w:proofErr w:type="spellStart"/>
      <w:r w:rsidRPr="006448A3">
        <w:rPr>
          <w:rFonts w:asciiTheme="majorHAnsi" w:hAnsiTheme="majorHAnsi" w:cstheme="majorHAnsi"/>
          <w:color w:val="000000" w:themeColor="text1"/>
          <w:lang w:val="en-GB"/>
        </w:rPr>
        <w:t>compilance</w:t>
      </w:r>
      <w:proofErr w:type="spellEnd"/>
      <w:r w:rsidRPr="006448A3">
        <w:rPr>
          <w:rFonts w:asciiTheme="majorHAnsi" w:hAnsiTheme="majorHAnsi" w:cstheme="majorHAnsi"/>
          <w:color w:val="000000" w:themeColor="text1"/>
          <w:lang w:val="en-GB"/>
        </w:rPr>
        <w:t xml:space="preserve"> will be enforced to reduce improper waste disposal and minimise pollution. </w:t>
      </w:r>
    </w:p>
    <w:p w14:paraId="43D057B6" w14:textId="77777777" w:rsidR="00A0001D" w:rsidRPr="006448A3" w:rsidRDefault="00000000" w:rsidP="006448A3">
      <w:pPr>
        <w:numPr>
          <w:ilvl w:val="0"/>
          <w:numId w:val="4"/>
        </w:num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Reinforcement of the bridge, which is the third scope of this project, can only be done after a detailed capacity and structural safety assessment. Structural issues and foundations of the bridge will be strengthened before reopening the bridge for full capacity operations. </w:t>
      </w:r>
    </w:p>
    <w:p w14:paraId="2AC1BEB4" w14:textId="77777777" w:rsidR="00A0001D" w:rsidRPr="006448A3" w:rsidRDefault="00000000" w:rsidP="006448A3">
      <w:pPr>
        <w:numPr>
          <w:ilvl w:val="0"/>
          <w:numId w:val="4"/>
        </w:num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The improper drainage system allowed floodwater to settle on the A4440, indicating the necessity of developing a climate-resilient drainage system. Sohn </w:t>
      </w:r>
      <w:r w:rsidRPr="006448A3">
        <w:rPr>
          <w:rFonts w:asciiTheme="majorHAnsi" w:hAnsiTheme="majorHAnsi" w:cstheme="majorHAnsi"/>
          <w:i/>
          <w:iCs/>
          <w:color w:val="000000" w:themeColor="text1"/>
          <w:lang w:val="en-GB"/>
        </w:rPr>
        <w:t xml:space="preserve">et al. </w:t>
      </w:r>
      <w:r w:rsidRPr="006448A3">
        <w:rPr>
          <w:rFonts w:asciiTheme="majorHAnsi" w:hAnsiTheme="majorHAnsi" w:cstheme="majorHAnsi"/>
          <w:color w:val="000000" w:themeColor="text1"/>
          <w:lang w:val="en-GB"/>
        </w:rPr>
        <w:t xml:space="preserve">(2020) studied that storage-based drainage mechanisms are the most efficient for flood mitigation and integration of this drainage system can help save 92% of flood damage costs. In line with the study of Rasool and Pearl (2024), advanced technologies like AI and Internet of Things </w:t>
      </w:r>
      <w:r w:rsidRPr="006448A3">
        <w:rPr>
          <w:rFonts w:asciiTheme="majorHAnsi" w:hAnsiTheme="majorHAnsi" w:cstheme="majorHAnsi"/>
          <w:color w:val="000000" w:themeColor="text1"/>
          <w:lang w:val="en-GB"/>
        </w:rPr>
        <w:lastRenderedPageBreak/>
        <w:t xml:space="preserve">(IoT) will be used to improve the design of storage-based drainage systems according to the highway structure.  </w:t>
      </w:r>
    </w:p>
    <w:p w14:paraId="65BDD435" w14:textId="77777777" w:rsidR="00A0001D" w:rsidRPr="006448A3" w:rsidRDefault="00000000" w:rsidP="006448A3">
      <w:pPr>
        <w:numPr>
          <w:ilvl w:val="0"/>
          <w:numId w:val="4"/>
        </w:num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A detailed safety inspection and emergency reopening of the road will be done to ensure the road is safe for usage.   </w:t>
      </w:r>
    </w:p>
    <w:p w14:paraId="3E82E6C5"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The above-defined scopes limit deliverables to transportation infrastructure and this project will not cover the restoration of personal properties. This prevents scope creep in residential repair, which is essential to complete the project within the estimated budget and time frame.</w:t>
      </w:r>
    </w:p>
    <w:p w14:paraId="3EDBF486" w14:textId="77777777" w:rsidR="00A0001D" w:rsidRPr="006448A3" w:rsidRDefault="00000000" w:rsidP="006448A3">
      <w:pPr>
        <w:pStyle w:val="Heading2"/>
        <w:spacing w:before="100" w:beforeAutospacing="1" w:after="100" w:afterAutospacing="1"/>
        <w:rPr>
          <w:rFonts w:asciiTheme="majorHAnsi" w:hAnsiTheme="majorHAnsi" w:cstheme="majorHAnsi"/>
          <w:color w:val="000000" w:themeColor="text1"/>
          <w:lang w:val="en-GB"/>
        </w:rPr>
      </w:pPr>
      <w:bookmarkStart w:id="23" w:name="_tqxdsf6554is" w:colFirst="0" w:colLast="0"/>
      <w:bookmarkStart w:id="24" w:name="_Toc221980685"/>
      <w:bookmarkEnd w:id="23"/>
      <w:r w:rsidRPr="006448A3">
        <w:rPr>
          <w:rFonts w:asciiTheme="majorHAnsi" w:hAnsiTheme="majorHAnsi" w:cstheme="majorHAnsi"/>
          <w:color w:val="000000" w:themeColor="text1"/>
          <w:lang w:val="en-GB"/>
        </w:rPr>
        <w:t>4. Work Breakdown Structure</w:t>
      </w:r>
      <w:bookmarkEnd w:id="24"/>
    </w:p>
    <w:p w14:paraId="1740942C"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Project Libre has been used to prepare the Work Breakdown Structure.</w:t>
      </w:r>
    </w:p>
    <w:p w14:paraId="23810725"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noProof/>
          <w:color w:val="000000" w:themeColor="text1"/>
          <w:lang w:val="en-GB"/>
        </w:rPr>
        <w:lastRenderedPageBreak/>
        <w:drawing>
          <wp:inline distT="114300" distB="114300" distL="114300" distR="114300" wp14:anchorId="5D8455EA" wp14:editId="38E0DD15">
            <wp:extent cx="4895850" cy="7553325"/>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895850" cy="7553325"/>
                    </a:xfrm>
                    <a:prstGeom prst="rect">
                      <a:avLst/>
                    </a:prstGeom>
                    <a:ln/>
                  </pic:spPr>
                </pic:pic>
              </a:graphicData>
            </a:graphic>
          </wp:inline>
        </w:drawing>
      </w:r>
    </w:p>
    <w:p w14:paraId="27FBE1E5" w14:textId="77777777" w:rsidR="00A0001D" w:rsidRPr="006448A3" w:rsidRDefault="00000000" w:rsidP="006448A3">
      <w:pP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Figure 3: WBS</w:t>
      </w:r>
    </w:p>
    <w:p w14:paraId="0515E4AA" w14:textId="77777777" w:rsidR="00A0001D" w:rsidRPr="006448A3" w:rsidRDefault="00000000" w:rsidP="006448A3">
      <w:pPr>
        <w:spacing w:before="100" w:beforeAutospacing="1" w:after="100" w:afterAutospacing="1"/>
        <w:jc w:val="center"/>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lastRenderedPageBreak/>
        <w:t>(Source: Created using Project Libre)</w:t>
      </w:r>
    </w:p>
    <w:p w14:paraId="33F1F266"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The above WBS has been created using the Project Libre, a widely used </w:t>
      </w:r>
      <w:proofErr w:type="gramStart"/>
      <w:r w:rsidRPr="006448A3">
        <w:rPr>
          <w:rFonts w:asciiTheme="majorHAnsi" w:hAnsiTheme="majorHAnsi" w:cstheme="majorHAnsi"/>
          <w:color w:val="000000" w:themeColor="text1"/>
          <w:lang w:val="en-GB"/>
        </w:rPr>
        <w:t>open source</w:t>
      </w:r>
      <w:proofErr w:type="gramEnd"/>
      <w:r w:rsidRPr="006448A3">
        <w:rPr>
          <w:rFonts w:asciiTheme="majorHAnsi" w:hAnsiTheme="majorHAnsi" w:cstheme="majorHAnsi"/>
          <w:color w:val="000000" w:themeColor="text1"/>
          <w:lang w:val="en-GB"/>
        </w:rPr>
        <w:t xml:space="preserve"> platform. The WBS presents a clear timeline with deadlines, start and end dates for </w:t>
      </w:r>
      <w:proofErr w:type="spellStart"/>
      <w:r w:rsidRPr="006448A3">
        <w:rPr>
          <w:rFonts w:asciiTheme="majorHAnsi" w:hAnsiTheme="majorHAnsi" w:cstheme="majorHAnsi"/>
          <w:color w:val="000000" w:themeColor="text1"/>
          <w:lang w:val="en-GB"/>
        </w:rPr>
        <w:t>eeach</w:t>
      </w:r>
      <w:proofErr w:type="spellEnd"/>
      <w:r w:rsidRPr="006448A3">
        <w:rPr>
          <w:rFonts w:asciiTheme="majorHAnsi" w:hAnsiTheme="majorHAnsi" w:cstheme="majorHAnsi"/>
          <w:color w:val="000000" w:themeColor="text1"/>
          <w:lang w:val="en-GB"/>
        </w:rPr>
        <w:t xml:space="preserve"> tasks. In addition, the WBS covers the full lifecycle of the project.  </w:t>
      </w:r>
    </w:p>
    <w:p w14:paraId="63ED0613" w14:textId="77777777" w:rsidR="00A0001D" w:rsidRPr="006448A3" w:rsidRDefault="00000000" w:rsidP="006448A3">
      <w:pPr>
        <w:pStyle w:val="Heading2"/>
        <w:spacing w:before="100" w:beforeAutospacing="1" w:after="100" w:afterAutospacing="1"/>
        <w:rPr>
          <w:rFonts w:asciiTheme="majorHAnsi" w:hAnsiTheme="majorHAnsi" w:cstheme="majorHAnsi"/>
          <w:color w:val="000000" w:themeColor="text1"/>
          <w:lang w:val="en-GB"/>
        </w:rPr>
      </w:pPr>
      <w:bookmarkStart w:id="25" w:name="_4kq38b63gvj7" w:colFirst="0" w:colLast="0"/>
      <w:bookmarkStart w:id="26" w:name="_Toc221980686"/>
      <w:bookmarkEnd w:id="25"/>
      <w:r w:rsidRPr="006448A3">
        <w:rPr>
          <w:rFonts w:asciiTheme="majorHAnsi" w:hAnsiTheme="majorHAnsi" w:cstheme="majorHAnsi"/>
          <w:color w:val="000000" w:themeColor="text1"/>
          <w:lang w:val="en-GB"/>
        </w:rPr>
        <w:t>5. Quad Chart</w:t>
      </w:r>
      <w:bookmarkEnd w:id="26"/>
    </w:p>
    <w:tbl>
      <w:tblPr>
        <w:tblStyle w:val="a2"/>
        <w:tblW w:w="96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800"/>
        <w:gridCol w:w="4800"/>
      </w:tblGrid>
      <w:tr w:rsidR="006448A3" w:rsidRPr="006448A3" w14:paraId="31A27D87" w14:textId="77777777">
        <w:tc>
          <w:tcPr>
            <w:tcW w:w="4800" w:type="dxa"/>
            <w:tcMar>
              <w:top w:w="100" w:type="dxa"/>
              <w:left w:w="100" w:type="dxa"/>
              <w:bottom w:w="100" w:type="dxa"/>
              <w:right w:w="100" w:type="dxa"/>
            </w:tcMar>
          </w:tcPr>
          <w:p w14:paraId="170EEAA2"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u w:val="single"/>
                <w:lang w:val="en-GB"/>
              </w:rPr>
            </w:pPr>
            <w:r w:rsidRPr="006448A3">
              <w:rPr>
                <w:rFonts w:asciiTheme="majorHAnsi" w:hAnsiTheme="majorHAnsi" w:cstheme="majorHAnsi"/>
                <w:color w:val="000000" w:themeColor="text1"/>
                <w:u w:val="single"/>
                <w:lang w:val="en-GB"/>
              </w:rPr>
              <w:t>Problem and Background</w:t>
            </w:r>
          </w:p>
          <w:p w14:paraId="324C19A0"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Raging floods in July 2025 affected several areas across the West Midlands, including the A4440 link road, a crucial road link. This is one of the two roads that pass the River Severn (</w:t>
            </w:r>
            <w:r w:rsidRPr="006448A3">
              <w:rPr>
                <w:rFonts w:asciiTheme="majorHAnsi" w:hAnsiTheme="majorHAnsi" w:cstheme="majorHAnsi"/>
                <w:color w:val="000000" w:themeColor="text1"/>
                <w:highlight w:val="white"/>
                <w:lang w:val="en-GB"/>
              </w:rPr>
              <w:t>Worcestershire, 2025; Worcestershire, n.d</w:t>
            </w:r>
            <w:r w:rsidRPr="006448A3">
              <w:rPr>
                <w:rFonts w:asciiTheme="majorHAnsi" w:hAnsiTheme="majorHAnsi" w:cstheme="majorHAnsi"/>
                <w:color w:val="000000" w:themeColor="text1"/>
                <w:lang w:val="en-GB"/>
              </w:rPr>
              <w:t xml:space="preserve">). The River Severn overflowed, affecting the A4440 SLR, leading to bridge weakening, debris accumulation, and pavement erosion. Following the direct impact of these issues on </w:t>
            </w:r>
            <w:proofErr w:type="gramStart"/>
            <w:r w:rsidRPr="006448A3">
              <w:rPr>
                <w:rFonts w:asciiTheme="majorHAnsi" w:hAnsiTheme="majorHAnsi" w:cstheme="majorHAnsi"/>
                <w:color w:val="000000" w:themeColor="text1"/>
                <w:lang w:val="en-GB"/>
              </w:rPr>
              <w:t>local residents</w:t>
            </w:r>
            <w:proofErr w:type="gramEnd"/>
            <w:r w:rsidRPr="006448A3">
              <w:rPr>
                <w:rFonts w:asciiTheme="majorHAnsi" w:hAnsiTheme="majorHAnsi" w:cstheme="majorHAnsi"/>
                <w:color w:val="000000" w:themeColor="text1"/>
                <w:lang w:val="en-GB"/>
              </w:rPr>
              <w:t xml:space="preserve">, businesses, and the economic productivity of the </w:t>
            </w:r>
            <w:proofErr w:type="gramStart"/>
            <w:r w:rsidRPr="006448A3">
              <w:rPr>
                <w:rFonts w:asciiTheme="majorHAnsi" w:hAnsiTheme="majorHAnsi" w:cstheme="majorHAnsi"/>
                <w:color w:val="000000" w:themeColor="text1"/>
                <w:lang w:val="en-GB"/>
              </w:rPr>
              <w:t>region,  an</w:t>
            </w:r>
            <w:proofErr w:type="gramEnd"/>
            <w:r w:rsidRPr="006448A3">
              <w:rPr>
                <w:rFonts w:asciiTheme="majorHAnsi" w:hAnsiTheme="majorHAnsi" w:cstheme="majorHAnsi"/>
                <w:color w:val="000000" w:themeColor="text1"/>
                <w:lang w:val="en-GB"/>
              </w:rPr>
              <w:t xml:space="preserve"> immediate emergency reopening of the highway emerged as a necessity. The plan is to repair the road within 90 days to make it operational and continue full-scale restoration and improvement while </w:t>
            </w:r>
            <w:proofErr w:type="spellStart"/>
            <w:r w:rsidRPr="006448A3">
              <w:rPr>
                <w:rFonts w:asciiTheme="majorHAnsi" w:hAnsiTheme="majorHAnsi" w:cstheme="majorHAnsi"/>
                <w:color w:val="000000" w:themeColor="text1"/>
                <w:lang w:val="en-GB"/>
              </w:rPr>
              <w:t>traficc</w:t>
            </w:r>
            <w:proofErr w:type="spellEnd"/>
            <w:r w:rsidRPr="006448A3">
              <w:rPr>
                <w:rFonts w:asciiTheme="majorHAnsi" w:hAnsiTheme="majorHAnsi" w:cstheme="majorHAnsi"/>
                <w:color w:val="000000" w:themeColor="text1"/>
                <w:lang w:val="en-GB"/>
              </w:rPr>
              <w:t xml:space="preserve"> will pass through the road. </w:t>
            </w:r>
          </w:p>
          <w:p w14:paraId="2C7FE19F"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noProof/>
                <w:color w:val="000000" w:themeColor="text1"/>
                <w:lang w:val="en-GB"/>
              </w:rPr>
              <w:lastRenderedPageBreak/>
              <w:drawing>
                <wp:inline distT="114300" distB="114300" distL="114300" distR="114300" wp14:anchorId="258E37C3" wp14:editId="5BFDF21B">
                  <wp:extent cx="2914650" cy="2184400"/>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2914650" cy="2184400"/>
                          </a:xfrm>
                          <a:prstGeom prst="rect">
                            <a:avLst/>
                          </a:prstGeom>
                          <a:ln/>
                        </pic:spPr>
                      </pic:pic>
                    </a:graphicData>
                  </a:graphic>
                </wp:inline>
              </w:drawing>
            </w:r>
          </w:p>
          <w:p w14:paraId="40FF6A14" w14:textId="77777777" w:rsidR="00A0001D" w:rsidRPr="006448A3" w:rsidRDefault="00000000" w:rsidP="006448A3">
            <w:pPr>
              <w:widowControl w:val="0"/>
              <w:pBdr>
                <w:top w:val="nil"/>
                <w:left w:val="nil"/>
                <w:bottom w:val="nil"/>
                <w:right w:val="nil"/>
                <w:between w:val="nil"/>
              </w:pBd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Figure 4: A4440 passing over the flooded River Severn basin</w:t>
            </w:r>
          </w:p>
          <w:p w14:paraId="21954886" w14:textId="77777777" w:rsidR="00A0001D" w:rsidRPr="006448A3" w:rsidRDefault="00000000" w:rsidP="006448A3">
            <w:pPr>
              <w:widowControl w:val="0"/>
              <w:pBdr>
                <w:top w:val="nil"/>
                <w:left w:val="nil"/>
                <w:bottom w:val="nil"/>
                <w:right w:val="nil"/>
                <w:between w:val="nil"/>
              </w:pBdr>
              <w:spacing w:before="100" w:beforeAutospacing="1" w:after="100" w:afterAutospacing="1"/>
              <w:jc w:val="center"/>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(Source: Williams, 2025) </w:t>
            </w:r>
          </w:p>
        </w:tc>
        <w:tc>
          <w:tcPr>
            <w:tcW w:w="4800" w:type="dxa"/>
            <w:tcMar>
              <w:top w:w="100" w:type="dxa"/>
              <w:left w:w="100" w:type="dxa"/>
              <w:bottom w:w="100" w:type="dxa"/>
              <w:right w:w="100" w:type="dxa"/>
            </w:tcMar>
          </w:tcPr>
          <w:p w14:paraId="770C0C8D"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u w:val="single"/>
                <w:lang w:val="en-GB"/>
              </w:rPr>
            </w:pPr>
            <w:r w:rsidRPr="006448A3">
              <w:rPr>
                <w:rFonts w:asciiTheme="majorHAnsi" w:hAnsiTheme="majorHAnsi" w:cstheme="majorHAnsi"/>
                <w:color w:val="000000" w:themeColor="text1"/>
                <w:u w:val="single"/>
                <w:lang w:val="en-GB"/>
              </w:rPr>
              <w:lastRenderedPageBreak/>
              <w:t>Objectives</w:t>
            </w:r>
          </w:p>
          <w:p w14:paraId="244A6F31"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The primary objectives of this project are: </w:t>
            </w:r>
          </w:p>
          <w:p w14:paraId="569868EA" w14:textId="77777777" w:rsidR="00A0001D" w:rsidRPr="006448A3" w:rsidRDefault="00000000" w:rsidP="006448A3">
            <w:pPr>
              <w:numPr>
                <w:ilvl w:val="0"/>
                <w:numId w:val="2"/>
              </w:num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To conduct a geotechnical and structural assessment of the A4440 highway and pinpoint severely damaged areas. </w:t>
            </w:r>
          </w:p>
          <w:p w14:paraId="2FFDC91A" w14:textId="77777777" w:rsidR="00A0001D" w:rsidRPr="006448A3" w:rsidRDefault="00000000" w:rsidP="006448A3">
            <w:pPr>
              <w:numPr>
                <w:ilvl w:val="0"/>
                <w:numId w:val="2"/>
              </w:num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To clear debris and repair structural damage.</w:t>
            </w:r>
          </w:p>
          <w:p w14:paraId="3618BA18" w14:textId="77777777" w:rsidR="00A0001D" w:rsidRPr="006448A3" w:rsidRDefault="00000000" w:rsidP="006448A3">
            <w:pPr>
              <w:numPr>
                <w:ilvl w:val="0"/>
                <w:numId w:val="2"/>
              </w:num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To assess the damaged bridge section and reinforce it by addressing safety concerns. </w:t>
            </w:r>
          </w:p>
          <w:p w14:paraId="6DA807C7" w14:textId="77777777" w:rsidR="00A0001D" w:rsidRPr="006448A3" w:rsidRDefault="00000000" w:rsidP="006448A3">
            <w:pPr>
              <w:numPr>
                <w:ilvl w:val="0"/>
                <w:numId w:val="2"/>
              </w:num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To integrate an improved flood-resistant drainage system to prevent recurrence of such issues. </w:t>
            </w:r>
          </w:p>
          <w:p w14:paraId="623F4E0F"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The scope of this project is limited to full-scale restoration of the A4440 SLR and will not cover any personal and residential property restoration. </w:t>
            </w:r>
          </w:p>
        </w:tc>
      </w:tr>
      <w:tr w:rsidR="006448A3" w:rsidRPr="006448A3" w14:paraId="3B4E582F" w14:textId="77777777">
        <w:tc>
          <w:tcPr>
            <w:tcW w:w="4800" w:type="dxa"/>
            <w:tcMar>
              <w:top w:w="100" w:type="dxa"/>
              <w:left w:w="100" w:type="dxa"/>
              <w:bottom w:w="100" w:type="dxa"/>
              <w:right w:w="100" w:type="dxa"/>
            </w:tcMar>
          </w:tcPr>
          <w:p w14:paraId="41B662FC"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u w:val="single"/>
                <w:lang w:val="en-GB"/>
              </w:rPr>
            </w:pPr>
            <w:r w:rsidRPr="006448A3">
              <w:rPr>
                <w:rFonts w:asciiTheme="majorHAnsi" w:hAnsiTheme="majorHAnsi" w:cstheme="majorHAnsi"/>
                <w:color w:val="000000" w:themeColor="text1"/>
                <w:u w:val="single"/>
                <w:lang w:val="en-GB"/>
              </w:rPr>
              <w:t>Approach</w:t>
            </w:r>
          </w:p>
          <w:p w14:paraId="0D002734"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The Gantt chart presented in Figure 3 indicates the project timeline. The total duration for the project is 180 days and the emergency partial opening will be completed within 90 days. The A4440 SLR can operate at full potential within 90 days, but improvement work will continue to ensure future extreme events cannot affect the infrastructure. Key phases of this project are shown below:</w:t>
            </w:r>
          </w:p>
          <w:p w14:paraId="59ECBE92"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noProof/>
                <w:color w:val="000000" w:themeColor="text1"/>
                <w:lang w:val="en-GB"/>
              </w:rPr>
              <w:drawing>
                <wp:inline distT="114300" distB="114300" distL="114300" distR="114300" wp14:anchorId="383DCD7A" wp14:editId="360088BA">
                  <wp:extent cx="2914650" cy="839837"/>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2914650" cy="839837"/>
                          </a:xfrm>
                          <a:prstGeom prst="rect">
                            <a:avLst/>
                          </a:prstGeom>
                          <a:ln/>
                        </pic:spPr>
                      </pic:pic>
                    </a:graphicData>
                  </a:graphic>
                </wp:inline>
              </w:drawing>
            </w:r>
          </w:p>
          <w:p w14:paraId="6A57C838" w14:textId="77777777" w:rsidR="00A0001D" w:rsidRPr="006448A3" w:rsidRDefault="00000000" w:rsidP="006448A3">
            <w:pPr>
              <w:widowControl w:val="0"/>
              <w:pBdr>
                <w:top w:val="nil"/>
                <w:left w:val="nil"/>
                <w:bottom w:val="nil"/>
                <w:right w:val="nil"/>
                <w:between w:val="nil"/>
              </w:pBd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lastRenderedPageBreak/>
              <w:t>Figure 5: Key Project Activities</w:t>
            </w:r>
          </w:p>
          <w:p w14:paraId="44A8FCBC" w14:textId="77777777" w:rsidR="00A0001D" w:rsidRPr="006448A3" w:rsidRDefault="00000000" w:rsidP="006448A3">
            <w:pPr>
              <w:widowControl w:val="0"/>
              <w:pBdr>
                <w:top w:val="nil"/>
                <w:left w:val="nil"/>
                <w:bottom w:val="nil"/>
                <w:right w:val="nil"/>
                <w:between w:val="nil"/>
              </w:pBdr>
              <w:spacing w:before="100" w:beforeAutospacing="1" w:after="100" w:afterAutospacing="1"/>
              <w:jc w:val="center"/>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(Source: Project Libre)</w:t>
            </w:r>
          </w:p>
          <w:p w14:paraId="21F4A3D2"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 </w:t>
            </w:r>
          </w:p>
        </w:tc>
        <w:tc>
          <w:tcPr>
            <w:tcW w:w="4800" w:type="dxa"/>
            <w:tcMar>
              <w:top w:w="100" w:type="dxa"/>
              <w:left w:w="100" w:type="dxa"/>
              <w:bottom w:w="100" w:type="dxa"/>
              <w:right w:w="100" w:type="dxa"/>
            </w:tcMar>
          </w:tcPr>
          <w:p w14:paraId="413D7BDE"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u w:val="single"/>
                <w:lang w:val="en-GB"/>
              </w:rPr>
              <w:lastRenderedPageBreak/>
              <w:t>Budget and Impact</w:t>
            </w:r>
          </w:p>
          <w:p w14:paraId="6EC5BF8C"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The project will require a total budget of £16.2 but the expenses may go up if extreme weather conditions further affect the condition of the A4440 SLR and cause disruptions. </w:t>
            </w:r>
          </w:p>
          <w:p w14:paraId="33525E23"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The expected benefits of this project are: </w:t>
            </w:r>
          </w:p>
          <w:p w14:paraId="79F23D5A" w14:textId="77777777" w:rsidR="00A0001D" w:rsidRPr="006448A3" w:rsidRDefault="00000000" w:rsidP="006448A3">
            <w:pPr>
              <w:widowControl w:val="0"/>
              <w:numPr>
                <w:ilvl w:val="0"/>
                <w:numId w:val="1"/>
              </w:numPr>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Restoring the damaged portions of A4440 SLR.</w:t>
            </w:r>
          </w:p>
          <w:p w14:paraId="5D28A153" w14:textId="77777777" w:rsidR="00A0001D" w:rsidRPr="006448A3" w:rsidRDefault="00000000" w:rsidP="006448A3">
            <w:pPr>
              <w:widowControl w:val="0"/>
              <w:numPr>
                <w:ilvl w:val="0"/>
                <w:numId w:val="1"/>
              </w:numPr>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Improving the structural strength damaged by the 2025 floods.</w:t>
            </w:r>
          </w:p>
          <w:p w14:paraId="7AC1E243" w14:textId="77777777" w:rsidR="00A0001D" w:rsidRPr="006448A3" w:rsidRDefault="00000000" w:rsidP="006448A3">
            <w:pPr>
              <w:widowControl w:val="0"/>
              <w:numPr>
                <w:ilvl w:val="0"/>
                <w:numId w:val="1"/>
              </w:numPr>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Improving traffic flow and preventing further economic losses caused by the road blockage.</w:t>
            </w:r>
          </w:p>
          <w:p w14:paraId="7B1220DE" w14:textId="77777777" w:rsidR="00A0001D" w:rsidRPr="006448A3" w:rsidRDefault="00000000" w:rsidP="006448A3">
            <w:pPr>
              <w:widowControl w:val="0"/>
              <w:numPr>
                <w:ilvl w:val="0"/>
                <w:numId w:val="1"/>
              </w:numPr>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Improving the drainage system of the </w:t>
            </w:r>
            <w:r w:rsidRPr="006448A3">
              <w:rPr>
                <w:rFonts w:asciiTheme="majorHAnsi" w:hAnsiTheme="majorHAnsi" w:cstheme="majorHAnsi"/>
                <w:color w:val="000000" w:themeColor="text1"/>
                <w:lang w:val="en-GB"/>
              </w:rPr>
              <w:lastRenderedPageBreak/>
              <w:t xml:space="preserve">A4440 SLR. </w:t>
            </w:r>
          </w:p>
          <w:p w14:paraId="0183E0A9" w14:textId="77777777" w:rsidR="00A0001D" w:rsidRPr="006448A3" w:rsidRDefault="00A0001D"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p>
        </w:tc>
      </w:tr>
    </w:tbl>
    <w:p w14:paraId="4799E408" w14:textId="77777777" w:rsidR="00A0001D" w:rsidRPr="006448A3" w:rsidRDefault="00000000" w:rsidP="006448A3">
      <w:pP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lastRenderedPageBreak/>
        <w:t>Table 1: Quad Chart</w:t>
      </w:r>
    </w:p>
    <w:p w14:paraId="75CDEDDB" w14:textId="77777777" w:rsidR="00A0001D" w:rsidRPr="006448A3" w:rsidRDefault="00000000" w:rsidP="006448A3">
      <w:pPr>
        <w:spacing w:before="100" w:beforeAutospacing="1" w:after="100" w:afterAutospacing="1"/>
        <w:jc w:val="center"/>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(Source: Influenced by </w:t>
      </w:r>
      <w:r w:rsidRPr="006448A3">
        <w:rPr>
          <w:rFonts w:asciiTheme="majorHAnsi" w:hAnsiTheme="majorHAnsi" w:cstheme="majorHAnsi"/>
          <w:color w:val="000000" w:themeColor="text1"/>
          <w:highlight w:val="white"/>
          <w:lang w:val="en-GB"/>
        </w:rPr>
        <w:t>Worcestershire, 2025; Worcestershire, n.d</w:t>
      </w:r>
      <w:r w:rsidRPr="006448A3">
        <w:rPr>
          <w:rFonts w:asciiTheme="majorHAnsi" w:hAnsiTheme="majorHAnsi" w:cstheme="majorHAnsi"/>
          <w:color w:val="000000" w:themeColor="text1"/>
          <w:lang w:val="en-GB"/>
        </w:rPr>
        <w:t>; Williams, 2025)</w:t>
      </w:r>
    </w:p>
    <w:p w14:paraId="782ADA6C" w14:textId="77777777" w:rsidR="00A0001D" w:rsidRPr="006448A3" w:rsidRDefault="00000000" w:rsidP="006448A3">
      <w:pPr>
        <w:pStyle w:val="Heading2"/>
        <w:spacing w:before="100" w:beforeAutospacing="1" w:after="100" w:afterAutospacing="1"/>
        <w:rPr>
          <w:rFonts w:asciiTheme="majorHAnsi" w:hAnsiTheme="majorHAnsi" w:cstheme="majorHAnsi"/>
          <w:color w:val="000000" w:themeColor="text1"/>
          <w:lang w:val="en-GB"/>
        </w:rPr>
      </w:pPr>
      <w:bookmarkStart w:id="27" w:name="_wvsbkgz1plsc" w:colFirst="0" w:colLast="0"/>
      <w:bookmarkStart w:id="28" w:name="_Toc221980687"/>
      <w:bookmarkEnd w:id="27"/>
      <w:r w:rsidRPr="006448A3">
        <w:rPr>
          <w:rFonts w:asciiTheme="majorHAnsi" w:hAnsiTheme="majorHAnsi" w:cstheme="majorHAnsi"/>
          <w:color w:val="000000" w:themeColor="text1"/>
          <w:lang w:val="en-GB"/>
        </w:rPr>
        <w:t>6. Gantt Chart</w:t>
      </w:r>
      <w:bookmarkEnd w:id="28"/>
    </w:p>
    <w:p w14:paraId="1F0A68C8"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Preparing a Gantt chart is a critical project control measure. This project involves several activities and each activity must be completed within a fixed deadline to ensure the emergency reopening of the highway can be accomplished within 90 days. </w:t>
      </w:r>
      <w:proofErr w:type="spellStart"/>
      <w:r w:rsidRPr="006448A3">
        <w:rPr>
          <w:rFonts w:asciiTheme="majorHAnsi" w:hAnsiTheme="majorHAnsi" w:cstheme="majorHAnsi"/>
          <w:color w:val="000000" w:themeColor="text1"/>
          <w:lang w:val="en-GB"/>
        </w:rPr>
        <w:t>Maravas</w:t>
      </w:r>
      <w:proofErr w:type="spellEnd"/>
      <w:r w:rsidRPr="006448A3">
        <w:rPr>
          <w:rFonts w:asciiTheme="majorHAnsi" w:hAnsiTheme="majorHAnsi" w:cstheme="majorHAnsi"/>
          <w:color w:val="000000" w:themeColor="text1"/>
          <w:lang w:val="en-GB"/>
        </w:rPr>
        <w:t xml:space="preserve"> and </w:t>
      </w:r>
      <w:proofErr w:type="spellStart"/>
      <w:r w:rsidRPr="006448A3">
        <w:rPr>
          <w:rFonts w:asciiTheme="majorHAnsi" w:hAnsiTheme="majorHAnsi" w:cstheme="majorHAnsi"/>
          <w:color w:val="000000" w:themeColor="text1"/>
          <w:lang w:val="en-GB"/>
        </w:rPr>
        <w:t>Pantouvakis</w:t>
      </w:r>
      <w:proofErr w:type="spellEnd"/>
      <w:r w:rsidRPr="006448A3">
        <w:rPr>
          <w:rFonts w:asciiTheme="majorHAnsi" w:hAnsiTheme="majorHAnsi" w:cstheme="majorHAnsi"/>
          <w:color w:val="000000" w:themeColor="text1"/>
          <w:lang w:val="en-GB"/>
        </w:rPr>
        <w:t xml:space="preserve"> (2025) also added that Gantt charts are not solution techniques but they facilitate structured communication between project members and stakeholders.   </w:t>
      </w:r>
    </w:p>
    <w:p w14:paraId="6D628AC2"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noProof/>
          <w:color w:val="000000" w:themeColor="text1"/>
          <w:lang w:val="en-GB"/>
        </w:rPr>
        <w:lastRenderedPageBreak/>
        <w:drawing>
          <wp:inline distT="114300" distB="114300" distL="114300" distR="114300" wp14:anchorId="4D8A2561" wp14:editId="47C8E3F6">
            <wp:extent cx="5943600" cy="5283200"/>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943600" cy="5283200"/>
                    </a:xfrm>
                    <a:prstGeom prst="rect">
                      <a:avLst/>
                    </a:prstGeom>
                    <a:ln/>
                  </pic:spPr>
                </pic:pic>
              </a:graphicData>
            </a:graphic>
          </wp:inline>
        </w:drawing>
      </w:r>
    </w:p>
    <w:p w14:paraId="787226F7"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noProof/>
          <w:color w:val="000000" w:themeColor="text1"/>
          <w:lang w:val="en-GB"/>
        </w:rPr>
        <w:drawing>
          <wp:inline distT="114300" distB="114300" distL="114300" distR="114300" wp14:anchorId="00DE3986" wp14:editId="68518565">
            <wp:extent cx="5943600" cy="2188220"/>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943600" cy="2188220"/>
                    </a:xfrm>
                    <a:prstGeom prst="rect">
                      <a:avLst/>
                    </a:prstGeom>
                    <a:ln/>
                  </pic:spPr>
                </pic:pic>
              </a:graphicData>
            </a:graphic>
          </wp:inline>
        </w:drawing>
      </w:r>
    </w:p>
    <w:p w14:paraId="4E4DC08D"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noProof/>
          <w:color w:val="000000" w:themeColor="text1"/>
          <w:lang w:val="en-GB"/>
        </w:rPr>
        <w:lastRenderedPageBreak/>
        <w:drawing>
          <wp:inline distT="114300" distB="114300" distL="114300" distR="114300" wp14:anchorId="1A776AFB" wp14:editId="724FE4B7">
            <wp:extent cx="5943600" cy="3624263"/>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9"/>
                    <a:srcRect/>
                    <a:stretch>
                      <a:fillRect/>
                    </a:stretch>
                  </pic:blipFill>
                  <pic:spPr>
                    <a:xfrm>
                      <a:off x="0" y="0"/>
                      <a:ext cx="5943600" cy="3624263"/>
                    </a:xfrm>
                    <a:prstGeom prst="rect">
                      <a:avLst/>
                    </a:prstGeom>
                    <a:ln/>
                  </pic:spPr>
                </pic:pic>
              </a:graphicData>
            </a:graphic>
          </wp:inline>
        </w:drawing>
      </w:r>
    </w:p>
    <w:p w14:paraId="17E0AD94" w14:textId="77777777" w:rsidR="00A0001D" w:rsidRPr="006448A3" w:rsidRDefault="00000000" w:rsidP="006448A3">
      <w:pP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Figure 6: Gantt Chart</w:t>
      </w:r>
    </w:p>
    <w:p w14:paraId="216FBDC4" w14:textId="77777777" w:rsidR="00A0001D" w:rsidRPr="006448A3" w:rsidRDefault="00000000" w:rsidP="006448A3">
      <w:pPr>
        <w:spacing w:before="100" w:beforeAutospacing="1" w:after="100" w:afterAutospacing="1"/>
        <w:jc w:val="center"/>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(Source: Created using MS Libre)</w:t>
      </w:r>
    </w:p>
    <w:p w14:paraId="56CFC81E" w14:textId="526D14B6"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The above Gantt Chart indicates seven main tasks and 32 subtasks along with start and completion dates. These sequential phases must be completed with maximum care. It is important to note that each task starts after the completion of the previous task and there is no buffer between activities. As a result, delay in one task will affect the start of the next task, affecting the entire timeline. Zhang and Cui (2025) suggested that reducing the duration of non-critical activities in a project can create a buffer, protecting the project from delays. Manpower will be increased to complete non-critical tasks before the deadline, creating buffer for critical tasks. In addition, </w:t>
      </w:r>
      <w:r w:rsidRPr="006448A3">
        <w:rPr>
          <w:rFonts w:asciiTheme="majorHAnsi" w:hAnsiTheme="majorHAnsi" w:cstheme="majorHAnsi"/>
          <w:color w:val="000000" w:themeColor="text1"/>
          <w:highlight w:val="white"/>
          <w:lang w:val="en-GB"/>
        </w:rPr>
        <w:t xml:space="preserve">Garcés </w:t>
      </w:r>
      <w:r w:rsidRPr="006448A3">
        <w:rPr>
          <w:rFonts w:asciiTheme="majorHAnsi" w:hAnsiTheme="majorHAnsi" w:cstheme="majorHAnsi"/>
          <w:i/>
          <w:iCs/>
          <w:color w:val="000000" w:themeColor="text1"/>
          <w:highlight w:val="white"/>
          <w:lang w:val="en-GB"/>
        </w:rPr>
        <w:t xml:space="preserve">et al. </w:t>
      </w:r>
      <w:r w:rsidRPr="006448A3">
        <w:rPr>
          <w:rFonts w:asciiTheme="majorHAnsi" w:hAnsiTheme="majorHAnsi" w:cstheme="majorHAnsi"/>
          <w:color w:val="000000" w:themeColor="text1"/>
          <w:lang w:val="en-GB"/>
        </w:rPr>
        <w:t xml:space="preserve">(2025) and Abdullahi and Tembo (2023) mentioned that the adoption of the lean management technique is a proven approach to finish projects faster by improving planning and scheduling efficiency and at lower costs. Considering the high possibilities of both time delays and cost overruns, the lean management approach will be integrated. Hence, this project management strategy will reduce the chances of time delays </w:t>
      </w:r>
      <w:r w:rsidRPr="006448A3">
        <w:rPr>
          <w:rFonts w:asciiTheme="majorHAnsi" w:hAnsiTheme="majorHAnsi" w:cstheme="majorHAnsi"/>
          <w:color w:val="000000" w:themeColor="text1"/>
          <w:lang w:val="en-GB"/>
        </w:rPr>
        <w:lastRenderedPageBreak/>
        <w:t xml:space="preserve">despite having no buffer between critical tasks. In addition, the chances of cost overruns amid the high possibilities of future damage due to floods and other extreme weather events can also be reduced.      </w:t>
      </w:r>
    </w:p>
    <w:p w14:paraId="7C3CFE69" w14:textId="77777777" w:rsidR="00A0001D" w:rsidRPr="006448A3" w:rsidRDefault="00000000" w:rsidP="006448A3">
      <w:pPr>
        <w:pStyle w:val="Heading2"/>
        <w:spacing w:before="100" w:beforeAutospacing="1" w:after="100" w:afterAutospacing="1"/>
        <w:rPr>
          <w:rFonts w:asciiTheme="majorHAnsi" w:hAnsiTheme="majorHAnsi" w:cstheme="majorHAnsi"/>
          <w:color w:val="000000" w:themeColor="text1"/>
          <w:lang w:val="en-GB"/>
        </w:rPr>
      </w:pPr>
      <w:bookmarkStart w:id="29" w:name="_fa72aggh5jjk" w:colFirst="0" w:colLast="0"/>
      <w:bookmarkStart w:id="30" w:name="_Toc221980688"/>
      <w:bookmarkEnd w:id="29"/>
      <w:r w:rsidRPr="006448A3">
        <w:rPr>
          <w:rFonts w:asciiTheme="majorHAnsi" w:hAnsiTheme="majorHAnsi" w:cstheme="majorHAnsi"/>
          <w:color w:val="000000" w:themeColor="text1"/>
          <w:lang w:val="en-GB"/>
        </w:rPr>
        <w:t>7. Stakeholder Involvement</w:t>
      </w:r>
      <w:bookmarkEnd w:id="30"/>
    </w:p>
    <w:p w14:paraId="4AF90857"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A stakeholder matrix has been used to plan the stakeholder communication and engagement plan. This has helped to tailor the communication plan according to the power and influence of the stakeholders. Gomes </w:t>
      </w:r>
      <w:r w:rsidRPr="006448A3">
        <w:rPr>
          <w:rFonts w:asciiTheme="majorHAnsi" w:hAnsiTheme="majorHAnsi" w:cstheme="majorHAnsi"/>
          <w:i/>
          <w:iCs/>
          <w:color w:val="000000" w:themeColor="text1"/>
          <w:lang w:val="en-GB"/>
        </w:rPr>
        <w:t xml:space="preserve">et al. </w:t>
      </w:r>
      <w:r w:rsidRPr="006448A3">
        <w:rPr>
          <w:rFonts w:asciiTheme="majorHAnsi" w:hAnsiTheme="majorHAnsi" w:cstheme="majorHAnsi"/>
          <w:color w:val="000000" w:themeColor="text1"/>
          <w:lang w:val="en-GB"/>
        </w:rPr>
        <w:t xml:space="preserve">(2024) stated that effective Stakeholder Management (SM) is essential for project success. </w:t>
      </w:r>
    </w:p>
    <w:tbl>
      <w:tblPr>
        <w:tblStyle w:val="a3"/>
        <w:tblW w:w="937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30"/>
        <w:gridCol w:w="1620"/>
        <w:gridCol w:w="2130"/>
        <w:gridCol w:w="1815"/>
        <w:gridCol w:w="2280"/>
      </w:tblGrid>
      <w:tr w:rsidR="006448A3" w:rsidRPr="006448A3" w14:paraId="21724C18" w14:textId="77777777">
        <w:tc>
          <w:tcPr>
            <w:tcW w:w="1530" w:type="dxa"/>
            <w:tcMar>
              <w:top w:w="100" w:type="dxa"/>
              <w:left w:w="100" w:type="dxa"/>
              <w:bottom w:w="100" w:type="dxa"/>
              <w:right w:w="100" w:type="dxa"/>
            </w:tcMar>
          </w:tcPr>
          <w:p w14:paraId="4EC1D7BB" w14:textId="77777777" w:rsidR="00A0001D" w:rsidRPr="006448A3" w:rsidRDefault="00000000" w:rsidP="006448A3">
            <w:pPr>
              <w:widowControl w:val="0"/>
              <w:pBdr>
                <w:top w:val="nil"/>
                <w:left w:val="nil"/>
                <w:bottom w:val="nil"/>
                <w:right w:val="nil"/>
                <w:between w:val="nil"/>
              </w:pBd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Stakeholder</w:t>
            </w:r>
          </w:p>
        </w:tc>
        <w:tc>
          <w:tcPr>
            <w:tcW w:w="1620" w:type="dxa"/>
            <w:tcMar>
              <w:top w:w="100" w:type="dxa"/>
              <w:left w:w="100" w:type="dxa"/>
              <w:bottom w:w="100" w:type="dxa"/>
              <w:right w:w="100" w:type="dxa"/>
            </w:tcMar>
          </w:tcPr>
          <w:p w14:paraId="7D7E10DF" w14:textId="77777777" w:rsidR="00A0001D" w:rsidRPr="006448A3" w:rsidRDefault="00000000" w:rsidP="006448A3">
            <w:pPr>
              <w:widowControl w:val="0"/>
              <w:pBdr>
                <w:top w:val="nil"/>
                <w:left w:val="nil"/>
                <w:bottom w:val="nil"/>
                <w:right w:val="nil"/>
                <w:between w:val="nil"/>
              </w:pBd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Power and Interest</w:t>
            </w:r>
          </w:p>
        </w:tc>
        <w:tc>
          <w:tcPr>
            <w:tcW w:w="2130" w:type="dxa"/>
            <w:tcMar>
              <w:top w:w="100" w:type="dxa"/>
              <w:left w:w="100" w:type="dxa"/>
              <w:bottom w:w="100" w:type="dxa"/>
              <w:right w:w="100" w:type="dxa"/>
            </w:tcMar>
          </w:tcPr>
          <w:p w14:paraId="685A4973" w14:textId="77777777" w:rsidR="00A0001D" w:rsidRPr="006448A3" w:rsidRDefault="00000000" w:rsidP="006448A3">
            <w:pPr>
              <w:widowControl w:val="0"/>
              <w:pBdr>
                <w:top w:val="nil"/>
                <w:left w:val="nil"/>
                <w:bottom w:val="nil"/>
                <w:right w:val="nil"/>
                <w:between w:val="nil"/>
              </w:pBd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Communication Method</w:t>
            </w:r>
          </w:p>
        </w:tc>
        <w:tc>
          <w:tcPr>
            <w:tcW w:w="1815" w:type="dxa"/>
            <w:tcMar>
              <w:top w:w="100" w:type="dxa"/>
              <w:left w:w="100" w:type="dxa"/>
              <w:bottom w:w="100" w:type="dxa"/>
              <w:right w:w="100" w:type="dxa"/>
            </w:tcMar>
          </w:tcPr>
          <w:p w14:paraId="6AC0A627" w14:textId="77777777" w:rsidR="00A0001D" w:rsidRPr="006448A3" w:rsidRDefault="00000000" w:rsidP="006448A3">
            <w:pPr>
              <w:widowControl w:val="0"/>
              <w:pBdr>
                <w:top w:val="nil"/>
                <w:left w:val="nil"/>
                <w:bottom w:val="nil"/>
                <w:right w:val="nil"/>
                <w:between w:val="nil"/>
              </w:pBd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Communication Frequency</w:t>
            </w:r>
          </w:p>
        </w:tc>
        <w:tc>
          <w:tcPr>
            <w:tcW w:w="2280" w:type="dxa"/>
            <w:tcMar>
              <w:top w:w="100" w:type="dxa"/>
              <w:left w:w="100" w:type="dxa"/>
              <w:bottom w:w="100" w:type="dxa"/>
              <w:right w:w="100" w:type="dxa"/>
            </w:tcMar>
          </w:tcPr>
          <w:p w14:paraId="7BB31D27" w14:textId="77777777" w:rsidR="00A0001D" w:rsidRPr="006448A3" w:rsidRDefault="00000000" w:rsidP="006448A3">
            <w:pPr>
              <w:widowControl w:val="0"/>
              <w:pBdr>
                <w:top w:val="nil"/>
                <w:left w:val="nil"/>
                <w:bottom w:val="nil"/>
                <w:right w:val="nil"/>
                <w:between w:val="nil"/>
              </w:pBd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Purpose of Communication</w:t>
            </w:r>
          </w:p>
        </w:tc>
      </w:tr>
      <w:tr w:rsidR="006448A3" w:rsidRPr="006448A3" w14:paraId="66D7D190" w14:textId="77777777">
        <w:tc>
          <w:tcPr>
            <w:tcW w:w="1530" w:type="dxa"/>
            <w:tcMar>
              <w:top w:w="100" w:type="dxa"/>
              <w:left w:w="100" w:type="dxa"/>
              <w:bottom w:w="100" w:type="dxa"/>
              <w:right w:w="100" w:type="dxa"/>
            </w:tcMar>
          </w:tcPr>
          <w:p w14:paraId="38DDEFFD"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DfT</w:t>
            </w:r>
          </w:p>
        </w:tc>
        <w:tc>
          <w:tcPr>
            <w:tcW w:w="1620" w:type="dxa"/>
            <w:tcMar>
              <w:top w:w="100" w:type="dxa"/>
              <w:left w:w="100" w:type="dxa"/>
              <w:bottom w:w="100" w:type="dxa"/>
              <w:right w:w="100" w:type="dxa"/>
            </w:tcMar>
          </w:tcPr>
          <w:p w14:paraId="354C8A63"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High and High</w:t>
            </w:r>
          </w:p>
        </w:tc>
        <w:tc>
          <w:tcPr>
            <w:tcW w:w="2130" w:type="dxa"/>
            <w:tcMar>
              <w:top w:w="100" w:type="dxa"/>
              <w:left w:w="100" w:type="dxa"/>
              <w:bottom w:w="100" w:type="dxa"/>
              <w:right w:w="100" w:type="dxa"/>
            </w:tcMar>
          </w:tcPr>
          <w:p w14:paraId="5465CAC2"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Progress reports, face-to-face meetings, and executive briefings </w:t>
            </w:r>
          </w:p>
        </w:tc>
        <w:tc>
          <w:tcPr>
            <w:tcW w:w="1815" w:type="dxa"/>
            <w:tcMar>
              <w:top w:w="100" w:type="dxa"/>
              <w:left w:w="100" w:type="dxa"/>
              <w:bottom w:w="100" w:type="dxa"/>
              <w:right w:w="100" w:type="dxa"/>
            </w:tcMar>
          </w:tcPr>
          <w:p w14:paraId="602069AA"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Twice a week</w:t>
            </w:r>
          </w:p>
        </w:tc>
        <w:tc>
          <w:tcPr>
            <w:tcW w:w="2280" w:type="dxa"/>
            <w:tcMar>
              <w:top w:w="100" w:type="dxa"/>
              <w:left w:w="100" w:type="dxa"/>
              <w:bottom w:w="100" w:type="dxa"/>
              <w:right w:w="100" w:type="dxa"/>
            </w:tcMar>
          </w:tcPr>
          <w:p w14:paraId="56827BE5"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DfT is one of the most important stakeholders and effective communication with DfT is necessary to secure necessary funds, ensure compliance, and update milestones. </w:t>
            </w:r>
          </w:p>
        </w:tc>
      </w:tr>
      <w:tr w:rsidR="006448A3" w:rsidRPr="006448A3" w14:paraId="09457FCB" w14:textId="77777777">
        <w:trPr>
          <w:trHeight w:val="4180"/>
        </w:trPr>
        <w:tc>
          <w:tcPr>
            <w:tcW w:w="1530" w:type="dxa"/>
            <w:tcMar>
              <w:top w:w="100" w:type="dxa"/>
              <w:left w:w="100" w:type="dxa"/>
              <w:bottom w:w="100" w:type="dxa"/>
              <w:right w:w="100" w:type="dxa"/>
            </w:tcMar>
          </w:tcPr>
          <w:p w14:paraId="008F6532"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lastRenderedPageBreak/>
              <w:t>Worcestershire County Council</w:t>
            </w:r>
          </w:p>
        </w:tc>
        <w:tc>
          <w:tcPr>
            <w:tcW w:w="1620" w:type="dxa"/>
            <w:tcMar>
              <w:top w:w="100" w:type="dxa"/>
              <w:left w:w="100" w:type="dxa"/>
              <w:bottom w:w="100" w:type="dxa"/>
              <w:right w:w="100" w:type="dxa"/>
            </w:tcMar>
          </w:tcPr>
          <w:p w14:paraId="1829E783"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High and High</w:t>
            </w:r>
          </w:p>
        </w:tc>
        <w:tc>
          <w:tcPr>
            <w:tcW w:w="2130" w:type="dxa"/>
            <w:tcMar>
              <w:top w:w="100" w:type="dxa"/>
              <w:left w:w="100" w:type="dxa"/>
              <w:bottom w:w="100" w:type="dxa"/>
              <w:right w:w="100" w:type="dxa"/>
            </w:tcMar>
          </w:tcPr>
          <w:p w14:paraId="1AA356D9"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Project Dashboards, Email updates, and face-to-face meetings</w:t>
            </w:r>
          </w:p>
        </w:tc>
        <w:tc>
          <w:tcPr>
            <w:tcW w:w="1815" w:type="dxa"/>
            <w:tcMar>
              <w:top w:w="100" w:type="dxa"/>
              <w:left w:w="100" w:type="dxa"/>
              <w:bottom w:w="100" w:type="dxa"/>
              <w:right w:w="100" w:type="dxa"/>
            </w:tcMar>
          </w:tcPr>
          <w:p w14:paraId="0747820A"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Once a week</w:t>
            </w:r>
          </w:p>
        </w:tc>
        <w:tc>
          <w:tcPr>
            <w:tcW w:w="2280" w:type="dxa"/>
            <w:tcMar>
              <w:top w:w="100" w:type="dxa"/>
              <w:left w:w="100" w:type="dxa"/>
              <w:bottom w:w="100" w:type="dxa"/>
              <w:right w:w="100" w:type="dxa"/>
            </w:tcMar>
          </w:tcPr>
          <w:p w14:paraId="5D546221"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Communicating with the Country Council is important to manage political accountability, divert traffic during road closures, and address public concerns. </w:t>
            </w:r>
          </w:p>
        </w:tc>
      </w:tr>
      <w:tr w:rsidR="006448A3" w:rsidRPr="006448A3" w14:paraId="40DD2E04" w14:textId="77777777">
        <w:tc>
          <w:tcPr>
            <w:tcW w:w="1530" w:type="dxa"/>
            <w:tcMar>
              <w:top w:w="100" w:type="dxa"/>
              <w:left w:w="100" w:type="dxa"/>
              <w:bottom w:w="100" w:type="dxa"/>
              <w:right w:w="100" w:type="dxa"/>
            </w:tcMar>
          </w:tcPr>
          <w:p w14:paraId="4A444AD7"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Environment Agency</w:t>
            </w:r>
          </w:p>
        </w:tc>
        <w:tc>
          <w:tcPr>
            <w:tcW w:w="1620" w:type="dxa"/>
            <w:tcMar>
              <w:top w:w="100" w:type="dxa"/>
              <w:left w:w="100" w:type="dxa"/>
              <w:bottom w:w="100" w:type="dxa"/>
              <w:right w:w="100" w:type="dxa"/>
            </w:tcMar>
          </w:tcPr>
          <w:p w14:paraId="38F7E782"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High and Medium</w:t>
            </w:r>
          </w:p>
        </w:tc>
        <w:tc>
          <w:tcPr>
            <w:tcW w:w="2130" w:type="dxa"/>
            <w:tcMar>
              <w:top w:w="100" w:type="dxa"/>
              <w:left w:w="100" w:type="dxa"/>
              <w:bottom w:w="100" w:type="dxa"/>
              <w:right w:w="100" w:type="dxa"/>
            </w:tcMar>
          </w:tcPr>
          <w:p w14:paraId="1979320F"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Environmental Impact Audit and Reports</w:t>
            </w:r>
          </w:p>
        </w:tc>
        <w:tc>
          <w:tcPr>
            <w:tcW w:w="1815" w:type="dxa"/>
            <w:tcMar>
              <w:top w:w="100" w:type="dxa"/>
              <w:left w:w="100" w:type="dxa"/>
              <w:bottom w:w="100" w:type="dxa"/>
              <w:right w:w="100" w:type="dxa"/>
            </w:tcMar>
          </w:tcPr>
          <w:p w14:paraId="59821608"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Once a Month</w:t>
            </w:r>
          </w:p>
        </w:tc>
        <w:tc>
          <w:tcPr>
            <w:tcW w:w="2280" w:type="dxa"/>
            <w:tcMar>
              <w:top w:w="100" w:type="dxa"/>
              <w:left w:w="100" w:type="dxa"/>
              <w:bottom w:w="100" w:type="dxa"/>
              <w:right w:w="100" w:type="dxa"/>
            </w:tcMar>
          </w:tcPr>
          <w:p w14:paraId="6E940DAA"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Road construction has a significant environmental impact and is responsible for the emission of PM10 (Giunta, 2020). Environmental impact audit and reports are important to assess the pollution created from repairing and reconstruction activities on human health and the environment, and minimise negative </w:t>
            </w:r>
            <w:r w:rsidRPr="006448A3">
              <w:rPr>
                <w:rFonts w:asciiTheme="majorHAnsi" w:hAnsiTheme="majorHAnsi" w:cstheme="majorHAnsi"/>
                <w:color w:val="000000" w:themeColor="text1"/>
                <w:lang w:val="en-GB"/>
              </w:rPr>
              <w:lastRenderedPageBreak/>
              <w:t xml:space="preserve">impact. </w:t>
            </w:r>
          </w:p>
        </w:tc>
      </w:tr>
      <w:tr w:rsidR="006448A3" w:rsidRPr="006448A3" w14:paraId="6CC56FE0" w14:textId="77777777">
        <w:tc>
          <w:tcPr>
            <w:tcW w:w="1530" w:type="dxa"/>
            <w:tcMar>
              <w:top w:w="100" w:type="dxa"/>
              <w:left w:w="100" w:type="dxa"/>
              <w:bottom w:w="100" w:type="dxa"/>
              <w:right w:w="100" w:type="dxa"/>
            </w:tcMar>
          </w:tcPr>
          <w:p w14:paraId="003B21A7"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lastRenderedPageBreak/>
              <w:t>Emergency Services</w:t>
            </w:r>
          </w:p>
        </w:tc>
        <w:tc>
          <w:tcPr>
            <w:tcW w:w="1620" w:type="dxa"/>
            <w:tcMar>
              <w:top w:w="100" w:type="dxa"/>
              <w:left w:w="100" w:type="dxa"/>
              <w:bottom w:w="100" w:type="dxa"/>
              <w:right w:w="100" w:type="dxa"/>
            </w:tcMar>
          </w:tcPr>
          <w:p w14:paraId="7786C11B"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Medium and Medium</w:t>
            </w:r>
          </w:p>
        </w:tc>
        <w:tc>
          <w:tcPr>
            <w:tcW w:w="2130" w:type="dxa"/>
            <w:tcMar>
              <w:top w:w="100" w:type="dxa"/>
              <w:left w:w="100" w:type="dxa"/>
              <w:bottom w:w="100" w:type="dxa"/>
              <w:right w:w="100" w:type="dxa"/>
            </w:tcMar>
          </w:tcPr>
          <w:p w14:paraId="07AB26EB"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Traffic Management Briefings</w:t>
            </w:r>
          </w:p>
        </w:tc>
        <w:tc>
          <w:tcPr>
            <w:tcW w:w="1815" w:type="dxa"/>
            <w:tcMar>
              <w:top w:w="100" w:type="dxa"/>
              <w:left w:w="100" w:type="dxa"/>
              <w:bottom w:w="100" w:type="dxa"/>
              <w:right w:w="100" w:type="dxa"/>
            </w:tcMar>
          </w:tcPr>
          <w:p w14:paraId="4C00BBD8"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Weekly</w:t>
            </w:r>
          </w:p>
        </w:tc>
        <w:tc>
          <w:tcPr>
            <w:tcW w:w="2280" w:type="dxa"/>
            <w:tcMar>
              <w:top w:w="100" w:type="dxa"/>
              <w:left w:w="100" w:type="dxa"/>
              <w:bottom w:w="100" w:type="dxa"/>
              <w:right w:w="100" w:type="dxa"/>
            </w:tcMar>
          </w:tcPr>
          <w:p w14:paraId="53332954"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Communication with emergency services is essential to ensure a speedy response in case of an accident and access to emergency routes. This will improve project safety. </w:t>
            </w:r>
          </w:p>
        </w:tc>
      </w:tr>
      <w:tr w:rsidR="006448A3" w:rsidRPr="006448A3" w14:paraId="32B75504" w14:textId="77777777">
        <w:tc>
          <w:tcPr>
            <w:tcW w:w="1530" w:type="dxa"/>
            <w:tcMar>
              <w:top w:w="100" w:type="dxa"/>
              <w:left w:w="100" w:type="dxa"/>
              <w:bottom w:w="100" w:type="dxa"/>
              <w:right w:w="100" w:type="dxa"/>
            </w:tcMar>
          </w:tcPr>
          <w:p w14:paraId="6D61E7F2"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Project Contractors and Suppliers</w:t>
            </w:r>
          </w:p>
        </w:tc>
        <w:tc>
          <w:tcPr>
            <w:tcW w:w="1620" w:type="dxa"/>
            <w:tcMar>
              <w:top w:w="100" w:type="dxa"/>
              <w:left w:w="100" w:type="dxa"/>
              <w:bottom w:w="100" w:type="dxa"/>
              <w:right w:w="100" w:type="dxa"/>
            </w:tcMar>
          </w:tcPr>
          <w:p w14:paraId="600C2D9E"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High and Medium</w:t>
            </w:r>
          </w:p>
        </w:tc>
        <w:tc>
          <w:tcPr>
            <w:tcW w:w="2130" w:type="dxa"/>
            <w:tcMar>
              <w:top w:w="100" w:type="dxa"/>
              <w:left w:w="100" w:type="dxa"/>
              <w:bottom w:w="100" w:type="dxa"/>
              <w:right w:w="100" w:type="dxa"/>
            </w:tcMar>
          </w:tcPr>
          <w:p w14:paraId="4E3EE63B"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Weekly briefings, On-site meetings, and written updates</w:t>
            </w:r>
          </w:p>
        </w:tc>
        <w:tc>
          <w:tcPr>
            <w:tcW w:w="1815" w:type="dxa"/>
            <w:tcMar>
              <w:top w:w="100" w:type="dxa"/>
              <w:left w:w="100" w:type="dxa"/>
              <w:bottom w:w="100" w:type="dxa"/>
              <w:right w:w="100" w:type="dxa"/>
            </w:tcMar>
          </w:tcPr>
          <w:p w14:paraId="5E134B7C"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Thrice a week</w:t>
            </w:r>
          </w:p>
        </w:tc>
        <w:tc>
          <w:tcPr>
            <w:tcW w:w="2280" w:type="dxa"/>
            <w:tcMar>
              <w:top w:w="100" w:type="dxa"/>
              <w:left w:w="100" w:type="dxa"/>
              <w:bottom w:w="100" w:type="dxa"/>
              <w:right w:w="100" w:type="dxa"/>
            </w:tcMar>
          </w:tcPr>
          <w:p w14:paraId="2543BD06"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Collaboration and communication with project contractors and suppliers </w:t>
            </w:r>
            <w:proofErr w:type="gramStart"/>
            <w:r w:rsidRPr="006448A3">
              <w:rPr>
                <w:rFonts w:asciiTheme="majorHAnsi" w:hAnsiTheme="majorHAnsi" w:cstheme="majorHAnsi"/>
                <w:color w:val="000000" w:themeColor="text1"/>
                <w:lang w:val="en-GB"/>
              </w:rPr>
              <w:t>is</w:t>
            </w:r>
            <w:proofErr w:type="gramEnd"/>
            <w:r w:rsidRPr="006448A3">
              <w:rPr>
                <w:rFonts w:asciiTheme="majorHAnsi" w:hAnsiTheme="majorHAnsi" w:cstheme="majorHAnsi"/>
                <w:color w:val="000000" w:themeColor="text1"/>
                <w:lang w:val="en-GB"/>
              </w:rPr>
              <w:t xml:space="preserve"> needed for effective resource management and to prevent project delays (Yap and Yu, 2025).  </w:t>
            </w:r>
          </w:p>
        </w:tc>
      </w:tr>
      <w:tr w:rsidR="006448A3" w:rsidRPr="006448A3" w14:paraId="53BF9C94" w14:textId="77777777">
        <w:tc>
          <w:tcPr>
            <w:tcW w:w="1530" w:type="dxa"/>
            <w:tcMar>
              <w:top w:w="100" w:type="dxa"/>
              <w:left w:w="100" w:type="dxa"/>
              <w:bottom w:w="100" w:type="dxa"/>
              <w:right w:w="100" w:type="dxa"/>
            </w:tcMar>
          </w:tcPr>
          <w:p w14:paraId="3E453905"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Local Residents and Businesses</w:t>
            </w:r>
          </w:p>
        </w:tc>
        <w:tc>
          <w:tcPr>
            <w:tcW w:w="1620" w:type="dxa"/>
            <w:tcMar>
              <w:top w:w="100" w:type="dxa"/>
              <w:left w:w="100" w:type="dxa"/>
              <w:bottom w:w="100" w:type="dxa"/>
              <w:right w:w="100" w:type="dxa"/>
            </w:tcMar>
          </w:tcPr>
          <w:p w14:paraId="00A941FF"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Low and High</w:t>
            </w:r>
          </w:p>
        </w:tc>
        <w:tc>
          <w:tcPr>
            <w:tcW w:w="2130" w:type="dxa"/>
            <w:tcMar>
              <w:top w:w="100" w:type="dxa"/>
              <w:left w:w="100" w:type="dxa"/>
              <w:bottom w:w="100" w:type="dxa"/>
              <w:right w:w="100" w:type="dxa"/>
            </w:tcMar>
          </w:tcPr>
          <w:p w14:paraId="78558A8E"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Public notices and community forums</w:t>
            </w:r>
          </w:p>
        </w:tc>
        <w:tc>
          <w:tcPr>
            <w:tcW w:w="1815" w:type="dxa"/>
            <w:tcMar>
              <w:top w:w="100" w:type="dxa"/>
              <w:left w:w="100" w:type="dxa"/>
              <w:bottom w:w="100" w:type="dxa"/>
              <w:right w:w="100" w:type="dxa"/>
            </w:tcMar>
          </w:tcPr>
          <w:p w14:paraId="04B16F43"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Once a month</w:t>
            </w:r>
          </w:p>
        </w:tc>
        <w:tc>
          <w:tcPr>
            <w:tcW w:w="2280" w:type="dxa"/>
            <w:tcMar>
              <w:top w:w="100" w:type="dxa"/>
              <w:left w:w="100" w:type="dxa"/>
              <w:bottom w:w="100" w:type="dxa"/>
              <w:right w:w="100" w:type="dxa"/>
            </w:tcMar>
          </w:tcPr>
          <w:p w14:paraId="26061E28"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Public notices will be used to provide a project update to the local residents. This measure is important to manage expectations and </w:t>
            </w:r>
            <w:r w:rsidRPr="006448A3">
              <w:rPr>
                <w:rFonts w:asciiTheme="majorHAnsi" w:hAnsiTheme="majorHAnsi" w:cstheme="majorHAnsi"/>
                <w:color w:val="000000" w:themeColor="text1"/>
                <w:lang w:val="en-GB"/>
              </w:rPr>
              <w:lastRenderedPageBreak/>
              <w:t xml:space="preserve">improve project transparency. </w:t>
            </w:r>
          </w:p>
        </w:tc>
      </w:tr>
    </w:tbl>
    <w:p w14:paraId="78E6AE82" w14:textId="77777777" w:rsidR="00A0001D" w:rsidRPr="006448A3" w:rsidRDefault="00000000" w:rsidP="006448A3">
      <w:pP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lastRenderedPageBreak/>
        <w:t>Table 3: Stakeholder Communication Plan</w:t>
      </w:r>
    </w:p>
    <w:p w14:paraId="44C19BC6" w14:textId="77777777" w:rsidR="00A0001D" w:rsidRPr="006448A3" w:rsidRDefault="00000000" w:rsidP="006448A3">
      <w:pPr>
        <w:spacing w:before="100" w:beforeAutospacing="1" w:after="100" w:afterAutospacing="1"/>
        <w:jc w:val="center"/>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(Source: Influenced by Giunta, 2020; Yap and Yu, 2025)</w:t>
      </w:r>
    </w:p>
    <w:p w14:paraId="5281E028"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The above communication plan can help ensure effective communication with the diverse stakeholder groups and satisfy their needs and demands. </w:t>
      </w:r>
    </w:p>
    <w:p w14:paraId="5B814794" w14:textId="77777777" w:rsidR="00A0001D" w:rsidRPr="006448A3" w:rsidRDefault="00000000" w:rsidP="006448A3">
      <w:pPr>
        <w:pStyle w:val="Heading2"/>
        <w:spacing w:before="100" w:beforeAutospacing="1" w:after="100" w:afterAutospacing="1"/>
        <w:rPr>
          <w:rFonts w:asciiTheme="majorHAnsi" w:hAnsiTheme="majorHAnsi" w:cstheme="majorHAnsi"/>
          <w:color w:val="000000" w:themeColor="text1"/>
          <w:lang w:val="en-GB"/>
        </w:rPr>
      </w:pPr>
      <w:bookmarkStart w:id="31" w:name="_qv966d2h4ok0" w:colFirst="0" w:colLast="0"/>
      <w:bookmarkStart w:id="32" w:name="_Toc221980689"/>
      <w:bookmarkEnd w:id="31"/>
      <w:r w:rsidRPr="006448A3">
        <w:rPr>
          <w:rFonts w:asciiTheme="majorHAnsi" w:hAnsiTheme="majorHAnsi" w:cstheme="majorHAnsi"/>
          <w:color w:val="000000" w:themeColor="text1"/>
          <w:lang w:val="en-GB"/>
        </w:rPr>
        <w:t>8. Resource Allocation</w:t>
      </w:r>
      <w:bookmarkEnd w:id="32"/>
    </w:p>
    <w:p w14:paraId="09A3EBEF"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Resource allocation plays a pivotal role in the success of complex projects. A critical path prioritisation approach will be beneficial for ensuring resources are allocated based on complexity and priority of a task. </w:t>
      </w:r>
    </w:p>
    <w:p w14:paraId="709EEA44" w14:textId="77777777" w:rsidR="00A0001D" w:rsidRPr="006448A3" w:rsidRDefault="00000000" w:rsidP="006448A3">
      <w:pPr>
        <w:spacing w:before="100" w:beforeAutospacing="1" w:after="100" w:afterAutospacing="1"/>
        <w:rPr>
          <w:rFonts w:asciiTheme="majorHAnsi" w:hAnsiTheme="majorHAnsi" w:cstheme="majorHAnsi"/>
          <w:i/>
          <w:iCs/>
          <w:color w:val="000000" w:themeColor="text1"/>
          <w:lang w:val="en-GB"/>
        </w:rPr>
      </w:pPr>
      <w:r w:rsidRPr="006448A3">
        <w:rPr>
          <w:rFonts w:asciiTheme="majorHAnsi" w:hAnsiTheme="majorHAnsi" w:cstheme="majorHAnsi"/>
          <w:i/>
          <w:iCs/>
          <w:color w:val="000000" w:themeColor="text1"/>
          <w:lang w:val="en-GB"/>
        </w:rPr>
        <w:t>Human Workforce Plan</w:t>
      </w:r>
    </w:p>
    <w:tbl>
      <w:tblPr>
        <w:tblStyle w:val="a4"/>
        <w:tblW w:w="748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2265"/>
        <w:gridCol w:w="2100"/>
      </w:tblGrid>
      <w:tr w:rsidR="006448A3" w:rsidRPr="006448A3" w14:paraId="1E5482C5" w14:textId="77777777" w:rsidTr="000C76C2">
        <w:trPr>
          <w:jc w:val="center"/>
        </w:trPr>
        <w:tc>
          <w:tcPr>
            <w:tcW w:w="3120" w:type="dxa"/>
            <w:tcMar>
              <w:top w:w="100" w:type="dxa"/>
              <w:left w:w="100" w:type="dxa"/>
              <w:bottom w:w="100" w:type="dxa"/>
              <w:right w:w="100" w:type="dxa"/>
            </w:tcMar>
          </w:tcPr>
          <w:p w14:paraId="1B8E269F" w14:textId="77777777" w:rsidR="00A0001D" w:rsidRPr="006448A3" w:rsidRDefault="00000000" w:rsidP="006448A3">
            <w:pPr>
              <w:widowControl w:val="0"/>
              <w:pBdr>
                <w:top w:val="nil"/>
                <w:left w:val="nil"/>
                <w:bottom w:val="nil"/>
                <w:right w:val="nil"/>
                <w:between w:val="nil"/>
              </w:pBd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Role</w:t>
            </w:r>
          </w:p>
        </w:tc>
        <w:tc>
          <w:tcPr>
            <w:tcW w:w="2265" w:type="dxa"/>
            <w:tcMar>
              <w:top w:w="100" w:type="dxa"/>
              <w:left w:w="100" w:type="dxa"/>
              <w:bottom w:w="100" w:type="dxa"/>
              <w:right w:w="100" w:type="dxa"/>
            </w:tcMar>
          </w:tcPr>
          <w:p w14:paraId="376C553D" w14:textId="77777777" w:rsidR="00A0001D" w:rsidRPr="006448A3" w:rsidRDefault="00000000" w:rsidP="006448A3">
            <w:pPr>
              <w:widowControl w:val="0"/>
              <w:pBdr>
                <w:top w:val="nil"/>
                <w:left w:val="nil"/>
                <w:bottom w:val="nil"/>
                <w:right w:val="nil"/>
                <w:between w:val="nil"/>
              </w:pBd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Number of Workers</w:t>
            </w:r>
          </w:p>
        </w:tc>
        <w:tc>
          <w:tcPr>
            <w:tcW w:w="2100" w:type="dxa"/>
            <w:tcMar>
              <w:top w:w="100" w:type="dxa"/>
              <w:left w:w="100" w:type="dxa"/>
              <w:bottom w:w="100" w:type="dxa"/>
              <w:right w:w="100" w:type="dxa"/>
            </w:tcMar>
          </w:tcPr>
          <w:p w14:paraId="520ED6D5" w14:textId="77777777" w:rsidR="00A0001D" w:rsidRPr="006448A3" w:rsidRDefault="00000000" w:rsidP="006448A3">
            <w:pPr>
              <w:widowControl w:val="0"/>
              <w:pBdr>
                <w:top w:val="nil"/>
                <w:left w:val="nil"/>
                <w:bottom w:val="nil"/>
                <w:right w:val="nil"/>
                <w:between w:val="nil"/>
              </w:pBd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Allocation Period</w:t>
            </w:r>
          </w:p>
        </w:tc>
      </w:tr>
      <w:tr w:rsidR="006448A3" w:rsidRPr="006448A3" w14:paraId="7F59EB59" w14:textId="77777777" w:rsidTr="000C76C2">
        <w:trPr>
          <w:jc w:val="center"/>
        </w:trPr>
        <w:tc>
          <w:tcPr>
            <w:tcW w:w="3120" w:type="dxa"/>
            <w:tcMar>
              <w:top w:w="100" w:type="dxa"/>
              <w:left w:w="100" w:type="dxa"/>
              <w:bottom w:w="100" w:type="dxa"/>
              <w:right w:w="100" w:type="dxa"/>
            </w:tcMar>
          </w:tcPr>
          <w:p w14:paraId="2B298DCB"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Project Manager</w:t>
            </w:r>
          </w:p>
        </w:tc>
        <w:tc>
          <w:tcPr>
            <w:tcW w:w="2265" w:type="dxa"/>
            <w:tcMar>
              <w:top w:w="100" w:type="dxa"/>
              <w:left w:w="100" w:type="dxa"/>
              <w:bottom w:w="100" w:type="dxa"/>
              <w:right w:w="100" w:type="dxa"/>
            </w:tcMar>
          </w:tcPr>
          <w:p w14:paraId="7431707F"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1</w:t>
            </w:r>
          </w:p>
        </w:tc>
        <w:tc>
          <w:tcPr>
            <w:tcW w:w="2100" w:type="dxa"/>
            <w:tcMar>
              <w:top w:w="100" w:type="dxa"/>
              <w:left w:w="100" w:type="dxa"/>
              <w:bottom w:w="100" w:type="dxa"/>
              <w:right w:w="100" w:type="dxa"/>
            </w:tcMar>
          </w:tcPr>
          <w:p w14:paraId="27B5AA7B"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180 days</w:t>
            </w:r>
          </w:p>
        </w:tc>
      </w:tr>
      <w:tr w:rsidR="006448A3" w:rsidRPr="006448A3" w14:paraId="0E01AA61" w14:textId="77777777" w:rsidTr="000C76C2">
        <w:trPr>
          <w:jc w:val="center"/>
        </w:trPr>
        <w:tc>
          <w:tcPr>
            <w:tcW w:w="3120" w:type="dxa"/>
            <w:tcMar>
              <w:top w:w="100" w:type="dxa"/>
              <w:left w:w="100" w:type="dxa"/>
              <w:bottom w:w="100" w:type="dxa"/>
              <w:right w:w="100" w:type="dxa"/>
            </w:tcMar>
          </w:tcPr>
          <w:p w14:paraId="37A6BE27"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Project Coordinator</w:t>
            </w:r>
          </w:p>
        </w:tc>
        <w:tc>
          <w:tcPr>
            <w:tcW w:w="2265" w:type="dxa"/>
            <w:tcMar>
              <w:top w:w="100" w:type="dxa"/>
              <w:left w:w="100" w:type="dxa"/>
              <w:bottom w:w="100" w:type="dxa"/>
              <w:right w:w="100" w:type="dxa"/>
            </w:tcMar>
          </w:tcPr>
          <w:p w14:paraId="12D9ABB9"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1</w:t>
            </w:r>
          </w:p>
        </w:tc>
        <w:tc>
          <w:tcPr>
            <w:tcW w:w="2100" w:type="dxa"/>
            <w:tcMar>
              <w:top w:w="100" w:type="dxa"/>
              <w:left w:w="100" w:type="dxa"/>
              <w:bottom w:w="100" w:type="dxa"/>
              <w:right w:w="100" w:type="dxa"/>
            </w:tcMar>
          </w:tcPr>
          <w:p w14:paraId="439D8B9C"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180 days</w:t>
            </w:r>
          </w:p>
        </w:tc>
      </w:tr>
      <w:tr w:rsidR="006448A3" w:rsidRPr="006448A3" w14:paraId="405966FB" w14:textId="77777777" w:rsidTr="000C76C2">
        <w:trPr>
          <w:jc w:val="center"/>
        </w:trPr>
        <w:tc>
          <w:tcPr>
            <w:tcW w:w="3120" w:type="dxa"/>
            <w:tcMar>
              <w:top w:w="100" w:type="dxa"/>
              <w:left w:w="100" w:type="dxa"/>
              <w:bottom w:w="100" w:type="dxa"/>
              <w:right w:w="100" w:type="dxa"/>
            </w:tcMar>
          </w:tcPr>
          <w:p w14:paraId="70F20262"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Project Planning Engineer</w:t>
            </w:r>
          </w:p>
        </w:tc>
        <w:tc>
          <w:tcPr>
            <w:tcW w:w="2265" w:type="dxa"/>
            <w:tcMar>
              <w:top w:w="100" w:type="dxa"/>
              <w:left w:w="100" w:type="dxa"/>
              <w:bottom w:w="100" w:type="dxa"/>
              <w:right w:w="100" w:type="dxa"/>
            </w:tcMar>
          </w:tcPr>
          <w:p w14:paraId="0F525DD2"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2</w:t>
            </w:r>
          </w:p>
        </w:tc>
        <w:tc>
          <w:tcPr>
            <w:tcW w:w="2100" w:type="dxa"/>
            <w:tcMar>
              <w:top w:w="100" w:type="dxa"/>
              <w:left w:w="100" w:type="dxa"/>
              <w:bottom w:w="100" w:type="dxa"/>
              <w:right w:w="100" w:type="dxa"/>
            </w:tcMar>
          </w:tcPr>
          <w:p w14:paraId="65E5EA46"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180 days</w:t>
            </w:r>
          </w:p>
        </w:tc>
      </w:tr>
      <w:tr w:rsidR="006448A3" w:rsidRPr="006448A3" w14:paraId="1C4AE78F" w14:textId="77777777" w:rsidTr="000C76C2">
        <w:trPr>
          <w:jc w:val="center"/>
        </w:trPr>
        <w:tc>
          <w:tcPr>
            <w:tcW w:w="3120" w:type="dxa"/>
            <w:tcMar>
              <w:top w:w="100" w:type="dxa"/>
              <w:left w:w="100" w:type="dxa"/>
              <w:bottom w:w="100" w:type="dxa"/>
              <w:right w:w="100" w:type="dxa"/>
            </w:tcMar>
          </w:tcPr>
          <w:p w14:paraId="40D08612"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Auditor and Cost Controller</w:t>
            </w:r>
          </w:p>
        </w:tc>
        <w:tc>
          <w:tcPr>
            <w:tcW w:w="2265" w:type="dxa"/>
            <w:tcMar>
              <w:top w:w="100" w:type="dxa"/>
              <w:left w:w="100" w:type="dxa"/>
              <w:bottom w:w="100" w:type="dxa"/>
              <w:right w:w="100" w:type="dxa"/>
            </w:tcMar>
          </w:tcPr>
          <w:p w14:paraId="1AB4470B"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2</w:t>
            </w:r>
          </w:p>
        </w:tc>
        <w:tc>
          <w:tcPr>
            <w:tcW w:w="2100" w:type="dxa"/>
            <w:tcMar>
              <w:top w:w="100" w:type="dxa"/>
              <w:left w:w="100" w:type="dxa"/>
              <w:bottom w:w="100" w:type="dxa"/>
              <w:right w:w="100" w:type="dxa"/>
            </w:tcMar>
          </w:tcPr>
          <w:p w14:paraId="1116370F"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180 days</w:t>
            </w:r>
          </w:p>
        </w:tc>
      </w:tr>
      <w:tr w:rsidR="006448A3" w:rsidRPr="006448A3" w14:paraId="17F3714A" w14:textId="77777777" w:rsidTr="000C76C2">
        <w:trPr>
          <w:jc w:val="center"/>
        </w:trPr>
        <w:tc>
          <w:tcPr>
            <w:tcW w:w="3120" w:type="dxa"/>
            <w:tcMar>
              <w:top w:w="100" w:type="dxa"/>
              <w:left w:w="100" w:type="dxa"/>
              <w:bottom w:w="100" w:type="dxa"/>
              <w:right w:w="100" w:type="dxa"/>
            </w:tcMar>
          </w:tcPr>
          <w:p w14:paraId="00A219C4"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Health and Safety Manager</w:t>
            </w:r>
          </w:p>
        </w:tc>
        <w:tc>
          <w:tcPr>
            <w:tcW w:w="2265" w:type="dxa"/>
            <w:tcMar>
              <w:top w:w="100" w:type="dxa"/>
              <w:left w:w="100" w:type="dxa"/>
              <w:bottom w:w="100" w:type="dxa"/>
              <w:right w:w="100" w:type="dxa"/>
            </w:tcMar>
          </w:tcPr>
          <w:p w14:paraId="65C32C3F"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2</w:t>
            </w:r>
          </w:p>
        </w:tc>
        <w:tc>
          <w:tcPr>
            <w:tcW w:w="2100" w:type="dxa"/>
            <w:tcMar>
              <w:top w:w="100" w:type="dxa"/>
              <w:left w:w="100" w:type="dxa"/>
              <w:bottom w:w="100" w:type="dxa"/>
              <w:right w:w="100" w:type="dxa"/>
            </w:tcMar>
          </w:tcPr>
          <w:p w14:paraId="0B856800"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180 days</w:t>
            </w:r>
          </w:p>
        </w:tc>
      </w:tr>
      <w:tr w:rsidR="006448A3" w:rsidRPr="006448A3" w14:paraId="3B9AA8FD" w14:textId="77777777" w:rsidTr="000C76C2">
        <w:trPr>
          <w:jc w:val="center"/>
        </w:trPr>
        <w:tc>
          <w:tcPr>
            <w:tcW w:w="3120" w:type="dxa"/>
            <w:tcMar>
              <w:top w:w="100" w:type="dxa"/>
              <w:left w:w="100" w:type="dxa"/>
              <w:bottom w:w="100" w:type="dxa"/>
              <w:right w:w="100" w:type="dxa"/>
            </w:tcMar>
          </w:tcPr>
          <w:p w14:paraId="714DDA94"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Regulatory Advisor</w:t>
            </w:r>
          </w:p>
        </w:tc>
        <w:tc>
          <w:tcPr>
            <w:tcW w:w="2265" w:type="dxa"/>
            <w:tcMar>
              <w:top w:w="100" w:type="dxa"/>
              <w:left w:w="100" w:type="dxa"/>
              <w:bottom w:w="100" w:type="dxa"/>
              <w:right w:w="100" w:type="dxa"/>
            </w:tcMar>
          </w:tcPr>
          <w:p w14:paraId="52C75088"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1</w:t>
            </w:r>
          </w:p>
        </w:tc>
        <w:tc>
          <w:tcPr>
            <w:tcW w:w="2100" w:type="dxa"/>
            <w:tcMar>
              <w:top w:w="100" w:type="dxa"/>
              <w:left w:w="100" w:type="dxa"/>
              <w:bottom w:w="100" w:type="dxa"/>
              <w:right w:w="100" w:type="dxa"/>
            </w:tcMar>
          </w:tcPr>
          <w:p w14:paraId="4369597B"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180 days</w:t>
            </w:r>
          </w:p>
        </w:tc>
      </w:tr>
      <w:tr w:rsidR="006448A3" w:rsidRPr="006448A3" w14:paraId="78D08A8D" w14:textId="77777777" w:rsidTr="000C76C2">
        <w:trPr>
          <w:jc w:val="center"/>
        </w:trPr>
        <w:tc>
          <w:tcPr>
            <w:tcW w:w="3120" w:type="dxa"/>
            <w:tcMar>
              <w:top w:w="100" w:type="dxa"/>
              <w:left w:w="100" w:type="dxa"/>
              <w:bottom w:w="100" w:type="dxa"/>
              <w:right w:w="100" w:type="dxa"/>
            </w:tcMar>
          </w:tcPr>
          <w:p w14:paraId="3751BB91"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Civil Engineers</w:t>
            </w:r>
          </w:p>
        </w:tc>
        <w:tc>
          <w:tcPr>
            <w:tcW w:w="2265" w:type="dxa"/>
            <w:tcMar>
              <w:top w:w="100" w:type="dxa"/>
              <w:left w:w="100" w:type="dxa"/>
              <w:bottom w:w="100" w:type="dxa"/>
              <w:right w:w="100" w:type="dxa"/>
            </w:tcMar>
          </w:tcPr>
          <w:p w14:paraId="5595725B"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6</w:t>
            </w:r>
          </w:p>
        </w:tc>
        <w:tc>
          <w:tcPr>
            <w:tcW w:w="2100" w:type="dxa"/>
            <w:tcMar>
              <w:top w:w="100" w:type="dxa"/>
              <w:left w:w="100" w:type="dxa"/>
              <w:bottom w:w="100" w:type="dxa"/>
              <w:right w:w="100" w:type="dxa"/>
            </w:tcMar>
          </w:tcPr>
          <w:p w14:paraId="6150EE3D"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100 days</w:t>
            </w:r>
          </w:p>
        </w:tc>
      </w:tr>
      <w:tr w:rsidR="006448A3" w:rsidRPr="006448A3" w14:paraId="5A958687" w14:textId="77777777" w:rsidTr="000C76C2">
        <w:trPr>
          <w:jc w:val="center"/>
        </w:trPr>
        <w:tc>
          <w:tcPr>
            <w:tcW w:w="3120" w:type="dxa"/>
            <w:tcMar>
              <w:top w:w="100" w:type="dxa"/>
              <w:left w:w="100" w:type="dxa"/>
              <w:bottom w:w="100" w:type="dxa"/>
              <w:right w:w="100" w:type="dxa"/>
            </w:tcMar>
          </w:tcPr>
          <w:p w14:paraId="73602EBE"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lastRenderedPageBreak/>
              <w:t>Geotechnical Engineers</w:t>
            </w:r>
          </w:p>
        </w:tc>
        <w:tc>
          <w:tcPr>
            <w:tcW w:w="2265" w:type="dxa"/>
            <w:tcMar>
              <w:top w:w="100" w:type="dxa"/>
              <w:left w:w="100" w:type="dxa"/>
              <w:bottom w:w="100" w:type="dxa"/>
              <w:right w:w="100" w:type="dxa"/>
            </w:tcMar>
          </w:tcPr>
          <w:p w14:paraId="4BEE220A"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4</w:t>
            </w:r>
          </w:p>
        </w:tc>
        <w:tc>
          <w:tcPr>
            <w:tcW w:w="2100" w:type="dxa"/>
            <w:tcMar>
              <w:top w:w="100" w:type="dxa"/>
              <w:left w:w="100" w:type="dxa"/>
              <w:bottom w:w="100" w:type="dxa"/>
              <w:right w:w="100" w:type="dxa"/>
            </w:tcMar>
          </w:tcPr>
          <w:p w14:paraId="099CAC95"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80 days</w:t>
            </w:r>
          </w:p>
        </w:tc>
      </w:tr>
      <w:tr w:rsidR="006448A3" w:rsidRPr="006448A3" w14:paraId="07B8ECA3" w14:textId="77777777" w:rsidTr="000C76C2">
        <w:trPr>
          <w:jc w:val="center"/>
        </w:trPr>
        <w:tc>
          <w:tcPr>
            <w:tcW w:w="3120" w:type="dxa"/>
            <w:tcMar>
              <w:top w:w="100" w:type="dxa"/>
              <w:left w:w="100" w:type="dxa"/>
              <w:bottom w:w="100" w:type="dxa"/>
              <w:right w:w="100" w:type="dxa"/>
            </w:tcMar>
          </w:tcPr>
          <w:p w14:paraId="3556BDF0"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Structural Engineers</w:t>
            </w:r>
          </w:p>
        </w:tc>
        <w:tc>
          <w:tcPr>
            <w:tcW w:w="2265" w:type="dxa"/>
            <w:tcMar>
              <w:top w:w="100" w:type="dxa"/>
              <w:left w:w="100" w:type="dxa"/>
              <w:bottom w:w="100" w:type="dxa"/>
              <w:right w:w="100" w:type="dxa"/>
            </w:tcMar>
          </w:tcPr>
          <w:p w14:paraId="5BC1724F"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6</w:t>
            </w:r>
          </w:p>
        </w:tc>
        <w:tc>
          <w:tcPr>
            <w:tcW w:w="2100" w:type="dxa"/>
            <w:tcMar>
              <w:top w:w="100" w:type="dxa"/>
              <w:left w:w="100" w:type="dxa"/>
              <w:bottom w:w="100" w:type="dxa"/>
              <w:right w:w="100" w:type="dxa"/>
            </w:tcMar>
          </w:tcPr>
          <w:p w14:paraId="274B1D8A"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80 days</w:t>
            </w:r>
          </w:p>
        </w:tc>
      </w:tr>
      <w:tr w:rsidR="006448A3" w:rsidRPr="006448A3" w14:paraId="49275305" w14:textId="77777777" w:rsidTr="000C76C2">
        <w:trPr>
          <w:jc w:val="center"/>
        </w:trPr>
        <w:tc>
          <w:tcPr>
            <w:tcW w:w="3120" w:type="dxa"/>
            <w:tcMar>
              <w:top w:w="100" w:type="dxa"/>
              <w:left w:w="100" w:type="dxa"/>
              <w:bottom w:w="100" w:type="dxa"/>
              <w:right w:w="100" w:type="dxa"/>
            </w:tcMar>
          </w:tcPr>
          <w:p w14:paraId="5C5AD0DA"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GPR Specialist</w:t>
            </w:r>
          </w:p>
        </w:tc>
        <w:tc>
          <w:tcPr>
            <w:tcW w:w="2265" w:type="dxa"/>
            <w:tcMar>
              <w:top w:w="100" w:type="dxa"/>
              <w:left w:w="100" w:type="dxa"/>
              <w:bottom w:w="100" w:type="dxa"/>
              <w:right w:w="100" w:type="dxa"/>
            </w:tcMar>
          </w:tcPr>
          <w:p w14:paraId="230B1868"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3</w:t>
            </w:r>
          </w:p>
        </w:tc>
        <w:tc>
          <w:tcPr>
            <w:tcW w:w="2100" w:type="dxa"/>
            <w:tcMar>
              <w:top w:w="100" w:type="dxa"/>
              <w:left w:w="100" w:type="dxa"/>
              <w:bottom w:w="100" w:type="dxa"/>
              <w:right w:w="100" w:type="dxa"/>
            </w:tcMar>
          </w:tcPr>
          <w:p w14:paraId="7BB4261E"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80 days</w:t>
            </w:r>
          </w:p>
        </w:tc>
      </w:tr>
      <w:tr w:rsidR="006448A3" w:rsidRPr="006448A3" w14:paraId="5BEACD7B" w14:textId="77777777" w:rsidTr="000C76C2">
        <w:trPr>
          <w:jc w:val="center"/>
        </w:trPr>
        <w:tc>
          <w:tcPr>
            <w:tcW w:w="3120" w:type="dxa"/>
            <w:tcMar>
              <w:top w:w="100" w:type="dxa"/>
              <w:left w:w="100" w:type="dxa"/>
              <w:bottom w:w="100" w:type="dxa"/>
              <w:right w:w="100" w:type="dxa"/>
            </w:tcMar>
          </w:tcPr>
          <w:p w14:paraId="04A8C60E"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Environmental Specialist</w:t>
            </w:r>
          </w:p>
        </w:tc>
        <w:tc>
          <w:tcPr>
            <w:tcW w:w="2265" w:type="dxa"/>
            <w:tcMar>
              <w:top w:w="100" w:type="dxa"/>
              <w:left w:w="100" w:type="dxa"/>
              <w:bottom w:w="100" w:type="dxa"/>
              <w:right w:w="100" w:type="dxa"/>
            </w:tcMar>
          </w:tcPr>
          <w:p w14:paraId="59C2B564"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2</w:t>
            </w:r>
          </w:p>
        </w:tc>
        <w:tc>
          <w:tcPr>
            <w:tcW w:w="2100" w:type="dxa"/>
            <w:tcMar>
              <w:top w:w="100" w:type="dxa"/>
              <w:left w:w="100" w:type="dxa"/>
              <w:bottom w:w="100" w:type="dxa"/>
              <w:right w:w="100" w:type="dxa"/>
            </w:tcMar>
          </w:tcPr>
          <w:p w14:paraId="1DB5A0E9"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80 days</w:t>
            </w:r>
          </w:p>
        </w:tc>
      </w:tr>
      <w:tr w:rsidR="006448A3" w:rsidRPr="006448A3" w14:paraId="27A475A7" w14:textId="77777777" w:rsidTr="000C76C2">
        <w:trPr>
          <w:jc w:val="center"/>
        </w:trPr>
        <w:tc>
          <w:tcPr>
            <w:tcW w:w="3120" w:type="dxa"/>
            <w:tcMar>
              <w:top w:w="100" w:type="dxa"/>
              <w:left w:w="100" w:type="dxa"/>
              <w:bottom w:w="100" w:type="dxa"/>
              <w:right w:w="100" w:type="dxa"/>
            </w:tcMar>
          </w:tcPr>
          <w:p w14:paraId="59D9C26C"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Skilled Road Workers</w:t>
            </w:r>
          </w:p>
        </w:tc>
        <w:tc>
          <w:tcPr>
            <w:tcW w:w="2265" w:type="dxa"/>
            <w:tcMar>
              <w:top w:w="100" w:type="dxa"/>
              <w:left w:w="100" w:type="dxa"/>
              <w:bottom w:w="100" w:type="dxa"/>
              <w:right w:w="100" w:type="dxa"/>
            </w:tcMar>
          </w:tcPr>
          <w:p w14:paraId="120481CE"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70</w:t>
            </w:r>
          </w:p>
        </w:tc>
        <w:tc>
          <w:tcPr>
            <w:tcW w:w="2100" w:type="dxa"/>
            <w:tcMar>
              <w:top w:w="100" w:type="dxa"/>
              <w:left w:w="100" w:type="dxa"/>
              <w:bottom w:w="100" w:type="dxa"/>
              <w:right w:w="100" w:type="dxa"/>
            </w:tcMar>
          </w:tcPr>
          <w:p w14:paraId="51F463C6"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160 days</w:t>
            </w:r>
          </w:p>
        </w:tc>
      </w:tr>
      <w:tr w:rsidR="006448A3" w:rsidRPr="006448A3" w14:paraId="29474238" w14:textId="77777777" w:rsidTr="000C76C2">
        <w:trPr>
          <w:jc w:val="center"/>
        </w:trPr>
        <w:tc>
          <w:tcPr>
            <w:tcW w:w="3120" w:type="dxa"/>
            <w:tcMar>
              <w:top w:w="100" w:type="dxa"/>
              <w:left w:w="100" w:type="dxa"/>
              <w:bottom w:w="100" w:type="dxa"/>
              <w:right w:w="100" w:type="dxa"/>
            </w:tcMar>
          </w:tcPr>
          <w:p w14:paraId="6B424F86"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Plant Operators</w:t>
            </w:r>
          </w:p>
        </w:tc>
        <w:tc>
          <w:tcPr>
            <w:tcW w:w="2265" w:type="dxa"/>
            <w:tcMar>
              <w:top w:w="100" w:type="dxa"/>
              <w:left w:w="100" w:type="dxa"/>
              <w:bottom w:w="100" w:type="dxa"/>
              <w:right w:w="100" w:type="dxa"/>
            </w:tcMar>
          </w:tcPr>
          <w:p w14:paraId="69F1A8EF"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10</w:t>
            </w:r>
          </w:p>
        </w:tc>
        <w:tc>
          <w:tcPr>
            <w:tcW w:w="2100" w:type="dxa"/>
            <w:tcMar>
              <w:top w:w="100" w:type="dxa"/>
              <w:left w:w="100" w:type="dxa"/>
              <w:bottom w:w="100" w:type="dxa"/>
              <w:right w:w="100" w:type="dxa"/>
            </w:tcMar>
          </w:tcPr>
          <w:p w14:paraId="76EAD055"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160 days</w:t>
            </w:r>
          </w:p>
        </w:tc>
      </w:tr>
      <w:tr w:rsidR="006448A3" w:rsidRPr="006448A3" w14:paraId="6E2C53BE" w14:textId="77777777" w:rsidTr="000C76C2">
        <w:trPr>
          <w:jc w:val="center"/>
        </w:trPr>
        <w:tc>
          <w:tcPr>
            <w:tcW w:w="3120" w:type="dxa"/>
            <w:tcMar>
              <w:top w:w="100" w:type="dxa"/>
              <w:left w:w="100" w:type="dxa"/>
              <w:bottom w:w="100" w:type="dxa"/>
              <w:right w:w="100" w:type="dxa"/>
            </w:tcMar>
          </w:tcPr>
          <w:p w14:paraId="2DC42334"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Drainage Installation Crew</w:t>
            </w:r>
          </w:p>
        </w:tc>
        <w:tc>
          <w:tcPr>
            <w:tcW w:w="2265" w:type="dxa"/>
            <w:tcMar>
              <w:top w:w="100" w:type="dxa"/>
              <w:left w:w="100" w:type="dxa"/>
              <w:bottom w:w="100" w:type="dxa"/>
              <w:right w:w="100" w:type="dxa"/>
            </w:tcMar>
          </w:tcPr>
          <w:p w14:paraId="588758F5"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10</w:t>
            </w:r>
          </w:p>
        </w:tc>
        <w:tc>
          <w:tcPr>
            <w:tcW w:w="2100" w:type="dxa"/>
            <w:tcMar>
              <w:top w:w="100" w:type="dxa"/>
              <w:left w:w="100" w:type="dxa"/>
              <w:bottom w:w="100" w:type="dxa"/>
              <w:right w:w="100" w:type="dxa"/>
            </w:tcMar>
          </w:tcPr>
          <w:p w14:paraId="5B6C8B64"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60 days</w:t>
            </w:r>
          </w:p>
        </w:tc>
      </w:tr>
      <w:tr w:rsidR="006448A3" w:rsidRPr="006448A3" w14:paraId="1C0091B0" w14:textId="77777777" w:rsidTr="000C76C2">
        <w:trPr>
          <w:jc w:val="center"/>
        </w:trPr>
        <w:tc>
          <w:tcPr>
            <w:tcW w:w="3120" w:type="dxa"/>
            <w:tcMar>
              <w:top w:w="100" w:type="dxa"/>
              <w:left w:w="100" w:type="dxa"/>
              <w:bottom w:w="100" w:type="dxa"/>
              <w:right w:w="100" w:type="dxa"/>
            </w:tcMar>
          </w:tcPr>
          <w:p w14:paraId="359586C0"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Bridge Reinforcement Crew</w:t>
            </w:r>
          </w:p>
        </w:tc>
        <w:tc>
          <w:tcPr>
            <w:tcW w:w="2265" w:type="dxa"/>
            <w:tcMar>
              <w:top w:w="100" w:type="dxa"/>
              <w:left w:w="100" w:type="dxa"/>
              <w:bottom w:w="100" w:type="dxa"/>
              <w:right w:w="100" w:type="dxa"/>
            </w:tcMar>
          </w:tcPr>
          <w:p w14:paraId="445F4ECA"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10</w:t>
            </w:r>
          </w:p>
        </w:tc>
        <w:tc>
          <w:tcPr>
            <w:tcW w:w="2100" w:type="dxa"/>
            <w:tcMar>
              <w:top w:w="100" w:type="dxa"/>
              <w:left w:w="100" w:type="dxa"/>
              <w:bottom w:w="100" w:type="dxa"/>
              <w:right w:w="100" w:type="dxa"/>
            </w:tcMar>
          </w:tcPr>
          <w:p w14:paraId="175E6976" w14:textId="77777777" w:rsidR="00A0001D" w:rsidRPr="006448A3" w:rsidRDefault="00000000" w:rsidP="006448A3">
            <w:pPr>
              <w:widowControl w:val="0"/>
              <w:pBdr>
                <w:top w:val="nil"/>
                <w:left w:val="nil"/>
                <w:bottom w:val="nil"/>
                <w:right w:val="nil"/>
                <w:between w:val="nil"/>
              </w:pBd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60 days</w:t>
            </w:r>
          </w:p>
        </w:tc>
      </w:tr>
    </w:tbl>
    <w:p w14:paraId="5CE1BACB" w14:textId="77777777" w:rsidR="00A0001D" w:rsidRPr="006448A3" w:rsidRDefault="00000000" w:rsidP="006448A3">
      <w:pP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Table 4: Human resources allocation</w:t>
      </w:r>
    </w:p>
    <w:p w14:paraId="5AC7DDE1"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It is important to note that skilled labourers will be allocated once the geotechnical and structural damage assessment is completed and the engineering team will be deallocated once all designing and inspection activities are done. </w:t>
      </w:r>
    </w:p>
    <w:p w14:paraId="4097DC4D" w14:textId="77777777" w:rsidR="00A0001D" w:rsidRPr="006448A3" w:rsidRDefault="00000000" w:rsidP="006448A3">
      <w:pPr>
        <w:spacing w:before="100" w:beforeAutospacing="1" w:after="100" w:afterAutospacing="1"/>
        <w:rPr>
          <w:rFonts w:asciiTheme="majorHAnsi" w:hAnsiTheme="majorHAnsi" w:cstheme="majorHAnsi"/>
          <w:i/>
          <w:iCs/>
          <w:color w:val="000000" w:themeColor="text1"/>
          <w:lang w:val="en-GB"/>
        </w:rPr>
      </w:pPr>
      <w:r w:rsidRPr="006448A3">
        <w:rPr>
          <w:rFonts w:asciiTheme="majorHAnsi" w:hAnsiTheme="majorHAnsi" w:cstheme="majorHAnsi"/>
          <w:color w:val="000000" w:themeColor="text1"/>
          <w:lang w:val="en-GB"/>
        </w:rPr>
        <w:t>Equipment and machinery allocation is presented below:</w:t>
      </w:r>
    </w:p>
    <w:tbl>
      <w:tblPr>
        <w:tblStyle w:val="a5"/>
        <w:tblW w:w="538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2265"/>
      </w:tblGrid>
      <w:tr w:rsidR="006448A3" w:rsidRPr="006448A3" w14:paraId="1FBF5528" w14:textId="77777777" w:rsidTr="000C76C2">
        <w:trPr>
          <w:jc w:val="center"/>
        </w:trPr>
        <w:tc>
          <w:tcPr>
            <w:tcW w:w="3120" w:type="dxa"/>
            <w:tcMar>
              <w:top w:w="100" w:type="dxa"/>
              <w:left w:w="100" w:type="dxa"/>
              <w:bottom w:w="100" w:type="dxa"/>
              <w:right w:w="100" w:type="dxa"/>
            </w:tcMar>
          </w:tcPr>
          <w:p w14:paraId="1CEB4E77" w14:textId="77777777" w:rsidR="00A0001D" w:rsidRPr="006448A3" w:rsidRDefault="00000000" w:rsidP="006448A3">
            <w:pPr>
              <w:widowControl w:val="0"/>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Equipment and Machinery</w:t>
            </w:r>
          </w:p>
        </w:tc>
        <w:tc>
          <w:tcPr>
            <w:tcW w:w="2265" w:type="dxa"/>
            <w:tcMar>
              <w:top w:w="100" w:type="dxa"/>
              <w:left w:w="100" w:type="dxa"/>
              <w:bottom w:w="100" w:type="dxa"/>
              <w:right w:w="100" w:type="dxa"/>
            </w:tcMar>
          </w:tcPr>
          <w:p w14:paraId="0A2DF291" w14:textId="77777777" w:rsidR="00A0001D" w:rsidRPr="006448A3" w:rsidRDefault="00000000" w:rsidP="006448A3">
            <w:pPr>
              <w:widowControl w:val="0"/>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Quantity</w:t>
            </w:r>
          </w:p>
        </w:tc>
      </w:tr>
      <w:tr w:rsidR="006448A3" w:rsidRPr="006448A3" w14:paraId="6A00E440" w14:textId="77777777" w:rsidTr="000C76C2">
        <w:trPr>
          <w:jc w:val="center"/>
        </w:trPr>
        <w:tc>
          <w:tcPr>
            <w:tcW w:w="3120" w:type="dxa"/>
            <w:tcMar>
              <w:top w:w="100" w:type="dxa"/>
              <w:left w:w="100" w:type="dxa"/>
              <w:bottom w:w="100" w:type="dxa"/>
              <w:right w:w="100" w:type="dxa"/>
            </w:tcMar>
          </w:tcPr>
          <w:p w14:paraId="0A32A704"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Excavators</w:t>
            </w:r>
          </w:p>
        </w:tc>
        <w:tc>
          <w:tcPr>
            <w:tcW w:w="2265" w:type="dxa"/>
            <w:tcMar>
              <w:top w:w="100" w:type="dxa"/>
              <w:left w:w="100" w:type="dxa"/>
              <w:bottom w:w="100" w:type="dxa"/>
              <w:right w:w="100" w:type="dxa"/>
            </w:tcMar>
          </w:tcPr>
          <w:p w14:paraId="543E02DE"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8</w:t>
            </w:r>
          </w:p>
        </w:tc>
      </w:tr>
      <w:tr w:rsidR="006448A3" w:rsidRPr="006448A3" w14:paraId="62274DE0" w14:textId="77777777" w:rsidTr="000C76C2">
        <w:trPr>
          <w:jc w:val="center"/>
        </w:trPr>
        <w:tc>
          <w:tcPr>
            <w:tcW w:w="3120" w:type="dxa"/>
            <w:tcMar>
              <w:top w:w="100" w:type="dxa"/>
              <w:left w:w="100" w:type="dxa"/>
              <w:bottom w:w="100" w:type="dxa"/>
              <w:right w:w="100" w:type="dxa"/>
            </w:tcMar>
          </w:tcPr>
          <w:p w14:paraId="3F4150C7"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Paving Machine</w:t>
            </w:r>
          </w:p>
        </w:tc>
        <w:tc>
          <w:tcPr>
            <w:tcW w:w="2265" w:type="dxa"/>
            <w:tcMar>
              <w:top w:w="100" w:type="dxa"/>
              <w:left w:w="100" w:type="dxa"/>
              <w:bottom w:w="100" w:type="dxa"/>
              <w:right w:w="100" w:type="dxa"/>
            </w:tcMar>
          </w:tcPr>
          <w:p w14:paraId="47C4C0DA"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3</w:t>
            </w:r>
          </w:p>
        </w:tc>
      </w:tr>
      <w:tr w:rsidR="006448A3" w:rsidRPr="006448A3" w14:paraId="467894B4" w14:textId="77777777" w:rsidTr="000C76C2">
        <w:trPr>
          <w:jc w:val="center"/>
        </w:trPr>
        <w:tc>
          <w:tcPr>
            <w:tcW w:w="3120" w:type="dxa"/>
            <w:tcMar>
              <w:top w:w="100" w:type="dxa"/>
              <w:left w:w="100" w:type="dxa"/>
              <w:bottom w:w="100" w:type="dxa"/>
              <w:right w:w="100" w:type="dxa"/>
            </w:tcMar>
          </w:tcPr>
          <w:p w14:paraId="18E36CAF"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Mobile Cranes</w:t>
            </w:r>
          </w:p>
        </w:tc>
        <w:tc>
          <w:tcPr>
            <w:tcW w:w="2265" w:type="dxa"/>
            <w:tcMar>
              <w:top w:w="100" w:type="dxa"/>
              <w:left w:w="100" w:type="dxa"/>
              <w:bottom w:w="100" w:type="dxa"/>
              <w:right w:w="100" w:type="dxa"/>
            </w:tcMar>
          </w:tcPr>
          <w:p w14:paraId="67CD3509"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2</w:t>
            </w:r>
          </w:p>
        </w:tc>
      </w:tr>
      <w:tr w:rsidR="006448A3" w:rsidRPr="006448A3" w14:paraId="6EFDA859" w14:textId="77777777" w:rsidTr="000C76C2">
        <w:trPr>
          <w:jc w:val="center"/>
        </w:trPr>
        <w:tc>
          <w:tcPr>
            <w:tcW w:w="3120" w:type="dxa"/>
            <w:tcMar>
              <w:top w:w="100" w:type="dxa"/>
              <w:left w:w="100" w:type="dxa"/>
              <w:bottom w:w="100" w:type="dxa"/>
              <w:right w:w="100" w:type="dxa"/>
            </w:tcMar>
          </w:tcPr>
          <w:p w14:paraId="1AED8F97"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High Efficiency Dewatering Pumps</w:t>
            </w:r>
          </w:p>
        </w:tc>
        <w:tc>
          <w:tcPr>
            <w:tcW w:w="2265" w:type="dxa"/>
            <w:tcMar>
              <w:top w:w="100" w:type="dxa"/>
              <w:left w:w="100" w:type="dxa"/>
              <w:bottom w:w="100" w:type="dxa"/>
              <w:right w:w="100" w:type="dxa"/>
            </w:tcMar>
          </w:tcPr>
          <w:p w14:paraId="26AA514C"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10</w:t>
            </w:r>
          </w:p>
        </w:tc>
      </w:tr>
      <w:tr w:rsidR="006448A3" w:rsidRPr="006448A3" w14:paraId="32C161E9" w14:textId="77777777" w:rsidTr="000C76C2">
        <w:trPr>
          <w:jc w:val="center"/>
        </w:trPr>
        <w:tc>
          <w:tcPr>
            <w:tcW w:w="3120" w:type="dxa"/>
            <w:tcMar>
              <w:top w:w="100" w:type="dxa"/>
              <w:left w:w="100" w:type="dxa"/>
              <w:bottom w:w="100" w:type="dxa"/>
              <w:right w:w="100" w:type="dxa"/>
            </w:tcMar>
          </w:tcPr>
          <w:p w14:paraId="14305313"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lastRenderedPageBreak/>
              <w:t>GPR Systems</w:t>
            </w:r>
          </w:p>
        </w:tc>
        <w:tc>
          <w:tcPr>
            <w:tcW w:w="2265" w:type="dxa"/>
            <w:tcMar>
              <w:top w:w="100" w:type="dxa"/>
              <w:left w:w="100" w:type="dxa"/>
              <w:bottom w:w="100" w:type="dxa"/>
              <w:right w:w="100" w:type="dxa"/>
            </w:tcMar>
          </w:tcPr>
          <w:p w14:paraId="1CEFB361"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3</w:t>
            </w:r>
          </w:p>
        </w:tc>
      </w:tr>
      <w:tr w:rsidR="006448A3" w:rsidRPr="006448A3" w14:paraId="65D1C7E3" w14:textId="77777777" w:rsidTr="000C76C2">
        <w:trPr>
          <w:jc w:val="center"/>
        </w:trPr>
        <w:tc>
          <w:tcPr>
            <w:tcW w:w="3120" w:type="dxa"/>
            <w:tcMar>
              <w:top w:w="100" w:type="dxa"/>
              <w:left w:w="100" w:type="dxa"/>
              <w:bottom w:w="100" w:type="dxa"/>
              <w:right w:w="100" w:type="dxa"/>
            </w:tcMar>
          </w:tcPr>
          <w:p w14:paraId="3FD60109"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Concrete Batching Units</w:t>
            </w:r>
          </w:p>
        </w:tc>
        <w:tc>
          <w:tcPr>
            <w:tcW w:w="2265" w:type="dxa"/>
            <w:tcMar>
              <w:top w:w="100" w:type="dxa"/>
              <w:left w:w="100" w:type="dxa"/>
              <w:bottom w:w="100" w:type="dxa"/>
              <w:right w:w="100" w:type="dxa"/>
            </w:tcMar>
          </w:tcPr>
          <w:p w14:paraId="0FF2847F"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2</w:t>
            </w:r>
          </w:p>
        </w:tc>
      </w:tr>
      <w:tr w:rsidR="006448A3" w:rsidRPr="006448A3" w14:paraId="6B74D35C" w14:textId="77777777" w:rsidTr="000C76C2">
        <w:trPr>
          <w:jc w:val="center"/>
        </w:trPr>
        <w:tc>
          <w:tcPr>
            <w:tcW w:w="3120" w:type="dxa"/>
            <w:tcMar>
              <w:top w:w="100" w:type="dxa"/>
              <w:left w:w="100" w:type="dxa"/>
              <w:bottom w:w="100" w:type="dxa"/>
              <w:right w:w="100" w:type="dxa"/>
            </w:tcMar>
          </w:tcPr>
          <w:p w14:paraId="3BEE41CE"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Asphalt Paver</w:t>
            </w:r>
          </w:p>
        </w:tc>
        <w:tc>
          <w:tcPr>
            <w:tcW w:w="2265" w:type="dxa"/>
            <w:tcMar>
              <w:top w:w="100" w:type="dxa"/>
              <w:left w:w="100" w:type="dxa"/>
              <w:bottom w:w="100" w:type="dxa"/>
              <w:right w:w="100" w:type="dxa"/>
            </w:tcMar>
          </w:tcPr>
          <w:p w14:paraId="3E5F5CB8"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3</w:t>
            </w:r>
          </w:p>
        </w:tc>
      </w:tr>
      <w:tr w:rsidR="006448A3" w:rsidRPr="006448A3" w14:paraId="1AD3D092" w14:textId="77777777" w:rsidTr="000C76C2">
        <w:trPr>
          <w:jc w:val="center"/>
        </w:trPr>
        <w:tc>
          <w:tcPr>
            <w:tcW w:w="3120" w:type="dxa"/>
            <w:tcMar>
              <w:top w:w="100" w:type="dxa"/>
              <w:left w:w="100" w:type="dxa"/>
              <w:bottom w:w="100" w:type="dxa"/>
              <w:right w:w="100" w:type="dxa"/>
            </w:tcMar>
          </w:tcPr>
          <w:p w14:paraId="7BDD6C6D"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Motor Grader</w:t>
            </w:r>
          </w:p>
        </w:tc>
        <w:tc>
          <w:tcPr>
            <w:tcW w:w="2265" w:type="dxa"/>
            <w:tcMar>
              <w:top w:w="100" w:type="dxa"/>
              <w:left w:w="100" w:type="dxa"/>
              <w:bottom w:w="100" w:type="dxa"/>
              <w:right w:w="100" w:type="dxa"/>
            </w:tcMar>
          </w:tcPr>
          <w:p w14:paraId="7895831C"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2</w:t>
            </w:r>
          </w:p>
        </w:tc>
      </w:tr>
      <w:tr w:rsidR="006448A3" w:rsidRPr="006448A3" w14:paraId="76A7A7D4" w14:textId="77777777" w:rsidTr="000C76C2">
        <w:trPr>
          <w:jc w:val="center"/>
        </w:trPr>
        <w:tc>
          <w:tcPr>
            <w:tcW w:w="3120" w:type="dxa"/>
            <w:tcMar>
              <w:top w:w="100" w:type="dxa"/>
              <w:left w:w="100" w:type="dxa"/>
              <w:bottom w:w="100" w:type="dxa"/>
              <w:right w:w="100" w:type="dxa"/>
            </w:tcMar>
          </w:tcPr>
          <w:p w14:paraId="4AF52D35"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Compactors</w:t>
            </w:r>
          </w:p>
        </w:tc>
        <w:tc>
          <w:tcPr>
            <w:tcW w:w="2265" w:type="dxa"/>
            <w:tcMar>
              <w:top w:w="100" w:type="dxa"/>
              <w:left w:w="100" w:type="dxa"/>
              <w:bottom w:w="100" w:type="dxa"/>
              <w:right w:w="100" w:type="dxa"/>
            </w:tcMar>
          </w:tcPr>
          <w:p w14:paraId="3AD41EA0"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2</w:t>
            </w:r>
          </w:p>
        </w:tc>
      </w:tr>
      <w:tr w:rsidR="006448A3" w:rsidRPr="006448A3" w14:paraId="6D2E045A" w14:textId="77777777" w:rsidTr="000C76C2">
        <w:trPr>
          <w:jc w:val="center"/>
        </w:trPr>
        <w:tc>
          <w:tcPr>
            <w:tcW w:w="3120" w:type="dxa"/>
            <w:tcMar>
              <w:top w:w="100" w:type="dxa"/>
              <w:left w:w="100" w:type="dxa"/>
              <w:bottom w:w="100" w:type="dxa"/>
              <w:right w:w="100" w:type="dxa"/>
            </w:tcMar>
          </w:tcPr>
          <w:p w14:paraId="18DE69B4"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Milling Machine</w:t>
            </w:r>
          </w:p>
        </w:tc>
        <w:tc>
          <w:tcPr>
            <w:tcW w:w="2265" w:type="dxa"/>
            <w:tcMar>
              <w:top w:w="100" w:type="dxa"/>
              <w:left w:w="100" w:type="dxa"/>
              <w:bottom w:w="100" w:type="dxa"/>
              <w:right w:w="100" w:type="dxa"/>
            </w:tcMar>
          </w:tcPr>
          <w:p w14:paraId="2789D145"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2</w:t>
            </w:r>
          </w:p>
        </w:tc>
      </w:tr>
      <w:tr w:rsidR="006448A3" w:rsidRPr="006448A3" w14:paraId="21051BDC" w14:textId="77777777" w:rsidTr="000C76C2">
        <w:trPr>
          <w:jc w:val="center"/>
        </w:trPr>
        <w:tc>
          <w:tcPr>
            <w:tcW w:w="3120" w:type="dxa"/>
            <w:tcMar>
              <w:top w:w="100" w:type="dxa"/>
              <w:left w:w="100" w:type="dxa"/>
              <w:bottom w:w="100" w:type="dxa"/>
              <w:right w:w="100" w:type="dxa"/>
            </w:tcMar>
          </w:tcPr>
          <w:p w14:paraId="1969EB0E"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Tack Truck</w:t>
            </w:r>
          </w:p>
        </w:tc>
        <w:tc>
          <w:tcPr>
            <w:tcW w:w="2265" w:type="dxa"/>
            <w:tcMar>
              <w:top w:w="100" w:type="dxa"/>
              <w:left w:w="100" w:type="dxa"/>
              <w:bottom w:w="100" w:type="dxa"/>
              <w:right w:w="100" w:type="dxa"/>
            </w:tcMar>
          </w:tcPr>
          <w:p w14:paraId="0F6B4364"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3</w:t>
            </w:r>
          </w:p>
        </w:tc>
      </w:tr>
      <w:tr w:rsidR="006448A3" w:rsidRPr="006448A3" w14:paraId="4B25569A" w14:textId="77777777" w:rsidTr="000C76C2">
        <w:trPr>
          <w:jc w:val="center"/>
        </w:trPr>
        <w:tc>
          <w:tcPr>
            <w:tcW w:w="3120" w:type="dxa"/>
            <w:tcMar>
              <w:top w:w="100" w:type="dxa"/>
              <w:left w:w="100" w:type="dxa"/>
              <w:bottom w:w="100" w:type="dxa"/>
              <w:right w:w="100" w:type="dxa"/>
            </w:tcMar>
          </w:tcPr>
          <w:p w14:paraId="5C0A9A2A"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Dump Trucks</w:t>
            </w:r>
          </w:p>
        </w:tc>
        <w:tc>
          <w:tcPr>
            <w:tcW w:w="2265" w:type="dxa"/>
            <w:tcMar>
              <w:top w:w="100" w:type="dxa"/>
              <w:left w:w="100" w:type="dxa"/>
              <w:bottom w:w="100" w:type="dxa"/>
              <w:right w:w="100" w:type="dxa"/>
            </w:tcMar>
          </w:tcPr>
          <w:p w14:paraId="1DC935E5"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6</w:t>
            </w:r>
          </w:p>
        </w:tc>
      </w:tr>
      <w:tr w:rsidR="006448A3" w:rsidRPr="006448A3" w14:paraId="45A4FDD7" w14:textId="77777777" w:rsidTr="000C76C2">
        <w:trPr>
          <w:jc w:val="center"/>
        </w:trPr>
        <w:tc>
          <w:tcPr>
            <w:tcW w:w="3120" w:type="dxa"/>
            <w:tcMar>
              <w:top w:w="100" w:type="dxa"/>
              <w:left w:w="100" w:type="dxa"/>
              <w:bottom w:w="100" w:type="dxa"/>
              <w:right w:w="100" w:type="dxa"/>
            </w:tcMar>
          </w:tcPr>
          <w:p w14:paraId="72782590"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Material Transport Trucks</w:t>
            </w:r>
          </w:p>
        </w:tc>
        <w:tc>
          <w:tcPr>
            <w:tcW w:w="2265" w:type="dxa"/>
            <w:tcMar>
              <w:top w:w="100" w:type="dxa"/>
              <w:left w:w="100" w:type="dxa"/>
              <w:bottom w:w="100" w:type="dxa"/>
              <w:right w:w="100" w:type="dxa"/>
            </w:tcMar>
          </w:tcPr>
          <w:p w14:paraId="0645FA6E"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8</w:t>
            </w:r>
          </w:p>
        </w:tc>
      </w:tr>
    </w:tbl>
    <w:p w14:paraId="65AAFD91" w14:textId="77777777" w:rsidR="00A0001D" w:rsidRPr="006448A3" w:rsidRDefault="00000000" w:rsidP="006448A3">
      <w:pP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Table 5: List of equipment and machinery</w:t>
      </w:r>
    </w:p>
    <w:p w14:paraId="6BCE830F" w14:textId="77777777" w:rsidR="00A0001D" w:rsidRPr="006448A3" w:rsidRDefault="00000000" w:rsidP="006448A3">
      <w:pPr>
        <w:spacing w:before="100" w:beforeAutospacing="1" w:after="100" w:afterAutospacing="1"/>
        <w:jc w:val="center"/>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(Source: </w:t>
      </w:r>
      <w:proofErr w:type="spellStart"/>
      <w:r w:rsidRPr="006448A3">
        <w:rPr>
          <w:rFonts w:asciiTheme="majorHAnsi" w:hAnsiTheme="majorHAnsi" w:cstheme="majorHAnsi"/>
          <w:color w:val="000000" w:themeColor="text1"/>
          <w:lang w:val="en-GB"/>
        </w:rPr>
        <w:t>WarrenCat</w:t>
      </w:r>
      <w:proofErr w:type="spellEnd"/>
      <w:r w:rsidRPr="006448A3">
        <w:rPr>
          <w:rFonts w:asciiTheme="majorHAnsi" w:hAnsiTheme="majorHAnsi" w:cstheme="majorHAnsi"/>
          <w:color w:val="000000" w:themeColor="text1"/>
          <w:lang w:val="en-GB"/>
        </w:rPr>
        <w:t>, 2024)</w:t>
      </w:r>
    </w:p>
    <w:p w14:paraId="6C86B90D"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Equipment will be scheduled based on task dependencies and for this purpose, the Gantt Chart will be helpful for effective scheduling. Financial resource allocation is shown in the pie chart below. </w:t>
      </w:r>
    </w:p>
    <w:p w14:paraId="0776296D" w14:textId="77777777" w:rsidR="00A0001D" w:rsidRPr="006448A3" w:rsidRDefault="00000000" w:rsidP="006448A3">
      <w:pPr>
        <w:widowControl w:val="0"/>
        <w:spacing w:before="100" w:beforeAutospacing="1" w:after="100" w:afterAutospacing="1"/>
        <w:jc w:val="center"/>
        <w:rPr>
          <w:rFonts w:asciiTheme="majorHAnsi" w:hAnsiTheme="majorHAnsi" w:cstheme="majorHAnsi"/>
          <w:color w:val="000000" w:themeColor="text1"/>
          <w:u w:val="single"/>
          <w:lang w:val="en-GB"/>
        </w:rPr>
      </w:pPr>
      <w:r w:rsidRPr="006448A3">
        <w:rPr>
          <w:rFonts w:asciiTheme="majorHAnsi" w:hAnsiTheme="majorHAnsi" w:cstheme="majorHAnsi"/>
          <w:noProof/>
          <w:color w:val="000000" w:themeColor="text1"/>
          <w:u w:val="single"/>
          <w:lang w:val="en-GB"/>
        </w:rPr>
        <w:lastRenderedPageBreak/>
        <w:drawing>
          <wp:inline distT="114300" distB="114300" distL="114300" distR="114300" wp14:anchorId="7E062FE5" wp14:editId="4E68684A">
            <wp:extent cx="5293764" cy="2782491"/>
            <wp:effectExtent l="0" t="0" r="0" b="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0"/>
                    <a:srcRect/>
                    <a:stretch>
                      <a:fillRect/>
                    </a:stretch>
                  </pic:blipFill>
                  <pic:spPr>
                    <a:xfrm>
                      <a:off x="0" y="0"/>
                      <a:ext cx="5293764" cy="2782491"/>
                    </a:xfrm>
                    <a:prstGeom prst="rect">
                      <a:avLst/>
                    </a:prstGeom>
                    <a:ln/>
                  </pic:spPr>
                </pic:pic>
              </a:graphicData>
            </a:graphic>
          </wp:inline>
        </w:drawing>
      </w:r>
    </w:p>
    <w:p w14:paraId="5B1FFE42" w14:textId="77777777" w:rsidR="00A0001D" w:rsidRPr="006448A3" w:rsidRDefault="00000000" w:rsidP="006448A3">
      <w:pPr>
        <w:widowControl w:val="0"/>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Figure 7: Project Budget Distribution</w:t>
      </w:r>
    </w:p>
    <w:p w14:paraId="756A04A3" w14:textId="77777777" w:rsidR="00A0001D" w:rsidRPr="006448A3" w:rsidRDefault="00000000" w:rsidP="006448A3">
      <w:pPr>
        <w:widowControl w:val="0"/>
        <w:spacing w:before="100" w:beforeAutospacing="1" w:after="100" w:afterAutospacing="1"/>
        <w:jc w:val="center"/>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(Source: Developed by </w:t>
      </w:r>
      <w:proofErr w:type="spellStart"/>
      <w:r w:rsidRPr="006448A3">
        <w:rPr>
          <w:rFonts w:asciiTheme="majorHAnsi" w:hAnsiTheme="majorHAnsi" w:cstheme="majorHAnsi"/>
          <w:color w:val="000000" w:themeColor="text1"/>
          <w:lang w:val="en-GB"/>
        </w:rPr>
        <w:t>self using</w:t>
      </w:r>
      <w:proofErr w:type="spellEnd"/>
      <w:r w:rsidRPr="006448A3">
        <w:rPr>
          <w:rFonts w:asciiTheme="majorHAnsi" w:hAnsiTheme="majorHAnsi" w:cstheme="majorHAnsi"/>
          <w:color w:val="000000" w:themeColor="text1"/>
          <w:lang w:val="en-GB"/>
        </w:rPr>
        <w:t xml:space="preserve"> MS Excel)</w:t>
      </w:r>
    </w:p>
    <w:p w14:paraId="7F40D92C" w14:textId="77777777" w:rsidR="00A0001D" w:rsidRPr="006448A3" w:rsidRDefault="00000000" w:rsidP="006448A3">
      <w:pPr>
        <w:pStyle w:val="Heading2"/>
        <w:spacing w:before="100" w:beforeAutospacing="1" w:after="100" w:afterAutospacing="1"/>
        <w:rPr>
          <w:rFonts w:asciiTheme="majorHAnsi" w:hAnsiTheme="majorHAnsi" w:cstheme="majorHAnsi"/>
          <w:color w:val="000000" w:themeColor="text1"/>
          <w:lang w:val="en-GB"/>
        </w:rPr>
      </w:pPr>
      <w:bookmarkStart w:id="33" w:name="_m37tky1wovrd" w:colFirst="0" w:colLast="0"/>
      <w:bookmarkStart w:id="34" w:name="_Toc221980690"/>
      <w:bookmarkEnd w:id="33"/>
      <w:r w:rsidRPr="006448A3">
        <w:rPr>
          <w:rFonts w:asciiTheme="majorHAnsi" w:hAnsiTheme="majorHAnsi" w:cstheme="majorHAnsi"/>
          <w:color w:val="000000" w:themeColor="text1"/>
          <w:lang w:val="en-GB"/>
        </w:rPr>
        <w:t>9. Risk Analysis</w:t>
      </w:r>
      <w:bookmarkEnd w:id="34"/>
    </w:p>
    <w:p w14:paraId="75D865D7"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A risk register has been used to identify potential risks, their likelihood and impact, and possible mitigation strategies. Risk register acts as a strategic tool for managing and mitigating risks based on their impact (</w:t>
      </w:r>
      <w:proofErr w:type="spellStart"/>
      <w:r w:rsidRPr="006448A3">
        <w:rPr>
          <w:rFonts w:asciiTheme="majorHAnsi" w:hAnsiTheme="majorHAnsi" w:cstheme="majorHAnsi"/>
          <w:color w:val="000000" w:themeColor="text1"/>
          <w:lang w:val="en-GB"/>
        </w:rPr>
        <w:t>Kostirko</w:t>
      </w:r>
      <w:proofErr w:type="spellEnd"/>
      <w:r w:rsidRPr="006448A3">
        <w:rPr>
          <w:rFonts w:asciiTheme="majorHAnsi" w:hAnsiTheme="majorHAnsi" w:cstheme="majorHAnsi"/>
          <w:color w:val="000000" w:themeColor="text1"/>
          <w:lang w:val="en-GB"/>
        </w:rPr>
        <w:t xml:space="preserve"> </w:t>
      </w:r>
      <w:r w:rsidRPr="006448A3">
        <w:rPr>
          <w:rFonts w:asciiTheme="majorHAnsi" w:hAnsiTheme="majorHAnsi" w:cstheme="majorHAnsi"/>
          <w:i/>
          <w:iCs/>
          <w:color w:val="000000" w:themeColor="text1"/>
          <w:lang w:val="en-GB"/>
        </w:rPr>
        <w:t xml:space="preserve">et al. </w:t>
      </w:r>
      <w:r w:rsidRPr="006448A3">
        <w:rPr>
          <w:rFonts w:asciiTheme="majorHAnsi" w:hAnsiTheme="majorHAnsi" w:cstheme="majorHAnsi"/>
          <w:color w:val="000000" w:themeColor="text1"/>
          <w:lang w:val="en-GB"/>
        </w:rPr>
        <w:t xml:space="preserve">2023). </w:t>
      </w:r>
    </w:p>
    <w:tbl>
      <w:tblPr>
        <w:tblStyle w:val="a6"/>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70"/>
        <w:gridCol w:w="1455"/>
        <w:gridCol w:w="1455"/>
        <w:gridCol w:w="3780"/>
      </w:tblGrid>
      <w:tr w:rsidR="006448A3" w:rsidRPr="006448A3" w14:paraId="204FD52F" w14:textId="77777777">
        <w:tc>
          <w:tcPr>
            <w:tcW w:w="2670" w:type="dxa"/>
            <w:tcMar>
              <w:top w:w="100" w:type="dxa"/>
              <w:left w:w="100" w:type="dxa"/>
              <w:bottom w:w="100" w:type="dxa"/>
              <w:right w:w="100" w:type="dxa"/>
            </w:tcMar>
          </w:tcPr>
          <w:p w14:paraId="09C7E8DD" w14:textId="77777777" w:rsidR="00A0001D" w:rsidRPr="006448A3" w:rsidRDefault="00000000" w:rsidP="006448A3">
            <w:pPr>
              <w:widowControl w:val="0"/>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Potential Risks</w:t>
            </w:r>
          </w:p>
        </w:tc>
        <w:tc>
          <w:tcPr>
            <w:tcW w:w="1455" w:type="dxa"/>
            <w:tcMar>
              <w:top w:w="100" w:type="dxa"/>
              <w:left w:w="100" w:type="dxa"/>
              <w:bottom w:w="100" w:type="dxa"/>
              <w:right w:w="100" w:type="dxa"/>
            </w:tcMar>
          </w:tcPr>
          <w:p w14:paraId="553D0E39" w14:textId="77777777" w:rsidR="00A0001D" w:rsidRPr="006448A3" w:rsidRDefault="00000000" w:rsidP="006448A3">
            <w:pPr>
              <w:widowControl w:val="0"/>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Likelihood</w:t>
            </w:r>
          </w:p>
        </w:tc>
        <w:tc>
          <w:tcPr>
            <w:tcW w:w="1455" w:type="dxa"/>
            <w:tcMar>
              <w:top w:w="100" w:type="dxa"/>
              <w:left w:w="100" w:type="dxa"/>
              <w:bottom w:w="100" w:type="dxa"/>
              <w:right w:w="100" w:type="dxa"/>
            </w:tcMar>
          </w:tcPr>
          <w:p w14:paraId="2257736E" w14:textId="77777777" w:rsidR="00A0001D" w:rsidRPr="006448A3" w:rsidRDefault="00000000" w:rsidP="006448A3">
            <w:pPr>
              <w:widowControl w:val="0"/>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Impact</w:t>
            </w:r>
          </w:p>
        </w:tc>
        <w:tc>
          <w:tcPr>
            <w:tcW w:w="3780" w:type="dxa"/>
            <w:tcMar>
              <w:top w:w="100" w:type="dxa"/>
              <w:left w:w="100" w:type="dxa"/>
              <w:bottom w:w="100" w:type="dxa"/>
              <w:right w:w="100" w:type="dxa"/>
            </w:tcMar>
          </w:tcPr>
          <w:p w14:paraId="0FF40AD2" w14:textId="77777777" w:rsidR="00A0001D" w:rsidRPr="006448A3" w:rsidRDefault="00000000" w:rsidP="006448A3">
            <w:pPr>
              <w:widowControl w:val="0"/>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Mitigation Strategy</w:t>
            </w:r>
          </w:p>
        </w:tc>
      </w:tr>
      <w:tr w:rsidR="006448A3" w:rsidRPr="006448A3" w14:paraId="011D4333" w14:textId="77777777">
        <w:tc>
          <w:tcPr>
            <w:tcW w:w="2670" w:type="dxa"/>
            <w:tcMar>
              <w:top w:w="100" w:type="dxa"/>
              <w:left w:w="100" w:type="dxa"/>
              <w:bottom w:w="100" w:type="dxa"/>
              <w:right w:w="100" w:type="dxa"/>
            </w:tcMar>
          </w:tcPr>
          <w:p w14:paraId="31B23D13"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Lack of skilled labour</w:t>
            </w:r>
          </w:p>
        </w:tc>
        <w:tc>
          <w:tcPr>
            <w:tcW w:w="1455" w:type="dxa"/>
            <w:shd w:val="clear" w:color="auto" w:fill="CC0000"/>
            <w:tcMar>
              <w:top w:w="100" w:type="dxa"/>
              <w:left w:w="100" w:type="dxa"/>
              <w:bottom w:w="100" w:type="dxa"/>
              <w:right w:w="100" w:type="dxa"/>
            </w:tcMar>
          </w:tcPr>
          <w:p w14:paraId="1DDDC2F1"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High</w:t>
            </w:r>
          </w:p>
        </w:tc>
        <w:tc>
          <w:tcPr>
            <w:tcW w:w="1455" w:type="dxa"/>
            <w:shd w:val="clear" w:color="auto" w:fill="CC0000"/>
            <w:tcMar>
              <w:top w:w="100" w:type="dxa"/>
              <w:left w:w="100" w:type="dxa"/>
              <w:bottom w:w="100" w:type="dxa"/>
              <w:right w:w="100" w:type="dxa"/>
            </w:tcMar>
          </w:tcPr>
          <w:p w14:paraId="5F8C6480"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High</w:t>
            </w:r>
          </w:p>
        </w:tc>
        <w:tc>
          <w:tcPr>
            <w:tcW w:w="3780" w:type="dxa"/>
            <w:tcMar>
              <w:top w:w="100" w:type="dxa"/>
              <w:left w:w="100" w:type="dxa"/>
              <w:bottom w:w="100" w:type="dxa"/>
              <w:right w:w="100" w:type="dxa"/>
            </w:tcMar>
          </w:tcPr>
          <w:p w14:paraId="27F8713F"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The UK’s manufacturing industry is facing pressing challenges due to a shortage of skilled workers (Barclays Corporate, n.d). Importing skilled workers from neighbouring nations can ensure access to the right talent and diversify the project team. This </w:t>
            </w:r>
            <w:r w:rsidRPr="006448A3">
              <w:rPr>
                <w:rFonts w:asciiTheme="majorHAnsi" w:hAnsiTheme="majorHAnsi" w:cstheme="majorHAnsi"/>
                <w:color w:val="000000" w:themeColor="text1"/>
                <w:lang w:val="en-GB"/>
              </w:rPr>
              <w:lastRenderedPageBreak/>
              <w:t xml:space="preserve">can also increase the innovation capacity of the project team. </w:t>
            </w:r>
          </w:p>
        </w:tc>
      </w:tr>
      <w:tr w:rsidR="006448A3" w:rsidRPr="006448A3" w14:paraId="370350FA" w14:textId="77777777">
        <w:tc>
          <w:tcPr>
            <w:tcW w:w="2670" w:type="dxa"/>
            <w:tcMar>
              <w:top w:w="100" w:type="dxa"/>
              <w:left w:w="100" w:type="dxa"/>
              <w:bottom w:w="100" w:type="dxa"/>
              <w:right w:w="100" w:type="dxa"/>
            </w:tcMar>
          </w:tcPr>
          <w:p w14:paraId="5AA7AFAD"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lastRenderedPageBreak/>
              <w:t>Supply chain disruptions and delays</w:t>
            </w:r>
          </w:p>
        </w:tc>
        <w:tc>
          <w:tcPr>
            <w:tcW w:w="1455" w:type="dxa"/>
            <w:shd w:val="clear" w:color="auto" w:fill="FFD966"/>
            <w:tcMar>
              <w:top w:w="100" w:type="dxa"/>
              <w:left w:w="100" w:type="dxa"/>
              <w:bottom w:w="100" w:type="dxa"/>
              <w:right w:w="100" w:type="dxa"/>
            </w:tcMar>
          </w:tcPr>
          <w:p w14:paraId="6E0B69DF"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Medium</w:t>
            </w:r>
          </w:p>
        </w:tc>
        <w:tc>
          <w:tcPr>
            <w:tcW w:w="1455" w:type="dxa"/>
            <w:shd w:val="clear" w:color="auto" w:fill="CC0000"/>
            <w:tcMar>
              <w:top w:w="100" w:type="dxa"/>
              <w:left w:w="100" w:type="dxa"/>
              <w:bottom w:w="100" w:type="dxa"/>
              <w:right w:w="100" w:type="dxa"/>
            </w:tcMar>
          </w:tcPr>
          <w:p w14:paraId="46E97624"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High</w:t>
            </w:r>
          </w:p>
        </w:tc>
        <w:tc>
          <w:tcPr>
            <w:tcW w:w="3780" w:type="dxa"/>
            <w:tcMar>
              <w:top w:w="100" w:type="dxa"/>
              <w:left w:w="100" w:type="dxa"/>
              <w:bottom w:w="100" w:type="dxa"/>
              <w:right w:w="100" w:type="dxa"/>
            </w:tcMar>
          </w:tcPr>
          <w:p w14:paraId="05660CBD"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Delayed supply of raw materials and essentials can affect the entire project timeline, budget, and project quality (Fashina </w:t>
            </w:r>
            <w:r w:rsidRPr="006448A3">
              <w:rPr>
                <w:rFonts w:asciiTheme="majorHAnsi" w:hAnsiTheme="majorHAnsi" w:cstheme="majorHAnsi"/>
                <w:i/>
                <w:iCs/>
                <w:color w:val="000000" w:themeColor="text1"/>
                <w:lang w:val="en-GB"/>
              </w:rPr>
              <w:t xml:space="preserve">et al. </w:t>
            </w:r>
            <w:r w:rsidRPr="006448A3">
              <w:rPr>
                <w:rFonts w:asciiTheme="majorHAnsi" w:hAnsiTheme="majorHAnsi" w:cstheme="majorHAnsi"/>
                <w:color w:val="000000" w:themeColor="text1"/>
                <w:lang w:val="en-GB"/>
              </w:rPr>
              <w:t xml:space="preserve">2021). A multi-supplier approach will be adopted and pre-approved contracts will limit the possibility of supply chain delays.  </w:t>
            </w:r>
          </w:p>
        </w:tc>
      </w:tr>
      <w:tr w:rsidR="006448A3" w:rsidRPr="006448A3" w14:paraId="1ADFA9D6" w14:textId="77777777">
        <w:tc>
          <w:tcPr>
            <w:tcW w:w="2670" w:type="dxa"/>
            <w:tcMar>
              <w:top w:w="100" w:type="dxa"/>
              <w:left w:w="100" w:type="dxa"/>
              <w:bottom w:w="100" w:type="dxa"/>
              <w:right w:w="100" w:type="dxa"/>
            </w:tcMar>
          </w:tcPr>
          <w:p w14:paraId="15466801"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Regulatory Approval Delays</w:t>
            </w:r>
          </w:p>
        </w:tc>
        <w:tc>
          <w:tcPr>
            <w:tcW w:w="1455" w:type="dxa"/>
            <w:shd w:val="clear" w:color="auto" w:fill="93C47D"/>
            <w:tcMar>
              <w:top w:w="100" w:type="dxa"/>
              <w:left w:w="100" w:type="dxa"/>
              <w:bottom w:w="100" w:type="dxa"/>
              <w:right w:w="100" w:type="dxa"/>
            </w:tcMar>
          </w:tcPr>
          <w:p w14:paraId="4910B864"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Low</w:t>
            </w:r>
          </w:p>
        </w:tc>
        <w:tc>
          <w:tcPr>
            <w:tcW w:w="1455" w:type="dxa"/>
            <w:shd w:val="clear" w:color="auto" w:fill="CC0000"/>
            <w:tcMar>
              <w:top w:w="100" w:type="dxa"/>
              <w:left w:w="100" w:type="dxa"/>
              <w:bottom w:w="100" w:type="dxa"/>
              <w:right w:w="100" w:type="dxa"/>
            </w:tcMar>
          </w:tcPr>
          <w:p w14:paraId="217EBFDA"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High</w:t>
            </w:r>
          </w:p>
        </w:tc>
        <w:tc>
          <w:tcPr>
            <w:tcW w:w="3780" w:type="dxa"/>
            <w:tcMar>
              <w:top w:w="100" w:type="dxa"/>
              <w:left w:w="100" w:type="dxa"/>
              <w:bottom w:w="100" w:type="dxa"/>
              <w:right w:w="100" w:type="dxa"/>
            </w:tcMar>
          </w:tcPr>
          <w:p w14:paraId="1692DAC6"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A specialised regulatory advisor will be assigned and the advisor will communicate with the DfT and Worcestershire County Council to ensure regulatory compliance and prevent mid-way regulatory challenges. </w:t>
            </w:r>
          </w:p>
        </w:tc>
      </w:tr>
      <w:tr w:rsidR="006448A3" w:rsidRPr="006448A3" w14:paraId="5C0CE59A" w14:textId="77777777">
        <w:tc>
          <w:tcPr>
            <w:tcW w:w="2670" w:type="dxa"/>
            <w:tcMar>
              <w:top w:w="100" w:type="dxa"/>
              <w:left w:w="100" w:type="dxa"/>
              <w:bottom w:w="100" w:type="dxa"/>
              <w:right w:w="100" w:type="dxa"/>
            </w:tcMar>
          </w:tcPr>
          <w:p w14:paraId="11832A4C"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Extreme Weather Recurrence</w:t>
            </w:r>
          </w:p>
        </w:tc>
        <w:tc>
          <w:tcPr>
            <w:tcW w:w="1455" w:type="dxa"/>
            <w:shd w:val="clear" w:color="auto" w:fill="CC0000"/>
            <w:tcMar>
              <w:top w:w="100" w:type="dxa"/>
              <w:left w:w="100" w:type="dxa"/>
              <w:bottom w:w="100" w:type="dxa"/>
              <w:right w:w="100" w:type="dxa"/>
            </w:tcMar>
          </w:tcPr>
          <w:p w14:paraId="6FFA57E2"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High</w:t>
            </w:r>
          </w:p>
        </w:tc>
        <w:tc>
          <w:tcPr>
            <w:tcW w:w="1455" w:type="dxa"/>
            <w:shd w:val="clear" w:color="auto" w:fill="CC0000"/>
            <w:tcMar>
              <w:top w:w="100" w:type="dxa"/>
              <w:left w:w="100" w:type="dxa"/>
              <w:bottom w:w="100" w:type="dxa"/>
              <w:right w:w="100" w:type="dxa"/>
            </w:tcMar>
          </w:tcPr>
          <w:p w14:paraId="720A74BB"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High</w:t>
            </w:r>
          </w:p>
        </w:tc>
        <w:tc>
          <w:tcPr>
            <w:tcW w:w="3780" w:type="dxa"/>
            <w:tcMar>
              <w:top w:w="100" w:type="dxa"/>
              <w:left w:w="100" w:type="dxa"/>
              <w:bottom w:w="100" w:type="dxa"/>
              <w:right w:w="100" w:type="dxa"/>
            </w:tcMar>
          </w:tcPr>
          <w:p w14:paraId="162D1F0D"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Climate change has caused an increase in the frequency and severity of flooding in some parts of the UK. Floods can disrupt construction activities and damage partially repaired sections. The impact of this challenge can be reduced by installing flood-preventing barriers and creating a temporary wall that can prevent flood waters from entering the lower </w:t>
            </w:r>
            <w:r w:rsidRPr="006448A3">
              <w:rPr>
                <w:rFonts w:asciiTheme="majorHAnsi" w:hAnsiTheme="majorHAnsi" w:cstheme="majorHAnsi"/>
                <w:color w:val="000000" w:themeColor="text1"/>
                <w:lang w:val="en-GB"/>
              </w:rPr>
              <w:lastRenderedPageBreak/>
              <w:t xml:space="preserve">sections of the A4440 SLR. </w:t>
            </w:r>
          </w:p>
        </w:tc>
      </w:tr>
      <w:tr w:rsidR="006448A3" w:rsidRPr="006448A3" w14:paraId="5F580B78" w14:textId="77777777">
        <w:tc>
          <w:tcPr>
            <w:tcW w:w="2670" w:type="dxa"/>
            <w:tcMar>
              <w:top w:w="100" w:type="dxa"/>
              <w:left w:w="100" w:type="dxa"/>
              <w:bottom w:w="100" w:type="dxa"/>
              <w:right w:w="100" w:type="dxa"/>
            </w:tcMar>
          </w:tcPr>
          <w:p w14:paraId="75D12167"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lastRenderedPageBreak/>
              <w:t>Contractor Performance Issues</w:t>
            </w:r>
          </w:p>
        </w:tc>
        <w:tc>
          <w:tcPr>
            <w:tcW w:w="1455" w:type="dxa"/>
            <w:shd w:val="clear" w:color="auto" w:fill="93C47D"/>
            <w:tcMar>
              <w:top w:w="100" w:type="dxa"/>
              <w:left w:w="100" w:type="dxa"/>
              <w:bottom w:w="100" w:type="dxa"/>
              <w:right w:w="100" w:type="dxa"/>
            </w:tcMar>
          </w:tcPr>
          <w:p w14:paraId="72FB722A"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Low</w:t>
            </w:r>
          </w:p>
        </w:tc>
        <w:tc>
          <w:tcPr>
            <w:tcW w:w="1455" w:type="dxa"/>
            <w:shd w:val="clear" w:color="auto" w:fill="FFD966"/>
            <w:tcMar>
              <w:top w:w="100" w:type="dxa"/>
              <w:left w:w="100" w:type="dxa"/>
              <w:bottom w:w="100" w:type="dxa"/>
              <w:right w:w="100" w:type="dxa"/>
            </w:tcMar>
          </w:tcPr>
          <w:p w14:paraId="335797F1"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Medium</w:t>
            </w:r>
          </w:p>
        </w:tc>
        <w:tc>
          <w:tcPr>
            <w:tcW w:w="3780" w:type="dxa"/>
            <w:tcMar>
              <w:top w:w="100" w:type="dxa"/>
              <w:left w:w="100" w:type="dxa"/>
              <w:bottom w:w="100" w:type="dxa"/>
              <w:right w:w="100" w:type="dxa"/>
            </w:tcMar>
          </w:tcPr>
          <w:p w14:paraId="426CB492" w14:textId="77777777" w:rsidR="00A0001D" w:rsidRPr="006448A3" w:rsidRDefault="00000000" w:rsidP="006448A3">
            <w:pPr>
              <w:widowControl w:val="0"/>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Contractors may deliver low-quality materials, which can affect the project outcomes. In addition, the project may get delayed if the contractors fail to ensure quality materials are delivered on time. This risk will be mitigated by defining the required material quality while preparing contractor agreements and using a quality checklist when contractors deliver raw materials.  </w:t>
            </w:r>
          </w:p>
        </w:tc>
      </w:tr>
    </w:tbl>
    <w:p w14:paraId="4FBCF0E8" w14:textId="77777777" w:rsidR="00A0001D" w:rsidRPr="006448A3" w:rsidRDefault="00000000" w:rsidP="006448A3">
      <w:pPr>
        <w:spacing w:before="100" w:beforeAutospacing="1" w:after="100" w:afterAutospacing="1"/>
        <w:jc w:val="center"/>
        <w:rPr>
          <w:rFonts w:asciiTheme="majorHAnsi" w:hAnsiTheme="majorHAnsi" w:cstheme="majorHAnsi"/>
          <w:b/>
          <w:bCs/>
          <w:color w:val="000000" w:themeColor="text1"/>
          <w:lang w:val="en-GB"/>
        </w:rPr>
      </w:pPr>
      <w:r w:rsidRPr="006448A3">
        <w:rPr>
          <w:rFonts w:asciiTheme="majorHAnsi" w:hAnsiTheme="majorHAnsi" w:cstheme="majorHAnsi"/>
          <w:b/>
          <w:bCs/>
          <w:color w:val="000000" w:themeColor="text1"/>
          <w:lang w:val="en-GB"/>
        </w:rPr>
        <w:t>Table 6: Risk Register</w:t>
      </w:r>
    </w:p>
    <w:p w14:paraId="1E72C6DB" w14:textId="77777777" w:rsidR="00A0001D" w:rsidRPr="006448A3" w:rsidRDefault="00000000" w:rsidP="006448A3">
      <w:pPr>
        <w:spacing w:before="100" w:beforeAutospacing="1" w:after="100" w:afterAutospacing="1"/>
        <w:jc w:val="center"/>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(Source: Influenced by Barclays Corporate, </w:t>
      </w:r>
      <w:proofErr w:type="spellStart"/>
      <w:r w:rsidRPr="006448A3">
        <w:rPr>
          <w:rFonts w:asciiTheme="majorHAnsi" w:hAnsiTheme="majorHAnsi" w:cstheme="majorHAnsi"/>
          <w:color w:val="000000" w:themeColor="text1"/>
          <w:lang w:val="en-GB"/>
        </w:rPr>
        <w:t>n.d</w:t>
      </w:r>
      <w:proofErr w:type="spellEnd"/>
      <w:r w:rsidRPr="006448A3">
        <w:rPr>
          <w:rFonts w:asciiTheme="majorHAnsi" w:hAnsiTheme="majorHAnsi" w:cstheme="majorHAnsi"/>
          <w:color w:val="000000" w:themeColor="text1"/>
          <w:lang w:val="en-GB"/>
        </w:rPr>
        <w:t xml:space="preserve">; Fashina </w:t>
      </w:r>
      <w:r w:rsidRPr="006448A3">
        <w:rPr>
          <w:rFonts w:asciiTheme="majorHAnsi" w:hAnsiTheme="majorHAnsi" w:cstheme="majorHAnsi"/>
          <w:i/>
          <w:iCs/>
          <w:color w:val="000000" w:themeColor="text1"/>
          <w:lang w:val="en-GB"/>
        </w:rPr>
        <w:t xml:space="preserve">et al. </w:t>
      </w:r>
      <w:r w:rsidRPr="006448A3">
        <w:rPr>
          <w:rFonts w:asciiTheme="majorHAnsi" w:hAnsiTheme="majorHAnsi" w:cstheme="majorHAnsi"/>
          <w:color w:val="000000" w:themeColor="text1"/>
          <w:lang w:val="en-GB"/>
        </w:rPr>
        <w:t>2021)</w:t>
      </w:r>
    </w:p>
    <w:p w14:paraId="3443797B" w14:textId="77777777" w:rsidR="00A0001D" w:rsidRPr="006448A3" w:rsidRDefault="00000000" w:rsidP="006448A3">
      <w:pPr>
        <w:pStyle w:val="Heading2"/>
        <w:spacing w:before="100" w:beforeAutospacing="1" w:after="100" w:afterAutospacing="1"/>
        <w:rPr>
          <w:rFonts w:asciiTheme="majorHAnsi" w:hAnsiTheme="majorHAnsi" w:cstheme="majorHAnsi"/>
          <w:color w:val="000000" w:themeColor="text1"/>
          <w:lang w:val="en-GB"/>
        </w:rPr>
      </w:pPr>
      <w:bookmarkStart w:id="35" w:name="_fp07uxbehdub" w:colFirst="0" w:colLast="0"/>
      <w:bookmarkStart w:id="36" w:name="_Toc221980691"/>
      <w:bookmarkEnd w:id="35"/>
      <w:r w:rsidRPr="006448A3">
        <w:rPr>
          <w:rFonts w:asciiTheme="majorHAnsi" w:hAnsiTheme="majorHAnsi" w:cstheme="majorHAnsi"/>
          <w:color w:val="000000" w:themeColor="text1"/>
          <w:lang w:val="en-GB"/>
        </w:rPr>
        <w:t>10. Conclusion</w:t>
      </w:r>
      <w:bookmarkEnd w:id="36"/>
    </w:p>
    <w:p w14:paraId="1B9826D2" w14:textId="77777777" w:rsidR="00A0001D" w:rsidRPr="006448A3" w:rsidRDefault="00000000" w:rsidP="006448A3">
      <w:pPr>
        <w:spacing w:before="100" w:beforeAutospacing="1" w:after="100" w:afterAutospacing="1"/>
        <w:rPr>
          <w:rFonts w:asciiTheme="majorHAnsi" w:hAnsiTheme="majorHAnsi" w:cstheme="majorHAnsi"/>
          <w:color w:val="000000" w:themeColor="text1"/>
          <w:lang w:val="en-GB"/>
        </w:rPr>
      </w:pPr>
      <w:r w:rsidRPr="006448A3">
        <w:rPr>
          <w:rFonts w:asciiTheme="majorHAnsi" w:hAnsiTheme="majorHAnsi" w:cstheme="majorHAnsi"/>
          <w:color w:val="000000" w:themeColor="text1"/>
          <w:lang w:val="en-GB"/>
        </w:rPr>
        <w:t xml:space="preserve">Successful completion of this project, which aims to restore the A4440 SLR and improve the infrastructure to increase its resilience against future flooding or such kind of weather events, is necessary to enhance the road transport infrastructure across the West Midlands. This project is divided into two sub-sections. The first sub-section aims for emergency reopening of the highway and restoring smooth traffic flow, while the 2nd phase aims to improve the infrastructure of the A4440 SLR.  The project plan has been designed to minimise the negative outcomes of the reconstruction activities and maintain economic continuity in the region. </w:t>
      </w:r>
      <w:r w:rsidRPr="006448A3">
        <w:rPr>
          <w:rFonts w:asciiTheme="majorHAnsi" w:hAnsiTheme="majorHAnsi" w:cstheme="majorHAnsi"/>
          <w:color w:val="000000" w:themeColor="text1"/>
          <w:lang w:val="en-GB"/>
        </w:rPr>
        <w:br w:type="page"/>
      </w:r>
    </w:p>
    <w:p w14:paraId="3716168A" w14:textId="77777777" w:rsidR="00A0001D" w:rsidRPr="006448A3" w:rsidRDefault="00000000" w:rsidP="006448A3">
      <w:pPr>
        <w:pStyle w:val="Heading1"/>
        <w:spacing w:before="100" w:beforeAutospacing="1" w:after="100" w:afterAutospacing="1"/>
        <w:rPr>
          <w:rFonts w:asciiTheme="majorHAnsi" w:hAnsiTheme="majorHAnsi" w:cstheme="majorHAnsi"/>
          <w:color w:val="000000" w:themeColor="text1"/>
          <w:lang w:val="en-GB"/>
        </w:rPr>
      </w:pPr>
      <w:bookmarkStart w:id="37" w:name="_486l514evm8q" w:colFirst="0" w:colLast="0"/>
      <w:bookmarkStart w:id="38" w:name="_Toc221980692"/>
      <w:bookmarkEnd w:id="37"/>
      <w:r w:rsidRPr="006448A3">
        <w:rPr>
          <w:rFonts w:asciiTheme="majorHAnsi" w:hAnsiTheme="majorHAnsi" w:cstheme="majorHAnsi"/>
          <w:color w:val="000000" w:themeColor="text1"/>
          <w:lang w:val="en-GB"/>
        </w:rPr>
        <w:lastRenderedPageBreak/>
        <w:t>References</w:t>
      </w:r>
      <w:bookmarkEnd w:id="38"/>
    </w:p>
    <w:p w14:paraId="6227AD99"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t xml:space="preserve">Abdullahi, C.M. and Tembo, M. (2023) ‘Improving the efficiency and effectiveness of construction project planning and scheduling using lean principles’, </w:t>
      </w:r>
      <w:r w:rsidRPr="006448A3">
        <w:rPr>
          <w:rFonts w:asciiTheme="majorHAnsi" w:hAnsiTheme="majorHAnsi" w:cstheme="majorHAnsi"/>
          <w:i/>
          <w:iCs/>
          <w:color w:val="000000" w:themeColor="text1"/>
          <w:highlight w:val="white"/>
          <w:lang w:val="en-GB"/>
        </w:rPr>
        <w:t>Int. J. Constr. Eng. Manag</w:t>
      </w:r>
      <w:r w:rsidRPr="006448A3">
        <w:rPr>
          <w:rFonts w:asciiTheme="majorHAnsi" w:hAnsiTheme="majorHAnsi" w:cstheme="majorHAnsi"/>
          <w:color w:val="000000" w:themeColor="text1"/>
          <w:highlight w:val="white"/>
          <w:lang w:val="en-GB"/>
        </w:rPr>
        <w:t xml:space="preserve">, </w:t>
      </w:r>
      <w:r w:rsidRPr="006448A3">
        <w:rPr>
          <w:rFonts w:asciiTheme="majorHAnsi" w:hAnsiTheme="majorHAnsi" w:cstheme="majorHAnsi"/>
          <w:i/>
          <w:iCs/>
          <w:color w:val="000000" w:themeColor="text1"/>
          <w:highlight w:val="white"/>
          <w:lang w:val="en-GB"/>
        </w:rPr>
        <w:t>12</w:t>
      </w:r>
      <w:r w:rsidRPr="006448A3">
        <w:rPr>
          <w:rFonts w:asciiTheme="majorHAnsi" w:hAnsiTheme="majorHAnsi" w:cstheme="majorHAnsi"/>
          <w:color w:val="000000" w:themeColor="text1"/>
          <w:highlight w:val="white"/>
          <w:lang w:val="en-GB"/>
        </w:rPr>
        <w:t>, pp.75-80.</w:t>
      </w:r>
    </w:p>
    <w:p w14:paraId="273B9E8D"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t xml:space="preserve">Ahmadpour, N., Shariati, A. and Moghadam, M.P. (2025) ‘Effect of narrative writing based on Gibbs’ reflective model on the empathy and communication skills of nursing students’, </w:t>
      </w:r>
      <w:r w:rsidRPr="006448A3">
        <w:rPr>
          <w:rFonts w:asciiTheme="majorHAnsi" w:hAnsiTheme="majorHAnsi" w:cstheme="majorHAnsi"/>
          <w:i/>
          <w:iCs/>
          <w:color w:val="000000" w:themeColor="text1"/>
          <w:highlight w:val="white"/>
          <w:lang w:val="en-GB"/>
        </w:rPr>
        <w:t>BMC Medical Education</w:t>
      </w:r>
      <w:r w:rsidRPr="006448A3">
        <w:rPr>
          <w:rFonts w:asciiTheme="majorHAnsi" w:hAnsiTheme="majorHAnsi" w:cstheme="majorHAnsi"/>
          <w:color w:val="000000" w:themeColor="text1"/>
          <w:highlight w:val="white"/>
          <w:lang w:val="en-GB"/>
        </w:rPr>
        <w:t xml:space="preserve">, </w:t>
      </w:r>
      <w:r w:rsidRPr="006448A3">
        <w:rPr>
          <w:rFonts w:asciiTheme="majorHAnsi" w:hAnsiTheme="majorHAnsi" w:cstheme="majorHAnsi"/>
          <w:i/>
          <w:iCs/>
          <w:color w:val="000000" w:themeColor="text1"/>
          <w:highlight w:val="white"/>
          <w:lang w:val="en-GB"/>
        </w:rPr>
        <w:t>25</w:t>
      </w:r>
      <w:r w:rsidRPr="006448A3">
        <w:rPr>
          <w:rFonts w:asciiTheme="majorHAnsi" w:hAnsiTheme="majorHAnsi" w:cstheme="majorHAnsi"/>
          <w:color w:val="000000" w:themeColor="text1"/>
          <w:highlight w:val="white"/>
          <w:lang w:val="en-GB"/>
        </w:rPr>
        <w:t>(1), p.10.</w:t>
      </w:r>
    </w:p>
    <w:p w14:paraId="353E4424"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t xml:space="preserve">Barclays Corporate (n.d) </w:t>
      </w:r>
      <w:r w:rsidRPr="006448A3">
        <w:rPr>
          <w:rFonts w:asciiTheme="majorHAnsi" w:hAnsiTheme="majorHAnsi" w:cstheme="majorHAnsi"/>
          <w:i/>
          <w:iCs/>
          <w:color w:val="000000" w:themeColor="text1"/>
          <w:highlight w:val="white"/>
          <w:lang w:val="en-GB"/>
        </w:rPr>
        <w:t xml:space="preserve">Understanding and tackling the skills shortage in UK Manufacturing. </w:t>
      </w:r>
      <w:hyperlink r:id="rId21">
        <w:r w:rsidRPr="006448A3">
          <w:rPr>
            <w:rFonts w:asciiTheme="majorHAnsi" w:hAnsiTheme="majorHAnsi" w:cstheme="majorHAnsi"/>
            <w:color w:val="000000" w:themeColor="text1"/>
            <w:highlight w:val="white"/>
            <w:u w:val="single"/>
            <w:lang w:val="en-GB"/>
          </w:rPr>
          <w:t>Available at: https://www.barclayscorporate.com/insights/industry-expertise/skills-shortage-in-uk-manufacturing/</w:t>
        </w:r>
      </w:hyperlink>
      <w:r w:rsidRPr="006448A3">
        <w:rPr>
          <w:rFonts w:asciiTheme="majorHAnsi" w:hAnsiTheme="majorHAnsi" w:cstheme="majorHAnsi"/>
          <w:color w:val="000000" w:themeColor="text1"/>
          <w:highlight w:val="white"/>
          <w:lang w:val="en-GB"/>
        </w:rPr>
        <w:t xml:space="preserve"> (Accessed 10 February 2026). </w:t>
      </w:r>
    </w:p>
    <w:p w14:paraId="30C8E668"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t xml:space="preserve">Dutta, S., He, M. and Tsang, D.C. (2023) ‘Reflection and peer assessment to promote self-directed learning in higher education’, </w:t>
      </w:r>
      <w:r w:rsidRPr="006448A3">
        <w:rPr>
          <w:rFonts w:asciiTheme="majorHAnsi" w:hAnsiTheme="majorHAnsi" w:cstheme="majorHAnsi"/>
          <w:i/>
          <w:iCs/>
          <w:color w:val="000000" w:themeColor="text1"/>
          <w:highlight w:val="white"/>
          <w:lang w:val="en-GB"/>
        </w:rPr>
        <w:t>Journal of Educational Research and Reviews</w:t>
      </w:r>
      <w:r w:rsidRPr="006448A3">
        <w:rPr>
          <w:rFonts w:asciiTheme="majorHAnsi" w:hAnsiTheme="majorHAnsi" w:cstheme="majorHAnsi"/>
          <w:color w:val="000000" w:themeColor="text1"/>
          <w:highlight w:val="white"/>
          <w:lang w:val="en-GB"/>
        </w:rPr>
        <w:t xml:space="preserve">, </w:t>
      </w:r>
      <w:r w:rsidRPr="006448A3">
        <w:rPr>
          <w:rFonts w:asciiTheme="majorHAnsi" w:hAnsiTheme="majorHAnsi" w:cstheme="majorHAnsi"/>
          <w:i/>
          <w:iCs/>
          <w:color w:val="000000" w:themeColor="text1"/>
          <w:highlight w:val="white"/>
          <w:lang w:val="en-GB"/>
        </w:rPr>
        <w:t>11</w:t>
      </w:r>
      <w:r w:rsidRPr="006448A3">
        <w:rPr>
          <w:rFonts w:asciiTheme="majorHAnsi" w:hAnsiTheme="majorHAnsi" w:cstheme="majorHAnsi"/>
          <w:color w:val="000000" w:themeColor="text1"/>
          <w:highlight w:val="white"/>
          <w:lang w:val="en-GB"/>
        </w:rPr>
        <w:t>(3), pp.35-46.</w:t>
      </w:r>
    </w:p>
    <w:p w14:paraId="263BE8A4"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t xml:space="preserve">Fashina, A.A., Omar, M.A., Sheikh, A.A. and </w:t>
      </w:r>
      <w:proofErr w:type="spellStart"/>
      <w:r w:rsidRPr="006448A3">
        <w:rPr>
          <w:rFonts w:asciiTheme="majorHAnsi" w:hAnsiTheme="majorHAnsi" w:cstheme="majorHAnsi"/>
          <w:color w:val="000000" w:themeColor="text1"/>
          <w:highlight w:val="white"/>
          <w:lang w:val="en-GB"/>
        </w:rPr>
        <w:t>Fakunle</w:t>
      </w:r>
      <w:proofErr w:type="spellEnd"/>
      <w:r w:rsidRPr="006448A3">
        <w:rPr>
          <w:rFonts w:asciiTheme="majorHAnsi" w:hAnsiTheme="majorHAnsi" w:cstheme="majorHAnsi"/>
          <w:color w:val="000000" w:themeColor="text1"/>
          <w:highlight w:val="white"/>
          <w:lang w:val="en-GB"/>
        </w:rPr>
        <w:t xml:space="preserve">, F.F. (2021) ‘Exploring the significant factors that influence delays in construction projects in Hargeisa’, </w:t>
      </w:r>
      <w:proofErr w:type="spellStart"/>
      <w:r w:rsidRPr="006448A3">
        <w:rPr>
          <w:rFonts w:asciiTheme="majorHAnsi" w:hAnsiTheme="majorHAnsi" w:cstheme="majorHAnsi"/>
          <w:i/>
          <w:iCs/>
          <w:color w:val="000000" w:themeColor="text1"/>
          <w:highlight w:val="white"/>
          <w:lang w:val="en-GB"/>
        </w:rPr>
        <w:t>Heliyon</w:t>
      </w:r>
      <w:proofErr w:type="spellEnd"/>
      <w:r w:rsidRPr="006448A3">
        <w:rPr>
          <w:rFonts w:asciiTheme="majorHAnsi" w:hAnsiTheme="majorHAnsi" w:cstheme="majorHAnsi"/>
          <w:color w:val="000000" w:themeColor="text1"/>
          <w:highlight w:val="white"/>
          <w:lang w:val="en-GB"/>
        </w:rPr>
        <w:t xml:space="preserve">, </w:t>
      </w:r>
      <w:r w:rsidRPr="006448A3">
        <w:rPr>
          <w:rFonts w:asciiTheme="majorHAnsi" w:hAnsiTheme="majorHAnsi" w:cstheme="majorHAnsi"/>
          <w:i/>
          <w:iCs/>
          <w:color w:val="000000" w:themeColor="text1"/>
          <w:highlight w:val="white"/>
          <w:lang w:val="en-GB"/>
        </w:rPr>
        <w:t>7</w:t>
      </w:r>
      <w:r w:rsidRPr="006448A3">
        <w:rPr>
          <w:rFonts w:asciiTheme="majorHAnsi" w:hAnsiTheme="majorHAnsi" w:cstheme="majorHAnsi"/>
          <w:color w:val="000000" w:themeColor="text1"/>
          <w:highlight w:val="white"/>
          <w:lang w:val="en-GB"/>
        </w:rPr>
        <w:t>(4).</w:t>
      </w:r>
    </w:p>
    <w:p w14:paraId="6358B2A5"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t xml:space="preserve">Garcés, G., </w:t>
      </w:r>
      <w:proofErr w:type="spellStart"/>
      <w:r w:rsidRPr="006448A3">
        <w:rPr>
          <w:rFonts w:asciiTheme="majorHAnsi" w:hAnsiTheme="majorHAnsi" w:cstheme="majorHAnsi"/>
          <w:color w:val="000000" w:themeColor="text1"/>
          <w:highlight w:val="white"/>
          <w:lang w:val="en-GB"/>
        </w:rPr>
        <w:t>Forcael</w:t>
      </w:r>
      <w:proofErr w:type="spellEnd"/>
      <w:r w:rsidRPr="006448A3">
        <w:rPr>
          <w:rFonts w:asciiTheme="majorHAnsi" w:hAnsiTheme="majorHAnsi" w:cstheme="majorHAnsi"/>
          <w:color w:val="000000" w:themeColor="text1"/>
          <w:highlight w:val="white"/>
          <w:lang w:val="en-GB"/>
        </w:rPr>
        <w:t xml:space="preserve">, E., Osorio, C., Castañeda, K. and Sánchez, O. (2025) ‘Systematic review of Lean Construction: an approach to sustainability and efficiency in construction management’, </w:t>
      </w:r>
      <w:r w:rsidRPr="006448A3">
        <w:rPr>
          <w:rFonts w:asciiTheme="majorHAnsi" w:hAnsiTheme="majorHAnsi" w:cstheme="majorHAnsi"/>
          <w:i/>
          <w:iCs/>
          <w:color w:val="000000" w:themeColor="text1"/>
          <w:highlight w:val="white"/>
          <w:lang w:val="en-GB"/>
        </w:rPr>
        <w:t>Journal of Infrastructure Preservation and Resilience</w:t>
      </w:r>
      <w:r w:rsidRPr="006448A3">
        <w:rPr>
          <w:rFonts w:asciiTheme="majorHAnsi" w:hAnsiTheme="majorHAnsi" w:cstheme="majorHAnsi"/>
          <w:color w:val="000000" w:themeColor="text1"/>
          <w:highlight w:val="white"/>
          <w:lang w:val="en-GB"/>
        </w:rPr>
        <w:t xml:space="preserve">, </w:t>
      </w:r>
      <w:r w:rsidRPr="006448A3">
        <w:rPr>
          <w:rFonts w:asciiTheme="majorHAnsi" w:hAnsiTheme="majorHAnsi" w:cstheme="majorHAnsi"/>
          <w:i/>
          <w:iCs/>
          <w:color w:val="000000" w:themeColor="text1"/>
          <w:highlight w:val="white"/>
          <w:lang w:val="en-GB"/>
        </w:rPr>
        <w:t>6</w:t>
      </w:r>
      <w:r w:rsidRPr="006448A3">
        <w:rPr>
          <w:rFonts w:asciiTheme="majorHAnsi" w:hAnsiTheme="majorHAnsi" w:cstheme="majorHAnsi"/>
          <w:color w:val="000000" w:themeColor="text1"/>
          <w:highlight w:val="white"/>
          <w:lang w:val="en-GB"/>
        </w:rPr>
        <w:t>(1), pp.1-28.</w:t>
      </w:r>
    </w:p>
    <w:p w14:paraId="5CCA4054"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t xml:space="preserve">Giunta, M. (2020) ‘Assessment of the environmental impact of road construction: Modelling and prediction of fine particulate matter emissions’, </w:t>
      </w:r>
      <w:r w:rsidRPr="006448A3">
        <w:rPr>
          <w:rFonts w:asciiTheme="majorHAnsi" w:hAnsiTheme="majorHAnsi" w:cstheme="majorHAnsi"/>
          <w:i/>
          <w:iCs/>
          <w:color w:val="000000" w:themeColor="text1"/>
          <w:highlight w:val="white"/>
          <w:lang w:val="en-GB"/>
        </w:rPr>
        <w:t>Building and Environment</w:t>
      </w:r>
      <w:r w:rsidRPr="006448A3">
        <w:rPr>
          <w:rFonts w:asciiTheme="majorHAnsi" w:hAnsiTheme="majorHAnsi" w:cstheme="majorHAnsi"/>
          <w:color w:val="000000" w:themeColor="text1"/>
          <w:highlight w:val="white"/>
          <w:lang w:val="en-GB"/>
        </w:rPr>
        <w:t xml:space="preserve">, </w:t>
      </w:r>
      <w:r w:rsidRPr="006448A3">
        <w:rPr>
          <w:rFonts w:asciiTheme="majorHAnsi" w:hAnsiTheme="majorHAnsi" w:cstheme="majorHAnsi"/>
          <w:i/>
          <w:iCs/>
          <w:color w:val="000000" w:themeColor="text1"/>
          <w:highlight w:val="white"/>
          <w:lang w:val="en-GB"/>
        </w:rPr>
        <w:t>176</w:t>
      </w:r>
      <w:r w:rsidRPr="006448A3">
        <w:rPr>
          <w:rFonts w:asciiTheme="majorHAnsi" w:hAnsiTheme="majorHAnsi" w:cstheme="majorHAnsi"/>
          <w:color w:val="000000" w:themeColor="text1"/>
          <w:highlight w:val="white"/>
          <w:lang w:val="en-GB"/>
        </w:rPr>
        <w:t>, p.106865.</w:t>
      </w:r>
    </w:p>
    <w:p w14:paraId="5612AEEE"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t xml:space="preserve">Gomes, A.R., Sousa, P.F. and Tereso, A. (2024) ‘Stakeholder management and communication management in non-governmental organizations: A systematic literature review’, </w:t>
      </w:r>
      <w:r w:rsidRPr="006448A3">
        <w:rPr>
          <w:rFonts w:asciiTheme="majorHAnsi" w:hAnsiTheme="majorHAnsi" w:cstheme="majorHAnsi"/>
          <w:i/>
          <w:iCs/>
          <w:color w:val="000000" w:themeColor="text1"/>
          <w:highlight w:val="white"/>
          <w:lang w:val="en-GB"/>
        </w:rPr>
        <w:t>Procedia Computer Science</w:t>
      </w:r>
      <w:r w:rsidRPr="006448A3">
        <w:rPr>
          <w:rFonts w:asciiTheme="majorHAnsi" w:hAnsiTheme="majorHAnsi" w:cstheme="majorHAnsi"/>
          <w:color w:val="000000" w:themeColor="text1"/>
          <w:highlight w:val="white"/>
          <w:lang w:val="en-GB"/>
        </w:rPr>
        <w:t xml:space="preserve">, </w:t>
      </w:r>
      <w:r w:rsidRPr="006448A3">
        <w:rPr>
          <w:rFonts w:asciiTheme="majorHAnsi" w:hAnsiTheme="majorHAnsi" w:cstheme="majorHAnsi"/>
          <w:i/>
          <w:iCs/>
          <w:color w:val="000000" w:themeColor="text1"/>
          <w:highlight w:val="white"/>
          <w:lang w:val="en-GB"/>
        </w:rPr>
        <w:t>239</w:t>
      </w:r>
      <w:r w:rsidRPr="006448A3">
        <w:rPr>
          <w:rFonts w:asciiTheme="majorHAnsi" w:hAnsiTheme="majorHAnsi" w:cstheme="majorHAnsi"/>
          <w:color w:val="000000" w:themeColor="text1"/>
          <w:highlight w:val="white"/>
          <w:lang w:val="en-GB"/>
        </w:rPr>
        <w:t>, pp.1942-1949.</w:t>
      </w:r>
    </w:p>
    <w:p w14:paraId="25CDC731"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proofErr w:type="spellStart"/>
      <w:r w:rsidRPr="006448A3">
        <w:rPr>
          <w:rFonts w:asciiTheme="majorHAnsi" w:hAnsiTheme="majorHAnsi" w:cstheme="majorHAnsi"/>
          <w:color w:val="000000" w:themeColor="text1"/>
          <w:highlight w:val="white"/>
          <w:lang w:val="en-GB"/>
        </w:rPr>
        <w:t>Kostirko</w:t>
      </w:r>
      <w:proofErr w:type="spellEnd"/>
      <w:r w:rsidRPr="006448A3">
        <w:rPr>
          <w:rFonts w:asciiTheme="majorHAnsi" w:hAnsiTheme="majorHAnsi" w:cstheme="majorHAnsi"/>
          <w:color w:val="000000" w:themeColor="text1"/>
          <w:highlight w:val="white"/>
          <w:lang w:val="en-GB"/>
        </w:rPr>
        <w:t xml:space="preserve">, D., Zhao, J., Lavigne, M., Hermant, B. and Totten, L. (2023) ‘A rapid review of best practices in the development of risk registers for public health emergency management’, </w:t>
      </w:r>
      <w:r w:rsidRPr="006448A3">
        <w:rPr>
          <w:rFonts w:asciiTheme="majorHAnsi" w:hAnsiTheme="majorHAnsi" w:cstheme="majorHAnsi"/>
          <w:i/>
          <w:iCs/>
          <w:color w:val="000000" w:themeColor="text1"/>
          <w:highlight w:val="white"/>
          <w:lang w:val="en-GB"/>
        </w:rPr>
        <w:t>Frontiers in Public Health</w:t>
      </w:r>
      <w:r w:rsidRPr="006448A3">
        <w:rPr>
          <w:rFonts w:asciiTheme="majorHAnsi" w:hAnsiTheme="majorHAnsi" w:cstheme="majorHAnsi"/>
          <w:color w:val="000000" w:themeColor="text1"/>
          <w:highlight w:val="white"/>
          <w:lang w:val="en-GB"/>
        </w:rPr>
        <w:t xml:space="preserve">, </w:t>
      </w:r>
      <w:r w:rsidRPr="006448A3">
        <w:rPr>
          <w:rFonts w:asciiTheme="majorHAnsi" w:hAnsiTheme="majorHAnsi" w:cstheme="majorHAnsi"/>
          <w:i/>
          <w:iCs/>
          <w:color w:val="000000" w:themeColor="text1"/>
          <w:highlight w:val="white"/>
          <w:lang w:val="en-GB"/>
        </w:rPr>
        <w:t>11</w:t>
      </w:r>
      <w:r w:rsidRPr="006448A3">
        <w:rPr>
          <w:rFonts w:asciiTheme="majorHAnsi" w:hAnsiTheme="majorHAnsi" w:cstheme="majorHAnsi"/>
          <w:color w:val="000000" w:themeColor="text1"/>
          <w:highlight w:val="white"/>
          <w:lang w:val="en-GB"/>
        </w:rPr>
        <w:t xml:space="preserve">, pp.1-14. </w:t>
      </w:r>
    </w:p>
    <w:p w14:paraId="625F5766"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proofErr w:type="spellStart"/>
      <w:r w:rsidRPr="006448A3">
        <w:rPr>
          <w:rFonts w:asciiTheme="majorHAnsi" w:hAnsiTheme="majorHAnsi" w:cstheme="majorHAnsi"/>
          <w:color w:val="000000" w:themeColor="text1"/>
          <w:highlight w:val="white"/>
          <w:lang w:val="en-GB"/>
        </w:rPr>
        <w:lastRenderedPageBreak/>
        <w:t>Maravas</w:t>
      </w:r>
      <w:proofErr w:type="spellEnd"/>
      <w:r w:rsidRPr="006448A3">
        <w:rPr>
          <w:rFonts w:asciiTheme="majorHAnsi" w:hAnsiTheme="majorHAnsi" w:cstheme="majorHAnsi"/>
          <w:color w:val="000000" w:themeColor="text1"/>
          <w:highlight w:val="white"/>
          <w:lang w:val="en-GB"/>
        </w:rPr>
        <w:t xml:space="preserve">, A. and </w:t>
      </w:r>
      <w:proofErr w:type="spellStart"/>
      <w:r w:rsidRPr="006448A3">
        <w:rPr>
          <w:rFonts w:asciiTheme="majorHAnsi" w:hAnsiTheme="majorHAnsi" w:cstheme="majorHAnsi"/>
          <w:color w:val="000000" w:themeColor="text1"/>
          <w:highlight w:val="white"/>
          <w:lang w:val="en-GB"/>
        </w:rPr>
        <w:t>Pantouvakis</w:t>
      </w:r>
      <w:proofErr w:type="spellEnd"/>
      <w:r w:rsidRPr="006448A3">
        <w:rPr>
          <w:rFonts w:asciiTheme="majorHAnsi" w:hAnsiTheme="majorHAnsi" w:cstheme="majorHAnsi"/>
          <w:color w:val="000000" w:themeColor="text1"/>
          <w:highlight w:val="white"/>
          <w:lang w:val="en-GB"/>
        </w:rPr>
        <w:t>, J.P. (2025) ‘</w:t>
      </w:r>
      <w:proofErr w:type="spellStart"/>
      <w:r w:rsidRPr="006448A3">
        <w:rPr>
          <w:rFonts w:asciiTheme="majorHAnsi" w:hAnsiTheme="majorHAnsi" w:cstheme="majorHAnsi"/>
          <w:color w:val="000000" w:themeColor="text1"/>
          <w:highlight w:val="white"/>
          <w:lang w:val="en-GB"/>
        </w:rPr>
        <w:t>Schedula</w:t>
      </w:r>
      <w:proofErr w:type="spellEnd"/>
      <w:r w:rsidRPr="006448A3">
        <w:rPr>
          <w:rFonts w:asciiTheme="majorHAnsi" w:hAnsiTheme="majorHAnsi" w:cstheme="majorHAnsi"/>
          <w:color w:val="000000" w:themeColor="text1"/>
          <w:highlight w:val="white"/>
          <w:lang w:val="en-GB"/>
        </w:rPr>
        <w:t xml:space="preserve"> Anima: Dynamic Visualization of Gantt Charts and Resource Usage Graphs in Project Scheduling’, </w:t>
      </w:r>
      <w:r w:rsidRPr="006448A3">
        <w:rPr>
          <w:rFonts w:asciiTheme="majorHAnsi" w:hAnsiTheme="majorHAnsi" w:cstheme="majorHAnsi"/>
          <w:i/>
          <w:iCs/>
          <w:color w:val="000000" w:themeColor="text1"/>
          <w:highlight w:val="white"/>
          <w:lang w:val="en-GB"/>
        </w:rPr>
        <w:t>Buildings</w:t>
      </w:r>
      <w:r w:rsidRPr="006448A3">
        <w:rPr>
          <w:rFonts w:asciiTheme="majorHAnsi" w:hAnsiTheme="majorHAnsi" w:cstheme="majorHAnsi"/>
          <w:color w:val="000000" w:themeColor="text1"/>
          <w:highlight w:val="white"/>
          <w:lang w:val="en-GB"/>
        </w:rPr>
        <w:t xml:space="preserve">, </w:t>
      </w:r>
      <w:r w:rsidRPr="006448A3">
        <w:rPr>
          <w:rFonts w:asciiTheme="majorHAnsi" w:hAnsiTheme="majorHAnsi" w:cstheme="majorHAnsi"/>
          <w:i/>
          <w:iCs/>
          <w:color w:val="000000" w:themeColor="text1"/>
          <w:highlight w:val="white"/>
          <w:lang w:val="en-GB"/>
        </w:rPr>
        <w:t>15</w:t>
      </w:r>
      <w:r w:rsidRPr="006448A3">
        <w:rPr>
          <w:rFonts w:asciiTheme="majorHAnsi" w:hAnsiTheme="majorHAnsi" w:cstheme="majorHAnsi"/>
          <w:color w:val="000000" w:themeColor="text1"/>
          <w:highlight w:val="white"/>
          <w:lang w:val="en-GB"/>
        </w:rPr>
        <w:t>(3), p.393.</w:t>
      </w:r>
    </w:p>
    <w:p w14:paraId="7EA8D185"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t xml:space="preserve">Parliament (2025) </w:t>
      </w:r>
      <w:r w:rsidRPr="006448A3">
        <w:rPr>
          <w:rFonts w:asciiTheme="majorHAnsi" w:hAnsiTheme="majorHAnsi" w:cstheme="majorHAnsi"/>
          <w:i/>
          <w:iCs/>
          <w:color w:val="000000" w:themeColor="text1"/>
          <w:highlight w:val="white"/>
          <w:lang w:val="en-GB"/>
        </w:rPr>
        <w:t xml:space="preserve">Flood resilience in England. </w:t>
      </w:r>
      <w:r w:rsidRPr="006448A3">
        <w:rPr>
          <w:rFonts w:asciiTheme="majorHAnsi" w:hAnsiTheme="majorHAnsi" w:cstheme="majorHAnsi"/>
          <w:color w:val="000000" w:themeColor="text1"/>
          <w:highlight w:val="white"/>
          <w:lang w:val="en-GB"/>
        </w:rPr>
        <w:t xml:space="preserve">Available at: https://publications.parliament.uk/pa/cm5901/cmselect/cmenvaud/550/report.html (Accessed 12 February 2026). </w:t>
      </w:r>
    </w:p>
    <w:p w14:paraId="2D7AE9FB"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t xml:space="preserve">Rasool, M. and Pearl, J. (2024) ‘Flood Mitigation Strategies in Highway Drainage Systems for Sustainable Supply Chains’, </w:t>
      </w:r>
      <w:r w:rsidRPr="006448A3">
        <w:rPr>
          <w:rFonts w:asciiTheme="majorHAnsi" w:hAnsiTheme="majorHAnsi" w:cstheme="majorHAnsi"/>
          <w:i/>
          <w:iCs/>
          <w:color w:val="000000" w:themeColor="text1"/>
          <w:highlight w:val="white"/>
          <w:lang w:val="en-GB"/>
        </w:rPr>
        <w:t xml:space="preserve">Journal of Applied Artificial Intelligence, </w:t>
      </w:r>
      <w:r w:rsidRPr="006448A3">
        <w:rPr>
          <w:rFonts w:asciiTheme="majorHAnsi" w:hAnsiTheme="majorHAnsi" w:cstheme="majorHAnsi"/>
          <w:color w:val="000000" w:themeColor="text1"/>
          <w:highlight w:val="white"/>
          <w:lang w:val="en-GB"/>
        </w:rPr>
        <w:t xml:space="preserve">ISSN: 2709-5908. </w:t>
      </w:r>
    </w:p>
    <w:p w14:paraId="5F6F1607"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t xml:space="preserve">Shiri, R., El-Metwally, A., Sallinen, M., Pöyry, M., Härmä, M. and </w:t>
      </w:r>
      <w:proofErr w:type="spellStart"/>
      <w:r w:rsidRPr="006448A3">
        <w:rPr>
          <w:rFonts w:asciiTheme="majorHAnsi" w:hAnsiTheme="majorHAnsi" w:cstheme="majorHAnsi"/>
          <w:color w:val="000000" w:themeColor="text1"/>
          <w:highlight w:val="white"/>
          <w:lang w:val="en-GB"/>
        </w:rPr>
        <w:t>Toppinen</w:t>
      </w:r>
      <w:proofErr w:type="spellEnd"/>
      <w:r w:rsidRPr="006448A3">
        <w:rPr>
          <w:rFonts w:asciiTheme="majorHAnsi" w:hAnsiTheme="majorHAnsi" w:cstheme="majorHAnsi"/>
          <w:color w:val="000000" w:themeColor="text1"/>
          <w:highlight w:val="white"/>
          <w:lang w:val="en-GB"/>
        </w:rPr>
        <w:t xml:space="preserve">-Tanner, S. (2023, November) ‘The role of continuing professional training or development in maintaining current employment: A systematic review’, In </w:t>
      </w:r>
      <w:r w:rsidRPr="006448A3">
        <w:rPr>
          <w:rFonts w:asciiTheme="majorHAnsi" w:hAnsiTheme="majorHAnsi" w:cstheme="majorHAnsi"/>
          <w:i/>
          <w:iCs/>
          <w:color w:val="000000" w:themeColor="text1"/>
          <w:highlight w:val="white"/>
          <w:lang w:val="en-GB"/>
        </w:rPr>
        <w:t>Healthcare</w:t>
      </w:r>
      <w:r w:rsidRPr="006448A3">
        <w:rPr>
          <w:rFonts w:asciiTheme="majorHAnsi" w:hAnsiTheme="majorHAnsi" w:cstheme="majorHAnsi"/>
          <w:color w:val="000000" w:themeColor="text1"/>
          <w:highlight w:val="white"/>
          <w:lang w:val="en-GB"/>
        </w:rPr>
        <w:t xml:space="preserve"> (Vol. 11, No. 21, p. 2900). MDPI.</w:t>
      </w:r>
    </w:p>
    <w:p w14:paraId="43ACEE33"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t xml:space="preserve">Sohn, W., Brody, S.D., Kim, J.H. and Li, M.H. (2020) ‘How effective are drainage systems in mitigating flood losses?’, </w:t>
      </w:r>
      <w:r w:rsidRPr="006448A3">
        <w:rPr>
          <w:rFonts w:asciiTheme="majorHAnsi" w:hAnsiTheme="majorHAnsi" w:cstheme="majorHAnsi"/>
          <w:i/>
          <w:iCs/>
          <w:color w:val="000000" w:themeColor="text1"/>
          <w:highlight w:val="white"/>
          <w:lang w:val="en-GB"/>
        </w:rPr>
        <w:t>Cities</w:t>
      </w:r>
      <w:r w:rsidRPr="006448A3">
        <w:rPr>
          <w:rFonts w:asciiTheme="majorHAnsi" w:hAnsiTheme="majorHAnsi" w:cstheme="majorHAnsi"/>
          <w:color w:val="000000" w:themeColor="text1"/>
          <w:highlight w:val="white"/>
          <w:lang w:val="en-GB"/>
        </w:rPr>
        <w:t xml:space="preserve">, </w:t>
      </w:r>
      <w:r w:rsidRPr="006448A3">
        <w:rPr>
          <w:rFonts w:asciiTheme="majorHAnsi" w:hAnsiTheme="majorHAnsi" w:cstheme="majorHAnsi"/>
          <w:i/>
          <w:iCs/>
          <w:color w:val="000000" w:themeColor="text1"/>
          <w:highlight w:val="white"/>
          <w:lang w:val="en-GB"/>
        </w:rPr>
        <w:t>107</w:t>
      </w:r>
      <w:r w:rsidRPr="006448A3">
        <w:rPr>
          <w:rFonts w:asciiTheme="majorHAnsi" w:hAnsiTheme="majorHAnsi" w:cstheme="majorHAnsi"/>
          <w:color w:val="000000" w:themeColor="text1"/>
          <w:highlight w:val="white"/>
          <w:lang w:val="en-GB"/>
        </w:rPr>
        <w:t>, p.102917.</w:t>
      </w:r>
    </w:p>
    <w:p w14:paraId="5C3AE455"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proofErr w:type="spellStart"/>
      <w:r w:rsidRPr="006448A3">
        <w:rPr>
          <w:rFonts w:asciiTheme="majorHAnsi" w:hAnsiTheme="majorHAnsi" w:cstheme="majorHAnsi"/>
          <w:color w:val="000000" w:themeColor="text1"/>
          <w:highlight w:val="white"/>
          <w:lang w:val="en-GB"/>
        </w:rPr>
        <w:t>Tassiopoulou</w:t>
      </w:r>
      <w:proofErr w:type="spellEnd"/>
      <w:r w:rsidRPr="006448A3">
        <w:rPr>
          <w:rFonts w:asciiTheme="majorHAnsi" w:hAnsiTheme="majorHAnsi" w:cstheme="majorHAnsi"/>
          <w:color w:val="000000" w:themeColor="text1"/>
          <w:highlight w:val="white"/>
          <w:lang w:val="en-GB"/>
        </w:rPr>
        <w:t xml:space="preserve">, S. and </w:t>
      </w:r>
      <w:proofErr w:type="spellStart"/>
      <w:r w:rsidRPr="006448A3">
        <w:rPr>
          <w:rFonts w:asciiTheme="majorHAnsi" w:hAnsiTheme="majorHAnsi" w:cstheme="majorHAnsi"/>
          <w:color w:val="000000" w:themeColor="text1"/>
          <w:highlight w:val="white"/>
          <w:lang w:val="en-GB"/>
        </w:rPr>
        <w:t>Koukiou</w:t>
      </w:r>
      <w:proofErr w:type="spellEnd"/>
      <w:r w:rsidRPr="006448A3">
        <w:rPr>
          <w:rFonts w:asciiTheme="majorHAnsi" w:hAnsiTheme="majorHAnsi" w:cstheme="majorHAnsi"/>
          <w:color w:val="000000" w:themeColor="text1"/>
          <w:highlight w:val="white"/>
          <w:lang w:val="en-GB"/>
        </w:rPr>
        <w:t xml:space="preserve">, G. (2024) ‘Fusing Ground-Penetrating Radar Images for Improving Image Characteristics Fidelity’, </w:t>
      </w:r>
      <w:r w:rsidRPr="006448A3">
        <w:rPr>
          <w:rFonts w:asciiTheme="majorHAnsi" w:hAnsiTheme="majorHAnsi" w:cstheme="majorHAnsi"/>
          <w:i/>
          <w:iCs/>
          <w:color w:val="000000" w:themeColor="text1"/>
          <w:highlight w:val="white"/>
          <w:lang w:val="en-GB"/>
        </w:rPr>
        <w:t>Applied Sciences</w:t>
      </w:r>
      <w:r w:rsidRPr="006448A3">
        <w:rPr>
          <w:rFonts w:asciiTheme="majorHAnsi" w:hAnsiTheme="majorHAnsi" w:cstheme="majorHAnsi"/>
          <w:color w:val="000000" w:themeColor="text1"/>
          <w:highlight w:val="white"/>
          <w:lang w:val="en-GB"/>
        </w:rPr>
        <w:t xml:space="preserve">, </w:t>
      </w:r>
      <w:r w:rsidRPr="006448A3">
        <w:rPr>
          <w:rFonts w:asciiTheme="majorHAnsi" w:hAnsiTheme="majorHAnsi" w:cstheme="majorHAnsi"/>
          <w:i/>
          <w:iCs/>
          <w:color w:val="000000" w:themeColor="text1"/>
          <w:highlight w:val="white"/>
          <w:lang w:val="en-GB"/>
        </w:rPr>
        <w:t>14</w:t>
      </w:r>
      <w:r w:rsidRPr="006448A3">
        <w:rPr>
          <w:rFonts w:asciiTheme="majorHAnsi" w:hAnsiTheme="majorHAnsi" w:cstheme="majorHAnsi"/>
          <w:color w:val="000000" w:themeColor="text1"/>
          <w:highlight w:val="white"/>
          <w:lang w:val="en-GB"/>
        </w:rPr>
        <w:t>(15), p.6808.</w:t>
      </w:r>
    </w:p>
    <w:p w14:paraId="5A56677F"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proofErr w:type="spellStart"/>
      <w:r w:rsidRPr="006448A3">
        <w:rPr>
          <w:rFonts w:asciiTheme="majorHAnsi" w:hAnsiTheme="majorHAnsi" w:cstheme="majorHAnsi"/>
          <w:color w:val="000000" w:themeColor="text1"/>
          <w:highlight w:val="white"/>
          <w:lang w:val="en-GB"/>
        </w:rPr>
        <w:t>WarrenCat</w:t>
      </w:r>
      <w:proofErr w:type="spellEnd"/>
      <w:r w:rsidRPr="006448A3">
        <w:rPr>
          <w:rFonts w:asciiTheme="majorHAnsi" w:hAnsiTheme="majorHAnsi" w:cstheme="majorHAnsi"/>
          <w:color w:val="000000" w:themeColor="text1"/>
          <w:highlight w:val="white"/>
          <w:lang w:val="en-GB"/>
        </w:rPr>
        <w:t xml:space="preserve"> (2024) </w:t>
      </w:r>
      <w:r w:rsidRPr="006448A3">
        <w:rPr>
          <w:rFonts w:asciiTheme="majorHAnsi" w:hAnsiTheme="majorHAnsi" w:cstheme="majorHAnsi"/>
          <w:i/>
          <w:iCs/>
          <w:color w:val="000000" w:themeColor="text1"/>
          <w:highlight w:val="white"/>
          <w:lang w:val="en-GB"/>
        </w:rPr>
        <w:t xml:space="preserve">Choosing the right road building equipment. </w:t>
      </w:r>
      <w:r w:rsidRPr="006448A3">
        <w:rPr>
          <w:rFonts w:asciiTheme="majorHAnsi" w:hAnsiTheme="majorHAnsi" w:cstheme="majorHAnsi"/>
          <w:color w:val="000000" w:themeColor="text1"/>
          <w:highlight w:val="white"/>
          <w:lang w:val="en-GB"/>
        </w:rPr>
        <w:t xml:space="preserve">Available at: https://www.warrencat.com/knowledge-center/articles/choosing-the-right-road-building-equipment/ (Accessed 14 February 2026). </w:t>
      </w:r>
    </w:p>
    <w:p w14:paraId="3FCD4C14"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t xml:space="preserve">Williams, K. (2025) </w:t>
      </w:r>
      <w:r w:rsidRPr="006448A3">
        <w:rPr>
          <w:rFonts w:asciiTheme="majorHAnsi" w:hAnsiTheme="majorHAnsi" w:cstheme="majorHAnsi"/>
          <w:i/>
          <w:iCs/>
          <w:color w:val="000000" w:themeColor="text1"/>
          <w:highlight w:val="white"/>
          <w:lang w:val="en-GB"/>
        </w:rPr>
        <w:t xml:space="preserve">Worcester floods LIVE - travel and weather updates. </w:t>
      </w:r>
      <w:r w:rsidRPr="006448A3">
        <w:rPr>
          <w:rFonts w:asciiTheme="majorHAnsi" w:hAnsiTheme="majorHAnsi" w:cstheme="majorHAnsi"/>
          <w:color w:val="000000" w:themeColor="text1"/>
          <w:highlight w:val="white"/>
          <w:lang w:val="en-GB"/>
        </w:rPr>
        <w:t xml:space="preserve">Available at: https://www.malverngazette.co.uk/news/25834734.worcester-floods-live---travel-weather-updates/ (Accessed 13 February 2026). </w:t>
      </w:r>
    </w:p>
    <w:p w14:paraId="41EC660B"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t xml:space="preserve">Worcestershire (2025) </w:t>
      </w:r>
      <w:r w:rsidRPr="006448A3">
        <w:rPr>
          <w:rFonts w:asciiTheme="majorHAnsi" w:hAnsiTheme="majorHAnsi" w:cstheme="majorHAnsi"/>
          <w:i/>
          <w:iCs/>
          <w:color w:val="000000" w:themeColor="text1"/>
          <w:highlight w:val="white"/>
          <w:lang w:val="en-GB"/>
        </w:rPr>
        <w:t xml:space="preserve">A4440 Southern Link Road Phase 4 One Year Post Opening Evaluation. </w:t>
      </w:r>
      <w:hyperlink r:id="rId22">
        <w:r w:rsidRPr="006448A3">
          <w:rPr>
            <w:rFonts w:asciiTheme="majorHAnsi" w:hAnsiTheme="majorHAnsi" w:cstheme="majorHAnsi"/>
            <w:color w:val="000000" w:themeColor="text1"/>
            <w:highlight w:val="white"/>
            <w:u w:val="single"/>
            <w:lang w:val="en-GB"/>
          </w:rPr>
          <w:t>Available at: https://www.worcestershire.gov.uk/sites/default/files/2025-10/A4440%20SLR4_One%20Year%20Post%20Opening%20Evaluation%20Report_V1_26%20February%202025.pdf</w:t>
        </w:r>
      </w:hyperlink>
      <w:r w:rsidRPr="006448A3">
        <w:rPr>
          <w:rFonts w:asciiTheme="majorHAnsi" w:hAnsiTheme="majorHAnsi" w:cstheme="majorHAnsi"/>
          <w:color w:val="000000" w:themeColor="text1"/>
          <w:highlight w:val="white"/>
          <w:lang w:val="en-GB"/>
        </w:rPr>
        <w:t xml:space="preserve"> (Accessed 10 February 2026). </w:t>
      </w:r>
    </w:p>
    <w:p w14:paraId="2513987A"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lastRenderedPageBreak/>
        <w:t xml:space="preserve">Worcestershire (n.d) </w:t>
      </w:r>
      <w:r w:rsidRPr="006448A3">
        <w:rPr>
          <w:rFonts w:asciiTheme="majorHAnsi" w:hAnsiTheme="majorHAnsi" w:cstheme="majorHAnsi"/>
          <w:i/>
          <w:iCs/>
          <w:color w:val="000000" w:themeColor="text1"/>
          <w:highlight w:val="white"/>
          <w:lang w:val="en-GB"/>
        </w:rPr>
        <w:t xml:space="preserve">Planning and Developments. </w:t>
      </w:r>
      <w:hyperlink r:id="rId23">
        <w:r w:rsidRPr="006448A3">
          <w:rPr>
            <w:rFonts w:asciiTheme="majorHAnsi" w:hAnsiTheme="majorHAnsi" w:cstheme="majorHAnsi"/>
            <w:color w:val="000000" w:themeColor="text1"/>
            <w:highlight w:val="white"/>
            <w:u w:val="single"/>
            <w:lang w:val="en-GB"/>
          </w:rPr>
          <w:t>Available at: https://www.worcestershire.gov.uk/council-services/planning-and-developments/road-improvements/a4440-worcester-southern-link-road-improvements</w:t>
        </w:r>
      </w:hyperlink>
      <w:r w:rsidRPr="006448A3">
        <w:rPr>
          <w:rFonts w:asciiTheme="majorHAnsi" w:hAnsiTheme="majorHAnsi" w:cstheme="majorHAnsi"/>
          <w:color w:val="000000" w:themeColor="text1"/>
          <w:highlight w:val="white"/>
          <w:lang w:val="en-GB"/>
        </w:rPr>
        <w:t xml:space="preserve"> (Accessed 10 February 2026). </w:t>
      </w:r>
    </w:p>
    <w:p w14:paraId="7BCD4A0C"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t xml:space="preserve">Yap, J.B.H. and Yu, C.Y. (2025) ‘Essential Needs and Strategies for Effective Contractor Communications: Bridging Gaps in Malaysia’s Construction Industry’, </w:t>
      </w:r>
      <w:r w:rsidRPr="006448A3">
        <w:rPr>
          <w:rFonts w:asciiTheme="majorHAnsi" w:hAnsiTheme="majorHAnsi" w:cstheme="majorHAnsi"/>
          <w:i/>
          <w:iCs/>
          <w:color w:val="000000" w:themeColor="text1"/>
          <w:highlight w:val="white"/>
          <w:lang w:val="en-GB"/>
        </w:rPr>
        <w:t>International Journal of Construction Education and Research</w:t>
      </w:r>
      <w:r w:rsidRPr="006448A3">
        <w:rPr>
          <w:rFonts w:asciiTheme="majorHAnsi" w:hAnsiTheme="majorHAnsi" w:cstheme="majorHAnsi"/>
          <w:color w:val="000000" w:themeColor="text1"/>
          <w:highlight w:val="white"/>
          <w:lang w:val="en-GB"/>
        </w:rPr>
        <w:t>, pp.1-24.</w:t>
      </w:r>
    </w:p>
    <w:p w14:paraId="0D9EA460"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t xml:space="preserve">Zhang, D., Xiong, W., Ma, X., Zhou, D. and Cai, C.S. (2024) ‘Fragility evaluation of bridge shallow foundation piers under floods by coupling simulation in structural and hydraulic fields’, </w:t>
      </w:r>
      <w:r w:rsidRPr="006448A3">
        <w:rPr>
          <w:rFonts w:asciiTheme="majorHAnsi" w:hAnsiTheme="majorHAnsi" w:cstheme="majorHAnsi"/>
          <w:i/>
          <w:iCs/>
          <w:color w:val="000000" w:themeColor="text1"/>
          <w:highlight w:val="white"/>
          <w:lang w:val="en-GB"/>
        </w:rPr>
        <w:t>Ocean Engineering</w:t>
      </w:r>
      <w:r w:rsidRPr="006448A3">
        <w:rPr>
          <w:rFonts w:asciiTheme="majorHAnsi" w:hAnsiTheme="majorHAnsi" w:cstheme="majorHAnsi"/>
          <w:color w:val="000000" w:themeColor="text1"/>
          <w:highlight w:val="white"/>
          <w:lang w:val="en-GB"/>
        </w:rPr>
        <w:t xml:space="preserve">, </w:t>
      </w:r>
      <w:r w:rsidRPr="006448A3">
        <w:rPr>
          <w:rFonts w:asciiTheme="majorHAnsi" w:hAnsiTheme="majorHAnsi" w:cstheme="majorHAnsi"/>
          <w:i/>
          <w:iCs/>
          <w:color w:val="000000" w:themeColor="text1"/>
          <w:highlight w:val="white"/>
          <w:lang w:val="en-GB"/>
        </w:rPr>
        <w:t>311</w:t>
      </w:r>
      <w:r w:rsidRPr="006448A3">
        <w:rPr>
          <w:rFonts w:asciiTheme="majorHAnsi" w:hAnsiTheme="majorHAnsi" w:cstheme="majorHAnsi"/>
          <w:color w:val="000000" w:themeColor="text1"/>
          <w:highlight w:val="white"/>
          <w:lang w:val="en-GB"/>
        </w:rPr>
        <w:t>, p.118952.</w:t>
      </w:r>
    </w:p>
    <w:p w14:paraId="1A14ADA6"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t>Zhang, J. and Cui, J. (2025) ‘Buffer management of critical chain projects based on activity dimension differences’,</w:t>
      </w:r>
      <w:r w:rsidRPr="006448A3">
        <w:rPr>
          <w:rFonts w:asciiTheme="majorHAnsi" w:hAnsiTheme="majorHAnsi" w:cstheme="majorHAnsi"/>
          <w:i/>
          <w:iCs/>
          <w:color w:val="000000" w:themeColor="text1"/>
          <w:highlight w:val="white"/>
          <w:lang w:val="en-GB"/>
        </w:rPr>
        <w:t xml:space="preserve"> Journal of the Operational Research Society</w:t>
      </w:r>
      <w:r w:rsidRPr="006448A3">
        <w:rPr>
          <w:rFonts w:asciiTheme="majorHAnsi" w:hAnsiTheme="majorHAnsi" w:cstheme="majorHAnsi"/>
          <w:color w:val="000000" w:themeColor="text1"/>
          <w:highlight w:val="white"/>
          <w:lang w:val="en-GB"/>
        </w:rPr>
        <w:t>, pp.1-18.</w:t>
      </w:r>
      <w:r w:rsidRPr="006448A3">
        <w:rPr>
          <w:rFonts w:asciiTheme="majorHAnsi" w:hAnsiTheme="majorHAnsi" w:cstheme="majorHAnsi"/>
          <w:i/>
          <w:iCs/>
          <w:color w:val="000000" w:themeColor="text1"/>
          <w:highlight w:val="white"/>
          <w:lang w:val="en-GB"/>
        </w:rPr>
        <w:t xml:space="preserve"> </w:t>
      </w:r>
    </w:p>
    <w:p w14:paraId="26568AAE"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t xml:space="preserve">Zhang, J. and Lu, G. (2024) ‘Underground mapping and localization based on ground-penetrating radar’, In </w:t>
      </w:r>
      <w:r w:rsidRPr="006448A3">
        <w:rPr>
          <w:rFonts w:asciiTheme="majorHAnsi" w:hAnsiTheme="majorHAnsi" w:cstheme="majorHAnsi"/>
          <w:i/>
          <w:iCs/>
          <w:color w:val="000000" w:themeColor="text1"/>
          <w:highlight w:val="white"/>
          <w:lang w:val="en-GB"/>
        </w:rPr>
        <w:t>Proceedings of the Asian Conference on Computer Vision</w:t>
      </w:r>
      <w:r w:rsidRPr="006448A3">
        <w:rPr>
          <w:rFonts w:asciiTheme="majorHAnsi" w:hAnsiTheme="majorHAnsi" w:cstheme="majorHAnsi"/>
          <w:color w:val="000000" w:themeColor="text1"/>
          <w:highlight w:val="white"/>
          <w:lang w:val="en-GB"/>
        </w:rPr>
        <w:t xml:space="preserve">, pp.131-147. </w:t>
      </w:r>
    </w:p>
    <w:p w14:paraId="6112F2BA" w14:textId="77777777" w:rsidR="006448A3" w:rsidRPr="006448A3" w:rsidRDefault="006448A3" w:rsidP="006448A3">
      <w:pPr>
        <w:spacing w:before="100" w:beforeAutospacing="1" w:after="100" w:afterAutospacing="1"/>
        <w:rPr>
          <w:rFonts w:asciiTheme="majorHAnsi" w:hAnsiTheme="majorHAnsi" w:cstheme="majorHAnsi"/>
          <w:color w:val="000000" w:themeColor="text1"/>
          <w:highlight w:val="white"/>
          <w:lang w:val="en-GB"/>
        </w:rPr>
      </w:pPr>
      <w:r w:rsidRPr="006448A3">
        <w:rPr>
          <w:rFonts w:asciiTheme="majorHAnsi" w:hAnsiTheme="majorHAnsi" w:cstheme="majorHAnsi"/>
          <w:color w:val="000000" w:themeColor="text1"/>
          <w:highlight w:val="white"/>
          <w:lang w:val="en-GB"/>
        </w:rPr>
        <w:t xml:space="preserve">Zhu, Q., Xi, J., Hu, X., Chong, H.Y., Zhou, Y. and Lyu, S. (2024) ‘Stakeholder Mapping and Analysis of Off-Site Construction Projects: Utilizing a Power–Interest Matrix and the Fuzzy Logic Theory’, </w:t>
      </w:r>
      <w:r w:rsidRPr="006448A3">
        <w:rPr>
          <w:rFonts w:asciiTheme="majorHAnsi" w:hAnsiTheme="majorHAnsi" w:cstheme="majorHAnsi"/>
          <w:i/>
          <w:iCs/>
          <w:color w:val="000000" w:themeColor="text1"/>
          <w:highlight w:val="white"/>
          <w:lang w:val="en-GB"/>
        </w:rPr>
        <w:t>Buildings</w:t>
      </w:r>
      <w:r w:rsidRPr="006448A3">
        <w:rPr>
          <w:rFonts w:asciiTheme="majorHAnsi" w:hAnsiTheme="majorHAnsi" w:cstheme="majorHAnsi"/>
          <w:color w:val="000000" w:themeColor="text1"/>
          <w:highlight w:val="white"/>
          <w:lang w:val="en-GB"/>
        </w:rPr>
        <w:t xml:space="preserve">, </w:t>
      </w:r>
      <w:r w:rsidRPr="006448A3">
        <w:rPr>
          <w:rFonts w:asciiTheme="majorHAnsi" w:hAnsiTheme="majorHAnsi" w:cstheme="majorHAnsi"/>
          <w:i/>
          <w:iCs/>
          <w:color w:val="000000" w:themeColor="text1"/>
          <w:highlight w:val="white"/>
          <w:lang w:val="en-GB"/>
        </w:rPr>
        <w:t>14</w:t>
      </w:r>
      <w:r w:rsidRPr="006448A3">
        <w:rPr>
          <w:rFonts w:asciiTheme="majorHAnsi" w:hAnsiTheme="majorHAnsi" w:cstheme="majorHAnsi"/>
          <w:color w:val="000000" w:themeColor="text1"/>
          <w:highlight w:val="white"/>
          <w:lang w:val="en-GB"/>
        </w:rPr>
        <w:t>(9), p.2865.</w:t>
      </w:r>
    </w:p>
    <w:p w14:paraId="048F784B" w14:textId="77777777" w:rsidR="00A0001D" w:rsidRPr="006448A3" w:rsidRDefault="00A0001D" w:rsidP="006448A3">
      <w:pPr>
        <w:spacing w:before="100" w:beforeAutospacing="1" w:after="100" w:afterAutospacing="1"/>
        <w:rPr>
          <w:rFonts w:asciiTheme="majorHAnsi" w:hAnsiTheme="majorHAnsi" w:cstheme="majorHAnsi"/>
          <w:color w:val="000000" w:themeColor="text1"/>
          <w:lang w:val="en-GB"/>
        </w:rPr>
      </w:pPr>
    </w:p>
    <w:sectPr w:rsidR="00A0001D" w:rsidRPr="006448A3">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0CA0CC" w14:textId="77777777" w:rsidR="00247D72" w:rsidRDefault="00247D72" w:rsidP="00CE25AB">
      <w:pPr>
        <w:spacing w:line="240" w:lineRule="auto"/>
      </w:pPr>
      <w:r>
        <w:separator/>
      </w:r>
    </w:p>
  </w:endnote>
  <w:endnote w:type="continuationSeparator" w:id="0">
    <w:p w14:paraId="76A5DB35" w14:textId="77777777" w:rsidR="00247D72" w:rsidRDefault="00247D72" w:rsidP="00CE25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62C7F20-0682-4421-BE12-BB5C8A7D2E36}"/>
    <w:embedBold r:id="rId2" w:fontKey="{70C5D8A6-8130-4E4A-8166-A385781AA7CE}"/>
    <w:embedItalic r:id="rId3" w:fontKey="{C132FDE9-E316-4711-A1D4-6C228757BB02}"/>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AE707AAF-6892-4C46-8BBF-B7D66D96EF7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D32E50" w14:textId="77777777" w:rsidR="00CE25AB" w:rsidRDefault="00CE25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1720397102"/>
      <w:docPartObj>
        <w:docPartGallery w:val="Page Numbers (Bottom of Page)"/>
        <w:docPartUnique/>
      </w:docPartObj>
    </w:sdtPr>
    <w:sdtEndPr>
      <w:rPr>
        <w:noProof/>
      </w:rPr>
    </w:sdtEndPr>
    <w:sdtContent>
      <w:p w14:paraId="2D8EBD8D" w14:textId="10DE17DA" w:rsidR="00CE25AB" w:rsidRPr="00CE25AB" w:rsidRDefault="00CE25AB">
        <w:pPr>
          <w:pStyle w:val="Footer"/>
          <w:jc w:val="right"/>
          <w:rPr>
            <w:sz w:val="20"/>
            <w:szCs w:val="20"/>
          </w:rPr>
        </w:pPr>
        <w:r w:rsidRPr="00CE25AB">
          <w:rPr>
            <w:sz w:val="20"/>
            <w:szCs w:val="20"/>
          </w:rPr>
          <w:fldChar w:fldCharType="begin"/>
        </w:r>
        <w:r w:rsidRPr="00CE25AB">
          <w:rPr>
            <w:sz w:val="20"/>
            <w:szCs w:val="20"/>
          </w:rPr>
          <w:instrText xml:space="preserve"> PAGE   \* MERGEFORMAT </w:instrText>
        </w:r>
        <w:r w:rsidRPr="00CE25AB">
          <w:rPr>
            <w:sz w:val="20"/>
            <w:szCs w:val="20"/>
          </w:rPr>
          <w:fldChar w:fldCharType="separate"/>
        </w:r>
        <w:r w:rsidRPr="00CE25AB">
          <w:rPr>
            <w:noProof/>
            <w:sz w:val="20"/>
            <w:szCs w:val="20"/>
          </w:rPr>
          <w:t>2</w:t>
        </w:r>
        <w:r w:rsidRPr="00CE25AB">
          <w:rPr>
            <w:noProof/>
            <w:sz w:val="20"/>
            <w:szCs w:val="20"/>
          </w:rPr>
          <w:fldChar w:fldCharType="end"/>
        </w:r>
      </w:p>
    </w:sdtContent>
  </w:sdt>
  <w:p w14:paraId="7817EA1C" w14:textId="77777777" w:rsidR="00CE25AB" w:rsidRPr="00CE25AB" w:rsidRDefault="00CE25AB">
    <w:pPr>
      <w:pStyle w:val="Footer"/>
      <w:rPr>
        <w:sz w:val="20"/>
        <w:szCs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2EC6D5" w14:textId="77777777" w:rsidR="00CE25AB" w:rsidRDefault="00CE25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1FCFB5" w14:textId="77777777" w:rsidR="00247D72" w:rsidRDefault="00247D72" w:rsidP="00CE25AB">
      <w:pPr>
        <w:spacing w:line="240" w:lineRule="auto"/>
      </w:pPr>
      <w:r>
        <w:separator/>
      </w:r>
    </w:p>
  </w:footnote>
  <w:footnote w:type="continuationSeparator" w:id="0">
    <w:p w14:paraId="60C790C0" w14:textId="77777777" w:rsidR="00247D72" w:rsidRDefault="00247D72" w:rsidP="00CE25A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46A576" w14:textId="77777777" w:rsidR="00CE25AB" w:rsidRDefault="00CE25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0DCB87" w14:textId="77777777" w:rsidR="00CE25AB" w:rsidRDefault="00CE25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838457" w14:textId="77777777" w:rsidR="00CE25AB" w:rsidRDefault="00CE25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A4783"/>
    <w:multiLevelType w:val="multilevel"/>
    <w:tmpl w:val="3C4EDE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9816440"/>
    <w:multiLevelType w:val="multilevel"/>
    <w:tmpl w:val="4E9285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D3F75A1"/>
    <w:multiLevelType w:val="multilevel"/>
    <w:tmpl w:val="083EAE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E8A25EB"/>
    <w:multiLevelType w:val="multilevel"/>
    <w:tmpl w:val="AD2028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17794457">
    <w:abstractNumId w:val="3"/>
  </w:num>
  <w:num w:numId="2" w16cid:durableId="1881701063">
    <w:abstractNumId w:val="1"/>
  </w:num>
  <w:num w:numId="3" w16cid:durableId="1282880414">
    <w:abstractNumId w:val="2"/>
  </w:num>
  <w:num w:numId="4" w16cid:durableId="12426377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001D"/>
    <w:rsid w:val="000056E7"/>
    <w:rsid w:val="0004510D"/>
    <w:rsid w:val="00082C10"/>
    <w:rsid w:val="000C76C2"/>
    <w:rsid w:val="00195274"/>
    <w:rsid w:val="001A20CF"/>
    <w:rsid w:val="002132C8"/>
    <w:rsid w:val="00247D72"/>
    <w:rsid w:val="002E10BF"/>
    <w:rsid w:val="003151FD"/>
    <w:rsid w:val="003C2ED1"/>
    <w:rsid w:val="00476027"/>
    <w:rsid w:val="004D6875"/>
    <w:rsid w:val="005527BA"/>
    <w:rsid w:val="006448A3"/>
    <w:rsid w:val="00694756"/>
    <w:rsid w:val="006E78AD"/>
    <w:rsid w:val="008472A9"/>
    <w:rsid w:val="0088179A"/>
    <w:rsid w:val="00A0001D"/>
    <w:rsid w:val="00A25B69"/>
    <w:rsid w:val="00A91449"/>
    <w:rsid w:val="00AE6A30"/>
    <w:rsid w:val="00AF5490"/>
    <w:rsid w:val="00B62D8D"/>
    <w:rsid w:val="00BC6848"/>
    <w:rsid w:val="00C07275"/>
    <w:rsid w:val="00CA751F"/>
    <w:rsid w:val="00CD18DF"/>
    <w:rsid w:val="00CE25AB"/>
    <w:rsid w:val="00F21882"/>
    <w:rsid w:val="00F861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AF78C"/>
  <w15:docId w15:val="{549E1C44-C464-4187-94C1-83445D2D2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paragraph" w:styleId="TOCHeading">
    <w:name w:val="TOC Heading"/>
    <w:basedOn w:val="Heading1"/>
    <w:next w:val="Normal"/>
    <w:uiPriority w:val="39"/>
    <w:unhideWhenUsed/>
    <w:qFormat/>
    <w:rsid w:val="006448A3"/>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448A3"/>
    <w:pPr>
      <w:spacing w:after="100"/>
    </w:pPr>
  </w:style>
  <w:style w:type="paragraph" w:styleId="TOC2">
    <w:name w:val="toc 2"/>
    <w:basedOn w:val="Normal"/>
    <w:next w:val="Normal"/>
    <w:autoRedefine/>
    <w:uiPriority w:val="39"/>
    <w:unhideWhenUsed/>
    <w:rsid w:val="006448A3"/>
    <w:pPr>
      <w:spacing w:after="100"/>
      <w:ind w:left="240"/>
    </w:pPr>
  </w:style>
  <w:style w:type="character" w:styleId="Hyperlink">
    <w:name w:val="Hyperlink"/>
    <w:basedOn w:val="DefaultParagraphFont"/>
    <w:uiPriority w:val="99"/>
    <w:unhideWhenUsed/>
    <w:rsid w:val="006448A3"/>
    <w:rPr>
      <w:color w:val="0000FF" w:themeColor="hyperlink"/>
      <w:u w:val="single"/>
    </w:rPr>
  </w:style>
  <w:style w:type="paragraph" w:styleId="Header">
    <w:name w:val="header"/>
    <w:basedOn w:val="Normal"/>
    <w:link w:val="HeaderChar"/>
    <w:uiPriority w:val="99"/>
    <w:unhideWhenUsed/>
    <w:rsid w:val="00CE25AB"/>
    <w:pPr>
      <w:tabs>
        <w:tab w:val="center" w:pos="4513"/>
        <w:tab w:val="right" w:pos="9026"/>
      </w:tabs>
      <w:spacing w:line="240" w:lineRule="auto"/>
    </w:pPr>
  </w:style>
  <w:style w:type="character" w:customStyle="1" w:styleId="HeaderChar">
    <w:name w:val="Header Char"/>
    <w:basedOn w:val="DefaultParagraphFont"/>
    <w:link w:val="Header"/>
    <w:uiPriority w:val="99"/>
    <w:rsid w:val="00CE25AB"/>
  </w:style>
  <w:style w:type="paragraph" w:styleId="Footer">
    <w:name w:val="footer"/>
    <w:basedOn w:val="Normal"/>
    <w:link w:val="FooterChar"/>
    <w:uiPriority w:val="99"/>
    <w:unhideWhenUsed/>
    <w:rsid w:val="00CE25AB"/>
    <w:pPr>
      <w:tabs>
        <w:tab w:val="center" w:pos="4513"/>
        <w:tab w:val="right" w:pos="9026"/>
      </w:tabs>
      <w:spacing w:line="240" w:lineRule="auto"/>
    </w:pPr>
  </w:style>
  <w:style w:type="character" w:customStyle="1" w:styleId="FooterChar">
    <w:name w:val="Footer Char"/>
    <w:basedOn w:val="DefaultParagraphFont"/>
    <w:link w:val="Footer"/>
    <w:uiPriority w:val="99"/>
    <w:rsid w:val="00CE25AB"/>
  </w:style>
  <w:style w:type="paragraph" w:styleId="NormalWeb">
    <w:name w:val="Normal (Web)"/>
    <w:basedOn w:val="Normal"/>
    <w:uiPriority w:val="99"/>
    <w:semiHidden/>
    <w:unhideWhenUsed/>
    <w:rsid w:val="001A20CF"/>
    <w:pPr>
      <w:spacing w:before="100" w:beforeAutospacing="1" w:after="100" w:afterAutospacing="1" w:line="240" w:lineRule="auto"/>
      <w:jc w:val="left"/>
    </w:pPr>
    <w:rPr>
      <w:rFonts w:ascii="Times New Roman" w:eastAsia="Times New Roman" w:hAnsi="Times New Roman" w:cs="Times New Roman"/>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barclayscorporate.com/insights/industry-expertise/skills-shortage-in-uk-manufacturing/"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www.worcestershire.gov.uk/council-services/planning-and-developments/road-improvements/a4440-worcester-southern-link-road-improvements" TargetMode="External"/><Relationship Id="rId28" Type="http://schemas.openxmlformats.org/officeDocument/2006/relationships/header" Target="header3.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worcestershire.gov.uk/sites/default/files/2025-10/A4440%20SLR4_One%20Year%20Post%20Opening%20Evaluation%20Report_V1_26%20February%202025.pdf" TargetMode="External"/><Relationship Id="rId27" Type="http://schemas.openxmlformats.org/officeDocument/2006/relationships/footer" Target="footer2.xm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ad568ec99afc6030c73e10681c500961">
  <xsd:schema xmlns:xsd="http://www.w3.org/2001/XMLSchema" xmlns:xs="http://www.w3.org/2001/XMLSchema" xmlns:p="http://schemas.microsoft.com/office/2006/metadata/properties" xmlns:ns3="0085e1a2-9cbf-4b92-866b-21f3c89040b6" targetNamespace="http://schemas.microsoft.com/office/2006/metadata/properties" ma:root="true" ma:fieldsID="afd4865bb201e260eeec7f3ad769aab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A37A8648-2F71-4D9E-9939-2C66A6BE62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2369DC-9362-4C98-90F9-F0F4B38C78F6}">
  <ds:schemaRefs>
    <ds:schemaRef ds:uri="http://schemas.microsoft.com/sharepoint/v3/contenttype/forms"/>
  </ds:schemaRefs>
</ds:datastoreItem>
</file>

<file path=customXml/itemProps3.xml><?xml version="1.0" encoding="utf-8"?>
<ds:datastoreItem xmlns:ds="http://schemas.openxmlformats.org/officeDocument/2006/customXml" ds:itemID="{26DBE867-F9A6-42D9-8844-0EEE904CDAD5}">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33</Pages>
  <Words>4241</Words>
  <Characters>24647</Characters>
  <Application>Microsoft Office Word</Application>
  <DocSecurity>0</DocSecurity>
  <Lines>704</Lines>
  <Paragraphs>348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Loredana-Iulia Mocanu (2412744)</cp:lastModifiedBy>
  <cp:revision>18</cp:revision>
  <dcterms:created xsi:type="dcterms:W3CDTF">2026-03-30T09:11:00Z</dcterms:created>
  <dcterms:modified xsi:type="dcterms:W3CDTF">2026-03-30T09:37:00Z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